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23A8BA">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Calibri" w:hAnsi="Calibri" w:eastAsia="黑体" w:cs="Times New Roman"/>
          <w:bCs/>
          <w:sz w:val="36"/>
          <w:szCs w:val="36"/>
        </w:rPr>
      </w:pPr>
      <w:bookmarkStart w:id="1302" w:name="_GoBack"/>
      <w:bookmarkEnd w:id="1302"/>
    </w:p>
    <w:p w14:paraId="74061321">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Calibri" w:hAnsi="Calibri" w:eastAsia="黑体" w:cs="Times New Roman"/>
          <w:bCs/>
          <w:sz w:val="36"/>
          <w:szCs w:val="36"/>
        </w:rPr>
      </w:pPr>
    </w:p>
    <w:p w14:paraId="6567024C">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Calibri" w:hAnsi="Calibri" w:eastAsia="黑体" w:cs="Times New Roman"/>
          <w:bCs/>
          <w:sz w:val="36"/>
          <w:szCs w:val="36"/>
        </w:rPr>
      </w:pPr>
    </w:p>
    <w:p w14:paraId="1DDF5AB9">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Calibri" w:hAnsi="Calibri" w:eastAsia="黑体" w:cs="Times New Roman"/>
          <w:bCs/>
          <w:sz w:val="36"/>
          <w:szCs w:val="36"/>
        </w:rPr>
      </w:pPr>
    </w:p>
    <w:p w14:paraId="6365FB80">
      <w:pPr>
        <w:keepNext w:val="0"/>
        <w:keepLines w:val="0"/>
        <w:pageBreakBefore w:val="0"/>
        <w:widowControl w:val="0"/>
        <w:kinsoku/>
        <w:wordWrap/>
        <w:overflowPunct/>
        <w:topLinePunct w:val="0"/>
        <w:autoSpaceDE/>
        <w:autoSpaceDN/>
        <w:bidi w:val="0"/>
        <w:adjustRightInd/>
        <w:snapToGrid/>
        <w:spacing w:line="324" w:lineRule="auto"/>
        <w:ind w:firstLine="0" w:firstLineChars="0"/>
        <w:jc w:val="center"/>
        <w:textAlignment w:val="auto"/>
        <w:rPr>
          <w:rFonts w:hint="eastAsia" w:ascii="Times New Roman" w:hAnsi="Times New Roman" w:eastAsia="宋体" w:cs="Times New Roman"/>
          <w:b/>
          <w:bCs/>
          <w:spacing w:val="-17"/>
          <w:kern w:val="0"/>
          <w:sz w:val="48"/>
          <w:szCs w:val="48"/>
          <w:lang w:eastAsia="zh-CN"/>
        </w:rPr>
      </w:pPr>
      <w:r>
        <w:rPr>
          <w:rFonts w:hint="eastAsia" w:ascii="Times New Roman" w:hAnsi="Times New Roman" w:eastAsia="宋体" w:cs="Times New Roman"/>
          <w:b/>
          <w:bCs/>
          <w:spacing w:val="-17"/>
          <w:kern w:val="0"/>
          <w:sz w:val="48"/>
          <w:szCs w:val="48"/>
        </w:rPr>
        <w:t>哈密市西成矿业有限责任公司年产30万吨铁精粉建设项目（重大变动）</w:t>
      </w:r>
    </w:p>
    <w:p w14:paraId="08E13DE1">
      <w:pPr>
        <w:spacing w:line="240" w:lineRule="auto"/>
        <w:ind w:firstLine="0" w:firstLineChars="0"/>
        <w:jc w:val="center"/>
        <w:rPr>
          <w:rFonts w:ascii="Calibri" w:hAnsi="Calibri" w:eastAsia="方正姚体" w:cs="Times New Roman"/>
          <w:sz w:val="72"/>
          <w:szCs w:val="72"/>
        </w:rPr>
      </w:pPr>
      <w:r>
        <w:rPr>
          <w:rFonts w:ascii="华文新魏" w:hAnsi="Calibri" w:eastAsia="华文新魏" w:cs="Times New Roman"/>
          <w:spacing w:val="46"/>
          <w:sz w:val="96"/>
          <w:szCs w:val="96"/>
        </w:rPr>
        <w:t>环境影响报告书</w:t>
      </w:r>
    </w:p>
    <w:p w14:paraId="7696A11B">
      <w:pPr>
        <w:spacing w:line="240" w:lineRule="auto"/>
        <w:ind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公示稿</w:t>
      </w:r>
      <w:r>
        <w:rPr>
          <w:rFonts w:hint="eastAsia" w:ascii="宋体" w:hAnsi="宋体" w:eastAsia="宋体" w:cs="宋体"/>
          <w:b/>
          <w:bCs/>
          <w:sz w:val="32"/>
          <w:szCs w:val="32"/>
        </w:rPr>
        <w:t>）</w:t>
      </w:r>
    </w:p>
    <w:p w14:paraId="3871D397">
      <w:pPr>
        <w:spacing w:line="360" w:lineRule="auto"/>
        <w:ind w:firstLine="0" w:firstLineChars="0"/>
        <w:rPr>
          <w:rFonts w:hint="eastAsia" w:ascii="Times New Roman" w:hAnsi="Times New Roman" w:eastAsia="隶书" w:cs="Times New Roman"/>
          <w:sz w:val="30"/>
        </w:rPr>
      </w:pPr>
    </w:p>
    <w:p w14:paraId="049A6714">
      <w:pPr>
        <w:spacing w:line="360" w:lineRule="auto"/>
        <w:ind w:firstLine="0" w:firstLineChars="0"/>
        <w:rPr>
          <w:rFonts w:hint="eastAsia" w:ascii="Times New Roman" w:hAnsi="Times New Roman" w:eastAsia="隶书" w:cs="Times New Roman"/>
          <w:sz w:val="30"/>
        </w:rPr>
      </w:pPr>
    </w:p>
    <w:p w14:paraId="083D2B1C">
      <w:pPr>
        <w:spacing w:line="360" w:lineRule="auto"/>
        <w:ind w:firstLine="0" w:firstLineChars="0"/>
        <w:rPr>
          <w:rFonts w:ascii="Times New Roman" w:hAnsi="Times New Roman" w:eastAsia="隶书" w:cs="Times New Roman"/>
          <w:sz w:val="30"/>
        </w:rPr>
      </w:pPr>
    </w:p>
    <w:p w14:paraId="1378514D">
      <w:pPr>
        <w:spacing w:line="360" w:lineRule="auto"/>
        <w:ind w:firstLine="0" w:firstLineChars="0"/>
        <w:rPr>
          <w:rFonts w:ascii="Calibri" w:hAnsi="Calibri" w:eastAsia="隶书" w:cs="Times New Roman"/>
          <w:sz w:val="30"/>
        </w:rPr>
      </w:pPr>
    </w:p>
    <w:p w14:paraId="32DAC1CA">
      <w:pPr>
        <w:spacing w:line="360" w:lineRule="auto"/>
        <w:ind w:firstLine="0" w:firstLineChars="0"/>
        <w:rPr>
          <w:rFonts w:ascii="Calibri" w:hAnsi="Calibri" w:eastAsia="隶书" w:cs="Times New Roman"/>
          <w:sz w:val="30"/>
        </w:rPr>
      </w:pPr>
    </w:p>
    <w:p w14:paraId="0ED86D44">
      <w:pPr>
        <w:spacing w:line="360" w:lineRule="auto"/>
        <w:ind w:firstLine="0" w:firstLineChars="0"/>
        <w:rPr>
          <w:rFonts w:ascii="Calibri" w:hAnsi="Calibri" w:eastAsia="隶书" w:cs="Times New Roman"/>
          <w:sz w:val="30"/>
        </w:rPr>
      </w:pPr>
    </w:p>
    <w:p w14:paraId="47A86658">
      <w:pPr>
        <w:spacing w:line="360" w:lineRule="auto"/>
        <w:ind w:firstLine="0" w:firstLineChars="0"/>
        <w:rPr>
          <w:rFonts w:ascii="Calibri" w:hAnsi="Calibri" w:eastAsia="隶书" w:cs="Times New Roman"/>
          <w:sz w:val="30"/>
        </w:rPr>
      </w:pPr>
    </w:p>
    <w:p w14:paraId="4CC2730C">
      <w:pPr>
        <w:spacing w:line="360" w:lineRule="auto"/>
        <w:ind w:firstLine="0" w:firstLineChars="0"/>
        <w:rPr>
          <w:rFonts w:ascii="Calibri" w:hAnsi="Calibri" w:eastAsia="隶书" w:cs="Times New Roman"/>
          <w:sz w:val="30"/>
        </w:rPr>
      </w:pPr>
    </w:p>
    <w:p w14:paraId="4CA74346">
      <w:pPr>
        <w:spacing w:line="360" w:lineRule="auto"/>
        <w:ind w:firstLine="0" w:firstLineChars="0"/>
        <w:rPr>
          <w:rFonts w:ascii="Calibri" w:hAnsi="Calibri" w:eastAsia="隶书" w:cs="Times New Roman"/>
          <w:sz w:val="30"/>
        </w:rPr>
      </w:pPr>
    </w:p>
    <w:tbl>
      <w:tblPr>
        <w:tblStyle w:val="32"/>
        <w:tblW w:w="0" w:type="auto"/>
        <w:jc w:val="center"/>
        <w:tblLayout w:type="fixed"/>
        <w:tblCellMar>
          <w:top w:w="0" w:type="dxa"/>
          <w:left w:w="0" w:type="dxa"/>
          <w:bottom w:w="0" w:type="dxa"/>
          <w:right w:w="0" w:type="dxa"/>
        </w:tblCellMar>
      </w:tblPr>
      <w:tblGrid>
        <w:gridCol w:w="1459"/>
        <w:gridCol w:w="4738"/>
      </w:tblGrid>
      <w:tr w14:paraId="34B656CF">
        <w:tblPrEx>
          <w:tblCellMar>
            <w:top w:w="0" w:type="dxa"/>
            <w:left w:w="0" w:type="dxa"/>
            <w:bottom w:w="0" w:type="dxa"/>
            <w:right w:w="0" w:type="dxa"/>
          </w:tblCellMar>
        </w:tblPrEx>
        <w:trPr>
          <w:trHeight w:val="510" w:hRule="atLeast"/>
          <w:jc w:val="center"/>
        </w:trPr>
        <w:tc>
          <w:tcPr>
            <w:tcW w:w="1459" w:type="dxa"/>
            <w:noWrap w:val="0"/>
            <w:vAlign w:val="top"/>
          </w:tcPr>
          <w:p w14:paraId="483553F4">
            <w:pPr>
              <w:keepNext w:val="0"/>
              <w:keepLines w:val="0"/>
              <w:suppressLineNumbers w:val="0"/>
              <w:spacing w:before="0" w:beforeAutospacing="0" w:after="0" w:afterAutospacing="0" w:line="480" w:lineRule="exact"/>
              <w:ind w:left="0" w:right="0" w:firstLine="0" w:firstLineChars="0"/>
              <w:rPr>
                <w:rFonts w:hint="default" w:ascii="楷体_GB2312" w:hAnsi="Calibri" w:eastAsia="楷体_GB2312" w:cs="Times New Roman"/>
                <w:sz w:val="30"/>
              </w:rPr>
            </w:pPr>
            <w:r>
              <w:rPr>
                <w:rFonts w:hint="eastAsia" w:ascii="楷体_GB2312" w:hAnsi="Calibri" w:eastAsia="楷体_GB2312" w:cs="Times New Roman"/>
                <w:sz w:val="30"/>
              </w:rPr>
              <w:t>建设单位：</w:t>
            </w:r>
          </w:p>
        </w:tc>
        <w:tc>
          <w:tcPr>
            <w:tcW w:w="4738" w:type="dxa"/>
            <w:noWrap w:val="0"/>
            <w:vAlign w:val="top"/>
          </w:tcPr>
          <w:p w14:paraId="5617D77E">
            <w:pPr>
              <w:keepNext w:val="0"/>
              <w:keepLines w:val="0"/>
              <w:suppressLineNumbers w:val="0"/>
              <w:spacing w:before="0" w:beforeAutospacing="0" w:after="0" w:afterAutospacing="0" w:line="480" w:lineRule="exact"/>
              <w:ind w:left="0" w:right="0" w:firstLine="0" w:firstLineChars="0"/>
              <w:jc w:val="distribute"/>
              <w:rPr>
                <w:rFonts w:hint="default" w:ascii="楷体_GB2312" w:hAnsi="Calibri" w:eastAsia="楷体_GB2312" w:cs="Times New Roman"/>
                <w:spacing w:val="-26"/>
                <w:sz w:val="30"/>
              </w:rPr>
            </w:pPr>
            <w:r>
              <w:rPr>
                <w:rFonts w:hint="eastAsia" w:ascii="楷体_GB2312" w:hAnsi="Calibri" w:eastAsia="楷体_GB2312" w:cs="Times New Roman"/>
                <w:spacing w:val="-26"/>
                <w:sz w:val="30"/>
              </w:rPr>
              <w:t>哈密市西成矿业有限责任公司</w:t>
            </w:r>
          </w:p>
        </w:tc>
      </w:tr>
      <w:tr w14:paraId="4CE0F8B0">
        <w:tblPrEx>
          <w:tblCellMar>
            <w:top w:w="0" w:type="dxa"/>
            <w:left w:w="0" w:type="dxa"/>
            <w:bottom w:w="0" w:type="dxa"/>
            <w:right w:w="0" w:type="dxa"/>
          </w:tblCellMar>
        </w:tblPrEx>
        <w:trPr>
          <w:trHeight w:val="510" w:hRule="atLeast"/>
          <w:jc w:val="center"/>
        </w:trPr>
        <w:tc>
          <w:tcPr>
            <w:tcW w:w="1459" w:type="dxa"/>
            <w:noWrap w:val="0"/>
            <w:vAlign w:val="top"/>
          </w:tcPr>
          <w:p w14:paraId="570B3414">
            <w:pPr>
              <w:keepNext w:val="0"/>
              <w:keepLines w:val="0"/>
              <w:suppressLineNumbers w:val="0"/>
              <w:spacing w:before="0" w:beforeAutospacing="0" w:after="0" w:afterAutospacing="0" w:line="480" w:lineRule="exact"/>
              <w:ind w:left="0" w:right="0" w:firstLine="0" w:firstLineChars="0"/>
              <w:jc w:val="distribute"/>
              <w:rPr>
                <w:rFonts w:hint="default" w:ascii="楷体_GB2312" w:hAnsi="Calibri" w:eastAsia="楷体_GB2312" w:cs="Times New Roman"/>
                <w:spacing w:val="-26"/>
                <w:sz w:val="30"/>
              </w:rPr>
            </w:pPr>
            <w:r>
              <w:rPr>
                <w:rFonts w:hint="eastAsia" w:ascii="楷体_GB2312" w:hAnsi="Calibri" w:eastAsia="楷体_GB2312" w:cs="Times New Roman"/>
                <w:spacing w:val="-26"/>
                <w:sz w:val="30"/>
              </w:rPr>
              <w:t>编制单位：</w:t>
            </w:r>
          </w:p>
        </w:tc>
        <w:tc>
          <w:tcPr>
            <w:tcW w:w="4738" w:type="dxa"/>
            <w:noWrap w:val="0"/>
            <w:vAlign w:val="top"/>
          </w:tcPr>
          <w:p w14:paraId="42DA8B59">
            <w:pPr>
              <w:keepNext w:val="0"/>
              <w:keepLines w:val="0"/>
              <w:suppressLineNumbers w:val="0"/>
              <w:spacing w:before="0" w:beforeAutospacing="0" w:after="0" w:afterAutospacing="0" w:line="480" w:lineRule="exact"/>
              <w:ind w:left="0" w:right="0" w:firstLine="0" w:firstLineChars="0"/>
              <w:jc w:val="distribute"/>
              <w:rPr>
                <w:rFonts w:hint="default" w:ascii="楷体_GB2312" w:hAnsi="Calibri" w:eastAsia="楷体_GB2312" w:cs="Times New Roman"/>
                <w:spacing w:val="-26"/>
                <w:sz w:val="30"/>
              </w:rPr>
            </w:pPr>
            <w:r>
              <w:rPr>
                <w:rFonts w:hint="eastAsia" w:ascii="楷体_GB2312" w:hAnsi="Calibri" w:eastAsia="楷体_GB2312" w:cs="Times New Roman"/>
                <w:spacing w:val="-26"/>
                <w:sz w:val="30"/>
              </w:rPr>
              <w:t>新疆绿境天宸环保科技有限公司</w:t>
            </w:r>
          </w:p>
        </w:tc>
      </w:tr>
      <w:tr w14:paraId="113E65A8">
        <w:tblPrEx>
          <w:tblCellMar>
            <w:top w:w="0" w:type="dxa"/>
            <w:left w:w="0" w:type="dxa"/>
            <w:bottom w:w="0" w:type="dxa"/>
            <w:right w:w="0" w:type="dxa"/>
          </w:tblCellMar>
        </w:tblPrEx>
        <w:trPr>
          <w:trHeight w:val="510" w:hRule="atLeast"/>
          <w:jc w:val="center"/>
        </w:trPr>
        <w:tc>
          <w:tcPr>
            <w:tcW w:w="1459" w:type="dxa"/>
            <w:noWrap w:val="0"/>
            <w:vAlign w:val="top"/>
          </w:tcPr>
          <w:p w14:paraId="263FB95C">
            <w:pPr>
              <w:keepNext w:val="0"/>
              <w:keepLines w:val="0"/>
              <w:suppressLineNumbers w:val="0"/>
              <w:spacing w:before="0" w:beforeAutospacing="0" w:after="0" w:afterAutospacing="0" w:line="480" w:lineRule="exact"/>
              <w:ind w:left="0" w:right="0" w:firstLine="0" w:firstLineChars="0"/>
              <w:rPr>
                <w:rFonts w:hint="default" w:ascii="楷体_GB2312" w:hAnsi="Calibri" w:eastAsia="楷体_GB2312" w:cs="Times New Roman"/>
                <w:sz w:val="28"/>
                <w:szCs w:val="30"/>
              </w:rPr>
            </w:pPr>
            <w:r>
              <w:rPr>
                <w:rFonts w:hint="eastAsia" w:ascii="楷体_GB2312" w:hAnsi="Calibri" w:eastAsia="楷体_GB2312" w:cs="Times New Roman"/>
                <w:sz w:val="30"/>
              </w:rPr>
              <w:t>编制时间：</w:t>
            </w:r>
          </w:p>
        </w:tc>
        <w:tc>
          <w:tcPr>
            <w:tcW w:w="4738" w:type="dxa"/>
            <w:noWrap w:val="0"/>
            <w:vAlign w:val="top"/>
          </w:tcPr>
          <w:p w14:paraId="2A3DB5CD">
            <w:pPr>
              <w:keepNext w:val="0"/>
              <w:keepLines w:val="0"/>
              <w:suppressLineNumbers w:val="0"/>
              <w:spacing w:before="0" w:beforeAutospacing="0" w:after="0" w:afterAutospacing="0" w:line="480" w:lineRule="exact"/>
              <w:ind w:left="0" w:right="0" w:firstLine="0" w:firstLineChars="0"/>
              <w:jc w:val="distribute"/>
              <w:rPr>
                <w:rFonts w:hint="default" w:ascii="楷体_GB2312" w:hAnsi="Calibri" w:eastAsia="楷体_GB2312" w:cs="Times New Roman"/>
                <w:sz w:val="28"/>
                <w:szCs w:val="30"/>
              </w:rPr>
            </w:pPr>
            <w:r>
              <w:rPr>
                <w:rFonts w:hint="eastAsia" w:ascii="楷体_GB2312" w:hAnsi="Calibri" w:eastAsia="楷体_GB2312" w:cs="Times New Roman"/>
                <w:kern w:val="0"/>
                <w:sz w:val="30"/>
                <w:szCs w:val="30"/>
              </w:rPr>
              <w:t>二○二</w:t>
            </w:r>
            <w:r>
              <w:rPr>
                <w:rFonts w:hint="eastAsia" w:ascii="楷体_GB2312" w:hAnsi="Calibri" w:eastAsia="楷体_GB2312" w:cs="Times New Roman"/>
                <w:kern w:val="0"/>
                <w:sz w:val="30"/>
                <w:szCs w:val="30"/>
                <w:lang w:val="en-US" w:eastAsia="zh-CN"/>
              </w:rPr>
              <w:t>六</w:t>
            </w:r>
            <w:r>
              <w:rPr>
                <w:rFonts w:hint="eastAsia" w:ascii="楷体_GB2312" w:hAnsi="Calibri" w:eastAsia="楷体_GB2312" w:cs="Times New Roman"/>
                <w:kern w:val="0"/>
                <w:sz w:val="30"/>
                <w:szCs w:val="30"/>
              </w:rPr>
              <w:t>年</w:t>
            </w:r>
            <w:r>
              <w:rPr>
                <w:rFonts w:hint="eastAsia" w:ascii="楷体_GB2312" w:hAnsi="Calibri" w:eastAsia="楷体_GB2312" w:cs="Times New Roman"/>
                <w:kern w:val="0"/>
                <w:sz w:val="30"/>
                <w:szCs w:val="30"/>
                <w:lang w:val="en-US" w:eastAsia="zh-CN"/>
              </w:rPr>
              <w:t>五</w:t>
            </w:r>
            <w:r>
              <w:rPr>
                <w:rFonts w:hint="eastAsia" w:ascii="楷体_GB2312" w:hAnsi="Calibri" w:eastAsia="楷体_GB2312" w:cs="Times New Roman"/>
                <w:kern w:val="0"/>
                <w:sz w:val="30"/>
                <w:szCs w:val="30"/>
              </w:rPr>
              <w:t>月</w:t>
            </w:r>
          </w:p>
        </w:tc>
      </w:tr>
    </w:tbl>
    <w:p w14:paraId="0803CEFA">
      <w:pPr>
        <w:spacing w:line="240" w:lineRule="auto"/>
        <w:ind w:firstLine="0" w:firstLineChars="0"/>
        <w:rPr>
          <w:rFonts w:hint="default" w:ascii="Calibri" w:hAnsi="Calibri" w:eastAsia="宋体" w:cs="Times New Roman"/>
          <w:sz w:val="21"/>
        </w:rPr>
      </w:pPr>
    </w:p>
    <w:p w14:paraId="1025BFE5">
      <w:pPr>
        <w:pStyle w:val="20"/>
        <w:tabs>
          <w:tab w:val="right" w:leader="dot" w:pos="8303"/>
        </w:tabs>
        <w:spacing w:before="120" w:beforeLines="50" w:after="240" w:afterLines="100"/>
        <w:ind w:firstLine="0" w:firstLineChars="0"/>
        <w:jc w:val="center"/>
        <w:rPr>
          <w:rFonts w:hint="eastAsia" w:eastAsia="宋体"/>
          <w:b/>
          <w:color w:val="000000" w:themeColor="text1"/>
          <w:sz w:val="44"/>
          <w:szCs w:val="44"/>
          <w:highlight w:val="none"/>
          <w:lang w:eastAsia="zh-CN"/>
          <w14:textFill>
            <w14:solidFill>
              <w14:schemeClr w14:val="tx1"/>
            </w14:solidFill>
          </w14:textFill>
        </w:rPr>
        <w:sectPr>
          <w:headerReference r:id="rId7" w:type="first"/>
          <w:headerReference r:id="rId5" w:type="default"/>
          <w:footerReference r:id="rId8" w:type="default"/>
          <w:headerReference r:id="rId6" w:type="even"/>
          <w:footerReference r:id="rId9" w:type="even"/>
          <w:pgSz w:w="11907" w:h="16840"/>
          <w:pgMar w:top="1440" w:right="1797" w:bottom="1440" w:left="1797" w:header="851" w:footer="851" w:gutter="0"/>
          <w:pgBorders>
            <w:top w:val="none" w:sz="0" w:space="0"/>
            <w:left w:val="none" w:sz="0" w:space="0"/>
            <w:bottom w:val="none" w:sz="0" w:space="0"/>
            <w:right w:val="none" w:sz="0" w:space="0"/>
          </w:pgBorders>
          <w:pgNumType w:fmt="upperRoman" w:start="1"/>
          <w:cols w:space="425" w:num="1"/>
          <w:titlePg/>
          <w:docGrid w:linePitch="312" w:charSpace="0"/>
        </w:sectPr>
      </w:pPr>
    </w:p>
    <w:p w14:paraId="2525672C">
      <w:pPr>
        <w:pStyle w:val="20"/>
        <w:tabs>
          <w:tab w:val="right" w:leader="dot" w:pos="8303"/>
        </w:tabs>
        <w:spacing w:before="120" w:beforeLines="50" w:after="240" w:afterLines="100"/>
        <w:ind w:firstLine="0" w:firstLineChars="0"/>
        <w:jc w:val="center"/>
        <w:rPr>
          <w:b/>
          <w:color w:val="000000" w:themeColor="text1"/>
          <w:sz w:val="44"/>
          <w:szCs w:val="44"/>
          <w:highlight w:val="none"/>
          <w14:textFill>
            <w14:solidFill>
              <w14:schemeClr w14:val="tx1"/>
            </w14:solidFill>
          </w14:textFill>
        </w:rPr>
      </w:pPr>
      <w:r>
        <w:rPr>
          <w:rFonts w:hint="eastAsia"/>
          <w:b/>
          <w:color w:val="000000" w:themeColor="text1"/>
          <w:sz w:val="44"/>
          <w:szCs w:val="44"/>
          <w:highlight w:val="none"/>
          <w14:textFill>
            <w14:solidFill>
              <w14:schemeClr w14:val="tx1"/>
            </w14:solidFill>
          </w14:textFill>
        </w:rPr>
        <w:t>目录</w:t>
      </w:r>
    </w:p>
    <w:p w14:paraId="749A7DBD">
      <w:pPr>
        <w:pStyle w:val="20"/>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TOC \o "1-2" \h \z \u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_Toc1788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1概述</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_Toc1788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6F557583">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_Toc21698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1.1建设项目特点</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_Toc21698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692B4B56">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_Toc463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2环境影响评价过程</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_Toc463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764EA1A2">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_Toc26878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3分析判定相关情况</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_Toc26878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291893E2">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_Toc5148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4关注的主要环境问题及环境影响</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_Toc5148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47</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2A8EA9E0">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_Toc11698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5环境影响评价的主要结论</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_Toc11698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47</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3E0C1C09">
      <w:pPr>
        <w:pStyle w:val="20"/>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_Toc6477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2总则</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_Toc6477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48</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4370791E">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_Toc20945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2.1评价原则与目的</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_Toc20945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48</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2BA93164">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_Toc2295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2</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2编制依据</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_Toc2295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49</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4642AAF7">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_Toc2401 </w:instrText>
      </w:r>
      <w:r>
        <w:rPr>
          <w:color w:val="000000" w:themeColor="text1"/>
          <w:sz w:val="21"/>
          <w:szCs w:val="21"/>
          <w:highlight w:val="none"/>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highlight w:val="none"/>
          <w14:textFill>
            <w14:solidFill>
              <w14:schemeClr w14:val="tx1"/>
            </w14:solidFill>
          </w14:textFill>
        </w:rPr>
        <w:t>2.3环境影响评价时段</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_Toc2401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56</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5C648A43">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_Toc32448 </w:instrText>
      </w:r>
      <w:r>
        <w:rPr>
          <w:color w:val="000000" w:themeColor="text1"/>
          <w:sz w:val="21"/>
          <w:szCs w:val="21"/>
          <w:highlight w:val="none"/>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highlight w:val="none"/>
          <w14:textFill>
            <w14:solidFill>
              <w14:schemeClr w14:val="tx1"/>
            </w14:solidFill>
          </w14:textFill>
        </w:rPr>
        <w:t>2.4评价因子识别及筛选</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_Toc32448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56</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5B01B108">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_Toc16961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2.</w:t>
      </w:r>
      <w:r>
        <w:rPr>
          <w:color w:val="000000" w:themeColor="text1"/>
          <w:sz w:val="21"/>
          <w:szCs w:val="21"/>
          <w:highlight w:val="none"/>
          <w14:textFill>
            <w14:solidFill>
              <w14:schemeClr w14:val="tx1"/>
            </w14:solidFill>
          </w14:textFill>
        </w:rPr>
        <w:t>5环境功能区划和评价标准</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_Toc16961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58</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3DC1EFD7">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_Toc13969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2.6评价等级和评价范围</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_Toc13969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65</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026522E7">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_Toc24597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2.7评价重点</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_Toc24597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73</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22081AF0">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_Toc18270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2.8主要环境保护目标和环境敏感目标</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_Toc18270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73</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378DDB20">
      <w:pPr>
        <w:pStyle w:val="20"/>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_Toc16505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3建设项目工程分析</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_Toc16505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75</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3A09A8C7">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_Toc30970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.1现有工程回顾性分析</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_Toc30970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75</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1D90D152">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_Toc4589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2本项目概况</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_Toc4589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88</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0A8D987E">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_Toc13790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3.3工程分析</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_Toc13790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115</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57F3A501">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_Toc6945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4</w:t>
      </w:r>
      <w:r>
        <w:rPr>
          <w:color w:val="000000" w:themeColor="text1"/>
          <w:sz w:val="21"/>
          <w:szCs w:val="21"/>
          <w:highlight w:val="none"/>
          <w14:textFill>
            <w14:solidFill>
              <w14:schemeClr w14:val="tx1"/>
            </w14:solidFill>
          </w14:textFill>
        </w:rPr>
        <w:t>污染源及污染物分析</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_Toc6945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120</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190165C9">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_Toc24518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清洁生产分析</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_Toc24518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133</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1CECCF2A">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_Toc15743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.6</w:t>
      </w:r>
      <w:r>
        <w:rPr>
          <w:rFonts w:hint="eastAsia"/>
          <w:color w:val="000000" w:themeColor="text1"/>
          <w:kern w:val="0"/>
          <w:sz w:val="21"/>
          <w:szCs w:val="21"/>
          <w:highlight w:val="none"/>
          <w14:textFill>
            <w14:solidFill>
              <w14:schemeClr w14:val="tx1"/>
            </w14:solidFill>
          </w14:textFill>
        </w:rPr>
        <w:t>“三本账”</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_Toc15743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137</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4CFFCF3D">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_Toc18061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7</w:t>
      </w:r>
      <w:r>
        <w:rPr>
          <w:color w:val="000000" w:themeColor="text1"/>
          <w:sz w:val="21"/>
          <w:szCs w:val="21"/>
          <w:highlight w:val="none"/>
          <w14:textFill>
            <w14:solidFill>
              <w14:schemeClr w14:val="tx1"/>
            </w14:solidFill>
          </w14:textFill>
        </w:rPr>
        <w:t>总量控制</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_Toc18061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138</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3E313D88">
      <w:pPr>
        <w:pStyle w:val="20"/>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_Toc5415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4环境现状调查与评价</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_Toc5415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139</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4A7F07C2">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_Toc15036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4.1自然环境概况</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_Toc15036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139</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1DB5580E">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_Toc27071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4.</w:t>
      </w:r>
      <w:r>
        <w:rPr>
          <w:rFonts w:hint="eastAsia"/>
          <w:color w:val="000000" w:themeColor="text1"/>
          <w:sz w:val="21"/>
          <w:szCs w:val="21"/>
          <w:highlight w:val="none"/>
          <w14:textFill>
            <w14:solidFill>
              <w14:schemeClr w14:val="tx1"/>
            </w14:solidFill>
          </w14:textFill>
        </w:rPr>
        <w:t>2</w:t>
      </w:r>
      <w:r>
        <w:rPr>
          <w:color w:val="000000" w:themeColor="text1"/>
          <w:sz w:val="21"/>
          <w:szCs w:val="21"/>
          <w:highlight w:val="none"/>
          <w14:textFill>
            <w14:solidFill>
              <w14:schemeClr w14:val="tx1"/>
            </w14:solidFill>
          </w14:textFill>
        </w:rPr>
        <w:t>环境质量现状调查与评价</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_Toc27071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150</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7AA56F82">
      <w:pPr>
        <w:pStyle w:val="20"/>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_Toc16798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5环境影响预测与评价</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_Toc16798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165</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0399BA7D">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_Toc32447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施工期环境影响预测与评价</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_Toc32447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165</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3CAED2A0">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_Toc24275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2运营期环境影响预测与评价</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_Toc24275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172</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449654DF">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_Toc1827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3环境风险分析</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_Toc1827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212</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0CC3A86B">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_Toc18369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5.</w:t>
      </w:r>
      <w:r>
        <w:rPr>
          <w:rFonts w:hint="eastAsia"/>
          <w:color w:val="000000" w:themeColor="text1"/>
          <w:sz w:val="21"/>
          <w:szCs w:val="21"/>
          <w:highlight w:val="none"/>
          <w14:textFill>
            <w14:solidFill>
              <w14:schemeClr w14:val="tx1"/>
            </w14:solidFill>
          </w14:textFill>
        </w:rPr>
        <w:t>4退役期环境影响分析</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_Toc18369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245</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2C6B2771">
      <w:pPr>
        <w:pStyle w:val="20"/>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_Toc24488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6环境保护措施及其可行性论证</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_Toc24488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248</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0D6757E2">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_Toc14170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6</w:t>
      </w: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施工期环境保护措施及其可行性论证</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_Toc14170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248</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3D77314B">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_Toc3076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6</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2运营期环境保护措施及其可行性论证</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_Toc3076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252</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5878F5A9">
      <w:pPr>
        <w:pStyle w:val="20"/>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_Toc3320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7环境影响经济损益分析</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_Toc3320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276</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42EB165B">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_Toc5809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7.1社会效益分析</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_Toc5809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276</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62D6D1FA">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_Toc30582 </w:instrText>
      </w:r>
      <w:r>
        <w:rPr>
          <w:color w:val="000000" w:themeColor="text1"/>
          <w:sz w:val="21"/>
          <w:szCs w:val="21"/>
          <w:highlight w:val="none"/>
          <w14:textFill>
            <w14:solidFill>
              <w14:schemeClr w14:val="tx1"/>
            </w14:solidFill>
          </w14:textFill>
        </w:rPr>
        <w:fldChar w:fldCharType="separate"/>
      </w:r>
      <w:r>
        <w:rPr>
          <w:rFonts w:eastAsiaTheme="minorEastAsia"/>
          <w:color w:val="000000" w:themeColor="text1"/>
          <w:sz w:val="21"/>
          <w:szCs w:val="21"/>
          <w:highlight w:val="none"/>
          <w14:textFill>
            <w14:solidFill>
              <w14:schemeClr w14:val="tx1"/>
            </w14:solidFill>
          </w14:textFill>
        </w:rPr>
        <w:t>7.2经济效益分析</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_Toc30582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276</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3B846E79">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_Toc12360 </w:instrText>
      </w:r>
      <w:r>
        <w:rPr>
          <w:color w:val="000000" w:themeColor="text1"/>
          <w:sz w:val="21"/>
          <w:szCs w:val="21"/>
          <w:highlight w:val="none"/>
          <w14:textFill>
            <w14:solidFill>
              <w14:schemeClr w14:val="tx1"/>
            </w14:solidFill>
          </w14:textFill>
        </w:rPr>
        <w:fldChar w:fldCharType="separate"/>
      </w:r>
      <w:r>
        <w:rPr>
          <w:rFonts w:eastAsiaTheme="minorEastAsia"/>
          <w:color w:val="000000" w:themeColor="text1"/>
          <w:sz w:val="21"/>
          <w:szCs w:val="21"/>
          <w:highlight w:val="none"/>
          <w14:textFill>
            <w14:solidFill>
              <w14:schemeClr w14:val="tx1"/>
            </w14:solidFill>
          </w14:textFill>
        </w:rPr>
        <w:t>7.3环境效益分析</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_Toc12360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277</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418A68C1">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_Toc13734 </w:instrText>
      </w:r>
      <w:r>
        <w:rPr>
          <w:color w:val="000000" w:themeColor="text1"/>
          <w:sz w:val="21"/>
          <w:szCs w:val="21"/>
          <w:highlight w:val="none"/>
          <w14:textFill>
            <w14:solidFill>
              <w14:schemeClr w14:val="tx1"/>
            </w14:solidFill>
          </w14:textFill>
        </w:rPr>
        <w:fldChar w:fldCharType="separate"/>
      </w:r>
      <w:r>
        <w:rPr>
          <w:rFonts w:eastAsiaTheme="minorEastAsia"/>
          <w:color w:val="000000" w:themeColor="text1"/>
          <w:sz w:val="21"/>
          <w:szCs w:val="21"/>
          <w:highlight w:val="none"/>
          <w14:textFill>
            <w14:solidFill>
              <w14:schemeClr w14:val="tx1"/>
            </w14:solidFill>
          </w14:textFill>
        </w:rPr>
        <w:t>7.4结论</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_Toc13734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278</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12351252">
      <w:pPr>
        <w:pStyle w:val="20"/>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_Toc4733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8环境管理与监测计划</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_Toc4733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280</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5C6FE2FE">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_Toc32721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8.1建设项目环境管理</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_Toc32721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280</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11399B42">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_Toc2537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8.2施工期环境管理</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_Toc2537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285</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4CBC0761">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_Toc1923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8.3环境监测计划</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_Toc1923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287</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25968828">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_Toc19601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8.4环境管理措施及环保行动计划</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_Toc19601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288</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1DAC058B">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_Toc7881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8.5环境保护竣工验收计划</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_Toc7881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290</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7D98AF18">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_Toc29482 </w:instrText>
      </w:r>
      <w:r>
        <w:rPr>
          <w:color w:val="000000" w:themeColor="text1"/>
          <w:sz w:val="21"/>
          <w:szCs w:val="21"/>
          <w:highlight w:val="none"/>
          <w14:textFill>
            <w14:solidFill>
              <w14:schemeClr w14:val="tx1"/>
            </w14:solidFill>
          </w14:textFill>
        </w:rPr>
        <w:fldChar w:fldCharType="separate"/>
      </w:r>
      <w:r>
        <w:rPr>
          <w:color w:val="000000" w:themeColor="text1"/>
          <w:sz w:val="21"/>
          <w:szCs w:val="21"/>
          <w:highlight w:val="none"/>
          <w14:textFill>
            <w14:solidFill>
              <w14:schemeClr w14:val="tx1"/>
            </w14:solidFill>
          </w14:textFill>
        </w:rPr>
        <w:t>8.6排污清单</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_Toc29482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292</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2CDFA00C">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_Toc18264 </w:instrText>
      </w:r>
      <w:r>
        <w:rPr>
          <w:color w:val="000000" w:themeColor="text1"/>
          <w:sz w:val="21"/>
          <w:szCs w:val="21"/>
          <w:highlight w:val="none"/>
          <w14:textFill>
            <w14:solidFill>
              <w14:schemeClr w14:val="tx1"/>
            </w14:solidFill>
          </w14:textFill>
        </w:rPr>
        <w:fldChar w:fldCharType="separate"/>
      </w:r>
      <w:r>
        <w:rPr>
          <w:rFonts w:hint="eastAsia"/>
          <w:color w:val="000000" w:themeColor="text1"/>
          <w:sz w:val="21"/>
          <w:szCs w:val="21"/>
          <w:highlight w:val="none"/>
          <w14:textFill>
            <w14:solidFill>
              <w14:schemeClr w14:val="tx1"/>
            </w14:solidFill>
          </w14:textFill>
        </w:rPr>
        <w:t>8.7</w:t>
      </w:r>
      <w:r>
        <w:rPr>
          <w:color w:val="000000" w:themeColor="text1"/>
          <w:sz w:val="21"/>
          <w:szCs w:val="21"/>
          <w:highlight w:val="none"/>
          <w14:textFill>
            <w14:solidFill>
              <w14:schemeClr w14:val="tx1"/>
            </w14:solidFill>
          </w14:textFill>
        </w:rPr>
        <w:t>总量控制</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_Toc18264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294</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2C5770E1">
      <w:pPr>
        <w:pStyle w:val="20"/>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_Toc32647 </w:instrText>
      </w:r>
      <w:r>
        <w:rPr>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color w:val="000000" w:themeColor="text1"/>
          <w:kern w:val="44"/>
          <w:sz w:val="21"/>
          <w:szCs w:val="21"/>
          <w:highlight w:val="none"/>
          <w:lang w:val="en-US" w:bidi="ar-SA"/>
          <w14:textFill>
            <w14:solidFill>
              <w14:schemeClr w14:val="tx1"/>
            </w14:solidFill>
          </w14:textFill>
        </w:rPr>
        <w:t>9环境影响评价结论</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_Toc32647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295</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76F5F405">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_Toc32449 </w:instrText>
      </w:r>
      <w:r>
        <w:rPr>
          <w:color w:val="000000" w:themeColor="text1"/>
          <w:sz w:val="21"/>
          <w:szCs w:val="21"/>
          <w:highlight w:val="none"/>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highlight w:val="none"/>
          <w:lang w:val="en-US" w:bidi="ar-SA"/>
          <w14:textFill>
            <w14:solidFill>
              <w14:schemeClr w14:val="tx1"/>
            </w14:solidFill>
          </w14:textFill>
        </w:rPr>
        <w:t>9.1项目概况</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_Toc32449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295</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21CE57C3">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_Toc30707 </w:instrText>
      </w:r>
      <w:r>
        <w:rPr>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color w:val="000000" w:themeColor="text1"/>
          <w:sz w:val="21"/>
          <w:szCs w:val="21"/>
          <w:highlight w:val="none"/>
          <w:lang w:val="en-US" w:bidi="ar-SA"/>
          <w14:textFill>
            <w14:solidFill>
              <w14:schemeClr w14:val="tx1"/>
            </w14:solidFill>
          </w14:textFill>
        </w:rPr>
        <w:t>9.2符合性分析</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_Toc30707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295</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4F8792E0">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_Toc7473 </w:instrText>
      </w:r>
      <w:r>
        <w:rPr>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color w:val="000000" w:themeColor="text1"/>
          <w:sz w:val="21"/>
          <w:szCs w:val="21"/>
          <w:highlight w:val="none"/>
          <w:lang w:val="en-US" w:bidi="ar-SA"/>
          <w14:textFill>
            <w14:solidFill>
              <w14:schemeClr w14:val="tx1"/>
            </w14:solidFill>
          </w14:textFill>
        </w:rPr>
        <w:t>9.3环境质量现状</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_Toc7473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296</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28C97F60">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_Toc23209 </w:instrText>
      </w:r>
      <w:r>
        <w:rPr>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color w:val="000000" w:themeColor="text1"/>
          <w:sz w:val="21"/>
          <w:szCs w:val="21"/>
          <w:highlight w:val="none"/>
          <w:lang w:val="en-US" w:bidi="ar-SA"/>
          <w14:textFill>
            <w14:solidFill>
              <w14:schemeClr w14:val="tx1"/>
            </w14:solidFill>
          </w14:textFill>
        </w:rPr>
        <w:t>9.4环境影响评价</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_Toc23209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297</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0A6C79D2">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_Toc15254 </w:instrText>
      </w:r>
      <w:r>
        <w:rPr>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color w:val="000000" w:themeColor="text1"/>
          <w:sz w:val="21"/>
          <w:szCs w:val="21"/>
          <w:highlight w:val="none"/>
          <w:lang w:val="en-US" w:bidi="ar-SA"/>
          <w14:textFill>
            <w14:solidFill>
              <w14:schemeClr w14:val="tx1"/>
            </w14:solidFill>
          </w14:textFill>
        </w:rPr>
        <w:t>9.</w:t>
      </w:r>
      <w:r>
        <w:rPr>
          <w:rFonts w:hint="eastAsia" w:ascii="Times New Roman" w:hAnsi="Times New Roman" w:eastAsia="宋体" w:cs="Times New Roman"/>
          <w:color w:val="000000" w:themeColor="text1"/>
          <w:sz w:val="21"/>
          <w:szCs w:val="21"/>
          <w:highlight w:val="none"/>
          <w:lang w:val="en-US" w:bidi="ar-SA"/>
          <w14:textFill>
            <w14:solidFill>
              <w14:schemeClr w14:val="tx1"/>
            </w14:solidFill>
          </w14:textFill>
        </w:rPr>
        <w:t>5总量控制</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_Toc15254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299</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6FE42873">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_Toc10752 </w:instrText>
      </w:r>
      <w:r>
        <w:rPr>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color w:val="000000" w:themeColor="text1"/>
          <w:sz w:val="21"/>
          <w:szCs w:val="21"/>
          <w:highlight w:val="none"/>
          <w:lang w:val="en-US" w:eastAsia="zh-TW" w:bidi="ar-SA"/>
          <w14:textFill>
            <w14:solidFill>
              <w14:schemeClr w14:val="tx1"/>
            </w14:solidFill>
          </w14:textFill>
        </w:rPr>
        <w:t>9.6公众参与</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_Toc10752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299</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42476EB6">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_Toc21412 </w:instrText>
      </w:r>
      <w:r>
        <w:rPr>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color w:val="000000" w:themeColor="text1"/>
          <w:sz w:val="21"/>
          <w:szCs w:val="21"/>
          <w:highlight w:val="none"/>
          <w:lang w:val="en-US" w:eastAsia="zh-TW" w:bidi="ar-SA"/>
          <w14:textFill>
            <w14:solidFill>
              <w14:schemeClr w14:val="tx1"/>
            </w14:solidFill>
          </w14:textFill>
        </w:rPr>
        <w:t>9.7总体结论</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_Toc21412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300</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57AADB20">
      <w:pPr>
        <w:pStyle w:val="25"/>
        <w:pageBreakBefore w:val="0"/>
        <w:widowControl w:val="0"/>
        <w:tabs>
          <w:tab w:val="right" w:leader="dot" w:pos="8313"/>
        </w:tabs>
        <w:kinsoku/>
        <w:wordWrap/>
        <w:overflowPunct/>
        <w:topLinePunct w:val="0"/>
        <w:autoSpaceDE/>
        <w:autoSpaceDN/>
        <w:bidi w:val="0"/>
        <w:adjustRightInd/>
        <w:snapToGrid/>
        <w:spacing w:line="420" w:lineRule="exact"/>
        <w:textAlignment w:val="auto"/>
        <w:rPr>
          <w:color w:val="000000" w:themeColor="text1"/>
          <w:sz w:val="21"/>
          <w:szCs w:val="21"/>
          <w14:textFill>
            <w14:solidFill>
              <w14:schemeClr w14:val="tx1"/>
            </w14:solidFill>
          </w14:textFill>
        </w:rPr>
      </w:pPr>
      <w:r>
        <w:rPr>
          <w:color w:val="000000" w:themeColor="text1"/>
          <w:sz w:val="21"/>
          <w:szCs w:val="21"/>
          <w:highlight w:val="none"/>
          <w14:textFill>
            <w14:solidFill>
              <w14:schemeClr w14:val="tx1"/>
            </w14:solidFill>
          </w14:textFill>
        </w:rPr>
        <w:fldChar w:fldCharType="begin"/>
      </w:r>
      <w:r>
        <w:rPr>
          <w:color w:val="000000" w:themeColor="text1"/>
          <w:sz w:val="21"/>
          <w:szCs w:val="21"/>
          <w:highlight w:val="none"/>
          <w14:textFill>
            <w14:solidFill>
              <w14:schemeClr w14:val="tx1"/>
            </w14:solidFill>
          </w14:textFill>
        </w:rPr>
        <w:instrText xml:space="preserve"> HYPERLINK \l _Toc16067 </w:instrText>
      </w:r>
      <w:r>
        <w:rPr>
          <w:color w:val="000000" w:themeColor="text1"/>
          <w:sz w:val="21"/>
          <w:szCs w:val="21"/>
          <w:highlight w:val="none"/>
          <w14:textFill>
            <w14:solidFill>
              <w14:schemeClr w14:val="tx1"/>
            </w14:solidFill>
          </w14:textFill>
        </w:rPr>
        <w:fldChar w:fldCharType="separate"/>
      </w:r>
      <w:r>
        <w:rPr>
          <w:rFonts w:ascii="Times New Roman" w:hAnsi="Times New Roman" w:eastAsia="宋体" w:cs="Times New Roman"/>
          <w:color w:val="000000" w:themeColor="text1"/>
          <w:sz w:val="21"/>
          <w:szCs w:val="21"/>
          <w:highlight w:val="none"/>
          <w:lang w:val="en-US" w:eastAsia="zh-TW" w:bidi="ar-SA"/>
          <w14:textFill>
            <w14:solidFill>
              <w14:schemeClr w14:val="tx1"/>
            </w14:solidFill>
          </w14:textFill>
        </w:rPr>
        <w:t>9.8</w:t>
      </w:r>
      <w:r>
        <w:rPr>
          <w:rFonts w:hint="eastAsia" w:cs="Times New Roman"/>
          <w:color w:val="000000" w:themeColor="text1"/>
          <w:sz w:val="21"/>
          <w:szCs w:val="21"/>
          <w:highlight w:val="none"/>
          <w:lang w:val="en-US" w:eastAsia="zh-CN" w:bidi="ar-SA"/>
          <w14:textFill>
            <w14:solidFill>
              <w14:schemeClr w14:val="tx1"/>
            </w14:solidFill>
          </w14:textFill>
        </w:rPr>
        <w:t>要求与</w:t>
      </w:r>
      <w:r>
        <w:rPr>
          <w:rFonts w:ascii="Times New Roman" w:hAnsi="Times New Roman" w:eastAsia="宋体" w:cs="Times New Roman"/>
          <w:color w:val="000000" w:themeColor="text1"/>
          <w:sz w:val="21"/>
          <w:szCs w:val="21"/>
          <w:highlight w:val="none"/>
          <w:lang w:val="en-US" w:eastAsia="zh-TW" w:bidi="ar-SA"/>
          <w14:textFill>
            <w14:solidFill>
              <w14:schemeClr w14:val="tx1"/>
            </w14:solidFill>
          </w14:textFill>
        </w:rPr>
        <w:t>建议</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PAGEREF _Toc16067 \h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300</w:t>
      </w:r>
      <w:r>
        <w:rPr>
          <w:color w:val="000000" w:themeColor="text1"/>
          <w:sz w:val="21"/>
          <w:szCs w:val="21"/>
          <w14:textFill>
            <w14:solidFill>
              <w14:schemeClr w14:val="tx1"/>
            </w14:solidFill>
          </w14:textFill>
        </w:rPr>
        <w:fldChar w:fldCharType="end"/>
      </w:r>
      <w:r>
        <w:rPr>
          <w:color w:val="000000" w:themeColor="text1"/>
          <w:sz w:val="21"/>
          <w:szCs w:val="21"/>
          <w:highlight w:val="none"/>
          <w14:textFill>
            <w14:solidFill>
              <w14:schemeClr w14:val="tx1"/>
            </w14:solidFill>
          </w14:textFill>
        </w:rPr>
        <w:fldChar w:fldCharType="end"/>
      </w:r>
    </w:p>
    <w:p w14:paraId="15692727">
      <w:pPr>
        <w:overflowPunct w:val="0"/>
        <w:topLinePunct/>
        <w:ind w:firstLine="480"/>
        <w:rPr>
          <w:rFonts w:hint="eastAsia" w:ascii="Times New Roman" w:hAnsi="Times New Roman" w:eastAsia="宋体" w:cs="Times New Roman"/>
          <w:color w:val="000000" w:themeColor="text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fldChar w:fldCharType="end"/>
      </w:r>
      <w:bookmarkStart w:id="0" w:name="_Toc17482"/>
      <w:bookmarkStart w:id="1" w:name="_Toc28872"/>
      <w:bookmarkStart w:id="2" w:name="_Toc107414637"/>
      <w:bookmarkStart w:id="3" w:name="_Toc11149"/>
      <w:bookmarkStart w:id="4" w:name="_Toc29202"/>
      <w:bookmarkStart w:id="5" w:name="_Toc107413870"/>
    </w:p>
    <w:p w14:paraId="11218D03">
      <w:pPr>
        <w:overflowPunct w:val="0"/>
        <w:topLinePunct/>
        <w:ind w:firstLine="480"/>
        <w:rPr>
          <w:rFonts w:hint="eastAsia" w:ascii="Times New Roman" w:hAnsi="Times New Roman" w:eastAsia="宋体" w:cs="Times New Roman"/>
          <w:color w:val="000000" w:themeColor="text1"/>
          <w:highlight w:val="none"/>
          <w:lang w:eastAsia="zh-CN"/>
          <w14:textFill>
            <w14:solidFill>
              <w14:schemeClr w14:val="tx1"/>
            </w14:solidFill>
          </w14:textFill>
        </w:rPr>
        <w:sectPr>
          <w:headerReference r:id="rId10" w:type="first"/>
          <w:footerReference r:id="rId13" w:type="first"/>
          <w:footerReference r:id="rId11" w:type="default"/>
          <w:footerReference r:id="rId12" w:type="even"/>
          <w:pgSz w:w="11907" w:h="16840"/>
          <w:pgMar w:top="1440" w:right="1797" w:bottom="1440" w:left="1797" w:header="851" w:footer="851" w:gutter="0"/>
          <w:pgBorders>
            <w:top w:val="none" w:sz="0" w:space="0"/>
            <w:left w:val="none" w:sz="0" w:space="0"/>
            <w:bottom w:val="none" w:sz="0" w:space="0"/>
            <w:right w:val="none" w:sz="0" w:space="0"/>
          </w:pgBorders>
          <w:pgNumType w:fmt="upperRoman" w:start="1"/>
          <w:cols w:space="425" w:num="1"/>
          <w:titlePg/>
          <w:docGrid w:linePitch="312" w:charSpace="0"/>
        </w:sectPr>
      </w:pPr>
    </w:p>
    <w:p w14:paraId="457498A5">
      <w:pPr>
        <w:overflowPunct w:val="0"/>
        <w:topLinePunct/>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附图：</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7162"/>
      </w:tblGrid>
      <w:tr w14:paraId="3264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6375075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图1.3-1</w:t>
            </w:r>
          </w:p>
        </w:tc>
        <w:tc>
          <w:tcPr>
            <w:tcW w:w="7162" w:type="dxa"/>
            <w:tcBorders>
              <w:top w:val="nil"/>
              <w:left w:val="nil"/>
              <w:bottom w:val="nil"/>
              <w:right w:val="nil"/>
            </w:tcBorders>
            <w:vAlign w:val="top"/>
          </w:tcPr>
          <w:p w14:paraId="1387D76A">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olor w:val="000000" w:themeColor="text1"/>
                <w:sz w:val="21"/>
                <w:szCs w:val="21"/>
                <w:vertAlign w:val="baseline"/>
                <w14:textFill>
                  <w14:solidFill>
                    <w14:schemeClr w14:val="tx1"/>
                  </w14:solidFill>
                </w14:textFill>
              </w:rPr>
            </w:pPr>
            <w:r>
              <w:rPr>
                <w:rFonts w:hint="eastAsia" w:ascii="Times New Roman" w:hAnsi="Times New Roman" w:eastAsia="宋体"/>
                <w:color w:val="000000" w:themeColor="text1"/>
                <w:sz w:val="21"/>
                <w:szCs w:val="21"/>
                <w:vertAlign w:val="baseline"/>
                <w14:textFill>
                  <w14:solidFill>
                    <w14:schemeClr w14:val="tx1"/>
                  </w14:solidFill>
                </w14:textFill>
              </w:rPr>
              <w:t>生态功能区划图</w:t>
            </w:r>
          </w:p>
        </w:tc>
      </w:tr>
      <w:tr w14:paraId="3A6F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36B62FB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olor w:val="000000" w:themeColor="text1"/>
                <w:sz w:val="21"/>
                <w:szCs w:val="21"/>
                <w:lang w:val="en-US"/>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图1.3-2</w:t>
            </w:r>
          </w:p>
        </w:tc>
        <w:tc>
          <w:tcPr>
            <w:tcW w:w="7162" w:type="dxa"/>
            <w:tcBorders>
              <w:top w:val="nil"/>
              <w:left w:val="nil"/>
              <w:bottom w:val="nil"/>
              <w:right w:val="nil"/>
            </w:tcBorders>
            <w:vAlign w:val="top"/>
          </w:tcPr>
          <w:p w14:paraId="5944A2D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vertAlign w:val="baseline"/>
                <w14:textFill>
                  <w14:solidFill>
                    <w14:schemeClr w14:val="tx1"/>
                  </w14:solidFill>
                </w14:textFill>
              </w:rPr>
              <w:t>本项目与生态保</w:t>
            </w:r>
            <w:r>
              <w:rPr>
                <w:rFonts w:hint="eastAsia" w:ascii="Times New Roman" w:hAnsi="Times New Roman" w:eastAsia="宋体" w:cs="Times New Roman"/>
                <w:color w:val="000000" w:themeColor="text1"/>
                <w:sz w:val="21"/>
                <w:szCs w:val="21"/>
                <w:vertAlign w:val="baseline"/>
                <w14:textFill>
                  <w14:solidFill>
                    <w14:schemeClr w14:val="tx1"/>
                  </w14:solidFill>
                </w14:textFill>
              </w:rPr>
              <w:t>护红线的位置关系</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图</w:t>
            </w:r>
          </w:p>
        </w:tc>
      </w:tr>
      <w:tr w14:paraId="6DBB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65D8667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图1.3-3</w:t>
            </w:r>
          </w:p>
        </w:tc>
        <w:tc>
          <w:tcPr>
            <w:tcW w:w="7162" w:type="dxa"/>
            <w:tcBorders>
              <w:top w:val="nil"/>
              <w:left w:val="nil"/>
              <w:bottom w:val="nil"/>
              <w:right w:val="nil"/>
            </w:tcBorders>
            <w:vAlign w:val="top"/>
          </w:tcPr>
          <w:p w14:paraId="4F6D4CA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olor w:val="000000" w:themeColor="text1"/>
                <w:sz w:val="21"/>
                <w:szCs w:val="21"/>
                <w:vertAlign w:val="baseline"/>
                <w14:textFill>
                  <w14:solidFill>
                    <w14:schemeClr w14:val="tx1"/>
                  </w14:solidFill>
                </w14:textFill>
              </w:rPr>
            </w:pPr>
            <w:r>
              <w:rPr>
                <w:rFonts w:hint="eastAsia" w:ascii="Times New Roman" w:hAnsi="Times New Roman" w:eastAsia="宋体"/>
                <w:color w:val="000000" w:themeColor="text1"/>
                <w:sz w:val="21"/>
                <w:szCs w:val="21"/>
                <w:vertAlign w:val="baseline"/>
                <w14:textFill>
                  <w14:solidFill>
                    <w14:schemeClr w14:val="tx1"/>
                  </w14:solidFill>
                </w14:textFill>
              </w:rPr>
              <w:t>本项目与哈密市环境管</w:t>
            </w:r>
            <w:r>
              <w:rPr>
                <w:rFonts w:hint="eastAsia" w:ascii="Times New Roman" w:hAnsi="Times New Roman" w:eastAsia="宋体" w:cs="Times New Roman"/>
                <w:color w:val="000000" w:themeColor="text1"/>
                <w:sz w:val="21"/>
                <w:szCs w:val="21"/>
                <w:vertAlign w:val="baseline"/>
                <w14:textFill>
                  <w14:solidFill>
                    <w14:schemeClr w14:val="tx1"/>
                  </w14:solidFill>
                </w14:textFill>
              </w:rPr>
              <w:t>控单元的</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位置关系图</w:t>
            </w:r>
          </w:p>
        </w:tc>
      </w:tr>
      <w:tr w14:paraId="2D32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3818205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图2.5-1</w:t>
            </w:r>
          </w:p>
        </w:tc>
        <w:tc>
          <w:tcPr>
            <w:tcW w:w="7162" w:type="dxa"/>
            <w:tcBorders>
              <w:top w:val="nil"/>
              <w:left w:val="nil"/>
              <w:bottom w:val="nil"/>
              <w:right w:val="nil"/>
            </w:tcBorders>
            <w:vAlign w:val="top"/>
          </w:tcPr>
          <w:p w14:paraId="37F64AD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14:textFill>
                  <w14:solidFill>
                    <w14:schemeClr w14:val="tx1"/>
                  </w14:solidFill>
                </w14:textFill>
              </w:rPr>
              <w:t>区域水系图</w:t>
            </w:r>
          </w:p>
        </w:tc>
      </w:tr>
      <w:tr w14:paraId="1ADF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1813453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图2.6-2</w:t>
            </w:r>
          </w:p>
        </w:tc>
        <w:tc>
          <w:tcPr>
            <w:tcW w:w="7162" w:type="dxa"/>
            <w:tcBorders>
              <w:top w:val="nil"/>
              <w:left w:val="nil"/>
              <w:bottom w:val="nil"/>
              <w:right w:val="nil"/>
            </w:tcBorders>
            <w:vAlign w:val="top"/>
          </w:tcPr>
          <w:p w14:paraId="76C0752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环境影响评价范围图</w:t>
            </w:r>
          </w:p>
        </w:tc>
      </w:tr>
      <w:tr w14:paraId="6BEC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1DC6718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图3.2-1</w:t>
            </w:r>
          </w:p>
        </w:tc>
        <w:tc>
          <w:tcPr>
            <w:tcW w:w="7162" w:type="dxa"/>
            <w:tcBorders>
              <w:top w:val="nil"/>
              <w:left w:val="nil"/>
              <w:bottom w:val="nil"/>
              <w:right w:val="nil"/>
            </w:tcBorders>
            <w:vAlign w:val="top"/>
          </w:tcPr>
          <w:p w14:paraId="4ACD2B8D">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本项目地理位置图</w:t>
            </w:r>
          </w:p>
        </w:tc>
      </w:tr>
      <w:tr w14:paraId="2148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747367A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图3.2-2</w:t>
            </w:r>
          </w:p>
        </w:tc>
        <w:tc>
          <w:tcPr>
            <w:tcW w:w="7162" w:type="dxa"/>
            <w:tcBorders>
              <w:top w:val="nil"/>
              <w:left w:val="nil"/>
              <w:bottom w:val="nil"/>
              <w:right w:val="nil"/>
            </w:tcBorders>
            <w:vAlign w:val="top"/>
          </w:tcPr>
          <w:p w14:paraId="5E301D6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14:textFill>
                  <w14:solidFill>
                    <w14:schemeClr w14:val="tx1"/>
                  </w14:solidFill>
                </w14:textFill>
              </w:rPr>
              <w:t>区域位置图</w:t>
            </w:r>
          </w:p>
        </w:tc>
      </w:tr>
      <w:tr w14:paraId="255F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7763A88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图3.2-4</w:t>
            </w:r>
          </w:p>
        </w:tc>
        <w:tc>
          <w:tcPr>
            <w:tcW w:w="7162" w:type="dxa"/>
            <w:tcBorders>
              <w:top w:val="nil"/>
              <w:left w:val="nil"/>
              <w:bottom w:val="nil"/>
              <w:right w:val="nil"/>
            </w:tcBorders>
            <w:vAlign w:val="top"/>
          </w:tcPr>
          <w:p w14:paraId="5E07539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14:textFill>
                  <w14:solidFill>
                    <w14:schemeClr w14:val="tx1"/>
                  </w14:solidFill>
                </w14:textFill>
              </w:rPr>
              <w:t>本项目尾矿库平面布置</w:t>
            </w:r>
            <w:r>
              <w:rPr>
                <w:rFonts w:hint="eastAsia"/>
                <w:color w:val="000000" w:themeColor="text1"/>
                <w:sz w:val="21"/>
                <w:szCs w:val="21"/>
                <w:vertAlign w:val="baseline"/>
                <w:lang w:val="en-US" w:eastAsia="zh-CN"/>
                <w14:textFill>
                  <w14:solidFill>
                    <w14:schemeClr w14:val="tx1"/>
                  </w14:solidFill>
                </w14:textFill>
              </w:rPr>
              <w:t>图</w:t>
            </w:r>
          </w:p>
        </w:tc>
      </w:tr>
      <w:tr w14:paraId="6374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shd w:val="clear" w:color="auto" w:fill="auto"/>
            <w:vAlign w:val="top"/>
          </w:tcPr>
          <w:p w14:paraId="367F8D3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图4.1-3</w:t>
            </w:r>
          </w:p>
        </w:tc>
        <w:tc>
          <w:tcPr>
            <w:tcW w:w="7162" w:type="dxa"/>
            <w:tcBorders>
              <w:top w:val="nil"/>
              <w:left w:val="nil"/>
              <w:bottom w:val="nil"/>
              <w:right w:val="nil"/>
            </w:tcBorders>
            <w:shd w:val="clear" w:color="auto" w:fill="auto"/>
            <w:vAlign w:val="top"/>
          </w:tcPr>
          <w:p w14:paraId="56F9186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区域</w:t>
            </w:r>
            <w: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t>水文地质图</w:t>
            </w:r>
          </w:p>
        </w:tc>
      </w:tr>
      <w:tr w14:paraId="4035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51F89A6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图4.2-1</w:t>
            </w:r>
          </w:p>
        </w:tc>
        <w:tc>
          <w:tcPr>
            <w:tcW w:w="7162" w:type="dxa"/>
            <w:tcBorders>
              <w:top w:val="nil"/>
              <w:left w:val="nil"/>
              <w:bottom w:val="nil"/>
              <w:right w:val="nil"/>
            </w:tcBorders>
            <w:vAlign w:val="top"/>
          </w:tcPr>
          <w:p w14:paraId="09DB827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监测布点图</w:t>
            </w:r>
          </w:p>
        </w:tc>
      </w:tr>
      <w:tr w14:paraId="08D3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3B93C95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图4.2-2</w:t>
            </w:r>
          </w:p>
        </w:tc>
        <w:tc>
          <w:tcPr>
            <w:tcW w:w="7162" w:type="dxa"/>
            <w:tcBorders>
              <w:top w:val="nil"/>
              <w:left w:val="nil"/>
              <w:bottom w:val="nil"/>
              <w:right w:val="nil"/>
            </w:tcBorders>
            <w:vAlign w:val="top"/>
          </w:tcPr>
          <w:p w14:paraId="1E815C2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项目区土壤类型图</w:t>
            </w:r>
          </w:p>
        </w:tc>
      </w:tr>
      <w:tr w14:paraId="1D95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5B3C12D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图4.2-4</w:t>
            </w:r>
          </w:p>
        </w:tc>
        <w:tc>
          <w:tcPr>
            <w:tcW w:w="7162" w:type="dxa"/>
            <w:tcBorders>
              <w:top w:val="nil"/>
              <w:left w:val="nil"/>
              <w:bottom w:val="nil"/>
              <w:right w:val="nil"/>
            </w:tcBorders>
            <w:vAlign w:val="top"/>
          </w:tcPr>
          <w:p w14:paraId="50F88F6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14:textFill>
                  <w14:solidFill>
                    <w14:schemeClr w14:val="tx1"/>
                  </w14:solidFill>
                </w14:textFill>
              </w:rPr>
              <w:t>评价区域土地利用现状</w:t>
            </w:r>
            <w:r>
              <w:rPr>
                <w:rFonts w:hint="eastAsia"/>
                <w:color w:val="000000" w:themeColor="text1"/>
                <w:sz w:val="21"/>
                <w:szCs w:val="21"/>
                <w:vertAlign w:val="baseline"/>
                <w:lang w:val="en-US" w:eastAsia="zh-CN"/>
                <w14:textFill>
                  <w14:solidFill>
                    <w14:schemeClr w14:val="tx1"/>
                  </w14:solidFill>
                </w14:textFill>
              </w:rPr>
              <w:t>图</w:t>
            </w:r>
          </w:p>
        </w:tc>
      </w:tr>
      <w:tr w14:paraId="6949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3300514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图4.2-5</w:t>
            </w:r>
          </w:p>
        </w:tc>
        <w:tc>
          <w:tcPr>
            <w:tcW w:w="7162" w:type="dxa"/>
            <w:tcBorders>
              <w:top w:val="nil"/>
              <w:left w:val="nil"/>
              <w:bottom w:val="nil"/>
              <w:right w:val="nil"/>
            </w:tcBorders>
            <w:vAlign w:val="top"/>
          </w:tcPr>
          <w:p w14:paraId="1CA5920A">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14:textFill>
                  <w14:solidFill>
                    <w14:schemeClr w14:val="tx1"/>
                  </w14:solidFill>
                </w14:textFill>
              </w:rPr>
              <w:t>项目区植被类型图</w:t>
            </w:r>
          </w:p>
        </w:tc>
      </w:tr>
      <w:tr w14:paraId="0FC8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384957C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图4.2-6</w:t>
            </w:r>
          </w:p>
        </w:tc>
        <w:tc>
          <w:tcPr>
            <w:tcW w:w="7162" w:type="dxa"/>
            <w:tcBorders>
              <w:top w:val="nil"/>
              <w:left w:val="nil"/>
              <w:bottom w:val="nil"/>
              <w:right w:val="nil"/>
            </w:tcBorders>
            <w:vAlign w:val="top"/>
          </w:tcPr>
          <w:p w14:paraId="0CB0255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14:textFill>
                  <w14:solidFill>
                    <w14:schemeClr w14:val="tx1"/>
                  </w14:solidFill>
                </w14:textFill>
              </w:rPr>
              <w:t>本项目与新疆沙化土地分布位置关系图</w:t>
            </w:r>
          </w:p>
        </w:tc>
      </w:tr>
    </w:tbl>
    <w:p w14:paraId="0E85B0DB">
      <w:pPr>
        <w:overflowPunct w:val="0"/>
        <w:topLinePunct/>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附件：</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7162"/>
      </w:tblGrid>
      <w:tr w14:paraId="5267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1269389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14:textFill>
                  <w14:solidFill>
                    <w14:schemeClr w14:val="tx1"/>
                  </w14:solidFill>
                </w14:textFill>
              </w:rPr>
              <w:t>附件1</w:t>
            </w:r>
          </w:p>
        </w:tc>
        <w:tc>
          <w:tcPr>
            <w:tcW w:w="7162" w:type="dxa"/>
            <w:tcBorders>
              <w:top w:val="nil"/>
              <w:left w:val="nil"/>
              <w:bottom w:val="nil"/>
              <w:right w:val="nil"/>
            </w:tcBorders>
            <w:vAlign w:val="top"/>
          </w:tcPr>
          <w:p w14:paraId="2295F70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委托书</w:t>
            </w:r>
          </w:p>
        </w:tc>
      </w:tr>
      <w:tr w14:paraId="4FD0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6022DAF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14:textFill>
                  <w14:solidFill>
                    <w14:schemeClr w14:val="tx1"/>
                  </w14:solidFill>
                </w14:textFill>
              </w:rPr>
              <w:t>附件</w:t>
            </w:r>
            <w:r>
              <w:rPr>
                <w:rFonts w:hint="eastAsia"/>
                <w:color w:val="000000" w:themeColor="text1"/>
                <w:sz w:val="21"/>
                <w:szCs w:val="21"/>
                <w:lang w:val="en-US" w:eastAsia="zh-CN"/>
                <w14:textFill>
                  <w14:solidFill>
                    <w14:schemeClr w14:val="tx1"/>
                  </w14:solidFill>
                </w14:textFill>
              </w:rPr>
              <w:t>2</w:t>
            </w:r>
          </w:p>
        </w:tc>
        <w:tc>
          <w:tcPr>
            <w:tcW w:w="7162" w:type="dxa"/>
            <w:tcBorders>
              <w:top w:val="nil"/>
              <w:left w:val="nil"/>
              <w:bottom w:val="nil"/>
              <w:right w:val="nil"/>
            </w:tcBorders>
            <w:vAlign w:val="top"/>
          </w:tcPr>
          <w:p w14:paraId="6C9AEC1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备案证明</w:t>
            </w:r>
          </w:p>
        </w:tc>
      </w:tr>
      <w:tr w14:paraId="15AF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3CCAAD4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14:textFill>
                  <w14:solidFill>
                    <w14:schemeClr w14:val="tx1"/>
                  </w14:solidFill>
                </w14:textFill>
              </w:rPr>
              <w:t>附件</w:t>
            </w:r>
            <w:r>
              <w:rPr>
                <w:rFonts w:hint="eastAsia"/>
                <w:color w:val="000000" w:themeColor="text1"/>
                <w:sz w:val="21"/>
                <w:szCs w:val="21"/>
                <w:lang w:val="en-US" w:eastAsia="zh-CN"/>
                <w14:textFill>
                  <w14:solidFill>
                    <w14:schemeClr w14:val="tx1"/>
                  </w14:solidFill>
                </w14:textFill>
              </w:rPr>
              <w:t>3</w:t>
            </w:r>
          </w:p>
        </w:tc>
        <w:tc>
          <w:tcPr>
            <w:tcW w:w="7162" w:type="dxa"/>
            <w:tcBorders>
              <w:top w:val="nil"/>
              <w:left w:val="nil"/>
              <w:bottom w:val="nil"/>
              <w:right w:val="nil"/>
            </w:tcBorders>
            <w:vAlign w:val="top"/>
          </w:tcPr>
          <w:p w14:paraId="0EE5B9BD">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承诺函</w:t>
            </w:r>
          </w:p>
        </w:tc>
      </w:tr>
      <w:tr w14:paraId="1192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13E0901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14:textFill>
                  <w14:solidFill>
                    <w14:schemeClr w14:val="tx1"/>
                  </w14:solidFill>
                </w14:textFill>
              </w:rPr>
              <w:t>附件</w:t>
            </w:r>
            <w:r>
              <w:rPr>
                <w:rFonts w:hint="eastAsia"/>
                <w:color w:val="000000" w:themeColor="text1"/>
                <w:sz w:val="21"/>
                <w:szCs w:val="21"/>
                <w:lang w:val="en-US" w:eastAsia="zh-CN"/>
                <w14:textFill>
                  <w14:solidFill>
                    <w14:schemeClr w14:val="tx1"/>
                  </w14:solidFill>
                </w14:textFill>
              </w:rPr>
              <w:t>4</w:t>
            </w:r>
          </w:p>
        </w:tc>
        <w:tc>
          <w:tcPr>
            <w:tcW w:w="7162" w:type="dxa"/>
            <w:tcBorders>
              <w:top w:val="nil"/>
              <w:left w:val="nil"/>
              <w:bottom w:val="nil"/>
              <w:right w:val="nil"/>
            </w:tcBorders>
            <w:vAlign w:val="top"/>
          </w:tcPr>
          <w:p w14:paraId="681A96A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名称变更情况说明</w:t>
            </w:r>
          </w:p>
        </w:tc>
      </w:tr>
      <w:tr w14:paraId="04DE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shd w:val="clear" w:color="auto" w:fill="auto"/>
            <w:vAlign w:val="top"/>
          </w:tcPr>
          <w:p w14:paraId="7086B40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附件</w:t>
            </w:r>
            <w:r>
              <w:rPr>
                <w:rFonts w:hint="eastAsia"/>
                <w:color w:val="000000" w:themeColor="text1"/>
                <w:sz w:val="21"/>
                <w:szCs w:val="21"/>
                <w:lang w:val="en-US" w:eastAsia="zh-CN"/>
                <w14:textFill>
                  <w14:solidFill>
                    <w14:schemeClr w14:val="tx1"/>
                  </w14:solidFill>
                </w14:textFill>
              </w:rPr>
              <w:t>5</w:t>
            </w:r>
          </w:p>
        </w:tc>
        <w:tc>
          <w:tcPr>
            <w:tcW w:w="7162" w:type="dxa"/>
            <w:tcBorders>
              <w:top w:val="nil"/>
              <w:left w:val="nil"/>
              <w:bottom w:val="nil"/>
              <w:right w:val="nil"/>
            </w:tcBorders>
            <w:shd w:val="clear" w:color="auto" w:fill="auto"/>
            <w:vAlign w:val="top"/>
          </w:tcPr>
          <w:p w14:paraId="3F57DBE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西成选矿现有环评批复</w:t>
            </w:r>
          </w:p>
        </w:tc>
      </w:tr>
      <w:tr w14:paraId="3CE8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0B6D77D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14:textFill>
                  <w14:solidFill>
                    <w14:schemeClr w14:val="tx1"/>
                  </w14:solidFill>
                </w14:textFill>
              </w:rPr>
              <w:t>附件</w:t>
            </w:r>
            <w:r>
              <w:rPr>
                <w:rFonts w:hint="eastAsia"/>
                <w:color w:val="000000" w:themeColor="text1"/>
                <w:sz w:val="21"/>
                <w:szCs w:val="21"/>
                <w:lang w:val="en-US" w:eastAsia="zh-CN"/>
                <w14:textFill>
                  <w14:solidFill>
                    <w14:schemeClr w14:val="tx1"/>
                  </w14:solidFill>
                </w14:textFill>
              </w:rPr>
              <w:t>6</w:t>
            </w:r>
          </w:p>
        </w:tc>
        <w:tc>
          <w:tcPr>
            <w:tcW w:w="7162" w:type="dxa"/>
            <w:tcBorders>
              <w:top w:val="nil"/>
              <w:left w:val="nil"/>
              <w:bottom w:val="nil"/>
              <w:right w:val="nil"/>
            </w:tcBorders>
            <w:shd w:val="clear" w:color="auto" w:fill="auto"/>
            <w:vAlign w:val="top"/>
          </w:tcPr>
          <w:p w14:paraId="4FCAEEA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西成水资源论证审查意见</w:t>
            </w:r>
          </w:p>
        </w:tc>
      </w:tr>
      <w:tr w14:paraId="4A87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7B5BB00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附件7</w:t>
            </w:r>
          </w:p>
        </w:tc>
        <w:tc>
          <w:tcPr>
            <w:tcW w:w="7162" w:type="dxa"/>
            <w:tcBorders>
              <w:top w:val="nil"/>
              <w:left w:val="nil"/>
              <w:bottom w:val="nil"/>
              <w:right w:val="nil"/>
            </w:tcBorders>
            <w:shd w:val="clear" w:color="auto" w:fill="auto"/>
            <w:vAlign w:val="top"/>
          </w:tcPr>
          <w:p w14:paraId="3F919E9B">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核素检测报告</w:t>
            </w:r>
          </w:p>
        </w:tc>
      </w:tr>
      <w:tr w14:paraId="0AC6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43B2B9B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附件8</w:t>
            </w:r>
          </w:p>
        </w:tc>
        <w:tc>
          <w:tcPr>
            <w:tcW w:w="7162" w:type="dxa"/>
            <w:tcBorders>
              <w:top w:val="nil"/>
              <w:left w:val="nil"/>
              <w:bottom w:val="nil"/>
              <w:right w:val="nil"/>
            </w:tcBorders>
            <w:shd w:val="clear" w:color="auto" w:fill="auto"/>
            <w:vAlign w:val="top"/>
          </w:tcPr>
          <w:p w14:paraId="38A58ECB">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环境质量现状检测报告</w:t>
            </w:r>
          </w:p>
        </w:tc>
      </w:tr>
      <w:tr w14:paraId="764B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7" w:type="dxa"/>
            <w:tcBorders>
              <w:top w:val="nil"/>
              <w:left w:val="nil"/>
              <w:bottom w:val="nil"/>
              <w:right w:val="nil"/>
            </w:tcBorders>
            <w:vAlign w:val="top"/>
          </w:tcPr>
          <w:p w14:paraId="7CD3CE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附件9</w:t>
            </w:r>
          </w:p>
        </w:tc>
        <w:tc>
          <w:tcPr>
            <w:tcW w:w="7162" w:type="dxa"/>
            <w:tcBorders>
              <w:top w:val="nil"/>
              <w:left w:val="nil"/>
              <w:bottom w:val="nil"/>
              <w:right w:val="nil"/>
            </w:tcBorders>
            <w:shd w:val="clear" w:color="auto" w:fill="auto"/>
            <w:vAlign w:val="top"/>
          </w:tcPr>
          <w:p w14:paraId="2D76526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固废浸出检测报告</w:t>
            </w:r>
          </w:p>
        </w:tc>
      </w:tr>
    </w:tbl>
    <w:p w14:paraId="5656AAF6">
      <w:pPr>
        <w:overflowPunct w:val="0"/>
        <w:topLinePunct/>
        <w:ind w:firstLine="480"/>
        <w:rPr>
          <w:rFonts w:hint="eastAsia" w:ascii="Times New Roman" w:hAnsi="Times New Roman" w:eastAsia="宋体" w:cs="Times New Roman"/>
          <w:color w:val="000000" w:themeColor="text1"/>
          <w:highlight w:val="none"/>
          <w:lang w:eastAsia="zh-CN"/>
          <w14:textFill>
            <w14:solidFill>
              <w14:schemeClr w14:val="tx1"/>
            </w14:solidFill>
          </w14:textFill>
        </w:rPr>
      </w:pPr>
    </w:p>
    <w:p w14:paraId="528F621D">
      <w:pPr>
        <w:rPr>
          <w:color w:val="000000" w:themeColor="text1"/>
          <w:sz w:val="21"/>
          <w:szCs w:val="21"/>
          <w:highlight w:val="none"/>
          <w14:textFill>
            <w14:solidFill>
              <w14:schemeClr w14:val="tx1"/>
            </w14:solidFill>
          </w14:textFill>
        </w:rPr>
        <w:sectPr>
          <w:footerReference r:id="rId14" w:type="default"/>
          <w:footerReference r:id="rId15" w:type="even"/>
          <w:pgSz w:w="11907" w:h="16840"/>
          <w:pgMar w:top="1440" w:right="1797" w:bottom="1440" w:left="1797" w:header="851" w:footer="851" w:gutter="0"/>
          <w:pgBorders>
            <w:top w:val="none" w:sz="0" w:space="0"/>
            <w:left w:val="none" w:sz="0" w:space="0"/>
            <w:bottom w:val="none" w:sz="0" w:space="0"/>
            <w:right w:val="none" w:sz="0" w:space="0"/>
          </w:pgBorders>
          <w:pgNumType w:fmt="upperRoman"/>
          <w:cols w:space="425" w:num="1"/>
          <w:docGrid w:linePitch="312" w:charSpace="0"/>
        </w:sectPr>
      </w:pPr>
    </w:p>
    <w:p w14:paraId="2C5B401B">
      <w:pPr>
        <w:pStyle w:val="2"/>
        <w:spacing w:line="720" w:lineRule="exact"/>
        <w:rPr>
          <w:color w:val="000000" w:themeColor="text1"/>
          <w:highlight w:val="none"/>
          <w14:textFill>
            <w14:solidFill>
              <w14:schemeClr w14:val="tx1"/>
            </w14:solidFill>
          </w14:textFill>
        </w:rPr>
      </w:pPr>
      <w:bookmarkStart w:id="6" w:name="_Toc1788"/>
      <w:r>
        <w:rPr>
          <w:color w:val="000000" w:themeColor="text1"/>
          <w:highlight w:val="none"/>
          <w14:textFill>
            <w14:solidFill>
              <w14:schemeClr w14:val="tx1"/>
            </w14:solidFill>
          </w14:textFill>
        </w:rPr>
        <w:t>1概述</w:t>
      </w:r>
      <w:bookmarkEnd w:id="0"/>
      <w:bookmarkEnd w:id="1"/>
      <w:bookmarkEnd w:id="2"/>
      <w:bookmarkEnd w:id="3"/>
      <w:bookmarkEnd w:id="4"/>
      <w:bookmarkEnd w:id="5"/>
      <w:bookmarkEnd w:id="6"/>
    </w:p>
    <w:p w14:paraId="30B66BEA">
      <w:pPr>
        <w:pStyle w:val="3"/>
        <w:spacing w:line="560" w:lineRule="atLeast"/>
        <w:rPr>
          <w:color w:val="000000" w:themeColor="text1"/>
          <w:highlight w:val="none"/>
          <w14:textFill>
            <w14:solidFill>
              <w14:schemeClr w14:val="tx1"/>
            </w14:solidFill>
          </w14:textFill>
        </w:rPr>
      </w:pPr>
      <w:bookmarkStart w:id="7" w:name="_Toc12955"/>
      <w:bookmarkStart w:id="8" w:name="_Toc475111945"/>
      <w:bookmarkStart w:id="9" w:name="_Toc21983"/>
      <w:bookmarkStart w:id="10" w:name="_Toc21698"/>
      <w:bookmarkStart w:id="11" w:name="_Toc23022"/>
      <w:bookmarkStart w:id="12" w:name="_Toc107413871"/>
      <w:bookmarkStart w:id="13" w:name="_Toc13386"/>
      <w:bookmarkStart w:id="14" w:name="_Toc107414638"/>
      <w:r>
        <w:rPr>
          <w:color w:val="000000" w:themeColor="text1"/>
          <w:highlight w:val="none"/>
          <w14:textFill>
            <w14:solidFill>
              <w14:schemeClr w14:val="tx1"/>
            </w14:solidFill>
          </w14:textFill>
        </w:rPr>
        <w:t>1.1建设项目特点</w:t>
      </w:r>
      <w:bookmarkEnd w:id="7"/>
      <w:bookmarkEnd w:id="8"/>
      <w:bookmarkEnd w:id="9"/>
      <w:bookmarkEnd w:id="10"/>
      <w:bookmarkEnd w:id="11"/>
      <w:bookmarkEnd w:id="12"/>
      <w:bookmarkEnd w:id="13"/>
      <w:bookmarkEnd w:id="14"/>
    </w:p>
    <w:p w14:paraId="5B1A203C">
      <w:pPr>
        <w:pStyle w:val="4"/>
        <w:rPr>
          <w:color w:val="000000" w:themeColor="text1"/>
          <w:highlight w:val="none"/>
          <w14:textFill>
            <w14:solidFill>
              <w14:schemeClr w14:val="tx1"/>
            </w14:solidFill>
          </w14:textFill>
        </w:rPr>
      </w:pPr>
      <w:bookmarkStart w:id="15" w:name="_Toc31318"/>
      <w:bookmarkStart w:id="16" w:name="_Toc19161"/>
      <w:bookmarkStart w:id="17" w:name="_Toc32252"/>
      <w:bookmarkStart w:id="18" w:name="_Toc18713"/>
      <w:bookmarkStart w:id="19" w:name="_Toc3959"/>
      <w:bookmarkStart w:id="20" w:name="_Toc26274"/>
      <w:bookmarkStart w:id="21" w:name="_Toc27128"/>
      <w:bookmarkStart w:id="22" w:name="_Toc18489"/>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.1.1</w:t>
      </w:r>
      <w:bookmarkEnd w:id="15"/>
      <w:bookmarkEnd w:id="16"/>
      <w:bookmarkEnd w:id="17"/>
      <w:bookmarkEnd w:id="18"/>
      <w:bookmarkEnd w:id="19"/>
      <w:r>
        <w:rPr>
          <w:rFonts w:hint="eastAsia"/>
          <w:color w:val="000000" w:themeColor="text1"/>
          <w:highlight w:val="none"/>
          <w14:textFill>
            <w14:solidFill>
              <w14:schemeClr w14:val="tx1"/>
            </w14:solidFill>
          </w14:textFill>
        </w:rPr>
        <w:t>项目背景及由来</w:t>
      </w:r>
      <w:bookmarkEnd w:id="20"/>
      <w:bookmarkEnd w:id="21"/>
      <w:bookmarkEnd w:id="22"/>
    </w:p>
    <w:p w14:paraId="45896B05">
      <w:pPr>
        <w:overflowPunct w:val="0"/>
        <w:topLinePunct/>
        <w:ind w:firstLine="480"/>
        <w:rPr>
          <w:color w:val="000000" w:themeColor="text1"/>
          <w:highlight w:val="none"/>
          <w14:textFill>
            <w14:solidFill>
              <w14:schemeClr w14:val="tx1"/>
            </w14:solidFill>
          </w14:textFill>
        </w:rPr>
      </w:pPr>
      <w:bookmarkStart w:id="23" w:name="OLE_LINK1"/>
      <w:r>
        <w:rPr>
          <w:rFonts w:hint="eastAsia"/>
          <w:color w:val="000000" w:themeColor="text1"/>
          <w:highlight w:val="none"/>
          <w:lang w:eastAsia="zh-CN"/>
          <w14:textFill>
            <w14:solidFill>
              <w14:schemeClr w14:val="tx1"/>
            </w14:solidFill>
          </w14:textFill>
        </w:rPr>
        <w:t>哈密市西成矿业有限责任公司</w:t>
      </w:r>
      <w:r>
        <w:rPr>
          <w:rFonts w:hint="eastAsia"/>
          <w:color w:val="000000" w:themeColor="text1"/>
          <w:highlight w:val="none"/>
          <w14:textFill>
            <w14:solidFill>
              <w14:schemeClr w14:val="tx1"/>
            </w14:solidFill>
          </w14:textFill>
        </w:rPr>
        <w:t>（以下简称“</w:t>
      </w:r>
      <w:r>
        <w:rPr>
          <w:rFonts w:hint="eastAsia"/>
          <w:color w:val="000000" w:themeColor="text1"/>
          <w:highlight w:val="none"/>
          <w:lang w:eastAsia="zh-CN"/>
          <w14:textFill>
            <w14:solidFill>
              <w14:schemeClr w14:val="tx1"/>
            </w14:solidFill>
          </w14:textFill>
        </w:rPr>
        <w:t>西成矿业</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成立于</w:t>
      </w:r>
      <w:r>
        <w:rPr>
          <w:rFonts w:hint="eastAsia"/>
          <w:color w:val="000000" w:themeColor="text1"/>
          <w:highlight w:val="none"/>
          <w14:textFill>
            <w14:solidFill>
              <w14:schemeClr w14:val="tx1"/>
            </w14:solidFill>
          </w14:textFill>
        </w:rPr>
        <w:t>200</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主要经营矿产品加工、销售等。</w:t>
      </w:r>
      <w:r>
        <w:rPr>
          <w:rFonts w:hint="eastAsia"/>
          <w:color w:val="000000" w:themeColor="text1"/>
          <w:highlight w:val="none"/>
          <w:lang w:eastAsia="zh-CN"/>
          <w14:textFill>
            <w14:solidFill>
              <w14:schemeClr w14:val="tx1"/>
            </w14:solidFill>
          </w14:textFill>
        </w:rPr>
        <w:t>西成矿业</w:t>
      </w:r>
      <w:r>
        <w:rPr>
          <w:rFonts w:hint="eastAsia"/>
          <w:color w:val="000000" w:themeColor="text1"/>
          <w:highlight w:val="none"/>
          <w:lang w:val="en-US" w:eastAsia="zh-CN"/>
          <w14:textFill>
            <w14:solidFill>
              <w14:schemeClr w14:val="tx1"/>
            </w14:solidFill>
          </w14:textFill>
        </w:rPr>
        <w:t>M1033铁矿选矿厂</w:t>
      </w:r>
      <w:r>
        <w:rPr>
          <w:rFonts w:hint="eastAsia"/>
          <w:color w:val="000000" w:themeColor="text1"/>
          <w:highlight w:val="none"/>
          <w14:textFill>
            <w14:solidFill>
              <w14:schemeClr w14:val="tx1"/>
            </w14:solidFill>
          </w14:textFill>
        </w:rPr>
        <w:t>位于</w:t>
      </w:r>
      <w:r>
        <w:rPr>
          <w:rFonts w:hint="eastAsia"/>
          <w:color w:val="000000" w:themeColor="text1"/>
          <w:highlight w:val="none"/>
          <w:lang w:val="en-US" w:eastAsia="zh-CN"/>
          <w14:textFill>
            <w14:solidFill>
              <w14:schemeClr w14:val="tx1"/>
            </w14:solidFill>
          </w14:textFill>
        </w:rPr>
        <w:t>哈密市东南方向，距离哈密市中心城区直线距离约179km，配套的M1033铁矿位于选矿厂东侧，属哈密市伊州区雅满苏镇管辖</w:t>
      </w:r>
      <w:r>
        <w:rPr>
          <w:rFonts w:hint="eastAsia"/>
          <w:color w:val="000000" w:themeColor="text1"/>
          <w:highlight w:val="none"/>
          <w14:textFill>
            <w14:solidFill>
              <w14:schemeClr w14:val="tx1"/>
            </w14:solidFill>
          </w14:textFill>
        </w:rPr>
        <w:t>。</w:t>
      </w:r>
    </w:p>
    <w:p w14:paraId="2FBD35FC">
      <w:pPr>
        <w:keepNext w:val="0"/>
        <w:keepLines w:val="0"/>
        <w:pageBreakBefore w:val="0"/>
        <w:widowControl w:val="0"/>
        <w:kinsoku/>
        <w:wordWrap/>
        <w:overflowPunct w:val="0"/>
        <w:topLinePunct/>
        <w:autoSpaceDE/>
        <w:autoSpaceDN/>
        <w:bidi w:val="0"/>
        <w:adjustRightInd/>
        <w:snapToGrid/>
        <w:ind w:firstLine="48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西成矿业</w:t>
      </w:r>
      <w:r>
        <w:rPr>
          <w:rFonts w:hint="eastAsia"/>
          <w:color w:val="000000" w:themeColor="text1"/>
          <w:highlight w:val="none"/>
          <w:lang w:val="en-US" w:eastAsia="zh-CN"/>
          <w14:textFill>
            <w14:solidFill>
              <w14:schemeClr w14:val="tx1"/>
            </w14:solidFill>
          </w14:textFill>
        </w:rPr>
        <w:t>M1033铁矿选矿厂、尾矿库始建于2002年，2006年建成。</w:t>
      </w:r>
      <w:r>
        <w:rPr>
          <w:color w:val="000000" w:themeColor="text1"/>
          <w:highlight w:val="none"/>
          <w14:textFill>
            <w14:solidFill>
              <w14:schemeClr w14:val="tx1"/>
            </w14:solidFill>
          </w14:textFill>
        </w:rPr>
        <w:t>20</w:t>
      </w:r>
      <w:r>
        <w:rPr>
          <w:rFonts w:hint="eastAsia"/>
          <w:color w:val="000000" w:themeColor="text1"/>
          <w:highlight w:val="none"/>
          <w:lang w:val="en-US" w:eastAsia="zh-CN"/>
          <w14:textFill>
            <w14:solidFill>
              <w14:schemeClr w14:val="tx1"/>
            </w14:solidFill>
          </w14:textFill>
        </w:rPr>
        <w:t>06</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月，</w:t>
      </w:r>
      <w:r>
        <w:rPr>
          <w:rFonts w:hint="eastAsia"/>
          <w:color w:val="000000" w:themeColor="text1"/>
          <w:highlight w:val="none"/>
          <w:lang w:eastAsia="zh-CN"/>
          <w14:textFill>
            <w14:solidFill>
              <w14:schemeClr w14:val="tx1"/>
            </w14:solidFill>
          </w14:textFill>
        </w:rPr>
        <w:t>哈密市西成矿业有限责任公司</w:t>
      </w:r>
      <w:r>
        <w:rPr>
          <w:color w:val="000000" w:themeColor="text1"/>
          <w:highlight w:val="none"/>
          <w14:textFill>
            <w14:solidFill>
              <w14:schemeClr w14:val="tx1"/>
            </w14:solidFill>
          </w14:textFill>
        </w:rPr>
        <w:t>委托</w:t>
      </w:r>
      <w:r>
        <w:rPr>
          <w:rFonts w:hint="eastAsia"/>
          <w:color w:val="000000" w:themeColor="text1"/>
          <w:highlight w:val="none"/>
          <w:lang w:eastAsia="zh-CN"/>
          <w14:textFill>
            <w14:solidFill>
              <w14:schemeClr w14:val="tx1"/>
            </w14:solidFill>
          </w14:textFill>
        </w:rPr>
        <w:t>昌吉州水利科学技术研究院</w:t>
      </w:r>
      <w:r>
        <w:rPr>
          <w:color w:val="000000" w:themeColor="text1"/>
          <w:highlight w:val="none"/>
          <w14:textFill>
            <w14:solidFill>
              <w14:schemeClr w14:val="tx1"/>
            </w14:solidFill>
          </w14:textFill>
        </w:rPr>
        <w:t>编制完成了</w:t>
      </w:r>
      <w:r>
        <w:rPr>
          <w:rFonts w:hint="eastAsia"/>
          <w:color w:val="000000" w:themeColor="text1"/>
          <w:sz w:val="24"/>
          <w:szCs w:val="24"/>
          <w:lang w:eastAsia="zh-CN"/>
          <w14:textFill>
            <w14:solidFill>
              <w14:schemeClr w14:val="tx1"/>
            </w14:solidFill>
          </w14:textFill>
        </w:rPr>
        <w:t>《哈密市西成矿业有限责任公司</w:t>
      </w:r>
      <w:r>
        <w:rPr>
          <w:rFonts w:hint="eastAsia"/>
          <w:color w:val="000000" w:themeColor="text1"/>
          <w:sz w:val="24"/>
          <w:szCs w:val="24"/>
          <w:lang w:val="en-US" w:eastAsia="zh-CN"/>
          <w14:textFill>
            <w14:solidFill>
              <w14:schemeClr w14:val="tx1"/>
            </w14:solidFill>
          </w14:textFill>
        </w:rPr>
        <w:t>M1033矿年产30万吨铁矿采矿项目环境影响报告表</w:t>
      </w:r>
      <w:r>
        <w:rPr>
          <w:rFonts w:hint="eastAsia"/>
          <w:color w:val="000000" w:themeColor="text1"/>
          <w:sz w:val="24"/>
          <w:szCs w:val="24"/>
          <w:lang w:eastAsia="zh-CN"/>
          <w14:textFill>
            <w14:solidFill>
              <w14:schemeClr w14:val="tx1"/>
            </w14:solidFill>
          </w14:textFill>
        </w:rPr>
        <w:t>》及</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哈密市西成矿业有限责任公司年产</w:t>
      </w:r>
      <w:r>
        <w:rPr>
          <w:rFonts w:hint="eastAsia"/>
          <w:color w:val="000000" w:themeColor="text1"/>
          <w:highlight w:val="none"/>
          <w:lang w:val="en-US" w:eastAsia="zh-CN"/>
          <w14:textFill>
            <w14:solidFill>
              <w14:schemeClr w14:val="tx1"/>
            </w14:solidFill>
          </w14:textFill>
        </w:rPr>
        <w:t>30万吨铁精粉</w:t>
      </w:r>
      <w:r>
        <w:rPr>
          <w:color w:val="000000" w:themeColor="text1"/>
          <w:highlight w:val="none"/>
          <w14:textFill>
            <w14:solidFill>
              <w14:schemeClr w14:val="tx1"/>
            </w14:solidFill>
          </w14:textFill>
        </w:rPr>
        <w:t>项目环境影响报告</w:t>
      </w:r>
      <w:r>
        <w:rPr>
          <w:rFonts w:hint="eastAsia"/>
          <w:color w:val="000000" w:themeColor="text1"/>
          <w:highlight w:val="none"/>
          <w:lang w:eastAsia="zh-CN"/>
          <w14:textFill>
            <w14:solidFill>
              <w14:schemeClr w14:val="tx1"/>
            </w14:solidFill>
          </w14:textFill>
        </w:rPr>
        <w:t>表</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均为补做环评</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20</w:t>
      </w:r>
      <w:r>
        <w:rPr>
          <w:rFonts w:hint="eastAsia"/>
          <w:color w:val="000000" w:themeColor="text1"/>
          <w:highlight w:val="none"/>
          <w:lang w:val="en-US" w:eastAsia="zh-CN"/>
          <w14:textFill>
            <w14:solidFill>
              <w14:schemeClr w14:val="tx1"/>
            </w14:solidFill>
          </w14:textFill>
        </w:rPr>
        <w:t>06</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20</w:t>
      </w:r>
      <w:r>
        <w:rPr>
          <w:color w:val="000000" w:themeColor="text1"/>
          <w:highlight w:val="none"/>
          <w14:textFill>
            <w14:solidFill>
              <w14:schemeClr w14:val="tx1"/>
            </w14:solidFill>
          </w14:textFill>
        </w:rPr>
        <w:t>日，</w:t>
      </w:r>
      <w:r>
        <w:rPr>
          <w:rFonts w:hint="eastAsia"/>
          <w:color w:val="000000" w:themeColor="text1"/>
          <w:highlight w:val="none"/>
          <w14:textFill>
            <w14:solidFill>
              <w14:schemeClr w14:val="tx1"/>
            </w14:solidFill>
          </w14:textFill>
        </w:rPr>
        <w:t>原</w:t>
      </w:r>
      <w:r>
        <w:rPr>
          <w:rFonts w:hint="eastAsia"/>
          <w:color w:val="000000" w:themeColor="text1"/>
          <w:highlight w:val="none"/>
          <w:lang w:eastAsia="zh-CN"/>
          <w14:textFill>
            <w14:solidFill>
              <w14:schemeClr w14:val="tx1"/>
            </w14:solidFill>
          </w14:textFill>
        </w:rPr>
        <w:t>哈密地区</w:t>
      </w:r>
      <w:r>
        <w:rPr>
          <w:color w:val="000000" w:themeColor="text1"/>
          <w:highlight w:val="none"/>
          <w14:textFill>
            <w14:solidFill>
              <w14:schemeClr w14:val="tx1"/>
            </w14:solidFill>
          </w14:textFill>
        </w:rPr>
        <w:t>环境保护局以</w:t>
      </w:r>
      <w:r>
        <w:rPr>
          <w:rFonts w:hint="eastAsia"/>
          <w:color w:val="000000" w:themeColor="text1"/>
          <w:sz w:val="24"/>
          <w:szCs w:val="24"/>
          <w:lang w:eastAsia="zh-CN"/>
          <w14:textFill>
            <w14:solidFill>
              <w14:schemeClr w14:val="tx1"/>
            </w14:solidFill>
          </w14:textFill>
        </w:rPr>
        <w:t>《关于哈密市西成矿业有限责任公司</w:t>
      </w:r>
      <w:r>
        <w:rPr>
          <w:rFonts w:hint="eastAsia"/>
          <w:color w:val="000000" w:themeColor="text1"/>
          <w:sz w:val="24"/>
          <w:szCs w:val="24"/>
          <w:lang w:val="en-US" w:eastAsia="zh-CN"/>
          <w14:textFill>
            <w14:solidFill>
              <w14:schemeClr w14:val="tx1"/>
            </w14:solidFill>
          </w14:textFill>
        </w:rPr>
        <w:t>M1033矿年产30万吨铁矿采矿建设项目</w:t>
      </w:r>
      <w:r>
        <w:rPr>
          <w:rFonts w:hint="eastAsia"/>
          <w:color w:val="000000" w:themeColor="text1"/>
          <w:sz w:val="24"/>
          <w:szCs w:val="24"/>
          <w:lang w:eastAsia="zh-CN"/>
          <w14:textFill>
            <w14:solidFill>
              <w14:schemeClr w14:val="tx1"/>
            </w14:solidFill>
          </w14:textFill>
        </w:rPr>
        <w:t>环境影响报告表的批复》（哈地环审批字〔2006〕</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号）及</w:t>
      </w:r>
      <w:r>
        <w:rPr>
          <w:rFonts w:hint="eastAsia"/>
          <w:color w:val="000000" w:themeColor="text1"/>
          <w:sz w:val="24"/>
          <w:szCs w:val="24"/>
          <w14:textFill>
            <w14:solidFill>
              <w14:schemeClr w14:val="tx1"/>
            </w14:solidFill>
          </w14:textFill>
        </w:rPr>
        <w:t>《关于哈密市西成矿业有限责任公司年产30万吨铁精粉建设项目环境影响报告表的批复》（哈地环审批字〔2006〕</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14:textFill>
            <w14:solidFill>
              <w14:schemeClr w14:val="tx1"/>
            </w14:solidFill>
          </w14:textFill>
        </w:rPr>
        <w:t>号）予以批复。</w:t>
      </w:r>
      <w:r>
        <w:rPr>
          <w:rFonts w:hint="eastAsia"/>
          <w:color w:val="000000" w:themeColor="text1"/>
          <w:sz w:val="24"/>
          <w:szCs w:val="24"/>
          <w:lang w:val="en-US" w:eastAsia="zh-CN"/>
          <w14:textFill>
            <w14:solidFill>
              <w14:schemeClr w14:val="tx1"/>
            </w14:solidFill>
          </w14:textFill>
        </w:rPr>
        <w:t>其中，</w:t>
      </w:r>
      <w:r>
        <w:rPr>
          <w:rFonts w:hint="eastAsia"/>
          <w:color w:val="000000" w:themeColor="text1"/>
          <w:sz w:val="24"/>
          <w:szCs w:val="24"/>
          <w14:textFill>
            <w14:solidFill>
              <w14:schemeClr w14:val="tx1"/>
            </w14:solidFill>
          </w14:textFill>
        </w:rPr>
        <w:t>哈密市西成矿业有限责任公司年产30万吨铁精粉建设项目</w:t>
      </w:r>
      <w:r>
        <w:rPr>
          <w:rFonts w:hint="eastAsia"/>
          <w:color w:val="000000" w:themeColor="text1"/>
          <w:sz w:val="24"/>
          <w:szCs w:val="24"/>
          <w:lang w:val="en-US" w:eastAsia="zh-CN"/>
          <w14:textFill>
            <w14:solidFill>
              <w14:schemeClr w14:val="tx1"/>
            </w14:solidFill>
          </w14:textFill>
        </w:rPr>
        <w:t>批复生产规模为年处理原矿石90万吨，年产铁精粉30万吨。</w:t>
      </w:r>
    </w:p>
    <w:p w14:paraId="6EADD635">
      <w:pPr>
        <w:overflowPunct w:val="0"/>
        <w:topLinePunct/>
        <w:ind w:firstLine="480"/>
        <w:rPr>
          <w:rFonts w:hint="eastAsia" w:eastAsia="宋体"/>
          <w:color w:val="000000" w:themeColor="text1"/>
          <w:highlight w:val="none"/>
          <w:lang w:val="en-US" w:eastAsia="zh-CN"/>
          <w14:textFill>
            <w14:solidFill>
              <w14:schemeClr w14:val="tx1"/>
            </w14:solidFill>
          </w14:textFill>
        </w:rPr>
      </w:pPr>
      <w:r>
        <w:rPr>
          <w:rStyle w:val="82"/>
          <w:rFonts w:hint="eastAsia" w:ascii="Times New Roman" w:hAnsi="Times New Roman" w:eastAsia="宋体" w:cs="Times New Roman"/>
          <w:color w:val="000000" w:themeColor="text1"/>
          <w14:textFill>
            <w14:solidFill>
              <w14:schemeClr w14:val="tx1"/>
            </w14:solidFill>
          </w14:textFill>
        </w:rPr>
        <w:t>现有选矿厂</w:t>
      </w:r>
      <w:r>
        <w:rPr>
          <w:rFonts w:hint="eastAsia"/>
          <w:color w:val="000000" w:themeColor="text1"/>
          <w:highlight w:val="none"/>
          <w14:textFill>
            <w14:solidFill>
              <w14:schemeClr w14:val="tx1"/>
            </w14:solidFill>
          </w14:textFill>
        </w:rPr>
        <w:t>位于</w:t>
      </w:r>
      <w:r>
        <w:rPr>
          <w:rFonts w:hint="eastAsia"/>
          <w:color w:val="000000" w:themeColor="text1"/>
          <w:highlight w:val="none"/>
          <w:lang w:eastAsia="zh-CN"/>
          <w14:textFill>
            <w14:solidFill>
              <w14:schemeClr w14:val="tx1"/>
            </w14:solidFill>
          </w14:textFill>
        </w:rPr>
        <w:t>西成矿业</w:t>
      </w:r>
      <w:r>
        <w:rPr>
          <w:rFonts w:hint="eastAsia"/>
          <w:color w:val="000000" w:themeColor="text1"/>
          <w:highlight w:val="none"/>
          <w:lang w:val="en-US" w:eastAsia="zh-CN"/>
          <w14:textFill>
            <w14:solidFill>
              <w14:schemeClr w14:val="tx1"/>
            </w14:solidFill>
          </w14:textFill>
        </w:rPr>
        <w:t>M1033铁矿</w:t>
      </w:r>
      <w:r>
        <w:rPr>
          <w:rFonts w:hint="eastAsia"/>
          <w:color w:val="000000" w:themeColor="text1"/>
          <w:highlight w:val="none"/>
          <w14:textFill>
            <w14:solidFill>
              <w14:schemeClr w14:val="tx1"/>
            </w14:solidFill>
          </w14:textFill>
        </w:rPr>
        <w:t>西</w:t>
      </w:r>
      <w:r>
        <w:rPr>
          <w:rFonts w:hint="eastAsia"/>
          <w:color w:val="000000" w:themeColor="text1"/>
          <w:highlight w:val="none"/>
          <w:lang w:eastAsia="zh-CN"/>
          <w14:textFill>
            <w14:solidFill>
              <w14:schemeClr w14:val="tx1"/>
            </w14:solidFill>
          </w14:textFill>
        </w:rPr>
        <w:t>侧</w:t>
      </w:r>
      <w:r>
        <w:rPr>
          <w:rFonts w:hint="eastAsia"/>
          <w:color w:val="000000" w:themeColor="text1"/>
          <w:highlight w:val="none"/>
          <w14:textFill>
            <w14:solidFill>
              <w14:schemeClr w14:val="tx1"/>
            </w14:solidFill>
          </w14:textFill>
        </w:rPr>
        <w:t>约</w:t>
      </w:r>
      <w:r>
        <w:rPr>
          <w:rFonts w:hint="eastAsia"/>
          <w:color w:val="000000" w:themeColor="text1"/>
          <w:highlight w:val="none"/>
          <w:lang w:val="en-US" w:eastAsia="zh-CN"/>
          <w14:textFill>
            <w14:solidFill>
              <w14:schemeClr w14:val="tx1"/>
            </w14:solidFill>
          </w14:textFill>
        </w:rPr>
        <w:t>700</w:t>
      </w:r>
      <w:r>
        <w:rPr>
          <w:rFonts w:hint="eastAsia"/>
          <w:color w:val="000000" w:themeColor="text1"/>
          <w:highlight w:val="none"/>
          <w14:textFill>
            <w14:solidFill>
              <w14:schemeClr w14:val="tx1"/>
            </w14:solidFill>
          </w14:textFill>
        </w:rPr>
        <w:t>m处，由破碎系统、选矿厂、尾矿库、生活区、配套的供水、排水、供电及道路等部分组成，以</w:t>
      </w:r>
      <w:r>
        <w:rPr>
          <w:rFonts w:hint="eastAsia"/>
          <w:color w:val="000000" w:themeColor="text1"/>
          <w:highlight w:val="none"/>
          <w:lang w:eastAsia="zh-CN"/>
          <w14:textFill>
            <w14:solidFill>
              <w14:schemeClr w14:val="tx1"/>
            </w14:solidFill>
          </w14:textFill>
        </w:rPr>
        <w:t>M1033铁矿</w:t>
      </w:r>
      <w:r>
        <w:rPr>
          <w:rFonts w:hint="eastAsia"/>
          <w:color w:val="000000" w:themeColor="text1"/>
          <w:highlight w:val="none"/>
          <w14:textFill>
            <w14:solidFill>
              <w14:schemeClr w14:val="tx1"/>
            </w14:solidFill>
          </w14:textFill>
        </w:rPr>
        <w:t>开采的矿石为主要原料，所处理的矿石为原生磁铁矿石，产品是铁精</w:t>
      </w:r>
      <w:r>
        <w:rPr>
          <w:rFonts w:hint="eastAsia"/>
          <w:color w:val="000000" w:themeColor="text1"/>
          <w:highlight w:val="none"/>
          <w:lang w:val="en-US" w:eastAsia="zh-CN"/>
          <w14:textFill>
            <w14:solidFill>
              <w14:schemeClr w14:val="tx1"/>
            </w14:solidFill>
          </w14:textFill>
        </w:rPr>
        <w:t>粉</w:t>
      </w:r>
      <w:r>
        <w:rPr>
          <w:rFonts w:hint="eastAsia"/>
          <w:color w:val="000000" w:themeColor="text1"/>
          <w:highlight w:val="none"/>
          <w14:textFill>
            <w14:solidFill>
              <w14:schemeClr w14:val="tx1"/>
            </w14:solidFill>
          </w14:textFill>
        </w:rPr>
        <w:t>，采用磨矿-磁</w:t>
      </w:r>
      <w:r>
        <w:rPr>
          <w:rFonts w:hint="eastAsia"/>
          <w:color w:val="000000" w:themeColor="text1"/>
          <w:highlight w:val="none"/>
          <w:lang w:eastAsia="zh-CN"/>
          <w14:textFill>
            <w14:solidFill>
              <w14:schemeClr w14:val="tx1"/>
            </w14:solidFill>
          </w14:textFill>
        </w:rPr>
        <w:t>选</w:t>
      </w:r>
      <w:r>
        <w:rPr>
          <w:rFonts w:hint="eastAsia"/>
          <w:color w:val="000000" w:themeColor="text1"/>
          <w:highlight w:val="none"/>
          <w14:textFill>
            <w14:solidFill>
              <w14:schemeClr w14:val="tx1"/>
            </w14:solidFill>
          </w14:textFill>
        </w:rPr>
        <w:t>-过滤工艺。</w:t>
      </w:r>
      <w:r>
        <w:rPr>
          <w:color w:val="000000" w:themeColor="text1"/>
          <w:highlight w:val="none"/>
          <w14:textFill>
            <w14:solidFill>
              <w14:schemeClr w14:val="tx1"/>
            </w14:solidFill>
          </w14:textFill>
        </w:rPr>
        <w:t>选矿工程</w:t>
      </w:r>
      <w:r>
        <w:rPr>
          <w:rFonts w:hint="eastAsia"/>
          <w:color w:val="000000" w:themeColor="text1"/>
          <w:highlight w:val="none"/>
          <w14:textFill>
            <w14:solidFill>
              <w14:schemeClr w14:val="tx1"/>
            </w14:solidFill>
          </w14:textFill>
        </w:rPr>
        <w:t>可处理原生磁铁矿石</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0万t/a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TFe品位：30%</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，可产铁精</w:t>
      </w:r>
      <w:r>
        <w:rPr>
          <w:rFonts w:hint="eastAsia"/>
          <w:color w:val="000000" w:themeColor="text1"/>
          <w:highlight w:val="none"/>
          <w:lang w:val="en-US" w:eastAsia="zh-CN"/>
          <w14:textFill>
            <w14:solidFill>
              <w14:schemeClr w14:val="tx1"/>
            </w14:solidFill>
          </w14:textFill>
        </w:rPr>
        <w:t>粉30</w:t>
      </w:r>
      <w:r>
        <w:rPr>
          <w:rFonts w:hint="eastAsia"/>
          <w:color w:val="000000" w:themeColor="text1"/>
          <w:highlight w:val="none"/>
          <w14:textFill>
            <w14:solidFill>
              <w14:schemeClr w14:val="tx1"/>
            </w14:solidFill>
          </w14:textFill>
        </w:rPr>
        <w:t>万t/a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TFe品位：63%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r>
        <w:rPr>
          <w:rStyle w:val="82"/>
          <w:rFonts w:hint="eastAsia" w:ascii="Times New Roman" w:hAnsi="Times New Roman" w:eastAsia="宋体" w:cs="Times New Roman"/>
          <w:color w:val="000000" w:themeColor="text1"/>
          <w14:textFill>
            <w14:solidFill>
              <w14:schemeClr w14:val="tx1"/>
            </w14:solidFill>
          </w14:textFill>
        </w:rPr>
        <w:t>现有选矿厂设有两</w:t>
      </w:r>
      <w:r>
        <w:rPr>
          <w:rStyle w:val="82"/>
          <w:rFonts w:hint="eastAsia" w:cs="Times New Roman"/>
          <w:color w:val="000000" w:themeColor="text1"/>
          <w:lang w:val="en-US"/>
          <w14:textFill>
            <w14:solidFill>
              <w14:schemeClr w14:val="tx1"/>
            </w14:solidFill>
          </w14:textFill>
        </w:rPr>
        <w:t>座</w:t>
      </w:r>
      <w:r>
        <w:rPr>
          <w:rStyle w:val="82"/>
          <w:rFonts w:hint="eastAsia" w:ascii="Times New Roman" w:hAnsi="Times New Roman" w:eastAsia="宋体" w:cs="Times New Roman"/>
          <w:color w:val="000000" w:themeColor="text1"/>
          <w14:textFill>
            <w14:solidFill>
              <w14:schemeClr w14:val="tx1"/>
            </w14:solidFill>
          </w14:textFill>
        </w:rPr>
        <w:t>尾矿库，位于选矿车间西侧，容积为8万m</w:t>
      </w:r>
      <w:r>
        <w:rPr>
          <w:rStyle w:val="82"/>
          <w:rFonts w:hint="eastAsia" w:ascii="Times New Roman" w:hAnsi="Times New Roman" w:eastAsia="宋体" w:cs="Times New Roman"/>
          <w:color w:val="000000" w:themeColor="text1"/>
          <w:vertAlign w:val="superscript"/>
          <w14:textFill>
            <w14:solidFill>
              <w14:schemeClr w14:val="tx1"/>
            </w14:solidFill>
          </w14:textFill>
        </w:rPr>
        <w:t>3</w:t>
      </w:r>
      <w:r>
        <w:rPr>
          <w:rStyle w:val="82"/>
          <w:rFonts w:hint="eastAsia" w:ascii="Times New Roman" w:hAnsi="Times New Roman" w:eastAsia="宋体" w:cs="Times New Roman"/>
          <w:color w:val="000000" w:themeColor="text1"/>
          <w14:textFill>
            <w14:solidFill>
              <w14:schemeClr w14:val="tx1"/>
            </w14:solidFill>
          </w14:textFill>
        </w:rPr>
        <w:t>的1号尾矿库修建于2004年，</w:t>
      </w:r>
      <w:r>
        <w:rPr>
          <w:rStyle w:val="82"/>
          <w:rFonts w:hint="eastAsia" w:cs="Times New Roman"/>
          <w:color w:val="000000" w:themeColor="text1"/>
          <w:lang w:val="en-US"/>
          <w14:textFill>
            <w14:solidFill>
              <w14:schemeClr w14:val="tx1"/>
            </w14:solidFill>
          </w14:textFill>
        </w:rPr>
        <w:t>尾矿堆积量约0.8</w:t>
      </w:r>
      <w:r>
        <w:rPr>
          <w:rStyle w:val="82"/>
          <w:rFonts w:hint="eastAsia" w:ascii="Times New Roman" w:hAnsi="Times New Roman" w:eastAsia="宋体" w:cs="Times New Roman"/>
          <w:color w:val="000000" w:themeColor="text1"/>
          <w14:textFill>
            <w14:solidFill>
              <w14:schemeClr w14:val="tx1"/>
            </w14:solidFill>
          </w14:textFill>
        </w:rPr>
        <w:t>万m</w:t>
      </w:r>
      <w:r>
        <w:rPr>
          <w:rStyle w:val="82"/>
          <w:rFonts w:hint="eastAsia" w:ascii="Times New Roman" w:hAnsi="Times New Roman" w:eastAsia="宋体" w:cs="Times New Roman"/>
          <w:color w:val="000000" w:themeColor="text1"/>
          <w:vertAlign w:val="superscript"/>
          <w14:textFill>
            <w14:solidFill>
              <w14:schemeClr w14:val="tx1"/>
            </w14:solidFill>
          </w14:textFill>
        </w:rPr>
        <w:t>3</w:t>
      </w:r>
      <w:r>
        <w:rPr>
          <w:rStyle w:val="82"/>
          <w:rFonts w:hint="eastAsia" w:ascii="Times New Roman" w:hAnsi="Times New Roman" w:eastAsia="宋体" w:cs="Times New Roman"/>
          <w:color w:val="000000" w:themeColor="text1"/>
          <w:vertAlign w:val="baseline"/>
          <w14:textFill>
            <w14:solidFill>
              <w14:schemeClr w14:val="tx1"/>
            </w14:solidFill>
          </w14:textFill>
        </w:rPr>
        <w:t>；</w:t>
      </w:r>
      <w:r>
        <w:rPr>
          <w:rStyle w:val="82"/>
          <w:rFonts w:hint="eastAsia" w:ascii="Times New Roman" w:hAnsi="Times New Roman" w:eastAsia="宋体" w:cs="Times New Roman"/>
          <w:color w:val="000000" w:themeColor="text1"/>
          <w14:textFill>
            <w14:solidFill>
              <w14:schemeClr w14:val="tx1"/>
            </w14:solidFill>
          </w14:textFill>
        </w:rPr>
        <w:t>容积为25万m</w:t>
      </w:r>
      <w:r>
        <w:rPr>
          <w:rStyle w:val="82"/>
          <w:rFonts w:hint="eastAsia" w:ascii="Times New Roman" w:hAnsi="Times New Roman" w:eastAsia="宋体" w:cs="Times New Roman"/>
          <w:color w:val="000000" w:themeColor="text1"/>
          <w:vertAlign w:val="superscript"/>
          <w14:textFill>
            <w14:solidFill>
              <w14:schemeClr w14:val="tx1"/>
            </w14:solidFill>
          </w14:textFill>
        </w:rPr>
        <w:t>3</w:t>
      </w:r>
      <w:r>
        <w:rPr>
          <w:rStyle w:val="82"/>
          <w:rFonts w:hint="eastAsia" w:ascii="Times New Roman" w:hAnsi="Times New Roman" w:eastAsia="宋体" w:cs="Times New Roman"/>
          <w:color w:val="000000" w:themeColor="text1"/>
          <w14:textFill>
            <w14:solidFill>
              <w14:schemeClr w14:val="tx1"/>
            </w14:solidFill>
          </w14:textFill>
        </w:rPr>
        <w:t>的2号尾矿库修建于2005年，</w:t>
      </w:r>
      <w:r>
        <w:rPr>
          <w:rStyle w:val="82"/>
          <w:rFonts w:hint="eastAsia" w:cs="Times New Roman"/>
          <w:color w:val="000000" w:themeColor="text1"/>
          <w:lang w:val="en-US"/>
          <w14:textFill>
            <w14:solidFill>
              <w14:schemeClr w14:val="tx1"/>
            </w14:solidFill>
          </w14:textFill>
        </w:rPr>
        <w:t>二者相邻，尾矿堆积量约3万m</w:t>
      </w:r>
      <w:r>
        <w:rPr>
          <w:rStyle w:val="82"/>
          <w:rFonts w:hint="eastAsia" w:cs="Times New Roman"/>
          <w:color w:val="000000" w:themeColor="text1"/>
          <w:vertAlign w:val="superscript"/>
          <w:lang w:val="en-US"/>
          <w14:textFill>
            <w14:solidFill>
              <w14:schemeClr w14:val="tx1"/>
            </w14:solidFill>
          </w14:textFill>
        </w:rPr>
        <w:t>3</w:t>
      </w:r>
      <w:r>
        <w:rPr>
          <w:rStyle w:val="82"/>
          <w:rFonts w:hint="eastAsia" w:cs="Times New Roman"/>
          <w:color w:val="000000" w:themeColor="text1"/>
          <w:lang w:val="en-US"/>
          <w14:textFill>
            <w14:solidFill>
              <w14:schemeClr w14:val="tx1"/>
            </w14:solidFill>
          </w14:textFill>
        </w:rPr>
        <w:t>。现有两座尾矿库均未采取防渗措施，不符合现行尾矿库设计规范及现行环保要求，故</w:t>
      </w:r>
      <w:r>
        <w:rPr>
          <w:rFonts w:hint="eastAsia" w:eastAsia="宋体"/>
          <w:color w:val="000000" w:themeColor="text1"/>
          <w:highlight w:val="none"/>
          <w14:textFill>
            <w14:solidFill>
              <w14:schemeClr w14:val="tx1"/>
            </w14:solidFill>
          </w14:textFill>
        </w:rPr>
        <w:t>需对</w:t>
      </w:r>
      <w:r>
        <w:rPr>
          <w:rFonts w:hint="eastAsia"/>
          <w:color w:val="000000" w:themeColor="text1"/>
          <w:highlight w:val="none"/>
          <w:lang w:val="en-US" w:eastAsia="zh-CN"/>
          <w14:textFill>
            <w14:solidFill>
              <w14:schemeClr w14:val="tx1"/>
            </w14:solidFill>
          </w14:textFill>
        </w:rPr>
        <w:t>现有</w:t>
      </w:r>
      <w:r>
        <w:rPr>
          <w:rFonts w:hint="eastAsia" w:eastAsia="宋体"/>
          <w:color w:val="000000" w:themeColor="text1"/>
          <w:highlight w:val="none"/>
          <w14:textFill>
            <w14:solidFill>
              <w14:schemeClr w14:val="tx1"/>
            </w14:solidFill>
          </w14:textFill>
        </w:rPr>
        <w:t>尾矿库进行闭库</w:t>
      </w:r>
      <w:r>
        <w:rPr>
          <w:rFonts w:hint="eastAsia"/>
          <w:color w:val="000000" w:themeColor="text1"/>
          <w:highlight w:val="none"/>
          <w:lang w:val="en-US" w:eastAsia="zh-CN"/>
          <w14:textFill>
            <w14:solidFill>
              <w14:schemeClr w14:val="tx1"/>
            </w14:solidFill>
          </w14:textFill>
        </w:rPr>
        <w:t>处理。</w:t>
      </w:r>
    </w:p>
    <w:p w14:paraId="6AB4C9EC">
      <w:pPr>
        <w:overflowPunct w:val="0"/>
        <w:topLinePunct/>
        <w:ind w:firstLine="480"/>
        <w:rPr>
          <w:rFonts w:hint="default"/>
          <w:color w:val="000000" w:themeColor="text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2008年至2012年，选矿厂处于停产状态。2013年至2014年，选矿厂</w:t>
      </w:r>
      <w:r>
        <w:rPr>
          <w:rFonts w:hint="eastAsia" w:cs="Times New Roman"/>
          <w:color w:val="000000" w:themeColor="text1"/>
          <w:highlight w:val="none"/>
          <w:lang w:val="en-US" w:eastAsia="zh-CN"/>
          <w14:textFill>
            <w14:solidFill>
              <w14:schemeClr w14:val="tx1"/>
            </w14:solidFill>
          </w14:textFill>
        </w:rPr>
        <w:t>试生产，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共处理矿石量53.75万吨。2015年至今，</w:t>
      </w:r>
      <w:r>
        <w:rPr>
          <w:rFonts w:hint="eastAsia"/>
          <w:color w:val="000000" w:themeColor="text1"/>
          <w:highlight w:val="none"/>
          <w:lang w:val="en-US" w:eastAsia="zh-CN"/>
          <w14:textFill>
            <w14:solidFill>
              <w14:schemeClr w14:val="tx1"/>
            </w14:solidFill>
          </w14:textFill>
        </w:rPr>
        <w:t>由于市场原因，</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矿山未安排生产任务，故选矿厂</w:t>
      </w:r>
      <w:r>
        <w:rPr>
          <w:rFonts w:hint="eastAsia" w:cs="Times New Roman"/>
          <w:color w:val="000000" w:themeColor="text1"/>
          <w:highlight w:val="none"/>
          <w:lang w:val="en-US" w:eastAsia="zh-CN"/>
          <w14:textFill>
            <w14:solidFill>
              <w14:schemeClr w14:val="tx1"/>
            </w14:solidFill>
          </w14:textFill>
        </w:rPr>
        <w:t>长期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处于停产状态，</w:t>
      </w:r>
      <w:r>
        <w:rPr>
          <w:rFonts w:hint="eastAsia" w:cs="Times New Roman"/>
          <w:color w:val="000000" w:themeColor="text1"/>
          <w:highlight w:val="none"/>
          <w:lang w:val="en-US" w:eastAsia="zh-CN"/>
          <w14:textFill>
            <w14:solidFill>
              <w14:schemeClr w14:val="tx1"/>
            </w14:solidFill>
          </w14:textFill>
        </w:rPr>
        <w:t>现已设备老旧，</w:t>
      </w:r>
      <w:r>
        <w:rPr>
          <w:rFonts w:hint="eastAsia"/>
          <w:color w:val="000000" w:themeColor="text1"/>
          <w:highlight w:val="none"/>
          <w:lang w:val="en-US" w:eastAsia="zh-CN"/>
          <w14:textFill>
            <w14:solidFill>
              <w14:schemeClr w14:val="tx1"/>
            </w14:solidFill>
          </w14:textFill>
        </w:rPr>
        <w:t>不具备竣工环保验收条件。</w:t>
      </w:r>
    </w:p>
    <w:p w14:paraId="095B32C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哈密市西成矿业有限责任公司</w:t>
      </w:r>
      <w:r>
        <w:rPr>
          <w:color w:val="000000" w:themeColor="text1"/>
          <w:highlight w:val="none"/>
          <w14:textFill>
            <w14:solidFill>
              <w14:schemeClr w14:val="tx1"/>
            </w14:solidFill>
          </w14:textFill>
        </w:rPr>
        <w:t>按照企业发展规划拟实施</w:t>
      </w:r>
      <w:r>
        <w:rPr>
          <w:rFonts w:hint="eastAsia"/>
          <w:color w:val="000000" w:themeColor="text1"/>
          <w:highlight w:val="none"/>
          <w:lang w:eastAsia="zh-CN"/>
          <w14:textFill>
            <w14:solidFill>
              <w14:schemeClr w14:val="tx1"/>
            </w14:solidFill>
          </w14:textFill>
        </w:rPr>
        <w:t>哈密市西成矿业有限责任公司年产30万吨铁精粉建设项目（重大变动），</w:t>
      </w:r>
      <w:r>
        <w:rPr>
          <w:rFonts w:hint="eastAsia"/>
          <w:color w:val="000000" w:themeColor="text1"/>
          <w:highlight w:val="none"/>
          <w:lang w:val="en-US" w:eastAsia="zh-CN"/>
          <w14:textFill>
            <w14:solidFill>
              <w14:schemeClr w14:val="tx1"/>
            </w14:solidFill>
          </w14:textFill>
        </w:rPr>
        <w:t>对选矿厂进行改造，优化工艺并更新设备，新建符合现行环保要求的尾矿库，</w:t>
      </w:r>
      <w:r>
        <w:rPr>
          <w:rFonts w:hint="eastAsia"/>
          <w:bCs/>
          <w:color w:val="000000" w:themeColor="text1"/>
          <w:kern w:val="0"/>
          <w:highlight w:val="none"/>
          <w14:textFill>
            <w14:solidFill>
              <w14:schemeClr w14:val="tx1"/>
            </w14:solidFill>
          </w14:textFill>
        </w:rPr>
        <w:t>推进产能提升</w:t>
      </w:r>
      <w:r>
        <w:rPr>
          <w:rFonts w:hint="eastAsia"/>
          <w:bCs/>
          <w:color w:val="000000" w:themeColor="text1"/>
          <w:kern w:val="0"/>
          <w:highlight w:val="none"/>
          <w:lang w:eastAsia="zh-CN"/>
          <w14:textFill>
            <w14:solidFill>
              <w14:schemeClr w14:val="tx1"/>
            </w14:solidFill>
          </w14:textFill>
        </w:rPr>
        <w:t>、成本优化</w:t>
      </w:r>
      <w:r>
        <w:rPr>
          <w:rFonts w:hint="eastAsia"/>
          <w:bCs/>
          <w:color w:val="000000" w:themeColor="text1"/>
          <w:kern w:val="0"/>
          <w:highlight w:val="none"/>
          <w14:textFill>
            <w14:solidFill>
              <w14:schemeClr w14:val="tx1"/>
            </w14:solidFill>
          </w14:textFill>
        </w:rPr>
        <w:t>、绿色化升级改造</w:t>
      </w:r>
      <w:r>
        <w:rPr>
          <w:bCs/>
          <w:color w:val="000000" w:themeColor="text1"/>
          <w:kern w:val="0"/>
          <w:highlight w:val="none"/>
          <w14:textFill>
            <w14:solidFill>
              <w14:schemeClr w14:val="tx1"/>
            </w14:solidFill>
          </w14:textFill>
        </w:rPr>
        <w:t>，</w:t>
      </w:r>
      <w:r>
        <w:rPr>
          <w:rFonts w:hint="eastAsia"/>
          <w:bCs/>
          <w:color w:val="000000" w:themeColor="text1"/>
          <w:kern w:val="0"/>
          <w:highlight w:val="none"/>
          <w14:textFill>
            <w14:solidFill>
              <w14:schemeClr w14:val="tx1"/>
            </w14:solidFill>
          </w14:textFill>
        </w:rPr>
        <w:t>实现健康、稳步、绿色化发展。</w:t>
      </w:r>
      <w:r>
        <w:rPr>
          <w:rFonts w:hint="eastAsia"/>
          <w:color w:val="000000" w:themeColor="text1"/>
          <w:highlight w:val="none"/>
          <w14:textFill>
            <w14:solidFill>
              <w14:schemeClr w14:val="tx1"/>
            </w14:solidFill>
          </w14:textFill>
        </w:rPr>
        <w:t>本次评价范围仅为</w:t>
      </w:r>
      <w:r>
        <w:rPr>
          <w:rFonts w:hint="eastAsia"/>
          <w:color w:val="000000" w:themeColor="text1"/>
          <w:highlight w:val="none"/>
          <w:lang w:eastAsia="zh-CN"/>
          <w14:textFill>
            <w14:solidFill>
              <w14:schemeClr w14:val="tx1"/>
            </w14:solidFill>
          </w14:textFill>
        </w:rPr>
        <w:t>哈密市西成矿业有限责任公司年产30万吨铁精粉建设项目（重大变动）</w:t>
      </w:r>
      <w:r>
        <w:rPr>
          <w:rFonts w:hint="eastAsia"/>
          <w:color w:val="000000" w:themeColor="text1"/>
          <w:highlight w:val="none"/>
          <w14:textFill>
            <w14:solidFill>
              <w14:schemeClr w14:val="tx1"/>
            </w14:solidFill>
          </w14:textFill>
        </w:rPr>
        <w:t>（以下简称：“本项目”）</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配套采矿工程另行办理环评手续</w:t>
      </w:r>
      <w:r>
        <w:rPr>
          <w:rFonts w:hint="eastAsia"/>
          <w:color w:val="000000" w:themeColor="text1"/>
          <w:highlight w:val="none"/>
          <w14:textFill>
            <w14:solidFill>
              <w14:schemeClr w14:val="tx1"/>
            </w14:solidFill>
          </w14:textFill>
        </w:rPr>
        <w:t>。</w:t>
      </w:r>
    </w:p>
    <w:p w14:paraId="66CC35D1">
      <w:pPr>
        <w:pStyle w:val="4"/>
        <w:rPr>
          <w:color w:val="000000" w:themeColor="text1"/>
          <w:highlight w:val="none"/>
          <w14:textFill>
            <w14:solidFill>
              <w14:schemeClr w14:val="tx1"/>
            </w14:solidFill>
          </w14:textFill>
        </w:rPr>
      </w:pPr>
      <w:bookmarkStart w:id="24" w:name="_Toc1695"/>
      <w:bookmarkStart w:id="25" w:name="_Toc13806"/>
      <w:bookmarkStart w:id="26" w:name="_Toc28947"/>
      <w:r>
        <w:rPr>
          <w:rFonts w:hint="eastAsia"/>
          <w:color w:val="000000" w:themeColor="text1"/>
          <w:highlight w:val="none"/>
          <w14:textFill>
            <w14:solidFill>
              <w14:schemeClr w14:val="tx1"/>
            </w14:solidFill>
          </w14:textFill>
        </w:rPr>
        <w:t>1.1.2建设项目特点</w:t>
      </w:r>
      <w:bookmarkEnd w:id="24"/>
      <w:bookmarkEnd w:id="25"/>
      <w:bookmarkEnd w:id="26"/>
    </w:p>
    <w:p w14:paraId="46EAA0D6">
      <w:pPr>
        <w:pStyle w:val="41"/>
        <w:overflowPunct w:val="0"/>
        <w:topLinePunct/>
        <w:snapToGrid w:val="0"/>
        <w:spacing w:line="480" w:lineRule="exact"/>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本项目为</w:t>
      </w:r>
      <w:r>
        <w:rPr>
          <w:rFonts w:hint="eastAsia" w:cs="Times New Roman"/>
          <w:color w:val="000000" w:themeColor="text1"/>
          <w:szCs w:val="24"/>
          <w:highlight w:val="none"/>
          <w:lang w:eastAsia="zh-CN"/>
          <w14:textFill>
            <w14:solidFill>
              <w14:schemeClr w14:val="tx1"/>
            </w14:solidFill>
          </w14:textFill>
        </w:rPr>
        <w:t>改</w:t>
      </w:r>
      <w:r>
        <w:rPr>
          <w:rFonts w:hint="eastAsia" w:cs="Times New Roman"/>
          <w:color w:val="000000" w:themeColor="text1"/>
          <w:szCs w:val="24"/>
          <w:highlight w:val="none"/>
          <w14:textFill>
            <w14:solidFill>
              <w14:schemeClr w14:val="tx1"/>
            </w14:solidFill>
          </w14:textFill>
        </w:rPr>
        <w:t>建项目，</w:t>
      </w:r>
      <w:r>
        <w:rPr>
          <w:rFonts w:hint="eastAsia" w:cs="Times New Roman"/>
          <w:color w:val="000000" w:themeColor="text1"/>
          <w:szCs w:val="24"/>
          <w:highlight w:val="none"/>
          <w:lang w:eastAsia="zh-CN"/>
          <w14:textFill>
            <w14:solidFill>
              <w14:schemeClr w14:val="tx1"/>
            </w14:solidFill>
          </w14:textFill>
        </w:rPr>
        <w:t>改</w:t>
      </w:r>
      <w:r>
        <w:rPr>
          <w:rFonts w:hint="eastAsia" w:cs="Times New Roman"/>
          <w:color w:val="000000" w:themeColor="text1"/>
          <w:szCs w:val="24"/>
          <w:highlight w:val="none"/>
          <w14:textFill>
            <w14:solidFill>
              <w14:schemeClr w14:val="tx1"/>
            </w14:solidFill>
          </w14:textFill>
        </w:rPr>
        <w:t>建后</w:t>
      </w:r>
      <w:r>
        <w:rPr>
          <w:rFonts w:hint="eastAsia" w:cs="Times New Roman"/>
          <w:color w:val="000000" w:themeColor="text1"/>
          <w:szCs w:val="24"/>
          <w:highlight w:val="none"/>
          <w:lang w:eastAsia="zh-CN"/>
          <w14:textFill>
            <w14:solidFill>
              <w14:schemeClr w14:val="tx1"/>
            </w14:solidFill>
          </w14:textFill>
        </w:rPr>
        <w:t>工艺</w:t>
      </w:r>
      <w:r>
        <w:rPr>
          <w:rFonts w:hint="eastAsia" w:cs="Times New Roman"/>
          <w:color w:val="000000" w:themeColor="text1"/>
          <w:szCs w:val="24"/>
          <w:highlight w:val="none"/>
          <w:lang w:val="en-US" w:eastAsia="zh-CN"/>
          <w14:textFill>
            <w14:solidFill>
              <w14:schemeClr w14:val="tx1"/>
            </w14:solidFill>
          </w14:textFill>
        </w:rPr>
        <w:t>选矿</w:t>
      </w:r>
      <w:r>
        <w:rPr>
          <w:rFonts w:hint="eastAsia" w:cs="Times New Roman"/>
          <w:color w:val="000000" w:themeColor="text1"/>
          <w:szCs w:val="24"/>
          <w:highlight w:val="none"/>
          <w:lang w:eastAsia="zh-CN"/>
          <w14:textFill>
            <w14:solidFill>
              <w14:schemeClr w14:val="tx1"/>
            </w14:solidFill>
          </w14:textFill>
        </w:rPr>
        <w:t>优化，</w:t>
      </w:r>
      <w:r>
        <w:rPr>
          <w:rFonts w:hint="eastAsia" w:cs="Times New Roman"/>
          <w:color w:val="000000" w:themeColor="text1"/>
          <w:szCs w:val="24"/>
          <w:highlight w:val="none"/>
          <w:lang w:val="en-US" w:eastAsia="zh-CN"/>
          <w14:textFill>
            <w14:solidFill>
              <w14:schemeClr w14:val="tx1"/>
            </w14:solidFill>
          </w14:textFill>
        </w:rPr>
        <w:t>新建尾矿库。</w:t>
      </w:r>
      <w:r>
        <w:rPr>
          <w:rFonts w:hint="eastAsia" w:cs="Times New Roman"/>
          <w:color w:val="000000" w:themeColor="text1"/>
          <w:szCs w:val="24"/>
          <w:highlight w:val="none"/>
          <w14:textFill>
            <w14:solidFill>
              <w14:schemeClr w14:val="tx1"/>
            </w14:solidFill>
          </w14:textFill>
        </w:rPr>
        <w:t>年处理</w:t>
      </w:r>
      <w:r>
        <w:rPr>
          <w:rFonts w:hint="eastAsia" w:cs="Times New Roman"/>
          <w:color w:val="000000" w:themeColor="text1"/>
          <w:szCs w:val="24"/>
          <w:highlight w:val="none"/>
          <w:lang w:val="en-US" w:eastAsia="zh-CN"/>
          <w14:textFill>
            <w14:solidFill>
              <w14:schemeClr w14:val="tx1"/>
            </w14:solidFill>
          </w14:textFill>
        </w:rPr>
        <w:t>规模不变，仍为处理</w:t>
      </w:r>
      <w:r>
        <w:rPr>
          <w:rFonts w:hint="eastAsia" w:cs="Times New Roman"/>
          <w:color w:val="000000" w:themeColor="text1"/>
          <w:szCs w:val="24"/>
          <w:highlight w:val="none"/>
          <w14:textFill>
            <w14:solidFill>
              <w14:schemeClr w14:val="tx1"/>
            </w14:solidFill>
          </w14:textFill>
        </w:rPr>
        <w:t>铁矿石</w:t>
      </w:r>
      <w:r>
        <w:rPr>
          <w:rFonts w:hint="eastAsia" w:cs="Times New Roman"/>
          <w:color w:val="000000" w:themeColor="text1"/>
          <w:highlight w:val="none"/>
          <w:lang w:val="en-US" w:eastAsia="zh-CN"/>
          <w14:textFill>
            <w14:solidFill>
              <w14:schemeClr w14:val="tx1"/>
            </w14:solidFill>
          </w14:textFill>
        </w:rPr>
        <w:t>90</w:t>
      </w:r>
      <w:r>
        <w:rPr>
          <w:rFonts w:hint="eastAsia" w:cs="Times New Roman"/>
          <w:color w:val="000000" w:themeColor="text1"/>
          <w:highlight w:val="none"/>
          <w14:textFill>
            <w14:solidFill>
              <w14:schemeClr w14:val="tx1"/>
            </w14:solidFill>
          </w14:textFill>
        </w:rPr>
        <w:t>万t</w:t>
      </w:r>
      <w:r>
        <w:rPr>
          <w:rFonts w:hint="eastAsia" w:cs="Times New Roman"/>
          <w:color w:val="000000" w:themeColor="text1"/>
          <w:highlight w:val="none"/>
          <w:lang w:val="en-US" w:eastAsia="zh-CN"/>
          <w14:textFill>
            <w14:solidFill>
              <w14:schemeClr w14:val="tx1"/>
            </w14:solidFill>
          </w14:textFill>
        </w:rPr>
        <w:t>/a</w:t>
      </w:r>
      <w:r>
        <w:rPr>
          <w:rFonts w:hint="eastAsia" w:cs="Times New Roman"/>
          <w:color w:val="000000" w:themeColor="text1"/>
          <w:szCs w:val="24"/>
          <w:highlight w:val="none"/>
          <w14:textFill>
            <w14:solidFill>
              <w14:schemeClr w14:val="tx1"/>
            </w14:solidFill>
          </w14:textFill>
        </w:rPr>
        <w:t>。本项目建设内容包括</w:t>
      </w:r>
      <w:r>
        <w:rPr>
          <w:rFonts w:hint="eastAsia" w:cs="Times New Roman"/>
          <w:color w:val="000000" w:themeColor="text1"/>
          <w:szCs w:val="24"/>
          <w:highlight w:val="none"/>
          <w:lang w:val="en-US" w:eastAsia="zh-CN"/>
          <w14:textFill>
            <w14:solidFill>
              <w14:schemeClr w14:val="tx1"/>
            </w14:solidFill>
          </w14:textFill>
        </w:rPr>
        <w:t>新增高压辊磨系统，新增旋流器，对原有厂房进行修缮，新建部分厂房及配套尾矿库，</w:t>
      </w:r>
      <w:r>
        <w:rPr>
          <w:rFonts w:hint="eastAsia"/>
          <w:color w:val="000000" w:themeColor="text1"/>
          <w:szCs w:val="28"/>
          <w:highlight w:val="none"/>
          <w14:textFill>
            <w14:solidFill>
              <w14:schemeClr w14:val="tx1"/>
            </w14:solidFill>
          </w14:textFill>
        </w:rPr>
        <w:t>在充分利用现有设施的基础上</w:t>
      </w:r>
      <w:r>
        <w:rPr>
          <w:rFonts w:hint="eastAsia" w:cs="Times New Roman"/>
          <w:color w:val="000000" w:themeColor="text1"/>
          <w:highlight w:val="none"/>
          <w14:textFill>
            <w14:solidFill>
              <w14:schemeClr w14:val="tx1"/>
            </w14:solidFill>
          </w14:textFill>
        </w:rPr>
        <w:t>配套建设给水、排水、供热、供电、道路及环保设施等。</w:t>
      </w:r>
      <w:r>
        <w:rPr>
          <w:rFonts w:cs="Times New Roman"/>
          <w:color w:val="000000" w:themeColor="text1"/>
          <w:szCs w:val="28"/>
          <w:highlight w:val="none"/>
          <w14:textFill>
            <w14:solidFill>
              <w14:schemeClr w14:val="tx1"/>
            </w14:solidFill>
          </w14:textFill>
        </w:rPr>
        <w:t>产品方案为</w:t>
      </w:r>
      <w:r>
        <w:rPr>
          <w:rFonts w:hint="eastAsia" w:cs="Times New Roman"/>
          <w:color w:val="000000" w:themeColor="text1"/>
          <w:szCs w:val="28"/>
          <w:highlight w:val="none"/>
          <w:lang w:eastAsia="zh-CN"/>
          <w14:textFill>
            <w14:solidFill>
              <w14:schemeClr w14:val="tx1"/>
            </w14:solidFill>
          </w14:textFill>
        </w:rPr>
        <w:t>铁精粉，</w:t>
      </w:r>
      <w:r>
        <w:rPr>
          <w:rFonts w:hint="eastAsia" w:cs="Times New Roman"/>
          <w:color w:val="000000" w:themeColor="text1"/>
          <w:szCs w:val="28"/>
          <w:highlight w:val="none"/>
          <w:lang w:val="en-US" w:eastAsia="zh-CN"/>
          <w14:textFill>
            <w14:solidFill>
              <w14:schemeClr w14:val="tx1"/>
            </w14:solidFill>
          </w14:textFill>
        </w:rPr>
        <w:t>可产</w:t>
      </w:r>
      <w:r>
        <w:rPr>
          <w:rFonts w:hint="eastAsia" w:cs="Times New Roman"/>
          <w:color w:val="000000" w:themeColor="text1"/>
          <w:szCs w:val="28"/>
          <w:highlight w:val="none"/>
          <w:lang w:eastAsia="zh-CN"/>
          <w14:textFill>
            <w14:solidFill>
              <w14:schemeClr w14:val="tx1"/>
            </w14:solidFill>
          </w14:textFill>
        </w:rPr>
        <w:t>铁精粉</w:t>
      </w:r>
      <w:r>
        <w:rPr>
          <w:rFonts w:hint="eastAsia" w:cs="Times New Roman"/>
          <w:color w:val="000000" w:themeColor="text1"/>
          <w:szCs w:val="28"/>
          <w:highlight w:val="none"/>
          <w:lang w:val="en-US" w:eastAsia="zh-CN"/>
          <w14:textFill>
            <w14:solidFill>
              <w14:schemeClr w14:val="tx1"/>
            </w14:solidFill>
          </w14:textFill>
        </w:rPr>
        <w:t>30</w:t>
      </w:r>
      <w:r>
        <w:rPr>
          <w:rFonts w:hint="eastAsia" w:cs="Times New Roman"/>
          <w:color w:val="000000" w:themeColor="text1"/>
          <w:szCs w:val="28"/>
          <w:highlight w:val="none"/>
          <w14:textFill>
            <w14:solidFill>
              <w14:schemeClr w14:val="tx1"/>
            </w14:solidFill>
          </w14:textFill>
        </w:rPr>
        <w:t>万t/a、铁品位</w:t>
      </w:r>
      <w:r>
        <w:rPr>
          <w:rFonts w:hint="eastAsia" w:cs="Times New Roman"/>
          <w:color w:val="000000" w:themeColor="text1"/>
          <w:szCs w:val="28"/>
          <w:highlight w:val="none"/>
          <w:lang w:val="en-US" w:eastAsia="zh-CN"/>
          <w14:textFill>
            <w14:solidFill>
              <w14:schemeClr w14:val="tx1"/>
            </w14:solidFill>
          </w14:textFill>
        </w:rPr>
        <w:t>63.53</w:t>
      </w:r>
      <w:r>
        <w:rPr>
          <w:rFonts w:hint="eastAsia" w:cs="Times New Roman"/>
          <w:color w:val="000000" w:themeColor="text1"/>
          <w:szCs w:val="28"/>
          <w:highlight w:val="none"/>
          <w14:textFill>
            <w14:solidFill>
              <w14:schemeClr w14:val="tx1"/>
            </w14:solidFill>
          </w14:textFill>
        </w:rPr>
        <w:t>%。</w:t>
      </w:r>
    </w:p>
    <w:p w14:paraId="46D09D3C">
      <w:pPr>
        <w:overflowPunct w:val="0"/>
        <w:topLinePunct/>
        <w:snapToGri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本项目具有以下特点：</w:t>
      </w:r>
    </w:p>
    <w:p w14:paraId="0814E21C">
      <w:pPr>
        <w:pStyle w:val="41"/>
        <w:overflowPunct w:val="0"/>
        <w:topLinePunct/>
        <w:snapToGrid w:val="0"/>
        <w:spacing w:line="480" w:lineRule="exact"/>
        <w:ind w:firstLine="480"/>
        <w:rPr>
          <w:rFonts w:hint="default" w:eastAsia="宋体" w:cs="Times New Roman"/>
          <w:b w:val="0"/>
          <w:bCs/>
          <w:color w:val="000000" w:themeColor="text1"/>
          <w:highlight w:val="none"/>
          <w:lang w:val="en-US" w:eastAsia="zh-CN"/>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（1）本项目选矿</w:t>
      </w:r>
      <w:r>
        <w:rPr>
          <w:rFonts w:hint="eastAsia" w:cs="Times New Roman"/>
          <w:color w:val="000000" w:themeColor="text1"/>
          <w:szCs w:val="24"/>
          <w:highlight w:val="none"/>
          <w:lang w:eastAsia="zh-CN"/>
          <w14:textFill>
            <w14:solidFill>
              <w14:schemeClr w14:val="tx1"/>
            </w14:solidFill>
          </w14:textFill>
        </w:rPr>
        <w:t>现有</w:t>
      </w:r>
      <w:r>
        <w:rPr>
          <w:rFonts w:hint="eastAsia" w:cs="Times New Roman"/>
          <w:color w:val="000000" w:themeColor="text1"/>
          <w:szCs w:val="24"/>
          <w:highlight w:val="none"/>
          <w14:textFill>
            <w14:solidFill>
              <w14:schemeClr w14:val="tx1"/>
            </w14:solidFill>
          </w14:textFill>
        </w:rPr>
        <w:t>处理工艺流程主要包括</w:t>
      </w:r>
      <w:r>
        <w:rPr>
          <w:rFonts w:hint="eastAsia" w:cs="Times New Roman"/>
          <w:color w:val="000000" w:themeColor="text1"/>
          <w:szCs w:val="24"/>
          <w:highlight w:val="none"/>
          <w:lang w:eastAsia="zh-CN"/>
          <w14:textFill>
            <w14:solidFill>
              <w14:schemeClr w14:val="tx1"/>
            </w14:solidFill>
          </w14:textFill>
        </w:rPr>
        <w:t>破碎</w:t>
      </w:r>
      <w:r>
        <w:rPr>
          <w:rFonts w:hint="eastAsia" w:cs="Times New Roman"/>
          <w:color w:val="000000" w:themeColor="text1"/>
          <w:szCs w:val="24"/>
          <w:highlight w:val="none"/>
          <w14:textFill>
            <w14:solidFill>
              <w14:schemeClr w14:val="tx1"/>
            </w14:solidFill>
          </w14:textFill>
        </w:rPr>
        <w:t>工艺和磨矿选别工艺。</w:t>
      </w:r>
      <w:r>
        <w:rPr>
          <w:rFonts w:hint="eastAsia" w:cs="Times New Roman"/>
          <w:color w:val="000000" w:themeColor="text1"/>
          <w:szCs w:val="24"/>
          <w:highlight w:val="none"/>
          <w:lang w:eastAsia="zh-CN"/>
          <w14:textFill>
            <w14:solidFill>
              <w14:schemeClr w14:val="tx1"/>
            </w14:solidFill>
          </w14:textFill>
        </w:rPr>
        <w:t>破碎</w:t>
      </w:r>
      <w:r>
        <w:rPr>
          <w:rFonts w:hint="eastAsia" w:cs="Times New Roman"/>
          <w:color w:val="000000" w:themeColor="text1"/>
          <w:szCs w:val="24"/>
          <w:highlight w:val="none"/>
          <w14:textFill>
            <w14:solidFill>
              <w14:schemeClr w14:val="tx1"/>
            </w14:solidFill>
          </w14:textFill>
        </w:rPr>
        <w:t>工艺流程为“粗碎-</w:t>
      </w:r>
      <w:r>
        <w:rPr>
          <w:rFonts w:hint="eastAsia" w:cs="Times New Roman"/>
          <w:color w:val="000000" w:themeColor="text1"/>
          <w:szCs w:val="24"/>
          <w:highlight w:val="none"/>
          <w:lang w:eastAsia="zh-CN"/>
          <w14:textFill>
            <w14:solidFill>
              <w14:schemeClr w14:val="tx1"/>
            </w14:solidFill>
          </w14:textFill>
        </w:rPr>
        <w:t>筛分</w:t>
      </w:r>
      <w:r>
        <w:rPr>
          <w:rFonts w:hint="eastAsia" w:cs="Times New Roman"/>
          <w:color w:val="000000" w:themeColor="text1"/>
          <w:szCs w:val="24"/>
          <w:highlight w:val="none"/>
          <w:lang w:val="en-US" w:eastAsia="zh-CN"/>
          <w14:textFill>
            <w14:solidFill>
              <w14:schemeClr w14:val="tx1"/>
            </w14:solidFill>
          </w14:textFill>
        </w:rPr>
        <w:t>-中碎</w:t>
      </w:r>
      <w:r>
        <w:rPr>
          <w:rFonts w:hint="eastAsia"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eastAsia="zh-CN"/>
          <w14:textFill>
            <w14:solidFill>
              <w14:schemeClr w14:val="tx1"/>
            </w14:solidFill>
          </w14:textFill>
        </w:rPr>
        <w:t>细</w:t>
      </w:r>
      <w:r>
        <w:rPr>
          <w:rFonts w:hint="eastAsia" w:cs="Times New Roman"/>
          <w:color w:val="000000" w:themeColor="text1"/>
          <w:szCs w:val="24"/>
          <w:highlight w:val="none"/>
          <w14:textFill>
            <w14:solidFill>
              <w14:schemeClr w14:val="tx1"/>
            </w14:solidFill>
          </w14:textFill>
        </w:rPr>
        <w:t>碎”，磨矿选别工艺流程为“</w:t>
      </w:r>
      <w:r>
        <w:rPr>
          <w:rFonts w:hint="eastAsia" w:cs="Times New Roman"/>
          <w:color w:val="000000" w:themeColor="text1"/>
          <w:szCs w:val="24"/>
          <w:highlight w:val="none"/>
          <w:lang w:eastAsia="zh-CN"/>
          <w14:textFill>
            <w14:solidFill>
              <w14:schemeClr w14:val="tx1"/>
            </w14:solidFill>
          </w14:textFill>
        </w:rPr>
        <w:t>球磨</w:t>
      </w:r>
      <w:r>
        <w:rPr>
          <w:rFonts w:hint="eastAsia" w:cs="Times New Roman"/>
          <w:color w:val="000000" w:themeColor="text1"/>
          <w:szCs w:val="24"/>
          <w:highlight w:val="none"/>
          <w:lang w:val="en-US" w:eastAsia="zh-CN"/>
          <w14:textFill>
            <w14:solidFill>
              <w14:schemeClr w14:val="tx1"/>
            </w14:solidFill>
          </w14:textFill>
        </w:rPr>
        <w:t>-</w:t>
      </w:r>
      <w:r>
        <w:rPr>
          <w:rFonts w:hint="eastAsia" w:cs="Times New Roman"/>
          <w:color w:val="000000" w:themeColor="text1"/>
          <w:szCs w:val="24"/>
          <w:highlight w:val="none"/>
          <w:lang w:eastAsia="zh-CN"/>
          <w14:textFill>
            <w14:solidFill>
              <w14:schemeClr w14:val="tx1"/>
            </w14:solidFill>
          </w14:textFill>
        </w:rPr>
        <w:t>分级</w:t>
      </w:r>
      <w:r>
        <w:rPr>
          <w:rFonts w:hint="eastAsia"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eastAsia="zh-CN"/>
          <w14:textFill>
            <w14:solidFill>
              <w14:schemeClr w14:val="tx1"/>
            </w14:solidFill>
          </w14:textFill>
        </w:rPr>
        <w:t>磁选</w:t>
      </w:r>
      <w:r>
        <w:rPr>
          <w:rFonts w:hint="eastAsia" w:cs="Times New Roman"/>
          <w:color w:val="000000" w:themeColor="text1"/>
          <w:szCs w:val="24"/>
          <w:highlight w:val="none"/>
          <w14:textFill>
            <w14:solidFill>
              <w14:schemeClr w14:val="tx1"/>
            </w14:solidFill>
          </w14:textFill>
        </w:rPr>
        <w:t>”。</w:t>
      </w:r>
      <w:r>
        <w:rPr>
          <w:rFonts w:hint="eastAsia"/>
          <w:b w:val="0"/>
          <w:bCs/>
          <w:color w:val="000000" w:themeColor="text1"/>
          <w:highlight w:val="none"/>
          <w:lang w:eastAsia="zh-CN"/>
          <w14:textFill>
            <w14:solidFill>
              <w14:schemeClr w14:val="tx1"/>
            </w14:solidFill>
          </w14:textFill>
        </w:rPr>
        <w:t>新建干排车间，设置脱水设备。</w:t>
      </w:r>
      <w:r>
        <w:rPr>
          <w:rFonts w:hint="eastAsia" w:cs="Times New Roman"/>
          <w:color w:val="000000" w:themeColor="text1"/>
          <w:szCs w:val="24"/>
          <w:highlight w:val="none"/>
          <w14:textFill>
            <w14:solidFill>
              <w14:schemeClr w14:val="tx1"/>
            </w14:solidFill>
          </w14:textFill>
        </w:rPr>
        <w:t>本项目</w:t>
      </w:r>
      <w:r>
        <w:rPr>
          <w:rFonts w:hint="eastAsia" w:cs="Times New Roman"/>
          <w:color w:val="000000" w:themeColor="text1"/>
          <w:szCs w:val="24"/>
          <w:highlight w:val="none"/>
          <w:lang w:eastAsia="zh-CN"/>
          <w14:textFill>
            <w14:solidFill>
              <w14:schemeClr w14:val="tx1"/>
            </w14:solidFill>
          </w14:textFill>
        </w:rPr>
        <w:t>增加高压</w:t>
      </w:r>
      <w:r>
        <w:rPr>
          <w:rFonts w:hint="eastAsia" w:cs="Times New Roman"/>
          <w:color w:val="000000" w:themeColor="text1"/>
          <w:szCs w:val="24"/>
          <w:highlight w:val="none"/>
          <w:lang w:val="en-US" w:eastAsia="zh-CN"/>
          <w14:textFill>
            <w14:solidFill>
              <w14:schemeClr w14:val="tx1"/>
            </w14:solidFill>
          </w14:textFill>
        </w:rPr>
        <w:t>辊磨机，除保留两台球磨机外，其余选矿设备均更新，并对原有厂房进行修缮。</w:t>
      </w:r>
    </w:p>
    <w:p w14:paraId="3AD04A8E">
      <w:pPr>
        <w:pStyle w:val="41"/>
        <w:overflowPunct w:val="0"/>
        <w:topLinePunct/>
        <w:snapToGrid w:val="0"/>
        <w:spacing w:line="480" w:lineRule="exact"/>
        <w:ind w:firstLine="480"/>
        <w:rPr>
          <w:color w:val="000000" w:themeColor="text1"/>
          <w:szCs w:val="28"/>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2</w:t>
      </w:r>
      <w:r>
        <w:rPr>
          <w:rFonts w:hint="eastAsia"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eastAsia="zh-CN"/>
          <w14:textFill>
            <w14:solidFill>
              <w14:schemeClr w14:val="tx1"/>
            </w14:solidFill>
          </w14:textFill>
        </w:rPr>
        <w:t>现有选矿厂设有两个尾矿库，位于选矿车间西侧，容积为</w:t>
      </w:r>
      <w:r>
        <w:rPr>
          <w:rFonts w:hint="eastAsia" w:cs="Times New Roman"/>
          <w:color w:val="000000" w:themeColor="text1"/>
          <w:szCs w:val="24"/>
          <w:highlight w:val="none"/>
          <w:lang w:val="en-US" w:eastAsia="zh-CN"/>
          <w14:textFill>
            <w14:solidFill>
              <w14:schemeClr w14:val="tx1"/>
            </w14:solidFill>
          </w14:textFill>
        </w:rPr>
        <w:t>8万m</w:t>
      </w:r>
      <w:r>
        <w:rPr>
          <w:rFonts w:hint="eastAsia" w:cs="Times New Roman"/>
          <w:color w:val="000000" w:themeColor="text1"/>
          <w:szCs w:val="24"/>
          <w:highlight w:val="none"/>
          <w:vertAlign w:val="superscript"/>
          <w:lang w:val="en-US" w:eastAsia="zh-CN"/>
          <w14:textFill>
            <w14:solidFill>
              <w14:schemeClr w14:val="tx1"/>
            </w14:solidFill>
          </w14:textFill>
        </w:rPr>
        <w:t>3</w:t>
      </w:r>
      <w:r>
        <w:rPr>
          <w:rFonts w:hint="eastAsia" w:cs="Times New Roman"/>
          <w:color w:val="000000" w:themeColor="text1"/>
          <w:szCs w:val="24"/>
          <w:highlight w:val="none"/>
          <w:lang w:val="en-US" w:eastAsia="zh-CN"/>
          <w14:textFill>
            <w14:solidFill>
              <w14:schemeClr w14:val="tx1"/>
            </w14:solidFill>
          </w14:textFill>
        </w:rPr>
        <w:t>的1号</w:t>
      </w:r>
      <w:r>
        <w:rPr>
          <w:rFonts w:hint="eastAsia" w:cs="Times New Roman"/>
          <w:color w:val="000000" w:themeColor="text1"/>
          <w:szCs w:val="24"/>
          <w:highlight w:val="none"/>
          <w:lang w:eastAsia="zh-CN"/>
          <w14:textFill>
            <w14:solidFill>
              <w14:schemeClr w14:val="tx1"/>
            </w14:solidFill>
          </w14:textFill>
        </w:rPr>
        <w:t>尾矿库修建于</w:t>
      </w:r>
      <w:r>
        <w:rPr>
          <w:rFonts w:hint="eastAsia" w:cs="Times New Roman"/>
          <w:color w:val="000000" w:themeColor="text1"/>
          <w:szCs w:val="24"/>
          <w:highlight w:val="none"/>
          <w:lang w:val="en-US" w:eastAsia="zh-CN"/>
          <w14:textFill>
            <w14:solidFill>
              <w14:schemeClr w14:val="tx1"/>
            </w14:solidFill>
          </w14:textFill>
        </w:rPr>
        <w:t>2004年，容积为25万m</w:t>
      </w:r>
      <w:r>
        <w:rPr>
          <w:rFonts w:hint="eastAsia" w:cs="Times New Roman"/>
          <w:color w:val="000000" w:themeColor="text1"/>
          <w:szCs w:val="24"/>
          <w:highlight w:val="none"/>
          <w:vertAlign w:val="superscript"/>
          <w:lang w:val="en-US" w:eastAsia="zh-CN"/>
          <w14:textFill>
            <w14:solidFill>
              <w14:schemeClr w14:val="tx1"/>
            </w14:solidFill>
          </w14:textFill>
        </w:rPr>
        <w:t>3</w:t>
      </w:r>
      <w:r>
        <w:rPr>
          <w:rFonts w:hint="eastAsia" w:cs="Times New Roman"/>
          <w:color w:val="000000" w:themeColor="text1"/>
          <w:szCs w:val="24"/>
          <w:highlight w:val="none"/>
          <w:lang w:val="en-US" w:eastAsia="zh-CN"/>
          <w14:textFill>
            <w14:solidFill>
              <w14:schemeClr w14:val="tx1"/>
            </w14:solidFill>
          </w14:textFill>
        </w:rPr>
        <w:t>的2号</w:t>
      </w:r>
      <w:r>
        <w:rPr>
          <w:rFonts w:hint="eastAsia" w:cs="Times New Roman"/>
          <w:color w:val="000000" w:themeColor="text1"/>
          <w:szCs w:val="24"/>
          <w:highlight w:val="none"/>
          <w:lang w:eastAsia="zh-CN"/>
          <w14:textFill>
            <w14:solidFill>
              <w14:schemeClr w14:val="tx1"/>
            </w14:solidFill>
          </w14:textFill>
        </w:rPr>
        <w:t>尾矿库修建于</w:t>
      </w:r>
      <w:r>
        <w:rPr>
          <w:rFonts w:hint="eastAsia" w:cs="Times New Roman"/>
          <w:color w:val="000000" w:themeColor="text1"/>
          <w:szCs w:val="24"/>
          <w:highlight w:val="none"/>
          <w:lang w:val="en-US" w:eastAsia="zh-CN"/>
          <w14:textFill>
            <w14:solidFill>
              <w14:schemeClr w14:val="tx1"/>
            </w14:solidFill>
          </w14:textFill>
        </w:rPr>
        <w:t>2005年，由于尾矿库修建时间较早，相关设施较落后，不符合现有的尾矿库设计规范，且尾矿库容量不满足改建后正常生产产生的尾矿堆存量。建设单位拟将现有尾矿库闭库，进行生态恢复，并在选厂南侧新建尾矿库，新建</w:t>
      </w:r>
      <w:r>
        <w:rPr>
          <w:rFonts w:hint="eastAsia" w:cs="Times New Roman"/>
          <w:color w:val="000000" w:themeColor="text1"/>
          <w:highlight w:val="none"/>
          <w14:textFill>
            <w14:solidFill>
              <w14:schemeClr w14:val="tx1"/>
            </w14:solidFill>
          </w14:textFill>
        </w:rPr>
        <w:t>尾矿库设计</w:t>
      </w:r>
      <w:r>
        <w:rPr>
          <w:color w:val="000000" w:themeColor="text1"/>
          <w:szCs w:val="28"/>
          <w:highlight w:val="none"/>
          <w14:textFill>
            <w14:solidFill>
              <w14:schemeClr w14:val="tx1"/>
            </w14:solidFill>
          </w14:textFill>
        </w:rPr>
        <w:t>最终堆积标高</w:t>
      </w:r>
      <w:r>
        <w:rPr>
          <w:rFonts w:hint="eastAsia"/>
          <w:color w:val="000000" w:themeColor="text1"/>
          <w:szCs w:val="28"/>
          <w:highlight w:val="none"/>
          <w:lang w:val="en-US" w:eastAsia="zh-CN"/>
          <w14:textFill>
            <w14:solidFill>
              <w14:schemeClr w14:val="tx1"/>
            </w14:solidFill>
          </w14:textFill>
        </w:rPr>
        <w:t>1264</w:t>
      </w:r>
      <w:r>
        <w:rPr>
          <w:color w:val="000000" w:themeColor="text1"/>
          <w:szCs w:val="28"/>
          <w:highlight w:val="none"/>
          <w14:textFill>
            <w14:solidFill>
              <w14:schemeClr w14:val="tx1"/>
            </w14:solidFill>
          </w14:textFill>
        </w:rPr>
        <w:t>.0m，</w:t>
      </w:r>
      <w:r>
        <w:rPr>
          <w:rFonts w:hint="eastAsia"/>
          <w:color w:val="000000" w:themeColor="text1"/>
          <w:szCs w:val="28"/>
          <w:highlight w:val="none"/>
          <w14:textFill>
            <w14:solidFill>
              <w14:schemeClr w14:val="tx1"/>
            </w14:solidFill>
          </w14:textFill>
        </w:rPr>
        <w:t>为</w:t>
      </w:r>
      <w:r>
        <w:rPr>
          <w:rFonts w:hint="eastAsia"/>
          <w:color w:val="000000" w:themeColor="text1"/>
          <w:szCs w:val="28"/>
          <w:highlight w:val="none"/>
          <w:lang w:eastAsia="zh-CN"/>
          <w14:textFill>
            <w14:solidFill>
              <w14:schemeClr w14:val="tx1"/>
            </w14:solidFill>
          </w14:textFill>
        </w:rPr>
        <w:t>四</w:t>
      </w:r>
      <w:r>
        <w:rPr>
          <w:rFonts w:hint="eastAsia"/>
          <w:color w:val="000000" w:themeColor="text1"/>
          <w:szCs w:val="28"/>
          <w:highlight w:val="none"/>
          <w14:textFill>
            <w14:solidFill>
              <w14:schemeClr w14:val="tx1"/>
            </w14:solidFill>
          </w14:textFill>
        </w:rPr>
        <w:t>等库，</w:t>
      </w:r>
      <w:r>
        <w:rPr>
          <w:color w:val="000000" w:themeColor="text1"/>
          <w:szCs w:val="28"/>
          <w:highlight w:val="none"/>
          <w14:textFill>
            <w14:solidFill>
              <w14:schemeClr w14:val="tx1"/>
            </w14:solidFill>
          </w14:textFill>
        </w:rPr>
        <w:t>尾矿堆积坝总高度为</w:t>
      </w:r>
      <w:r>
        <w:rPr>
          <w:rFonts w:hint="eastAsia"/>
          <w:color w:val="000000" w:themeColor="text1"/>
          <w:szCs w:val="28"/>
          <w:highlight w:val="none"/>
          <w:lang w:val="en-US" w:eastAsia="zh-CN"/>
          <w14:textFill>
            <w14:solidFill>
              <w14:schemeClr w14:val="tx1"/>
            </w14:solidFill>
          </w14:textFill>
        </w:rPr>
        <w:t>30</w:t>
      </w:r>
      <w:r>
        <w:rPr>
          <w:color w:val="000000" w:themeColor="text1"/>
          <w:szCs w:val="28"/>
          <w:highlight w:val="none"/>
          <w14:textFill>
            <w14:solidFill>
              <w14:schemeClr w14:val="tx1"/>
            </w14:solidFill>
          </w14:textFill>
        </w:rPr>
        <w:t>.0m，总库容</w:t>
      </w:r>
      <w:r>
        <w:rPr>
          <w:rFonts w:hint="eastAsia"/>
          <w:color w:val="000000" w:themeColor="text1"/>
          <w:szCs w:val="28"/>
          <w:highlight w:val="none"/>
          <w:lang w:val="en-US" w:eastAsia="zh-CN"/>
          <w14:textFill>
            <w14:solidFill>
              <w14:schemeClr w14:val="tx1"/>
            </w14:solidFill>
          </w14:textFill>
        </w:rPr>
        <w:t>527.54</w:t>
      </w:r>
      <w:r>
        <w:rPr>
          <w:color w:val="000000" w:themeColor="text1"/>
          <w:szCs w:val="28"/>
          <w:highlight w:val="none"/>
          <w14:textFill>
            <w14:solidFill>
              <w14:schemeClr w14:val="tx1"/>
            </w14:solidFill>
          </w14:textFill>
        </w:rPr>
        <w:t>万m</w:t>
      </w:r>
      <w:r>
        <w:rPr>
          <w:color w:val="000000" w:themeColor="text1"/>
          <w:szCs w:val="28"/>
          <w:highlight w:val="none"/>
          <w:vertAlign w:val="superscript"/>
          <w14:textFill>
            <w14:solidFill>
              <w14:schemeClr w14:val="tx1"/>
            </w14:solidFill>
          </w14:textFill>
        </w:rPr>
        <w:t>3</w:t>
      </w:r>
      <w:r>
        <w:rPr>
          <w:color w:val="000000" w:themeColor="text1"/>
          <w:szCs w:val="28"/>
          <w:highlight w:val="none"/>
          <w14:textFill>
            <w14:solidFill>
              <w14:schemeClr w14:val="tx1"/>
            </w14:solidFill>
          </w14:textFill>
        </w:rPr>
        <w:t>，总有效库容约为</w:t>
      </w:r>
      <w:r>
        <w:rPr>
          <w:rFonts w:hint="eastAsia"/>
          <w:color w:val="000000" w:themeColor="text1"/>
          <w:highlight w:val="none"/>
          <w:lang w:val="en-US" w:eastAsia="zh-CN"/>
          <w14:textFill>
            <w14:solidFill>
              <w14:schemeClr w14:val="tx1"/>
            </w14:solidFill>
          </w14:textFill>
        </w:rPr>
        <w:t>501.17</w:t>
      </w:r>
      <w:r>
        <w:rPr>
          <w:color w:val="000000" w:themeColor="text1"/>
          <w:szCs w:val="28"/>
          <w:highlight w:val="none"/>
          <w14:textFill>
            <w14:solidFill>
              <w14:schemeClr w14:val="tx1"/>
            </w14:solidFill>
          </w14:textFill>
        </w:rPr>
        <w:t>万m</w:t>
      </w:r>
      <w:r>
        <w:rPr>
          <w:color w:val="000000" w:themeColor="text1"/>
          <w:szCs w:val="28"/>
          <w:highlight w:val="none"/>
          <w:vertAlign w:val="superscript"/>
          <w14:textFill>
            <w14:solidFill>
              <w14:schemeClr w14:val="tx1"/>
            </w14:solidFill>
          </w14:textFill>
        </w:rPr>
        <w:t>3</w:t>
      </w:r>
      <w:r>
        <w:rPr>
          <w:color w:val="000000" w:themeColor="text1"/>
          <w:szCs w:val="28"/>
          <w:highlight w:val="none"/>
          <w14:textFill>
            <w14:solidFill>
              <w14:schemeClr w14:val="tx1"/>
            </w14:solidFill>
          </w14:textFill>
        </w:rPr>
        <w:t>，可服务约</w:t>
      </w:r>
      <w:r>
        <w:rPr>
          <w:rFonts w:hint="eastAsia"/>
          <w:color w:val="000000" w:themeColor="text1"/>
          <w:szCs w:val="28"/>
          <w:highlight w:val="none"/>
          <w:lang w:val="en-US" w:eastAsia="zh-CN"/>
          <w14:textFill>
            <w14:solidFill>
              <w14:schemeClr w14:val="tx1"/>
            </w14:solidFill>
          </w14:textFill>
        </w:rPr>
        <w:t>19</w:t>
      </w:r>
      <w:r>
        <w:rPr>
          <w:color w:val="000000" w:themeColor="text1"/>
          <w:szCs w:val="28"/>
          <w:highlight w:val="none"/>
          <w14:textFill>
            <w14:solidFill>
              <w14:schemeClr w14:val="tx1"/>
            </w14:solidFill>
          </w14:textFill>
        </w:rPr>
        <w:t>年。</w:t>
      </w:r>
    </w:p>
    <w:p w14:paraId="0873A2C0">
      <w:pPr>
        <w:pStyle w:val="41"/>
        <w:overflowPunct w:val="0"/>
        <w:topLinePunct/>
        <w:snapToGrid w:val="0"/>
        <w:spacing w:line="480" w:lineRule="exact"/>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3</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本项目主要</w:t>
      </w:r>
      <w:r>
        <w:rPr>
          <w:rFonts w:hint="eastAsia" w:cs="Times New Roman"/>
          <w:color w:val="000000" w:themeColor="text1"/>
          <w:szCs w:val="24"/>
          <w:highlight w:val="none"/>
          <w14:textFill>
            <w14:solidFill>
              <w14:schemeClr w14:val="tx1"/>
            </w14:solidFill>
          </w14:textFill>
        </w:rPr>
        <w:t>污染物为选矿过程产生的粉尘、尾矿库及堆场无组织扬尘、生产废水、生活污水、工艺设备噪声、尾矿、生活垃圾等。</w:t>
      </w:r>
      <w:r>
        <w:rPr>
          <w:rFonts w:hint="eastAsia" w:cs="Times New Roman"/>
          <w:color w:val="000000" w:themeColor="text1"/>
          <w:szCs w:val="24"/>
          <w:highlight w:val="none"/>
          <w:lang w:val="en-US" w:eastAsia="zh-CN"/>
          <w14:textFill>
            <w14:solidFill>
              <w14:schemeClr w14:val="tx1"/>
            </w14:solidFill>
          </w14:textFill>
        </w:rPr>
        <w:t>破碎筛分-高压辊磨和磁选过程</w:t>
      </w:r>
      <w:r>
        <w:rPr>
          <w:rFonts w:hint="eastAsia" w:cs="Times New Roman"/>
          <w:color w:val="000000" w:themeColor="text1"/>
          <w:szCs w:val="24"/>
          <w:highlight w:val="none"/>
          <w14:textFill>
            <w14:solidFill>
              <w14:schemeClr w14:val="tx1"/>
            </w14:solidFill>
          </w14:textFill>
        </w:rPr>
        <w:t>产生的粉尘均采用布袋除尘器净化后经排气筒排放</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车间内喷雾降尘</w:t>
      </w:r>
      <w:r>
        <w:rPr>
          <w:rFonts w:hint="eastAsia" w:cs="Times New Roman"/>
          <w:color w:val="000000" w:themeColor="text1"/>
          <w:szCs w:val="24"/>
          <w:highlight w:val="none"/>
          <w14:textFill>
            <w14:solidFill>
              <w14:schemeClr w14:val="tx1"/>
            </w14:solidFill>
          </w14:textFill>
        </w:rPr>
        <w:t>；尾矿库采用干式堆存</w:t>
      </w:r>
      <w:r>
        <w:rPr>
          <w:rFonts w:hint="eastAsia" w:cs="Times New Roman"/>
          <w:color w:val="000000" w:themeColor="text1"/>
          <w:szCs w:val="24"/>
          <w:highlight w:val="none"/>
          <w:lang w:eastAsia="zh-CN"/>
          <w14:textFill>
            <w14:solidFill>
              <w14:schemeClr w14:val="tx1"/>
            </w14:solidFill>
          </w14:textFill>
        </w:rPr>
        <w:t>，适当洒水喷雾</w:t>
      </w:r>
      <w:r>
        <w:rPr>
          <w:rFonts w:cs="Times New Roman"/>
          <w:color w:val="000000" w:themeColor="text1"/>
          <w:highlight w:val="none"/>
          <w14:textFill>
            <w14:solidFill>
              <w14:schemeClr w14:val="tx1"/>
            </w14:solidFill>
          </w14:textFill>
        </w:rPr>
        <w:t>保持尾矿</w:t>
      </w:r>
      <w:r>
        <w:rPr>
          <w:rFonts w:hint="eastAsia" w:cs="Times New Roman"/>
          <w:color w:val="000000" w:themeColor="text1"/>
          <w:highlight w:val="none"/>
          <w:lang w:eastAsia="zh-CN"/>
          <w14:textFill>
            <w14:solidFill>
              <w14:schemeClr w14:val="tx1"/>
            </w14:solidFill>
          </w14:textFill>
        </w:rPr>
        <w:t>干堆</w:t>
      </w:r>
      <w:r>
        <w:rPr>
          <w:rFonts w:cs="Times New Roman"/>
          <w:color w:val="000000" w:themeColor="text1"/>
          <w:highlight w:val="none"/>
          <w14:textFill>
            <w14:solidFill>
              <w14:schemeClr w14:val="tx1"/>
            </w14:solidFill>
          </w14:textFill>
        </w:rPr>
        <w:t>的湿润，减少扬尘</w:t>
      </w:r>
      <w:r>
        <w:rPr>
          <w:rFonts w:hint="eastAsia" w:cs="Times New Roman"/>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精矿过滤水、尾矿浓缩压滤溢流水循环使用</w:t>
      </w:r>
      <w:r>
        <w:rPr>
          <w:rFonts w:hint="eastAsia" w:cs="Times New Roman"/>
          <w:color w:val="000000" w:themeColor="text1"/>
          <w:szCs w:val="24"/>
          <w:highlight w:val="none"/>
          <w14:textFill>
            <w14:solidFill>
              <w14:schemeClr w14:val="tx1"/>
            </w14:solidFill>
          </w14:textFill>
        </w:rPr>
        <w:t>，不外排；尾矿堆存于尾矿库。</w:t>
      </w:r>
    </w:p>
    <w:bookmarkEnd w:id="23"/>
    <w:p w14:paraId="38B03718">
      <w:pPr>
        <w:pStyle w:val="3"/>
        <w:spacing w:line="560" w:lineRule="atLeast"/>
        <w:rPr>
          <w:color w:val="000000" w:themeColor="text1"/>
          <w:highlight w:val="none"/>
          <w14:textFill>
            <w14:solidFill>
              <w14:schemeClr w14:val="tx1"/>
            </w14:solidFill>
          </w14:textFill>
        </w:rPr>
      </w:pPr>
      <w:bookmarkStart w:id="27" w:name="_Toc5233"/>
      <w:bookmarkStart w:id="28" w:name="_Toc107414639"/>
      <w:bookmarkStart w:id="29" w:name="_Toc463"/>
      <w:bookmarkStart w:id="30" w:name="_Toc23440"/>
      <w:bookmarkStart w:id="31" w:name="_Toc11763"/>
      <w:bookmarkStart w:id="32" w:name="_Toc107413872"/>
      <w:bookmarkStart w:id="33" w:name="_Toc10527"/>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2环境影响评价过程</w:t>
      </w:r>
      <w:bookmarkEnd w:id="27"/>
      <w:bookmarkEnd w:id="28"/>
      <w:bookmarkEnd w:id="29"/>
      <w:bookmarkEnd w:id="30"/>
      <w:bookmarkEnd w:id="31"/>
      <w:bookmarkEnd w:id="32"/>
      <w:bookmarkEnd w:id="33"/>
    </w:p>
    <w:p w14:paraId="3504BFEF">
      <w:pPr>
        <w:pStyle w:val="42"/>
        <w:overflowPunct w:val="0"/>
        <w:topLinePunct/>
        <w:spacing w:after="0"/>
        <w:ind w:firstLine="480"/>
        <w:jc w:val="both"/>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根据《中华人民共和国环境保护法》（2015年1月1日）、《中华人民共和国环境影响评价法》（2018年12月29日）、《建设项目环境保护管理条例》（国务院令第682号）规定及有关环境保护政策法规的要求，</w:t>
      </w:r>
      <w:r>
        <w:rPr>
          <w:rFonts w:hint="eastAsia" w:ascii="Times New Roman"/>
          <w:color w:val="000000" w:themeColor="text1"/>
          <w:highlight w:val="none"/>
          <w:lang w:val="en-US" w:eastAsia="zh-CN"/>
          <w14:textFill>
            <w14:solidFill>
              <w14:schemeClr w14:val="tx1"/>
            </w14:solidFill>
          </w14:textFill>
        </w:rPr>
        <w:t>本</w:t>
      </w:r>
      <w:r>
        <w:rPr>
          <w:rFonts w:hint="eastAsia" w:ascii="Times New Roman"/>
          <w:color w:val="000000" w:themeColor="text1"/>
          <w:highlight w:val="none"/>
          <w14:textFill>
            <w14:solidFill>
              <w14:schemeClr w14:val="tx1"/>
            </w14:solidFill>
          </w14:textFill>
        </w:rPr>
        <w:t>项目需进行环境影响评价。根据</w:t>
      </w:r>
      <w:r>
        <w:rPr>
          <w:rFonts w:ascii="Times New Roman"/>
          <w:color w:val="000000" w:themeColor="text1"/>
          <w:highlight w:val="none"/>
          <w14:textFill>
            <w14:solidFill>
              <w14:schemeClr w14:val="tx1"/>
            </w14:solidFill>
          </w14:textFill>
        </w:rPr>
        <w:t>《建设项目环境影响评价分类管理名录》（2021年版）</w:t>
      </w:r>
      <w:r>
        <w:rPr>
          <w:rFonts w:hint="eastAsia" w:ascii="Times New Roman"/>
          <w:color w:val="000000" w:themeColor="text1"/>
          <w:highlight w:val="none"/>
          <w14:textFill>
            <w14:solidFill>
              <w14:schemeClr w14:val="tx1"/>
            </w14:solidFill>
          </w14:textFill>
        </w:rPr>
        <w:t>，本项目属于</w:t>
      </w:r>
      <w:r>
        <w:rPr>
          <w:rFonts w:ascii="Times New Roman"/>
          <w:color w:val="000000" w:themeColor="text1"/>
          <w:highlight w:val="none"/>
          <w14:textFill>
            <w14:solidFill>
              <w14:schemeClr w14:val="tx1"/>
            </w14:solidFill>
          </w14:textFill>
        </w:rPr>
        <w:t>分类管理名录</w:t>
      </w:r>
      <w:r>
        <w:rPr>
          <w:rFonts w:hint="eastAsia" w:ascii="Times New Roman"/>
          <w:color w:val="000000" w:themeColor="text1"/>
          <w:highlight w:val="none"/>
          <w14:textFill>
            <w14:solidFill>
              <w14:schemeClr w14:val="tx1"/>
            </w14:solidFill>
          </w14:textFill>
        </w:rPr>
        <w:t>“</w:t>
      </w:r>
      <w:r>
        <w:rPr>
          <w:rFonts w:ascii="Times New Roman"/>
          <w:color w:val="000000" w:themeColor="text1"/>
          <w:highlight w:val="none"/>
          <w14:textFill>
            <w14:solidFill>
              <w14:schemeClr w14:val="tx1"/>
            </w14:solidFill>
          </w14:textFill>
        </w:rPr>
        <w:t>六、黑色金属矿采选业-9-铁矿采选</w:t>
      </w:r>
      <w:r>
        <w:rPr>
          <w:rFonts w:hint="eastAsia" w:ascii="Times New Roman"/>
          <w:color w:val="000000" w:themeColor="text1"/>
          <w:highlight w:val="none"/>
          <w14:textFill>
            <w14:solidFill>
              <w14:schemeClr w14:val="tx1"/>
            </w14:solidFill>
          </w14:textFill>
        </w:rPr>
        <w:t>”</w:t>
      </w:r>
      <w:r>
        <w:rPr>
          <w:rFonts w:ascii="Times New Roman"/>
          <w:color w:val="000000" w:themeColor="text1"/>
          <w:highlight w:val="none"/>
          <w14:textFill>
            <w14:solidFill>
              <w14:schemeClr w14:val="tx1"/>
            </w14:solidFill>
          </w14:textFill>
        </w:rPr>
        <w:t>，应编制环境影响报告书。为此，</w:t>
      </w:r>
      <w:r>
        <w:rPr>
          <w:rFonts w:hint="eastAsia" w:ascii="Times New Roman"/>
          <w:color w:val="000000" w:themeColor="text1"/>
          <w:highlight w:val="none"/>
          <w:lang w:eastAsia="zh-CN"/>
          <w14:textFill>
            <w14:solidFill>
              <w14:schemeClr w14:val="tx1"/>
            </w14:solidFill>
          </w14:textFill>
        </w:rPr>
        <w:t>哈密市西成矿业有限责任公司</w:t>
      </w:r>
      <w:r>
        <w:rPr>
          <w:rFonts w:ascii="Times New Roman"/>
          <w:color w:val="000000" w:themeColor="text1"/>
          <w:highlight w:val="none"/>
          <w14:textFill>
            <w14:solidFill>
              <w14:schemeClr w14:val="tx1"/>
            </w14:solidFill>
          </w14:textFill>
        </w:rPr>
        <w:t>于202</w:t>
      </w:r>
      <w:r>
        <w:rPr>
          <w:rFonts w:hint="eastAsia" w:ascii="Times New Roman"/>
          <w:color w:val="000000" w:themeColor="text1"/>
          <w:highlight w:val="none"/>
          <w:lang w:val="en-US" w:eastAsia="zh-CN"/>
          <w14:textFill>
            <w14:solidFill>
              <w14:schemeClr w14:val="tx1"/>
            </w14:solidFill>
          </w14:textFill>
        </w:rPr>
        <w:t>3</w:t>
      </w:r>
      <w:r>
        <w:rPr>
          <w:rFonts w:ascii="Times New Roman"/>
          <w:color w:val="000000" w:themeColor="text1"/>
          <w:highlight w:val="none"/>
          <w14:textFill>
            <w14:solidFill>
              <w14:schemeClr w14:val="tx1"/>
            </w14:solidFill>
          </w14:textFill>
        </w:rPr>
        <w:t>年</w:t>
      </w:r>
      <w:r>
        <w:rPr>
          <w:rFonts w:hint="eastAsia" w:ascii="Times New Roman"/>
          <w:color w:val="000000" w:themeColor="text1"/>
          <w:highlight w:val="none"/>
          <w:lang w:val="en-US" w:eastAsia="zh-CN"/>
          <w14:textFill>
            <w14:solidFill>
              <w14:schemeClr w14:val="tx1"/>
            </w14:solidFill>
          </w14:textFill>
        </w:rPr>
        <w:t>5</w:t>
      </w:r>
      <w:r>
        <w:rPr>
          <w:rFonts w:hint="eastAsia" w:ascii="Times New Roman"/>
          <w:color w:val="000000" w:themeColor="text1"/>
          <w:highlight w:val="none"/>
          <w14:textFill>
            <w14:solidFill>
              <w14:schemeClr w14:val="tx1"/>
            </w14:solidFill>
          </w14:textFill>
        </w:rPr>
        <w:t>月</w:t>
      </w:r>
      <w:r>
        <w:rPr>
          <w:rFonts w:ascii="Times New Roman"/>
          <w:color w:val="000000" w:themeColor="text1"/>
          <w:highlight w:val="none"/>
          <w14:textFill>
            <w14:solidFill>
              <w14:schemeClr w14:val="tx1"/>
            </w14:solidFill>
          </w14:textFill>
        </w:rPr>
        <w:t>委托</w:t>
      </w:r>
      <w:r>
        <w:rPr>
          <w:rFonts w:hint="eastAsia" w:ascii="Times New Roman"/>
          <w:color w:val="000000" w:themeColor="text1"/>
          <w:highlight w:val="none"/>
          <w:lang w:eastAsia="zh-CN"/>
          <w14:textFill>
            <w14:solidFill>
              <w14:schemeClr w14:val="tx1"/>
            </w14:solidFill>
          </w14:textFill>
        </w:rPr>
        <w:t>新疆绿境天宸环保科技有限公司</w:t>
      </w:r>
      <w:r>
        <w:rPr>
          <w:rFonts w:ascii="Times New Roman"/>
          <w:color w:val="000000" w:themeColor="text1"/>
          <w:highlight w:val="none"/>
          <w14:textFill>
            <w14:solidFill>
              <w14:schemeClr w14:val="tx1"/>
            </w14:solidFill>
          </w14:textFill>
        </w:rPr>
        <w:t>（以下简称</w:t>
      </w:r>
      <w:r>
        <w:rPr>
          <w:rFonts w:hint="eastAsia" w:ascii="Times New Roman"/>
          <w:color w:val="000000" w:themeColor="text1"/>
          <w:highlight w:val="none"/>
          <w14:textFill>
            <w14:solidFill>
              <w14:schemeClr w14:val="tx1"/>
            </w14:solidFill>
          </w14:textFill>
        </w:rPr>
        <w:t>“</w:t>
      </w:r>
      <w:r>
        <w:rPr>
          <w:rFonts w:ascii="Times New Roman"/>
          <w:color w:val="000000" w:themeColor="text1"/>
          <w:highlight w:val="none"/>
          <w14:textFill>
            <w14:solidFill>
              <w14:schemeClr w14:val="tx1"/>
            </w14:solidFill>
          </w14:textFill>
        </w:rPr>
        <w:t>编制单位</w:t>
      </w:r>
      <w:r>
        <w:rPr>
          <w:rFonts w:hint="eastAsia" w:ascii="Times New Roman"/>
          <w:color w:val="000000" w:themeColor="text1"/>
          <w:highlight w:val="none"/>
          <w14:textFill>
            <w14:solidFill>
              <w14:schemeClr w14:val="tx1"/>
            </w14:solidFill>
          </w14:textFill>
        </w:rPr>
        <w:t>”</w:t>
      </w:r>
      <w:r>
        <w:rPr>
          <w:rFonts w:ascii="Times New Roman"/>
          <w:color w:val="000000" w:themeColor="text1"/>
          <w:highlight w:val="none"/>
          <w14:textFill>
            <w14:solidFill>
              <w14:schemeClr w14:val="tx1"/>
            </w14:solidFill>
          </w14:textFill>
        </w:rPr>
        <w:t>）承担</w:t>
      </w:r>
      <w:r>
        <w:rPr>
          <w:rFonts w:hint="eastAsia" w:ascii="Times New Roman"/>
          <w:color w:val="000000" w:themeColor="text1"/>
          <w:highlight w:val="none"/>
          <w:lang w:val="en-US" w:eastAsia="zh-CN"/>
          <w14:textFill>
            <w14:solidFill>
              <w14:schemeClr w14:val="tx1"/>
            </w14:solidFill>
          </w14:textFill>
        </w:rPr>
        <w:t>本</w:t>
      </w:r>
      <w:r>
        <w:rPr>
          <w:rFonts w:ascii="Times New Roman"/>
          <w:color w:val="000000" w:themeColor="text1"/>
          <w:highlight w:val="none"/>
          <w14:textFill>
            <w14:solidFill>
              <w14:schemeClr w14:val="tx1"/>
            </w14:solidFill>
          </w14:textFill>
        </w:rPr>
        <w:t>项目的环境影响评价工作。接受委托后，编制单位认真研究了该项目的有关材料，进行实地踏勘和现场调研，收集和核实了有关材料，依据相关导则的要求，在认真分析预测的基础上，进行了项目的工程分析和现状评价、环境影响预测等工作，编制完成了环境影响报告书后，提交上级生态环境主管部门和专家审查。环境影响报告书经审查批准后，将作为开展本项目工程设计和施工期、运营期环境管理工作的依据。</w:t>
      </w:r>
    </w:p>
    <w:p w14:paraId="0D11A318">
      <w:pPr>
        <w:pStyle w:val="41"/>
        <w:overflowPunct w:val="0"/>
        <w:topLinePunct/>
        <w:spacing w:line="480" w:lineRule="exact"/>
        <w:ind w:firstLine="480"/>
        <w:rPr>
          <w:rFonts w:cs="Times New Roman"/>
          <w:color w:val="000000" w:themeColor="text1"/>
          <w:szCs w:val="24"/>
          <w:highlight w:val="none"/>
          <w:lang w:val="zh-CN"/>
          <w14:textFill>
            <w14:solidFill>
              <w14:schemeClr w14:val="tx1"/>
            </w14:solidFill>
          </w14:textFill>
        </w:rPr>
      </w:pPr>
      <w:r>
        <w:rPr>
          <w:rFonts w:cs="Times New Roman"/>
          <w:color w:val="000000" w:themeColor="text1"/>
          <w:szCs w:val="24"/>
          <w:highlight w:val="none"/>
          <w:lang w:val="zh-CN"/>
          <w14:textFill>
            <w14:solidFill>
              <w14:schemeClr w14:val="tx1"/>
            </w14:solidFill>
          </w14:textFill>
        </w:rPr>
        <w:t>本次环境影响评价工作分三个阶段完成，即前期准备、现场调研和工作方案阶段，分析论证和预测评价阶段，环境影响文件编制阶段。</w:t>
      </w:r>
    </w:p>
    <w:p w14:paraId="2B95A935">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环境影响评价工作程序见图1.2-1。</w:t>
      </w:r>
    </w:p>
    <w:p w14:paraId="2C2FE002">
      <w:pPr>
        <w:pStyle w:val="7"/>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ascii="Times New Roman" w:hAnsi="Times New Roman" w:cs="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5216525" cy="6527800"/>
                <wp:effectExtent l="0" t="4445" r="10795" b="5715"/>
                <wp:docPr id="176" name="组合 1027"/>
                <wp:cNvGraphicFramePr/>
                <a:graphic xmlns:a="http://schemas.openxmlformats.org/drawingml/2006/main">
                  <a:graphicData uri="http://schemas.microsoft.com/office/word/2010/wordprocessingGroup">
                    <wpg:wgp>
                      <wpg:cNvGrpSpPr/>
                      <wpg:grpSpPr>
                        <a:xfrm>
                          <a:off x="0" y="0"/>
                          <a:ext cx="5216525" cy="6527800"/>
                          <a:chOff x="14627" y="37756"/>
                          <a:chExt cx="8551" cy="10376"/>
                        </a:xfrm>
                        <a:effectLst/>
                      </wpg:grpSpPr>
                      <wps:wsp>
                        <wps:cNvPr id="148" name="Straight Connector 377"/>
                        <wps:cNvCnPr/>
                        <wps:spPr>
                          <a:xfrm>
                            <a:off x="18936" y="41282"/>
                            <a:ext cx="1" cy="309"/>
                          </a:xfrm>
                          <a:prstGeom prst="straightConnector1">
                            <a:avLst/>
                          </a:prstGeom>
                          <a:ln w="9525" cap="flat" cmpd="sng">
                            <a:solidFill>
                              <a:srgbClr val="000000"/>
                            </a:solidFill>
                            <a:prstDash val="solid"/>
                            <a:headEnd type="none" w="med" len="med"/>
                            <a:tailEnd type="triangle" w="med" len="med"/>
                          </a:ln>
                          <a:effectLst/>
                        </wps:spPr>
                        <wps:bodyPr/>
                      </wps:wsp>
                      <wps:wsp>
                        <wps:cNvPr id="149" name="Straight Connector 387"/>
                        <wps:cNvCnPr>
                          <a:stCxn id="165" idx="2"/>
                        </wps:cNvCnPr>
                        <wps:spPr>
                          <a:xfrm>
                            <a:off x="17303" y="42496"/>
                            <a:ext cx="1" cy="426"/>
                          </a:xfrm>
                          <a:prstGeom prst="straightConnector1">
                            <a:avLst/>
                          </a:prstGeom>
                          <a:ln w="9525" cap="flat" cmpd="sng">
                            <a:solidFill>
                              <a:srgbClr val="000000"/>
                            </a:solidFill>
                            <a:prstDash val="solid"/>
                            <a:headEnd type="none" w="med" len="med"/>
                            <a:tailEnd type="none" w="med" len="med"/>
                          </a:ln>
                          <a:effectLst/>
                        </wps:spPr>
                        <wps:bodyPr/>
                      </wps:wsp>
                      <wps:wsp>
                        <wps:cNvPr id="150" name="Straight Connector 388"/>
                        <wps:cNvCnPr>
                          <a:stCxn id="165" idx="2"/>
                        </wps:cNvCnPr>
                        <wps:spPr>
                          <a:xfrm>
                            <a:off x="20230" y="42511"/>
                            <a:ext cx="1" cy="446"/>
                          </a:xfrm>
                          <a:prstGeom prst="straightConnector1">
                            <a:avLst/>
                          </a:prstGeom>
                          <a:ln w="9525" cap="flat" cmpd="sng">
                            <a:solidFill>
                              <a:srgbClr val="000000"/>
                            </a:solidFill>
                            <a:prstDash val="solid"/>
                            <a:headEnd type="none" w="med" len="med"/>
                            <a:tailEnd type="none" w="med" len="med"/>
                          </a:ln>
                          <a:effectLst/>
                        </wps:spPr>
                        <wps:bodyPr/>
                      </wps:wsp>
                      <wps:wsp>
                        <wps:cNvPr id="151" name="Straight Connector 392"/>
                        <wps:cNvCnPr>
                          <a:stCxn id="165" idx="2"/>
                        </wps:cNvCnPr>
                        <wps:spPr>
                          <a:xfrm>
                            <a:off x="17317" y="43695"/>
                            <a:ext cx="1" cy="357"/>
                          </a:xfrm>
                          <a:prstGeom prst="straightConnector1">
                            <a:avLst/>
                          </a:prstGeom>
                          <a:ln w="9525" cap="flat" cmpd="sng">
                            <a:solidFill>
                              <a:srgbClr val="000000"/>
                            </a:solidFill>
                            <a:prstDash val="solid"/>
                            <a:headEnd type="none" w="med" len="med"/>
                            <a:tailEnd type="none" w="med" len="med"/>
                          </a:ln>
                          <a:effectLst/>
                        </wps:spPr>
                        <wps:bodyPr/>
                      </wps:wsp>
                      <wps:wsp>
                        <wps:cNvPr id="152" name="Straight Connector 393"/>
                        <wps:cNvCnPr>
                          <a:stCxn id="165" idx="2"/>
                        </wps:cNvCnPr>
                        <wps:spPr>
                          <a:xfrm>
                            <a:off x="20258" y="43642"/>
                            <a:ext cx="1" cy="432"/>
                          </a:xfrm>
                          <a:prstGeom prst="straightConnector1">
                            <a:avLst/>
                          </a:prstGeom>
                          <a:ln w="9525" cap="flat" cmpd="sng">
                            <a:solidFill>
                              <a:srgbClr val="000000"/>
                            </a:solidFill>
                            <a:prstDash val="solid"/>
                            <a:headEnd type="none" w="med" len="med"/>
                            <a:tailEnd type="none" w="med" len="med"/>
                          </a:ln>
                          <a:effectLst/>
                        </wps:spPr>
                        <wps:bodyPr/>
                      </wps:wsp>
                      <wps:wsp>
                        <wps:cNvPr id="153" name="Straight Connector 408"/>
                        <wps:cNvCnPr>
                          <a:stCxn id="165" idx="2"/>
                        </wps:cNvCnPr>
                        <wps:spPr>
                          <a:xfrm>
                            <a:off x="14739" y="42201"/>
                            <a:ext cx="8415" cy="1"/>
                          </a:xfrm>
                          <a:prstGeom prst="straightConnector1">
                            <a:avLst/>
                          </a:prstGeom>
                          <a:ln w="9525" cap="flat" cmpd="sng">
                            <a:solidFill>
                              <a:srgbClr val="000000"/>
                            </a:solidFill>
                            <a:prstDash val="dash"/>
                            <a:headEnd type="none" w="med" len="med"/>
                            <a:tailEnd type="none" w="med" len="med"/>
                          </a:ln>
                          <a:effectLst/>
                        </wps:spPr>
                        <wps:bodyPr/>
                      </wps:wsp>
                      <wps:wsp>
                        <wps:cNvPr id="154" name="Rectangle 410"/>
                        <wps:cNvSpPr/>
                        <wps:spPr>
                          <a:xfrm>
                            <a:off x="14856" y="38806"/>
                            <a:ext cx="420" cy="1770"/>
                          </a:xfrm>
                          <a:prstGeom prst="rect">
                            <a:avLst/>
                          </a:prstGeom>
                          <a:noFill/>
                          <a:ln>
                            <a:noFill/>
                          </a:ln>
                          <a:effectLst/>
                        </wps:spPr>
                        <wps:txbx>
                          <w:txbxContent>
                            <w:p w14:paraId="5937271C">
                              <w:pPr>
                                <w:pStyle w:val="91"/>
                              </w:pPr>
                              <w:r>
                                <w:rPr>
                                  <w:rFonts w:hint="eastAsia"/>
                                </w:rPr>
                                <w:t>第一阶段</w:t>
                              </w:r>
                            </w:p>
                          </w:txbxContent>
                        </wps:txbx>
                        <wps:bodyPr vert="horz" anchor="t" anchorCtr="0" upright="1"/>
                      </wps:wsp>
                      <wps:wsp>
                        <wps:cNvPr id="155" name="Rectangle 411"/>
                        <wps:cNvSpPr/>
                        <wps:spPr>
                          <a:xfrm>
                            <a:off x="14821" y="43403"/>
                            <a:ext cx="420" cy="1479"/>
                          </a:xfrm>
                          <a:prstGeom prst="rect">
                            <a:avLst/>
                          </a:prstGeom>
                          <a:noFill/>
                          <a:ln>
                            <a:noFill/>
                          </a:ln>
                          <a:effectLst/>
                        </wps:spPr>
                        <wps:txbx>
                          <w:txbxContent>
                            <w:p w14:paraId="375D45B5">
                              <w:pPr>
                                <w:pStyle w:val="91"/>
                              </w:pPr>
                              <w:r>
                                <w:rPr>
                                  <w:rFonts w:hint="eastAsia"/>
                                </w:rPr>
                                <w:t>第二阶段</w:t>
                              </w:r>
                            </w:p>
                          </w:txbxContent>
                        </wps:txbx>
                        <wps:bodyPr vert="horz" anchor="t" anchorCtr="0" upright="1"/>
                      </wps:wsp>
                      <wps:wsp>
                        <wps:cNvPr id="156" name="Rectangle 412"/>
                        <wps:cNvSpPr/>
                        <wps:spPr>
                          <a:xfrm>
                            <a:off x="14776" y="45853"/>
                            <a:ext cx="420" cy="1522"/>
                          </a:xfrm>
                          <a:prstGeom prst="rect">
                            <a:avLst/>
                          </a:prstGeom>
                          <a:noFill/>
                          <a:ln>
                            <a:noFill/>
                          </a:ln>
                          <a:effectLst/>
                        </wps:spPr>
                        <wps:txbx>
                          <w:txbxContent>
                            <w:p w14:paraId="01D610EE">
                              <w:pPr>
                                <w:pStyle w:val="91"/>
                              </w:pPr>
                              <w:r>
                                <w:rPr>
                                  <w:rFonts w:hint="eastAsia"/>
                                </w:rPr>
                                <w:t>第三阶段</w:t>
                              </w:r>
                            </w:p>
                          </w:txbxContent>
                        </wps:txbx>
                        <wps:bodyPr vert="horz" anchor="t" anchorCtr="0" upright="1"/>
                      </wps:wsp>
                      <wps:wsp>
                        <wps:cNvPr id="157" name="Rectangle 376"/>
                        <wps:cNvSpPr/>
                        <wps:spPr>
                          <a:xfrm>
                            <a:off x="16736" y="38787"/>
                            <a:ext cx="4470" cy="108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1B2816">
                              <w:pPr>
                                <w:pStyle w:val="91"/>
                                <w:spacing w:before="0" w:after="0" w:line="280" w:lineRule="exact"/>
                                <w:rPr>
                                  <w:rFonts w:ascii="Times New Roman" w:hAnsi="Times New Roman" w:cs="Times New Roman"/>
                                </w:rPr>
                              </w:pPr>
                              <w:r>
                                <w:rPr>
                                  <w:rFonts w:ascii="Times New Roman" w:hAnsi="Times New Roman" w:cs="Times New Roman"/>
                                </w:rPr>
                                <w:t>1 研究相关技术文件和其他有关文件</w:t>
                              </w:r>
                            </w:p>
                            <w:p w14:paraId="51F2F10C">
                              <w:pPr>
                                <w:pStyle w:val="91"/>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2 进行初步工程分析</w:t>
                              </w:r>
                            </w:p>
                            <w:p w14:paraId="19AC9DAD">
                              <w:pPr>
                                <w:pStyle w:val="91"/>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3 开</w:t>
                              </w:r>
                              <w:r>
                                <w:rPr>
                                  <w:rFonts w:hint="eastAsia" w:ascii="Times New Roman" w:hAnsi="Times New Roman" w:cs="Times New Roman"/>
                                </w:rPr>
                                <w:t>展初步的环境状况调查</w:t>
                              </w:r>
                            </w:p>
                          </w:txbxContent>
                        </wps:txbx>
                        <wps:bodyPr vert="horz" anchor="t" anchorCtr="0" upright="1"/>
                      </wps:wsp>
                      <wps:wsp>
                        <wps:cNvPr id="158" name="Rectangle 372"/>
                        <wps:cNvSpPr/>
                        <wps:spPr>
                          <a:xfrm>
                            <a:off x="16753" y="37971"/>
                            <a:ext cx="4488" cy="4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D52BDB4">
                              <w:pPr>
                                <w:pStyle w:val="91"/>
                                <w:spacing w:before="0" w:after="0"/>
                              </w:pPr>
                              <w:r>
                                <w:rPr>
                                  <w:rFonts w:hint="eastAsia"/>
                                </w:rPr>
                                <w:t>依据相关规定确定环境影响评价文件类型</w:t>
                              </w:r>
                            </w:p>
                          </w:txbxContent>
                        </wps:txbx>
                        <wps:bodyPr vert="horz" anchor="t" anchorCtr="0" upright="1"/>
                      </wps:wsp>
                      <wps:wsp>
                        <wps:cNvPr id="159" name="Straight Connector 373"/>
                        <wps:cNvCnPr>
                          <a:stCxn id="165" idx="2"/>
                        </wps:cNvCnPr>
                        <wps:spPr>
                          <a:xfrm>
                            <a:off x="18940" y="38434"/>
                            <a:ext cx="1" cy="349"/>
                          </a:xfrm>
                          <a:prstGeom prst="straightConnector1">
                            <a:avLst/>
                          </a:prstGeom>
                          <a:ln w="9525" cap="flat" cmpd="sng">
                            <a:solidFill>
                              <a:srgbClr val="000000"/>
                            </a:solidFill>
                            <a:prstDash val="solid"/>
                            <a:headEnd type="none" w="med" len="med"/>
                            <a:tailEnd type="triangle" w="med" len="med"/>
                          </a:ln>
                          <a:effectLst/>
                        </wps:spPr>
                        <wps:bodyPr/>
                      </wps:wsp>
                      <wps:wsp>
                        <wps:cNvPr id="160" name="Straight Connector 375"/>
                        <wps:cNvCnPr>
                          <a:stCxn id="165" idx="2"/>
                        </wps:cNvCnPr>
                        <wps:spPr>
                          <a:xfrm>
                            <a:off x="18936" y="39882"/>
                            <a:ext cx="1" cy="309"/>
                          </a:xfrm>
                          <a:prstGeom prst="straightConnector1">
                            <a:avLst/>
                          </a:prstGeom>
                          <a:ln w="9525" cap="flat" cmpd="sng">
                            <a:solidFill>
                              <a:srgbClr val="000000"/>
                            </a:solidFill>
                            <a:prstDash val="solid"/>
                            <a:headEnd type="none" w="med" len="med"/>
                            <a:tailEnd type="triangle" w="med" len="med"/>
                          </a:ln>
                          <a:effectLst/>
                        </wps:spPr>
                        <wps:bodyPr/>
                      </wps:wsp>
                      <wps:wsp>
                        <wps:cNvPr id="161" name="矩形 1032"/>
                        <wps:cNvSpPr/>
                        <wps:spPr>
                          <a:xfrm>
                            <a:off x="16710" y="40204"/>
                            <a:ext cx="4470" cy="108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D1127CE">
                              <w:pPr>
                                <w:pStyle w:val="91"/>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1 环境影响识别和评价因子筛选</w:t>
                              </w:r>
                            </w:p>
                            <w:p w14:paraId="0DA1FF49">
                              <w:pPr>
                                <w:pStyle w:val="91"/>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2 明确评价重点和环境保护目标</w:t>
                              </w:r>
                            </w:p>
                            <w:p w14:paraId="27AB274D">
                              <w:pPr>
                                <w:pStyle w:val="91"/>
                                <w:spacing w:before="0" w:after="0" w:line="28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3 确定</w:t>
                              </w:r>
                              <w:r>
                                <w:rPr>
                                  <w:rFonts w:hint="eastAsia" w:ascii="Times New Roman" w:hAnsi="Times New Roman" w:cs="Times New Roman"/>
                                </w:rPr>
                                <w:t>工作等级、评价范围和评价标准</w:t>
                              </w:r>
                            </w:p>
                          </w:txbxContent>
                        </wps:txbx>
                        <wps:bodyPr vert="horz" anchor="t" anchorCtr="0" upright="1"/>
                      </wps:wsp>
                      <wps:wsp>
                        <wps:cNvPr id="162" name="Rectangle 382"/>
                        <wps:cNvSpPr/>
                        <wps:spPr>
                          <a:xfrm>
                            <a:off x="17909" y="41589"/>
                            <a:ext cx="1935" cy="4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502768">
                              <w:pPr>
                                <w:pStyle w:val="91"/>
                                <w:spacing w:before="0" w:after="0"/>
                              </w:pPr>
                              <w:r>
                                <w:rPr>
                                  <w:rFonts w:hint="eastAsia"/>
                                </w:rPr>
                                <w:t>制定工作方案</w:t>
                              </w:r>
                            </w:p>
                          </w:txbxContent>
                        </wps:txbx>
                        <wps:bodyPr vert="horz" anchor="t" anchorCtr="0" upright="1"/>
                      </wps:wsp>
                      <wps:wsp>
                        <wps:cNvPr id="163" name="Straight Connector 385"/>
                        <wps:cNvCnPr>
                          <a:stCxn id="165" idx="2"/>
                        </wps:cNvCnPr>
                        <wps:spPr>
                          <a:xfrm flipH="1">
                            <a:off x="18893" y="42047"/>
                            <a:ext cx="7" cy="465"/>
                          </a:xfrm>
                          <a:prstGeom prst="straightConnector1">
                            <a:avLst/>
                          </a:prstGeom>
                          <a:ln w="9525" cap="flat" cmpd="sng">
                            <a:solidFill>
                              <a:srgbClr val="000000"/>
                            </a:solidFill>
                            <a:prstDash val="solid"/>
                            <a:headEnd type="none" w="med" len="med"/>
                            <a:tailEnd type="triangle" w="med" len="med"/>
                          </a:ln>
                          <a:effectLst/>
                        </wps:spPr>
                        <wps:bodyPr/>
                      </wps:wsp>
                      <wps:wsp>
                        <wps:cNvPr id="164" name="Straight Connector 386"/>
                        <wps:cNvCnPr>
                          <a:stCxn id="165" idx="2"/>
                        </wps:cNvCnPr>
                        <wps:spPr>
                          <a:xfrm>
                            <a:off x="17289" y="42510"/>
                            <a:ext cx="2940" cy="1"/>
                          </a:xfrm>
                          <a:prstGeom prst="straightConnector1">
                            <a:avLst/>
                          </a:prstGeom>
                          <a:ln w="9525" cap="flat" cmpd="sng">
                            <a:solidFill>
                              <a:srgbClr val="000000"/>
                            </a:solidFill>
                            <a:prstDash val="solid"/>
                            <a:headEnd type="none" w="med" len="med"/>
                            <a:tailEnd type="none" w="med" len="med"/>
                          </a:ln>
                          <a:effectLst/>
                        </wps:spPr>
                        <wps:bodyPr/>
                      </wps:wsp>
                      <wps:wsp>
                        <wps:cNvPr id="165" name="Rectangle 389"/>
                        <wps:cNvSpPr/>
                        <wps:spPr>
                          <a:xfrm>
                            <a:off x="16296" y="42925"/>
                            <a:ext cx="2042" cy="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D36936">
                              <w:pPr>
                                <w:pStyle w:val="91"/>
                                <w:spacing w:before="0" w:after="0" w:line="320" w:lineRule="exact"/>
                              </w:pPr>
                              <w:r>
                                <w:rPr>
                                  <w:rFonts w:hint="eastAsia"/>
                                </w:rPr>
                                <w:t>环境现状调查监测与评价</w:t>
                              </w:r>
                            </w:p>
                          </w:txbxContent>
                        </wps:txbx>
                        <wps:bodyPr vert="horz" anchor="t" anchorCtr="0" upright="1"/>
                      </wps:wsp>
                      <wps:wsp>
                        <wps:cNvPr id="166" name="Rectangle 390"/>
                        <wps:cNvSpPr/>
                        <wps:spPr>
                          <a:xfrm>
                            <a:off x="19566" y="42937"/>
                            <a:ext cx="1315" cy="78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F8E18E">
                              <w:pPr>
                                <w:pStyle w:val="91"/>
                                <w:spacing w:before="0" w:after="0" w:line="320" w:lineRule="exact"/>
                              </w:pPr>
                              <w:r>
                                <w:rPr>
                                  <w:rFonts w:hint="eastAsia"/>
                                </w:rPr>
                                <w:t>建设项目工程分析</w:t>
                              </w:r>
                            </w:p>
                          </w:txbxContent>
                        </wps:txbx>
                        <wps:bodyPr vert="horz" anchor="t" anchorCtr="0" upright="1"/>
                      </wps:wsp>
                      <wps:wsp>
                        <wps:cNvPr id="167" name="Straight Connector 391"/>
                        <wps:cNvCnPr>
                          <a:stCxn id="165" idx="2"/>
                        </wps:cNvCnPr>
                        <wps:spPr>
                          <a:xfrm>
                            <a:off x="18871" y="44047"/>
                            <a:ext cx="1" cy="399"/>
                          </a:xfrm>
                          <a:prstGeom prst="straightConnector1">
                            <a:avLst/>
                          </a:prstGeom>
                          <a:ln w="9525" cap="flat" cmpd="sng">
                            <a:solidFill>
                              <a:srgbClr val="000000"/>
                            </a:solidFill>
                            <a:prstDash val="solid"/>
                            <a:headEnd type="none" w="med" len="med"/>
                            <a:tailEnd type="triangle" w="med" len="med"/>
                          </a:ln>
                          <a:effectLst/>
                        </wps:spPr>
                        <wps:bodyPr/>
                      </wps:wsp>
                      <wps:wsp>
                        <wps:cNvPr id="168" name="Straight Connector 394"/>
                        <wps:cNvCnPr>
                          <a:stCxn id="165" idx="2"/>
                        </wps:cNvCnPr>
                        <wps:spPr>
                          <a:xfrm>
                            <a:off x="17301" y="44048"/>
                            <a:ext cx="2940" cy="1"/>
                          </a:xfrm>
                          <a:prstGeom prst="straightConnector1">
                            <a:avLst/>
                          </a:prstGeom>
                          <a:ln w="9525" cap="flat" cmpd="sng">
                            <a:solidFill>
                              <a:srgbClr val="000000"/>
                            </a:solidFill>
                            <a:prstDash val="solid"/>
                            <a:headEnd type="none" w="med" len="med"/>
                            <a:tailEnd type="none" w="med" len="med"/>
                          </a:ln>
                          <a:effectLst/>
                        </wps:spPr>
                        <wps:bodyPr/>
                      </wps:wsp>
                      <wps:wsp>
                        <wps:cNvPr id="169" name="Rectangle 395"/>
                        <wps:cNvSpPr/>
                        <wps:spPr>
                          <a:xfrm>
                            <a:off x="16868" y="44436"/>
                            <a:ext cx="3885" cy="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CF6863">
                              <w:pPr>
                                <w:pStyle w:val="91"/>
                                <w:spacing w:before="0" w:after="0" w:line="320" w:lineRule="exact"/>
                                <w:jc w:val="both"/>
                                <w:rPr>
                                  <w:rFonts w:ascii="Times New Roman" w:hAnsi="Times New Roman" w:cs="Times New Roman"/>
                                </w:rPr>
                              </w:pPr>
                              <w:r>
                                <w:rPr>
                                  <w:rFonts w:hint="eastAsia" w:ascii="Times New Roman" w:hAnsi="Times New Roman" w:cs="Times New Roman"/>
                                </w:rPr>
                                <w:t xml:space="preserve">   1 各环境要素环境影响预测与评价</w:t>
                              </w:r>
                            </w:p>
                            <w:p w14:paraId="61E885DC">
                              <w:pPr>
                                <w:pStyle w:val="91"/>
                                <w:spacing w:before="0" w:after="0" w:line="320" w:lineRule="exact"/>
                                <w:jc w:val="both"/>
                                <w:rPr>
                                  <w:rFonts w:ascii="Times New Roman" w:hAnsi="Times New Roman" w:cs="Times New Roman"/>
                                </w:rPr>
                              </w:pPr>
                              <w:r>
                                <w:rPr>
                                  <w:rFonts w:hint="eastAsia" w:ascii="Times New Roman" w:hAnsi="Times New Roman" w:cs="Times New Roman"/>
                                </w:rPr>
                                <w:t xml:space="preserve">   2 各专题环境影响分析与评价</w:t>
                              </w:r>
                            </w:p>
                          </w:txbxContent>
                        </wps:txbx>
                        <wps:bodyPr vert="horz" anchor="t" anchorCtr="0" upright="1"/>
                      </wps:wsp>
                      <wps:wsp>
                        <wps:cNvPr id="170" name="Rectangle 397"/>
                        <wps:cNvSpPr/>
                        <wps:spPr>
                          <a:xfrm>
                            <a:off x="16733" y="45729"/>
                            <a:ext cx="4170" cy="12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7F4DDE">
                              <w:pPr>
                                <w:pStyle w:val="91"/>
                                <w:spacing w:before="0" w:after="0" w:line="360" w:lineRule="exact"/>
                                <w:jc w:val="both"/>
                                <w:rPr>
                                  <w:rFonts w:ascii="Times New Roman" w:hAnsi="Times New Roman" w:cs="Times New Roman"/>
                                </w:rPr>
                              </w:pPr>
                              <w:r>
                                <w:rPr>
                                  <w:rFonts w:hint="eastAsia" w:ascii="Times New Roman" w:hAnsi="Times New Roman" w:cs="Times New Roman"/>
                                </w:rPr>
                                <w:t xml:space="preserve"> 1 提出环境保护措施，进行技术经济论证</w:t>
                              </w:r>
                            </w:p>
                            <w:p w14:paraId="5D58978B">
                              <w:pPr>
                                <w:pStyle w:val="91"/>
                                <w:spacing w:before="0" w:after="0" w:line="360" w:lineRule="exact"/>
                                <w:jc w:val="both"/>
                                <w:rPr>
                                  <w:rFonts w:ascii="Times New Roman" w:hAnsi="Times New Roman" w:cs="Times New Roman"/>
                                </w:rPr>
                              </w:pPr>
                              <w:r>
                                <w:rPr>
                                  <w:rFonts w:hint="eastAsia" w:ascii="Times New Roman" w:hAnsi="Times New Roman" w:cs="Times New Roman"/>
                                </w:rPr>
                                <w:t xml:space="preserve"> 2 给出污染物排放清单</w:t>
                              </w:r>
                            </w:p>
                            <w:p w14:paraId="2D444708">
                              <w:pPr>
                                <w:pStyle w:val="91"/>
                                <w:spacing w:before="0" w:after="0" w:line="360" w:lineRule="exact"/>
                                <w:jc w:val="both"/>
                                <w:rPr>
                                  <w:rFonts w:ascii="Times New Roman" w:hAnsi="Times New Roman" w:cs="Times New Roman"/>
                                </w:rPr>
                              </w:pPr>
                              <w:r>
                                <w:rPr>
                                  <w:rFonts w:hint="eastAsia" w:ascii="Times New Roman" w:hAnsi="Times New Roman" w:cs="Times New Roman"/>
                                </w:rPr>
                                <w:t xml:space="preserve"> 3给出建设项目环境影响评价结论</w:t>
                              </w:r>
                            </w:p>
                            <w:p w14:paraId="7FE06D14">
                              <w:pPr>
                                <w:pStyle w:val="91"/>
                              </w:pPr>
                            </w:p>
                          </w:txbxContent>
                        </wps:txbx>
                        <wps:bodyPr vert="horz" anchor="t" anchorCtr="0" upright="1"/>
                      </wps:wsp>
                      <wps:wsp>
                        <wps:cNvPr id="171" name="Straight Connector 398"/>
                        <wps:cNvCnPr>
                          <a:stCxn id="165" idx="2"/>
                        </wps:cNvCnPr>
                        <wps:spPr>
                          <a:xfrm>
                            <a:off x="18831" y="47040"/>
                            <a:ext cx="1" cy="363"/>
                          </a:xfrm>
                          <a:prstGeom prst="straightConnector1">
                            <a:avLst/>
                          </a:prstGeom>
                          <a:ln w="9525" cap="flat" cmpd="sng">
                            <a:solidFill>
                              <a:srgbClr val="000000"/>
                            </a:solidFill>
                            <a:prstDash val="solid"/>
                            <a:headEnd type="none" w="med" len="med"/>
                            <a:tailEnd type="triangle" w="med" len="med"/>
                          </a:ln>
                          <a:effectLst/>
                        </wps:spPr>
                        <wps:bodyPr/>
                      </wps:wsp>
                      <wps:wsp>
                        <wps:cNvPr id="172" name="Rectangle 399"/>
                        <wps:cNvSpPr/>
                        <wps:spPr>
                          <a:xfrm>
                            <a:off x="17341" y="47397"/>
                            <a:ext cx="2909" cy="41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F323CE">
                              <w:pPr>
                                <w:pStyle w:val="91"/>
                                <w:spacing w:before="0" w:after="0"/>
                              </w:pPr>
                              <w:r>
                                <w:rPr>
                                  <w:rFonts w:hint="eastAsia"/>
                                </w:rPr>
                                <w:t>编制环境影响报告书（表）</w:t>
                              </w:r>
                            </w:p>
                          </w:txbxContent>
                        </wps:txbx>
                        <wps:bodyPr vert="horz" anchor="t" anchorCtr="0" upright="1"/>
                      </wps:wsp>
                      <wps:wsp>
                        <wps:cNvPr id="173" name="Straight Connector 409"/>
                        <wps:cNvCnPr>
                          <a:stCxn id="165" idx="2"/>
                        </wps:cNvCnPr>
                        <wps:spPr>
                          <a:xfrm>
                            <a:off x="14627" y="45513"/>
                            <a:ext cx="8415" cy="1"/>
                          </a:xfrm>
                          <a:prstGeom prst="straightConnector1">
                            <a:avLst/>
                          </a:prstGeom>
                          <a:ln w="9525" cap="flat" cmpd="sng">
                            <a:solidFill>
                              <a:srgbClr val="000000"/>
                            </a:solidFill>
                            <a:prstDash val="dash"/>
                            <a:headEnd type="none" w="med" len="med"/>
                            <a:tailEnd type="none" w="med" len="med"/>
                          </a:ln>
                          <a:effectLst/>
                        </wps:spPr>
                        <wps:bodyPr/>
                      </wps:wsp>
                      <wps:wsp>
                        <wps:cNvPr id="174" name="Rectangle 413"/>
                        <wps:cNvSpPr/>
                        <wps:spPr>
                          <a:xfrm>
                            <a:off x="14764" y="37756"/>
                            <a:ext cx="8415" cy="10377"/>
                          </a:xfrm>
                          <a:prstGeom prst="rect">
                            <a:avLst/>
                          </a:prstGeom>
                          <a:noFill/>
                          <a:ln w="9525" cap="flat" cmpd="sng">
                            <a:solidFill>
                              <a:srgbClr val="000000"/>
                            </a:solidFill>
                            <a:prstDash val="dash"/>
                            <a:miter/>
                            <a:headEnd type="none" w="med" len="med"/>
                            <a:tailEnd type="none" w="med" len="med"/>
                          </a:ln>
                          <a:effectLst/>
                        </wps:spPr>
                        <wps:txbx>
                          <w:txbxContent>
                            <w:p w14:paraId="3C186B49">
                              <w:pPr>
                                <w:ind w:left="0" w:leftChars="0" w:firstLine="0" w:firstLineChars="0"/>
                              </w:pPr>
                            </w:p>
                          </w:txbxContent>
                        </wps:txbx>
                        <wps:bodyPr vert="horz" anchor="t" anchorCtr="0" upright="1"/>
                      </wps:wsp>
                      <wps:wsp>
                        <wps:cNvPr id="175" name="Straight Connector 391"/>
                        <wps:cNvCnPr/>
                        <wps:spPr>
                          <a:xfrm>
                            <a:off x="18832" y="45359"/>
                            <a:ext cx="1" cy="399"/>
                          </a:xfrm>
                          <a:prstGeom prst="straightConnector1">
                            <a:avLst/>
                          </a:prstGeom>
                          <a:ln w="9525" cap="flat" cmpd="sng">
                            <a:solidFill>
                              <a:srgbClr val="000000"/>
                            </a:solidFill>
                            <a:prstDash val="solid"/>
                            <a:headEnd type="none" w="med" len="med"/>
                            <a:tailEnd type="triangle" w="med" len="med"/>
                          </a:ln>
                          <a:effectLst/>
                        </wps:spPr>
                        <wps:bodyPr/>
                      </wps:wsp>
                    </wpg:wgp>
                  </a:graphicData>
                </a:graphic>
              </wp:inline>
            </w:drawing>
          </mc:Choice>
          <mc:Fallback>
            <w:pict>
              <v:group id="组合 1027" o:spid="_x0000_s1026" o:spt="203" style="height:514pt;width:410.75pt;" coordorigin="14627,37756" coordsize="8551,10376" o:gfxdata="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">
                <o:lock v:ext="edit" aspectratio="f"/>
                <v:shape id="Straight Connector 377" o:spid="_x0000_s1026" o:spt="32" type="#_x0000_t32" style="position:absolute;left:18936;top:41282;height:309;width:1;" filled="f" stroked="t" coordsize="21600,21600" o:gfxdata="UEsDBAoAAAAAAIdO4kAAAAAAAAAAAAAAAAAEAAAAZHJzL1BLAwQUAAAACACHTuJAomB8ycAAAADc&#10;AAAADwAAAGRycy9kb3ducmV2LnhtbEWPT0vDQBDF74LfYRnBm91EJN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YHz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Straight Connector 387" o:spid="_x0000_s1026" o:spt="32" type="#_x0000_t32" style="position:absolute;left:17303;top:42496;height:426;width:1;" filled="f" stroked="t" coordsize="21600,21600" o:gfxdata="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TIa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Connector 388" o:spid="_x0000_s1026" o:spt="32" type="#_x0000_t32" style="position:absolute;left:20230;top:42511;height:446;width:1;" filled="f" stroked="t" coordsize="21600,21600" o:gfxdata="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e4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Straight Connector 392" o:spid="_x0000_s1026" o:spt="32" type="#_x0000_t32" style="position:absolute;left:17317;top:43695;height:357;width:1;" filled="f" stroked="t" coordsize="21600,21600" o:gfxdata="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8u3u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Straight Connector 393" o:spid="_x0000_s1026" o:spt="32" type="#_x0000_t32" style="position:absolute;left:20258;top:43642;height:432;width:1;" filled="f" stroked="t" coordsize="21600,21600" o:gfxdata="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4lD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Straight Connector 408" o:spid="_x0000_s1026" o:spt="32" type="#_x0000_t32" style="position:absolute;left:14739;top:42201;height:1;width:8415;" filled="f" stroked="t" coordsize="21600,21600" o:gfxdata="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4JvUvQAA&#10;ANw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rect id="Rectangle 410" o:spid="_x0000_s1026" o:spt="1" style="position:absolute;left:14856;top:38806;height:1770;width:420;" filled="f" stroked="f" coordsize="21600,21600" o:gfxdata="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S1g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937271C">
                        <w:pPr>
                          <w:pStyle w:val="91"/>
                        </w:pPr>
                        <w:r>
                          <w:rPr>
                            <w:rFonts w:hint="eastAsia"/>
                          </w:rPr>
                          <w:t>第一阶段</w:t>
                        </w:r>
                      </w:p>
                    </w:txbxContent>
                  </v:textbox>
                </v:rect>
                <v:rect id="Rectangle 411" o:spid="_x0000_s1026" o:spt="1" style="position:absolute;left:14821;top:43403;height:1479;width:420;" filled="f" stroked="f" coordsize="21600,21600" o:gfxdata="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QG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75D45B5">
                        <w:pPr>
                          <w:pStyle w:val="91"/>
                        </w:pPr>
                        <w:r>
                          <w:rPr>
                            <w:rFonts w:hint="eastAsia"/>
                          </w:rPr>
                          <w:t>第二阶段</w:t>
                        </w:r>
                      </w:p>
                    </w:txbxContent>
                  </v:textbox>
                </v:rect>
                <v:rect id="Rectangle 412" o:spid="_x0000_s1026" o:spt="1" style="position:absolute;left:14776;top:45853;height:1522;width:420;" filled="f" stroked="f" coordsize="21600,21600" o:gfxdata="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qOb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1D610EE">
                        <w:pPr>
                          <w:pStyle w:val="91"/>
                        </w:pPr>
                        <w:r>
                          <w:rPr>
                            <w:rFonts w:hint="eastAsia"/>
                          </w:rPr>
                          <w:t>第三阶段</w:t>
                        </w:r>
                      </w:p>
                    </w:txbxContent>
                  </v:textbox>
                </v:rect>
                <v:rect id="Rectangle 376" o:spid="_x0000_s1026" o:spt="1" style="position:absolute;left:16736;top:38787;height:1083;width:4470;" fillcolor="#FFFFFF" filled="t" stroked="t" coordsize="21600,21600" o:gfxdata="UEsDBAoAAAAAAIdO4kAAAAAAAAAAAAAAAAAEAAAAZHJzL1BLAwQUAAAACACHTuJAHKvPdrwAAADc&#10;AAAADwAAAGRycy9kb3ducmV2LnhtbEVPPW/CMBDdK/EfrEPqVuxQQU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rz3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D1B2816">
                        <w:pPr>
                          <w:pStyle w:val="91"/>
                          <w:spacing w:before="0" w:after="0" w:line="280" w:lineRule="exact"/>
                          <w:rPr>
                            <w:rFonts w:ascii="Times New Roman" w:hAnsi="Times New Roman" w:cs="Times New Roman"/>
                          </w:rPr>
                        </w:pPr>
                        <w:r>
                          <w:rPr>
                            <w:rFonts w:ascii="Times New Roman" w:hAnsi="Times New Roman" w:cs="Times New Roman"/>
                          </w:rPr>
                          <w:t>1 研究相关技术文件和其他有关文件</w:t>
                        </w:r>
                      </w:p>
                      <w:p w14:paraId="51F2F10C">
                        <w:pPr>
                          <w:pStyle w:val="91"/>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2 进行初步工程分析</w:t>
                        </w:r>
                      </w:p>
                      <w:p w14:paraId="19AC9DAD">
                        <w:pPr>
                          <w:pStyle w:val="91"/>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3 开</w:t>
                        </w:r>
                        <w:r>
                          <w:rPr>
                            <w:rFonts w:hint="eastAsia" w:ascii="Times New Roman" w:hAnsi="Times New Roman" w:cs="Times New Roman"/>
                          </w:rPr>
                          <w:t>展初步的环境状况调查</w:t>
                        </w:r>
                      </w:p>
                    </w:txbxContent>
                  </v:textbox>
                </v:rect>
                <v:rect id="Rectangle 372" o:spid="_x0000_s1026" o:spt="1" style="position:absolute;left:16753;top:37971;height:421;width:4488;" fillcolor="#FFFFFF" filled="t" stroked="t" coordsize="21600,21600" o:gfxdata="UEsDBAoAAAAAAIdO4kAAAAAAAAAAAAAAAAAEAAAAZHJzL1BLAwQUAAAACACHTuJAbTRbBL4AAADc&#10;AAAADwAAAGRycy9kb3ducmV2LnhtbEWPQW/CMAyF75P2HyJP2m0kMDG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b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52BDB4">
                        <w:pPr>
                          <w:pStyle w:val="91"/>
                          <w:spacing w:before="0" w:after="0"/>
                        </w:pPr>
                        <w:r>
                          <w:rPr>
                            <w:rFonts w:hint="eastAsia"/>
                          </w:rPr>
                          <w:t>依据相关规定确定环境影响评价文件类型</w:t>
                        </w:r>
                      </w:p>
                    </w:txbxContent>
                  </v:textbox>
                </v:rect>
                <v:shape id="Straight Connector 373" o:spid="_x0000_s1026" o:spt="32" type="#_x0000_t32" style="position:absolute;left:18940;top:38434;height:349;width:1;" filled="f" stroked="t" coordsize="21600,21600" o:gfxdata="UEsDBAoAAAAAAIdO4kAAAAAAAAAAAAAAAAAEAAAAZHJzL1BLAwQUAAAACACHTuJASPVPj7wAAADc&#10;AAAADwAAAGRycy9kb3ducmV2LnhtbEVPS2sCMRC+F/ofwgi91axCF1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1T4+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Straight Connector 375" o:spid="_x0000_s1026" o:spt="32" type="#_x0000_t32" style="position:absolute;left:18936;top:39882;height:309;width:1;" filled="f" stroked="t" coordsize="21600,21600" o:gfxdata="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jL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032" o:spid="_x0000_s1026" o:spt="1" style="position:absolute;left:16710;top:40204;height:1083;width:4470;" fillcolor="#FFFFFF" filled="t" stroked="t" coordsize="21600,21600" o:gfxdata="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jg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D1127CE">
                        <w:pPr>
                          <w:pStyle w:val="91"/>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1 环境影响识别和评价因子筛选</w:t>
                        </w:r>
                      </w:p>
                      <w:p w14:paraId="0DA1FF49">
                        <w:pPr>
                          <w:pStyle w:val="91"/>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2 明确评价重点和环境保护目标</w:t>
                        </w:r>
                      </w:p>
                      <w:p w14:paraId="27AB274D">
                        <w:pPr>
                          <w:pStyle w:val="91"/>
                          <w:spacing w:before="0" w:after="0" w:line="28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3 确定</w:t>
                        </w:r>
                        <w:r>
                          <w:rPr>
                            <w:rFonts w:hint="eastAsia" w:ascii="Times New Roman" w:hAnsi="Times New Roman" w:cs="Times New Roman"/>
                          </w:rPr>
                          <w:t>工作等级、评价范围和评价标准</w:t>
                        </w:r>
                      </w:p>
                    </w:txbxContent>
                  </v:textbox>
                </v:rect>
                <v:rect id="Rectangle 382" o:spid="_x0000_s1026" o:spt="1" style="position:absolute;left:17909;top:41589;height:421;width:1935;" fillcolor="#FFFFFF" filled="t" stroked="t" coordsize="21600,21600" o:gfxdata="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sKZ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3502768">
                        <w:pPr>
                          <w:pStyle w:val="91"/>
                          <w:spacing w:before="0" w:after="0"/>
                        </w:pPr>
                        <w:r>
                          <w:rPr>
                            <w:rFonts w:hint="eastAsia"/>
                          </w:rPr>
                          <w:t>制定工作方案</w:t>
                        </w:r>
                      </w:p>
                    </w:txbxContent>
                  </v:textbox>
                </v:rect>
                <v:shape id="Straight Connector 385" o:spid="_x0000_s1026" o:spt="32" type="#_x0000_t32" style="position:absolute;left:18893;top:42047;flip:x;height:465;width:7;" filled="f" stroked="t" coordsize="21600,21600" o:gfxdata="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34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Straight Connector 386" o:spid="_x0000_s1026" o:spt="32" type="#_x0000_t32" style="position:absolute;left:17289;top:42510;height:1;width:2940;" filled="f" stroked="t" coordsize="21600,21600" o:gfxdata="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9J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rect id="Rectangle 389" o:spid="_x0000_s1026" o:spt="1" style="position:absolute;left:16296;top:42925;height:770;width:2042;" fillcolor="#FFFFFF" filled="t" stroked="t" coordsize="21600,21600" o:gfxdata="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ZP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8D36936">
                        <w:pPr>
                          <w:pStyle w:val="91"/>
                          <w:spacing w:before="0" w:after="0" w:line="320" w:lineRule="exact"/>
                        </w:pPr>
                        <w:r>
                          <w:rPr>
                            <w:rFonts w:hint="eastAsia"/>
                          </w:rPr>
                          <w:t>环境现状调查监测与评价</w:t>
                        </w:r>
                      </w:p>
                    </w:txbxContent>
                  </v:textbox>
                </v:rect>
                <v:rect id="Rectangle 390" o:spid="_x0000_s1026" o:spt="1" style="position:absolute;left:19566;top:42937;height:781;width:1315;" fillcolor="#FFFFFF" filled="t" stroked="t" coordsize="21600,21600" o:gfxdata="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i6B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2F8E18E">
                        <w:pPr>
                          <w:pStyle w:val="91"/>
                          <w:spacing w:before="0" w:after="0" w:line="320" w:lineRule="exact"/>
                        </w:pPr>
                        <w:r>
                          <w:rPr>
                            <w:rFonts w:hint="eastAsia"/>
                          </w:rPr>
                          <w:t>建设项目工程分析</w:t>
                        </w:r>
                      </w:p>
                    </w:txbxContent>
                  </v:textbox>
                </v:rect>
                <v:shape id="Straight Connector 391" o:spid="_x0000_s1026" o:spt="32" type="#_x0000_t32" style="position:absolute;left:18871;top:44047;height:399;width:1;" filled="f" stroked="t" coordsize="21600,21600" o:gfxdata="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KtN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Straight Connector 394" o:spid="_x0000_s1026" o:spt="32" type="#_x0000_t32" style="position:absolute;left:17301;top:44048;height:1;width:2940;" filled="f" stroked="t" coordsize="21600,21600" o:gfxdata="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Y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rect id="Rectangle 395" o:spid="_x0000_s1026" o:spt="1" style="position:absolute;left:16868;top:44436;height:895;width:3885;" fillcolor="#FFFFFF" filled="t" stroked="t" coordsize="21600,21600" o:gfxdata="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UNC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6CF6863">
                        <w:pPr>
                          <w:pStyle w:val="91"/>
                          <w:spacing w:before="0" w:after="0" w:line="320" w:lineRule="exact"/>
                          <w:jc w:val="both"/>
                          <w:rPr>
                            <w:rFonts w:ascii="Times New Roman" w:hAnsi="Times New Roman" w:cs="Times New Roman"/>
                          </w:rPr>
                        </w:pPr>
                        <w:r>
                          <w:rPr>
                            <w:rFonts w:hint="eastAsia" w:ascii="Times New Roman" w:hAnsi="Times New Roman" w:cs="Times New Roman"/>
                          </w:rPr>
                          <w:t xml:space="preserve">   1 各环境要素环境影响预测与评价</w:t>
                        </w:r>
                      </w:p>
                      <w:p w14:paraId="61E885DC">
                        <w:pPr>
                          <w:pStyle w:val="91"/>
                          <w:spacing w:before="0" w:after="0" w:line="320" w:lineRule="exact"/>
                          <w:jc w:val="both"/>
                          <w:rPr>
                            <w:rFonts w:ascii="Times New Roman" w:hAnsi="Times New Roman" w:cs="Times New Roman"/>
                          </w:rPr>
                        </w:pPr>
                        <w:r>
                          <w:rPr>
                            <w:rFonts w:hint="eastAsia" w:ascii="Times New Roman" w:hAnsi="Times New Roman" w:cs="Times New Roman"/>
                          </w:rPr>
                          <w:t xml:space="preserve">   2 各专题环境影响分析与评价</w:t>
                        </w:r>
                      </w:p>
                    </w:txbxContent>
                  </v:textbox>
                </v:rect>
                <v:rect id="Rectangle 397" o:spid="_x0000_s1026" o:spt="1" style="position:absolute;left:16733;top:45729;height:1294;width:4170;" fillcolor="#FFFFFF" filled="t" stroked="t" coordsize="21600,21600" o:gfxdata="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cL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7F4DDE">
                        <w:pPr>
                          <w:pStyle w:val="91"/>
                          <w:spacing w:before="0" w:after="0" w:line="360" w:lineRule="exact"/>
                          <w:jc w:val="both"/>
                          <w:rPr>
                            <w:rFonts w:ascii="Times New Roman" w:hAnsi="Times New Roman" w:cs="Times New Roman"/>
                          </w:rPr>
                        </w:pPr>
                        <w:r>
                          <w:rPr>
                            <w:rFonts w:hint="eastAsia" w:ascii="Times New Roman" w:hAnsi="Times New Roman" w:cs="Times New Roman"/>
                          </w:rPr>
                          <w:t xml:space="preserve"> 1 提出环境保护措施，进行技术经济论证</w:t>
                        </w:r>
                      </w:p>
                      <w:p w14:paraId="5D58978B">
                        <w:pPr>
                          <w:pStyle w:val="91"/>
                          <w:spacing w:before="0" w:after="0" w:line="360" w:lineRule="exact"/>
                          <w:jc w:val="both"/>
                          <w:rPr>
                            <w:rFonts w:ascii="Times New Roman" w:hAnsi="Times New Roman" w:cs="Times New Roman"/>
                          </w:rPr>
                        </w:pPr>
                        <w:r>
                          <w:rPr>
                            <w:rFonts w:hint="eastAsia" w:ascii="Times New Roman" w:hAnsi="Times New Roman" w:cs="Times New Roman"/>
                          </w:rPr>
                          <w:t xml:space="preserve"> 2 给出污染物排放清单</w:t>
                        </w:r>
                      </w:p>
                      <w:p w14:paraId="2D444708">
                        <w:pPr>
                          <w:pStyle w:val="91"/>
                          <w:spacing w:before="0" w:after="0" w:line="360" w:lineRule="exact"/>
                          <w:jc w:val="both"/>
                          <w:rPr>
                            <w:rFonts w:ascii="Times New Roman" w:hAnsi="Times New Roman" w:cs="Times New Roman"/>
                          </w:rPr>
                        </w:pPr>
                        <w:r>
                          <w:rPr>
                            <w:rFonts w:hint="eastAsia" w:ascii="Times New Roman" w:hAnsi="Times New Roman" w:cs="Times New Roman"/>
                          </w:rPr>
                          <w:t xml:space="preserve"> 3给出建设项目环境影响评价结论</w:t>
                        </w:r>
                      </w:p>
                      <w:p w14:paraId="7FE06D14">
                        <w:pPr>
                          <w:pStyle w:val="91"/>
                        </w:pPr>
                      </w:p>
                    </w:txbxContent>
                  </v:textbox>
                </v:rect>
                <v:shape id="Straight Connector 398" o:spid="_x0000_s1026" o:spt="32" type="#_x0000_t32" style="position:absolute;left:18831;top:47040;height:363;width:1;" filled="f" stroked="t" coordsize="21600,21600" o:gfxdata="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2H+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Rectangle 399" o:spid="_x0000_s1026" o:spt="1" style="position:absolute;left:17341;top:47397;height:414;width:2909;" fillcolor="#FFFFFF" filled="t" stroked="t" coordsize="21600,21600" o:gfxdata="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pMI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FF323CE">
                        <w:pPr>
                          <w:pStyle w:val="91"/>
                          <w:spacing w:before="0" w:after="0"/>
                        </w:pPr>
                        <w:r>
                          <w:rPr>
                            <w:rFonts w:hint="eastAsia"/>
                          </w:rPr>
                          <w:t>编制环境影响报告书（表）</w:t>
                        </w:r>
                      </w:p>
                    </w:txbxContent>
                  </v:textbox>
                </v:rect>
                <v:shape id="Straight Connector 409" o:spid="_x0000_s1026" o:spt="32" type="#_x0000_t32" style="position:absolute;left:14627;top:45513;height:1;width:8415;" filled="f" stroked="t" coordsize="21600,21600" o:gfxdata="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ce0vQAA&#10;ANw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rect id="Rectangle 413" o:spid="_x0000_s1026" o:spt="1" style="position:absolute;left:14764;top:37756;height:10377;width:8415;" filled="f" stroked="t" coordsize="21600,21600" o:gfxdata="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LIG8AAAA&#10;3AAAAA8AAAAAAAAAAQAgAAAAIgAAAGRycy9kb3ducmV2LnhtbFBLAQIUABQAAAAIAIdO4kAzLwWe&#10;OwAAADkAAAAQAAAAAAAAAAEAIAAAAAsBAABkcnMvc2hhcGV4bWwueG1sUEsFBgAAAAAGAAYAWwEA&#10;ALUDAAAAAA==&#10;">
                  <v:fill on="f" focussize="0,0"/>
                  <v:stroke color="#000000" joinstyle="miter" dashstyle="dash"/>
                  <v:imagedata o:title=""/>
                  <o:lock v:ext="edit" aspectratio="f"/>
                  <v:textbox>
                    <w:txbxContent>
                      <w:p w14:paraId="3C186B49">
                        <w:pPr>
                          <w:ind w:left="0" w:leftChars="0" w:firstLine="0" w:firstLineChars="0"/>
                        </w:pPr>
                      </w:p>
                    </w:txbxContent>
                  </v:textbox>
                </v:rect>
                <v:shape id="Straight Connector 391" o:spid="_x0000_s1026" o:spt="32" type="#_x0000_t32" style="position:absolute;left:18832;top:45359;height:399;width:1;" filled="f" stroked="t" coordsize="21600,21600" o:gfxdata="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DRn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w10:wrap type="none"/>
                <w10:anchorlock/>
              </v:group>
            </w:pict>
          </mc:Fallback>
        </mc:AlternateContent>
      </w:r>
    </w:p>
    <w:p w14:paraId="63386AD1">
      <w:pPr>
        <w:pStyle w:val="41"/>
        <w:spacing w:line="480" w:lineRule="exact"/>
        <w:ind w:firstLine="0" w:firstLineChars="0"/>
        <w:jc w:val="center"/>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图1.2-1</w:t>
      </w:r>
      <w:r>
        <w:rPr>
          <w:rFonts w:hint="eastAsia" w:cs="Times New Roman"/>
          <w:b/>
          <w:bCs/>
          <w:color w:val="000000" w:themeColor="text1"/>
          <w:szCs w:val="24"/>
          <w:highlight w:val="none"/>
          <w14:textFill>
            <w14:solidFill>
              <w14:schemeClr w14:val="tx1"/>
            </w14:solidFill>
          </w14:textFill>
        </w:rPr>
        <w:t xml:space="preserve">    </w:t>
      </w:r>
      <w:r>
        <w:rPr>
          <w:rFonts w:cs="Times New Roman"/>
          <w:b/>
          <w:bCs/>
          <w:color w:val="000000" w:themeColor="text1"/>
          <w:szCs w:val="24"/>
          <w:highlight w:val="none"/>
          <w14:textFill>
            <w14:solidFill>
              <w14:schemeClr w14:val="tx1"/>
            </w14:solidFill>
          </w14:textFill>
        </w:rPr>
        <w:t>环境影响评价工作程序</w:t>
      </w:r>
      <w:r>
        <w:rPr>
          <w:rFonts w:hint="eastAsia" w:cs="Times New Roman"/>
          <w:b/>
          <w:bCs/>
          <w:color w:val="000000" w:themeColor="text1"/>
          <w:szCs w:val="24"/>
          <w:highlight w:val="none"/>
          <w14:textFill>
            <w14:solidFill>
              <w14:schemeClr w14:val="tx1"/>
            </w14:solidFill>
          </w14:textFill>
        </w:rPr>
        <w:t>图</w:t>
      </w:r>
    </w:p>
    <w:p w14:paraId="65BF1B38">
      <w:pPr>
        <w:pStyle w:val="3"/>
        <w:spacing w:line="560" w:lineRule="atLeast"/>
        <w:rPr>
          <w:color w:val="000000" w:themeColor="text1"/>
          <w:highlight w:val="none"/>
          <w14:textFill>
            <w14:solidFill>
              <w14:schemeClr w14:val="tx1"/>
            </w14:solidFill>
          </w14:textFill>
        </w:rPr>
      </w:pPr>
      <w:bookmarkStart w:id="34" w:name="_Toc107413873"/>
      <w:bookmarkStart w:id="35" w:name="_Toc23057"/>
      <w:bookmarkStart w:id="36" w:name="_Toc26878"/>
      <w:bookmarkStart w:id="37" w:name="_Toc24627"/>
      <w:bookmarkStart w:id="38" w:name="_Toc4397"/>
      <w:bookmarkStart w:id="39" w:name="_Toc26741"/>
      <w:bookmarkStart w:id="40" w:name="_Toc107414640"/>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3分析判定相关情况</w:t>
      </w:r>
      <w:bookmarkEnd w:id="34"/>
      <w:bookmarkEnd w:id="35"/>
      <w:bookmarkEnd w:id="36"/>
      <w:bookmarkEnd w:id="37"/>
      <w:bookmarkEnd w:id="38"/>
      <w:bookmarkEnd w:id="39"/>
      <w:bookmarkEnd w:id="40"/>
    </w:p>
    <w:p w14:paraId="39E2AAE9">
      <w:pPr>
        <w:pStyle w:val="4"/>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1.3.1相关政策符合性分析</w:t>
      </w:r>
    </w:p>
    <w:p w14:paraId="54C773DC">
      <w:pPr>
        <w:pStyle w:val="5"/>
        <w:spacing w:before="0" w:after="0" w:line="480" w:lineRule="exact"/>
        <w:ind w:firstLine="482"/>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1.3.1.1与</w:t>
      </w:r>
      <w:r>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t>《产业结构调整指导目录（2024年本）》</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的符合性分析</w:t>
      </w:r>
    </w:p>
    <w:p w14:paraId="570B24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kern w:val="10"/>
          <w:sz w:val="24"/>
          <w:szCs w:val="24"/>
          <w14:textFill>
            <w14:solidFill>
              <w14:schemeClr w14:val="tx1"/>
            </w14:solidFill>
          </w14:textFill>
        </w:rPr>
      </w:pPr>
      <w:r>
        <w:rPr>
          <w:rFonts w:hint="default" w:ascii="Times New Roman" w:hAnsi="Times New Roman" w:eastAsia="宋体" w:cs="Times New Roman"/>
          <w:color w:val="000000" w:themeColor="text1"/>
          <w:kern w:val="10"/>
          <w:sz w:val="24"/>
          <w:szCs w:val="24"/>
          <w14:textFill>
            <w14:solidFill>
              <w14:schemeClr w14:val="tx1"/>
            </w14:solidFill>
          </w14:textFill>
        </w:rPr>
        <w:t>本项目为铁矿</w:t>
      </w:r>
      <w:r>
        <w:rPr>
          <w:rFonts w:hint="eastAsia" w:cs="Times New Roman"/>
          <w:color w:val="000000" w:themeColor="text1"/>
          <w:kern w:val="10"/>
          <w:sz w:val="24"/>
          <w:szCs w:val="24"/>
          <w:lang w:val="en-US" w:eastAsia="zh-CN"/>
          <w14:textFill>
            <w14:solidFill>
              <w14:schemeClr w14:val="tx1"/>
            </w14:solidFill>
          </w14:textFill>
        </w:rPr>
        <w:t>选矿</w:t>
      </w:r>
      <w:r>
        <w:rPr>
          <w:rFonts w:hint="default" w:ascii="Times New Roman" w:hAnsi="Times New Roman" w:eastAsia="宋体" w:cs="Times New Roman"/>
          <w:color w:val="000000" w:themeColor="text1"/>
          <w:kern w:val="10"/>
          <w:sz w:val="24"/>
          <w:szCs w:val="24"/>
          <w14:textFill>
            <w14:solidFill>
              <w14:schemeClr w14:val="tx1"/>
            </w14:solidFill>
          </w14:textFill>
        </w:rPr>
        <w:t>项目</w:t>
      </w:r>
      <w:r>
        <w:rPr>
          <w:rFonts w:hint="default" w:ascii="Times New Roman" w:hAnsi="Times New Roman" w:eastAsia="宋体" w:cs="Times New Roman"/>
          <w:color w:val="000000" w:themeColor="text1"/>
          <w:kern w:val="10"/>
          <w:sz w:val="24"/>
          <w:szCs w:val="24"/>
          <w:lang w:eastAsia="zh-CN"/>
          <w14:textFill>
            <w14:solidFill>
              <w14:schemeClr w14:val="tx1"/>
            </w14:solidFill>
          </w14:textFill>
        </w:rPr>
        <w:t>，</w:t>
      </w:r>
      <w:r>
        <w:rPr>
          <w:rFonts w:cs="Times New Roman"/>
          <w:color w:val="000000" w:themeColor="text1"/>
          <w:highlight w:val="none"/>
          <w14:textFill>
            <w14:solidFill>
              <w14:schemeClr w14:val="tx1"/>
            </w14:solidFill>
          </w14:textFill>
        </w:rPr>
        <w:t>根据《产业结构调整指导目录（20</w:t>
      </w:r>
      <w:r>
        <w:rPr>
          <w:rFonts w:hint="eastAsia" w:cs="Times New Roman"/>
          <w:color w:val="000000" w:themeColor="text1"/>
          <w:highlight w:val="none"/>
          <w:lang w:val="en-US" w:eastAsia="zh-CN"/>
          <w14:textFill>
            <w14:solidFill>
              <w14:schemeClr w14:val="tx1"/>
            </w14:solidFill>
          </w14:textFill>
        </w:rPr>
        <w:t>24</w:t>
      </w:r>
      <w:r>
        <w:rPr>
          <w:rFonts w:cs="Times New Roman"/>
          <w:color w:val="000000" w:themeColor="text1"/>
          <w:highlight w:val="none"/>
          <w14:textFill>
            <w14:solidFill>
              <w14:schemeClr w14:val="tx1"/>
            </w14:solidFill>
          </w14:textFill>
        </w:rPr>
        <w:t>年本）》，本项目</w:t>
      </w:r>
      <w:r>
        <w:rPr>
          <w:rFonts w:hint="default" w:ascii="Times New Roman" w:hAnsi="Times New Roman" w:eastAsia="宋体" w:cs="Times New Roman"/>
          <w:color w:val="000000" w:themeColor="text1"/>
          <w:kern w:val="10"/>
          <w:sz w:val="24"/>
          <w:szCs w:val="24"/>
          <w14:textFill>
            <w14:solidFill>
              <w14:schemeClr w14:val="tx1"/>
            </w14:solidFill>
          </w14:textFill>
        </w:rPr>
        <w:t>属于</w:t>
      </w:r>
      <w:r>
        <w:rPr>
          <w:rFonts w:hint="eastAsia" w:cs="Times New Roman"/>
          <w:color w:val="000000" w:themeColor="text1"/>
          <w:highlight w:val="none"/>
          <w14:textFill>
            <w14:solidFill>
              <w14:schemeClr w14:val="tx1"/>
            </w14:solidFill>
          </w14:textFill>
        </w:rPr>
        <w:t>名录中</w:t>
      </w:r>
      <w:r>
        <w:rPr>
          <w:rFonts w:hint="eastAsia" w:cs="Times New Roman"/>
          <w:color w:val="000000" w:themeColor="text1"/>
          <w:highlight w:val="none"/>
          <w:lang w:eastAsia="zh-CN"/>
          <w14:textFill>
            <w14:solidFill>
              <w14:schemeClr w14:val="tx1"/>
            </w14:solidFill>
          </w14:textFill>
        </w:rPr>
        <w:t>的</w:t>
      </w:r>
      <w:r>
        <w:rPr>
          <w:rFonts w:hint="default" w:ascii="Times New Roman" w:hAnsi="Times New Roman" w:eastAsia="宋体" w:cs="Times New Roman"/>
          <w:color w:val="000000" w:themeColor="text1"/>
          <w:kern w:val="10"/>
          <w:sz w:val="24"/>
          <w:szCs w:val="24"/>
          <w14:textFill>
            <w14:solidFill>
              <w14:schemeClr w14:val="tx1"/>
            </w14:solidFill>
          </w14:textFill>
        </w:rPr>
        <w:t>鼓励类</w:t>
      </w:r>
      <w:r>
        <w:rPr>
          <w:rFonts w:hint="eastAsia" w:ascii="Times New Roman" w:hAnsi="Times New Roman" w:eastAsia="宋体" w:cs="Times New Roman"/>
          <w:color w:val="000000" w:themeColor="text1"/>
          <w:kern w:val="1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10"/>
          <w:sz w:val="24"/>
          <w:szCs w:val="24"/>
          <w14:textFill>
            <w14:solidFill>
              <w14:schemeClr w14:val="tx1"/>
            </w14:solidFill>
          </w14:textFill>
        </w:rPr>
        <w:t>八、钢铁1．黑色金属矿山开采、选矿及共伴生矿产综合开发利用</w:t>
      </w:r>
      <w:r>
        <w:rPr>
          <w:rFonts w:hint="default" w:ascii="Times New Roman" w:hAnsi="Times New Roman" w:eastAsia="宋体" w:cs="Times New Roman"/>
          <w:color w:val="000000" w:themeColor="text1"/>
          <w:kern w:val="1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10"/>
          <w:sz w:val="24"/>
          <w:szCs w:val="24"/>
          <w14:textFill>
            <w14:solidFill>
              <w14:schemeClr w14:val="tx1"/>
            </w14:solidFill>
          </w14:textFill>
        </w:rPr>
        <w:t>黑色金属矿山尾矿充填采矿工艺、技术及装备</w:t>
      </w:r>
      <w:r>
        <w:rPr>
          <w:rFonts w:hint="eastAsia" w:ascii="Times New Roman" w:hAnsi="Times New Roman" w:eastAsia="宋体" w:cs="Times New Roman"/>
          <w:color w:val="000000" w:themeColor="text1"/>
          <w:kern w:val="10"/>
          <w:sz w:val="24"/>
          <w:szCs w:val="24"/>
          <w:lang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10"/>
          <w:sz w:val="24"/>
          <w:szCs w:val="24"/>
          <w14:textFill>
            <w14:solidFill>
              <w14:schemeClr w14:val="tx1"/>
            </w14:solidFill>
          </w14:textFill>
        </w:rPr>
        <w:t>本项目的建设符合《产业结构调整指导目录（20</w:t>
      </w:r>
      <w:r>
        <w:rPr>
          <w:rFonts w:hint="default" w:ascii="Times New Roman" w:hAnsi="Times New Roman" w:eastAsia="宋体" w:cs="Times New Roman"/>
          <w:color w:val="000000" w:themeColor="text1"/>
          <w:kern w:val="10"/>
          <w:sz w:val="24"/>
          <w:szCs w:val="24"/>
          <w:lang w:val="en-US" w:eastAsia="zh-CN"/>
          <w14:textFill>
            <w14:solidFill>
              <w14:schemeClr w14:val="tx1"/>
            </w14:solidFill>
          </w14:textFill>
        </w:rPr>
        <w:t>24</w:t>
      </w:r>
      <w:r>
        <w:rPr>
          <w:rFonts w:hint="default" w:ascii="Times New Roman" w:hAnsi="Times New Roman" w:eastAsia="宋体" w:cs="Times New Roman"/>
          <w:color w:val="000000" w:themeColor="text1"/>
          <w:kern w:val="10"/>
          <w:sz w:val="24"/>
          <w:szCs w:val="24"/>
          <w14:textFill>
            <w14:solidFill>
              <w14:schemeClr w14:val="tx1"/>
            </w14:solidFill>
          </w14:textFill>
        </w:rPr>
        <w:t>年本）》</w:t>
      </w:r>
      <w:r>
        <w:rPr>
          <w:rFonts w:hint="eastAsia" w:ascii="Times New Roman" w:hAnsi="Times New Roman" w:eastAsia="宋体" w:cs="Times New Roman"/>
          <w:color w:val="000000" w:themeColor="text1"/>
          <w:kern w:val="10"/>
          <w:sz w:val="24"/>
          <w:szCs w:val="24"/>
          <w:lang w:eastAsia="zh-CN"/>
          <w14:textFill>
            <w14:solidFill>
              <w14:schemeClr w14:val="tx1"/>
            </w14:solidFill>
          </w14:textFill>
        </w:rPr>
        <w:t>的</w:t>
      </w:r>
      <w:r>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t>要求</w:t>
      </w:r>
      <w:r>
        <w:rPr>
          <w:rFonts w:hint="default" w:ascii="Times New Roman" w:hAnsi="Times New Roman" w:eastAsia="宋体" w:cs="Times New Roman"/>
          <w:color w:val="000000" w:themeColor="text1"/>
          <w:kern w:val="10"/>
          <w:sz w:val="24"/>
          <w:szCs w:val="24"/>
          <w14:textFill>
            <w14:solidFill>
              <w14:schemeClr w14:val="tx1"/>
            </w14:solidFill>
          </w14:textFill>
        </w:rPr>
        <w:t>。</w:t>
      </w:r>
    </w:p>
    <w:p w14:paraId="6B862FB7">
      <w:pPr>
        <w:pStyle w:val="5"/>
        <w:spacing w:before="0" w:after="0" w:line="480" w:lineRule="exact"/>
        <w:ind w:firstLine="482"/>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1.3.1.2与《西部地区鼓励类产业目录（2025年本）》的符合性分析</w:t>
      </w:r>
    </w:p>
    <w:p w14:paraId="2B77E22F">
      <w:pPr>
        <w:pStyle w:val="41"/>
        <w:spacing w:line="480" w:lineRule="exact"/>
        <w:ind w:firstLine="480"/>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t>根据《西部地区鼓励类产业目录</w:t>
      </w:r>
      <w:r>
        <w:rPr>
          <w:rFonts w:hint="default" w:ascii="Times New Roman" w:hAnsi="Times New Roman" w:eastAsia="宋体" w:cs="Times New Roman"/>
          <w:color w:val="000000" w:themeColor="text1"/>
          <w:kern w:val="10"/>
          <w:sz w:val="24"/>
          <w:szCs w:val="24"/>
          <w:lang w:val="en-US" w:eastAsia="zh-CN"/>
          <w14:textFill>
            <w14:solidFill>
              <w14:schemeClr w14:val="tx1"/>
            </w14:solidFill>
          </w14:textFill>
        </w:rPr>
        <w:t>（202</w:t>
      </w:r>
      <w:r>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kern w:val="10"/>
          <w:sz w:val="24"/>
          <w:szCs w:val="24"/>
          <w:lang w:val="en-US" w:eastAsia="zh-CN"/>
          <w14:textFill>
            <w14:solidFill>
              <w14:schemeClr w14:val="tx1"/>
            </w14:solidFill>
          </w14:textFill>
        </w:rPr>
        <w:t>年本）</w:t>
      </w:r>
      <w:r>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t>本项目属于新疆维吾尔自</w:t>
      </w:r>
      <w:r>
        <w:rPr>
          <w:rFonts w:hint="eastAsia" w:ascii="Times New Roman" w:hAnsi="Times New Roman" w:cs="Times New Roman"/>
          <w:color w:val="000000" w:themeColor="text1"/>
          <w:spacing w:val="0"/>
          <w:w w:val="100"/>
          <w:position w:val="0"/>
          <w:sz w:val="24"/>
          <w:lang w:val="en-US" w:eastAsia="zh-CN"/>
          <w14:textFill>
            <w14:solidFill>
              <w14:schemeClr w14:val="tx1"/>
            </w14:solidFill>
          </w14:textFill>
        </w:rPr>
        <w:t>治区</w:t>
      </w:r>
      <w:r>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t>（含新疆生产建设兵团）中19.铁、锰、铜、镍、铅、锌、钨、锡、钛、锑、镁、稀有金属和稀散金属勘探、有序开采、精深加工、加工新技术开发及应用，符合《西部地区鼓励类产业目录（202</w:t>
      </w:r>
      <w:r>
        <w:rPr>
          <w:rFonts w:hint="eastAsia" w:ascii="Times New Roman" w:hAnsi="Times New Roman" w:cs="Times New Roman"/>
          <w:color w:val="000000" w:themeColor="text1"/>
          <w:spacing w:val="0"/>
          <w:w w:val="100"/>
          <w:position w:val="0"/>
          <w:sz w:val="24"/>
          <w:lang w:val="en-US" w:eastAsia="zh-CN"/>
          <w14:textFill>
            <w14:solidFill>
              <w14:schemeClr w14:val="tx1"/>
            </w14:solidFill>
          </w14:textFill>
        </w:rPr>
        <w:t>5</w:t>
      </w:r>
      <w:r>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t>年本）》鼓励类产业要求</w:t>
      </w:r>
      <w:r>
        <w:rPr>
          <w:rFonts w:hint="eastAsia" w:cs="Times New Roman"/>
          <w:color w:val="000000" w:themeColor="text1"/>
          <w:spacing w:val="0"/>
          <w:w w:val="100"/>
          <w:position w:val="0"/>
          <w:sz w:val="24"/>
          <w:lang w:val="en-US" w:eastAsia="zh-CN"/>
          <w14:textFill>
            <w14:solidFill>
              <w14:schemeClr w14:val="tx1"/>
            </w14:solidFill>
          </w14:textFill>
        </w:rPr>
        <w:t>，</w:t>
      </w:r>
      <w:r>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t>因此，</w:t>
      </w:r>
      <w:r>
        <w:rPr>
          <w:rFonts w:hint="default" w:ascii="Times New Roman" w:hAnsi="Times New Roman" w:eastAsia="宋体" w:cs="Times New Roman"/>
          <w:color w:val="000000" w:themeColor="text1"/>
          <w:kern w:val="10"/>
          <w:sz w:val="24"/>
          <w:szCs w:val="24"/>
          <w14:textFill>
            <w14:solidFill>
              <w14:schemeClr w14:val="tx1"/>
            </w14:solidFill>
          </w14:textFill>
        </w:rPr>
        <w:t>本项目的建设符合《西部地区鼓励类产业目录（202</w:t>
      </w:r>
      <w:r>
        <w:rPr>
          <w:rFonts w:hint="eastAsia" w:cs="Times New Roman"/>
          <w:color w:val="000000" w:themeColor="text1"/>
          <w:kern w:val="10"/>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kern w:val="10"/>
          <w:sz w:val="24"/>
          <w:szCs w:val="24"/>
          <w14:textFill>
            <w14:solidFill>
              <w14:schemeClr w14:val="tx1"/>
            </w14:solidFill>
          </w14:textFill>
        </w:rPr>
        <w:t>年本）》的要求。</w:t>
      </w:r>
    </w:p>
    <w:p w14:paraId="29A6FBE2">
      <w:pPr>
        <w:pStyle w:val="5"/>
        <w:spacing w:before="0" w:after="0" w:line="480" w:lineRule="exact"/>
        <w:ind w:firstLine="482"/>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1.3.1.3</w:t>
      </w:r>
      <w:r>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t>与</w:t>
      </w: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《新疆维吾尔自治区重点行业生态环境准入条件（2024年）》</w:t>
      </w:r>
      <w:r>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t>的符合性分析</w:t>
      </w:r>
    </w:p>
    <w:p w14:paraId="1A1098D1">
      <w:pPr>
        <w:pStyle w:val="41"/>
        <w:spacing w:line="480" w:lineRule="exact"/>
        <w:ind w:firstLine="480"/>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t>2024年6月，《新疆维吾尔自治区重点行业生态环境准入条件（2024年）》对金属矿采选行业的选址与空间布局、污染防治与环境影响进行了要求，本项目与生态环境准入条件的符合性分析见表</w:t>
      </w:r>
      <w:r>
        <w:rPr>
          <w:rFonts w:hint="eastAsia" w:cs="Times New Roman"/>
          <w:color w:val="000000" w:themeColor="text1"/>
          <w:spacing w:val="0"/>
          <w:w w:val="100"/>
          <w:position w:val="0"/>
          <w:sz w:val="24"/>
          <w:lang w:val="en-US" w:eastAsia="zh-CN"/>
          <w14:textFill>
            <w14:solidFill>
              <w14:schemeClr w14:val="tx1"/>
            </w14:solidFill>
          </w14:textFill>
        </w:rPr>
        <w:t>1.3-1</w:t>
      </w:r>
      <w:r>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t>。</w:t>
      </w:r>
    </w:p>
    <w:p w14:paraId="306CFAC3">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Times New Roman"/>
          <w:b/>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lang w:val="en-US" w:eastAsia="zh-CN" w:bidi="ar"/>
          <w14:textFill>
            <w14:solidFill>
              <w14:schemeClr w14:val="tx1"/>
            </w14:solidFill>
          </w14:textFill>
        </w:rPr>
        <w:t>表</w:t>
      </w:r>
      <w:r>
        <w:rPr>
          <w:rFonts w:hint="eastAsia" w:ascii="Times New Roman" w:hAnsi="Times New Roman" w:eastAsia="宋体" w:cs="Times New Roman"/>
          <w:b/>
          <w:color w:val="000000" w:themeColor="text1"/>
          <w:kern w:val="0"/>
          <w:sz w:val="24"/>
          <w:szCs w:val="24"/>
          <w:highlight w:val="none"/>
          <w:lang w:val="en-US" w:eastAsia="zh-CN" w:bidi="ar"/>
          <w14:textFill>
            <w14:solidFill>
              <w14:schemeClr w14:val="tx1"/>
            </w14:solidFill>
          </w14:textFill>
        </w:rPr>
        <w:t>1.3-1</w:t>
      </w:r>
      <w:r>
        <w:rPr>
          <w:rFonts w:hint="default" w:ascii="Times New Roman" w:hAnsi="Times New Roman" w:eastAsia="宋体" w:cs="Times New Roman"/>
          <w:b/>
          <w:color w:val="000000" w:themeColor="text1"/>
          <w:kern w:val="0"/>
          <w:sz w:val="24"/>
          <w:szCs w:val="24"/>
          <w:highlight w:val="none"/>
          <w:lang w:val="en-US" w:eastAsia="zh-CN" w:bidi="ar"/>
          <w14:textFill>
            <w14:solidFill>
              <w14:schemeClr w14:val="tx1"/>
            </w14:solidFill>
          </w14:textFill>
        </w:rPr>
        <w:t xml:space="preserve">    </w:t>
      </w:r>
      <w:r>
        <w:rPr>
          <w:rFonts w:hint="default" w:ascii="Times New Roman" w:hAnsi="Times New Roman" w:eastAsia="宋体" w:cs="Times New Roman"/>
          <w:b/>
          <w:color w:val="000000" w:themeColor="text1"/>
          <w:kern w:val="0"/>
          <w:sz w:val="24"/>
          <w:szCs w:val="24"/>
          <w:highlight w:val="none"/>
          <w:lang w:bidi="ar"/>
          <w14:textFill>
            <w14:solidFill>
              <w14:schemeClr w14:val="tx1"/>
            </w14:solidFill>
          </w14:textFill>
        </w:rPr>
        <w:t>本项目与</w:t>
      </w:r>
      <w:r>
        <w:rPr>
          <w:rFonts w:hint="default" w:ascii="Times New Roman" w:hAnsi="Times New Roman" w:eastAsia="宋体" w:cs="Times New Roman"/>
          <w:b/>
          <w:color w:val="000000" w:themeColor="text1"/>
          <w:kern w:val="0"/>
          <w:sz w:val="24"/>
          <w:szCs w:val="24"/>
          <w:highlight w:val="none"/>
          <w:lang w:val="en-US" w:eastAsia="zh-CN" w:bidi="ar"/>
          <w14:textFill>
            <w14:solidFill>
              <w14:schemeClr w14:val="tx1"/>
            </w14:solidFill>
          </w14:textFill>
        </w:rPr>
        <w:t>生态</w:t>
      </w:r>
      <w:r>
        <w:rPr>
          <w:rFonts w:hint="default" w:ascii="Times New Roman" w:hAnsi="Times New Roman" w:eastAsia="宋体" w:cs="Times New Roman"/>
          <w:b/>
          <w:color w:val="000000" w:themeColor="text1"/>
          <w:kern w:val="0"/>
          <w:sz w:val="24"/>
          <w:szCs w:val="24"/>
          <w:highlight w:val="none"/>
          <w:lang w:bidi="ar"/>
          <w14:textFill>
            <w14:solidFill>
              <w14:schemeClr w14:val="tx1"/>
            </w14:solidFill>
          </w14:textFill>
        </w:rPr>
        <w:t>环境准入条件符合性分析</w:t>
      </w:r>
      <w:r>
        <w:rPr>
          <w:rFonts w:hint="eastAsia" w:ascii="Times New Roman" w:hAnsi="Times New Roman" w:eastAsia="宋体" w:cs="Times New Roman"/>
          <w:b/>
          <w:color w:val="000000" w:themeColor="text1"/>
          <w:kern w:val="0"/>
          <w:sz w:val="24"/>
          <w:szCs w:val="24"/>
          <w:highlight w:val="none"/>
          <w:lang w:val="en-US" w:eastAsia="zh-CN" w:bidi="ar"/>
          <w14:textFill>
            <w14:solidFill>
              <w14:schemeClr w14:val="tx1"/>
            </w14:solidFill>
          </w14:textFill>
        </w:rPr>
        <w:t>一览</w:t>
      </w:r>
      <w:r>
        <w:rPr>
          <w:rFonts w:hint="default" w:ascii="Times New Roman" w:hAnsi="Times New Roman" w:eastAsia="宋体" w:cs="Times New Roman"/>
          <w:b/>
          <w:color w:val="000000" w:themeColor="text1"/>
          <w:kern w:val="0"/>
          <w:sz w:val="24"/>
          <w:szCs w:val="24"/>
          <w:highlight w:val="none"/>
          <w:lang w:bidi="ar"/>
          <w14:textFill>
            <w14:solidFill>
              <w14:schemeClr w14:val="tx1"/>
            </w14:solidFill>
          </w14:textFill>
        </w:rPr>
        <w:t>表</w:t>
      </w:r>
    </w:p>
    <w:tbl>
      <w:tblPr>
        <w:tblStyle w:val="32"/>
        <w:tblW w:w="499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97"/>
        <w:gridCol w:w="3671"/>
        <w:gridCol w:w="3441"/>
        <w:gridCol w:w="810"/>
      </w:tblGrid>
      <w:tr w14:paraId="4D3445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350" w:type="pct"/>
            <w:tcBorders>
              <w:tl2br w:val="nil"/>
              <w:tr2bl w:val="nil"/>
            </w:tcBorders>
            <w:noWrap w:val="0"/>
            <w:vAlign w:val="center"/>
          </w:tcPr>
          <w:p w14:paraId="53F89C7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项目</w:t>
            </w:r>
          </w:p>
        </w:tc>
        <w:tc>
          <w:tcPr>
            <w:tcW w:w="2154" w:type="pct"/>
            <w:tcBorders>
              <w:tl2br w:val="nil"/>
              <w:tr2bl w:val="nil"/>
            </w:tcBorders>
            <w:noWrap w:val="0"/>
            <w:vAlign w:val="center"/>
          </w:tcPr>
          <w:p w14:paraId="11D7CD6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准入条件要求</w:t>
            </w:r>
          </w:p>
        </w:tc>
        <w:tc>
          <w:tcPr>
            <w:tcW w:w="2019" w:type="pct"/>
            <w:tcBorders>
              <w:tl2br w:val="nil"/>
              <w:tr2bl w:val="nil"/>
            </w:tcBorders>
            <w:noWrap w:val="0"/>
            <w:vAlign w:val="center"/>
          </w:tcPr>
          <w:p w14:paraId="2EFB939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本项目情况</w:t>
            </w:r>
          </w:p>
        </w:tc>
        <w:tc>
          <w:tcPr>
            <w:tcW w:w="475" w:type="pct"/>
            <w:tcBorders>
              <w:tl2br w:val="nil"/>
              <w:tr2bl w:val="nil"/>
            </w:tcBorders>
            <w:noWrap w:val="0"/>
            <w:vAlign w:val="center"/>
          </w:tcPr>
          <w:p w14:paraId="4D63249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符合性</w:t>
            </w:r>
          </w:p>
        </w:tc>
      </w:tr>
      <w:tr w14:paraId="70ECC6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0" w:type="pct"/>
            <w:vMerge w:val="restart"/>
            <w:tcBorders>
              <w:tl2br w:val="nil"/>
              <w:tr2bl w:val="nil"/>
            </w:tcBorders>
            <w:noWrap w:val="0"/>
            <w:vAlign w:val="center"/>
          </w:tcPr>
          <w:p w14:paraId="29A2962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选址与空间布局</w:t>
            </w:r>
          </w:p>
        </w:tc>
        <w:tc>
          <w:tcPr>
            <w:tcW w:w="2154" w:type="pct"/>
            <w:tcBorders>
              <w:tl2br w:val="nil"/>
              <w:tr2bl w:val="nil"/>
            </w:tcBorders>
            <w:noWrap w:val="0"/>
            <w:vAlign w:val="center"/>
          </w:tcPr>
          <w:p w14:paraId="69A455F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铁路、高速公路、国道、省道等重要交通干线两侧200米范围以内（其中，禁止在铁路、国道、省道两侧的直观可视范围内进行露天开采），重要工业区、大型水利工程设施、城镇市政工程设施所在区域，军事管理区、机场、国防工程设施圈定的区域</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居民聚集区1千米以内，伊犁河、额尔齐斯河等重点河流源头区，国家及自治区划定的重点流域Ⅰ、Ⅱ类和有饮用水取水口的Ⅲ类水体上游岸边1千米以内、其它Ⅲ类水体岸边200米以内，原则上不得建设涉及汞、镉、铬、铅、砷等重有色金属矿采选的工业场地、露天矿或尾矿库。存在山体等阻隔地形或建设人工地下水阻隔设施和严格防尘措施的，可适当放宽距离要求，具体根据专业机构论证结论确定。其他水体根据矿产资源开发利用结论和环境影响评价结论管控。</w:t>
            </w:r>
          </w:p>
        </w:tc>
        <w:tc>
          <w:tcPr>
            <w:tcW w:w="2019" w:type="pct"/>
            <w:tcBorders>
              <w:tl2br w:val="nil"/>
              <w:tr2bl w:val="nil"/>
            </w:tcBorders>
            <w:noWrap w:val="0"/>
            <w:vAlign w:val="center"/>
          </w:tcPr>
          <w:p w14:paraId="0BFF990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本项目不在铁路、高速公路、国道、省道等重要交通干线两侧200米范围内，</w:t>
            </w:r>
            <w:r>
              <w:rPr>
                <w:rFonts w:hint="eastAsia" w:cs="Times New Roman"/>
                <w:i w:val="0"/>
                <w:iCs w:val="0"/>
                <w:color w:val="000000" w:themeColor="text1"/>
                <w:kern w:val="0"/>
                <w:sz w:val="21"/>
                <w:szCs w:val="21"/>
                <w:u w:val="none"/>
                <w:lang w:val="en-US" w:eastAsia="zh-CN" w:bidi="ar"/>
                <w14:textFill>
                  <w14:solidFill>
                    <w14:schemeClr w14:val="tx1"/>
                  </w14:solidFill>
                </w14:textFill>
              </w:rPr>
              <w:t>亦不在</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重要工业区、大型水利工程设施、城镇市政工程设施所在区域</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，项目区</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周边无</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军事管理区、机场、</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国防工程设施圈定的区域</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居民聚集区1千米以内</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。本项目为铁矿</w:t>
            </w:r>
            <w:r>
              <w:rPr>
                <w:rFonts w:hint="eastAsia" w:cs="Times New Roman"/>
                <w:i w:val="0"/>
                <w:iCs w:val="0"/>
                <w:color w:val="000000" w:themeColor="text1"/>
                <w:kern w:val="0"/>
                <w:sz w:val="21"/>
                <w:szCs w:val="21"/>
                <w:u w:val="none"/>
                <w:lang w:val="en-US" w:eastAsia="zh-CN" w:bidi="ar"/>
                <w14:textFill>
                  <w14:solidFill>
                    <w14:schemeClr w14:val="tx1"/>
                  </w14:solidFill>
                </w14:textFill>
              </w:rPr>
              <w:t>选矿改扩建</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项目，</w:t>
            </w:r>
            <w:r>
              <w:rPr>
                <w:rFonts w:hint="eastAsia" w:cs="Times New Roman"/>
                <w:i w:val="0"/>
                <w:iCs w:val="0"/>
                <w:color w:val="000000" w:themeColor="text1"/>
                <w:kern w:val="0"/>
                <w:sz w:val="21"/>
                <w:szCs w:val="21"/>
                <w:u w:val="none"/>
                <w:lang w:val="en-US" w:eastAsia="zh-CN" w:bidi="ar"/>
                <w14:textFill>
                  <w14:solidFill>
                    <w14:schemeClr w14:val="tx1"/>
                  </w14:solidFill>
                </w14:textFill>
              </w:rPr>
              <w:t>铁矿</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不属于重有色金属矿，</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本项目周边无地表水体，距项目区最近的地表水体库如克郭勒河约153.8km</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，本项目选址与空间布局</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满足</w:t>
            </w:r>
            <w:r>
              <w:rPr>
                <w:rFonts w:hint="eastAsia" w:cs="Times New Roman"/>
                <w:i w:val="0"/>
                <w:iCs w:val="0"/>
                <w:color w:val="000000" w:themeColor="text1"/>
                <w:kern w:val="0"/>
                <w:sz w:val="21"/>
                <w:szCs w:val="21"/>
                <w:u w:val="none"/>
                <w:lang w:val="en-US" w:eastAsia="zh-CN" w:bidi="ar"/>
                <w14:textFill>
                  <w14:solidFill>
                    <w14:schemeClr w14:val="tx1"/>
                  </w14:solidFill>
                </w14:textFill>
              </w:rPr>
              <w:t>生态环境</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准入条件</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要求。</w:t>
            </w:r>
          </w:p>
        </w:tc>
        <w:tc>
          <w:tcPr>
            <w:tcW w:w="475" w:type="pct"/>
            <w:tcBorders>
              <w:tl2br w:val="nil"/>
              <w:tr2bl w:val="nil"/>
            </w:tcBorders>
            <w:noWrap w:val="0"/>
            <w:vAlign w:val="center"/>
          </w:tcPr>
          <w:p w14:paraId="0336605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14:paraId="2E194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1EA62FC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2154" w:type="pct"/>
            <w:tcBorders>
              <w:tl2br w:val="nil"/>
              <w:tr2bl w:val="nil"/>
            </w:tcBorders>
            <w:noWrap w:val="0"/>
            <w:vAlign w:val="center"/>
          </w:tcPr>
          <w:p w14:paraId="22B7ADC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尾矿库按《选矿厂尾矿设施设计规范》（ZBJ1）、《尾矿库安全监督管理规定》、《尾矿库安全规程》（GB39496）、《关于印发〈尾矿库环境应急管理工作指南（试行）〉的通知》（环办〔2010〕138号）、《防范化解尾矿库安全风险工作方案》（应急〔2020〕15号）、《尾矿污染环境防治管理办法》（中华人民共和国生态环境部令第26号）、《尾矿库环境风险评估技术导则（试行）》（HJ740）等要求进行选址、建设、运行和闭库。</w:t>
            </w:r>
          </w:p>
        </w:tc>
        <w:tc>
          <w:tcPr>
            <w:tcW w:w="2019" w:type="pct"/>
            <w:tcBorders>
              <w:tl2br w:val="nil"/>
              <w:tr2bl w:val="nil"/>
            </w:tcBorders>
            <w:noWrap w:val="0"/>
            <w:vAlign w:val="center"/>
          </w:tcPr>
          <w:p w14:paraId="78C7AB8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本项目选矿生产过程中产生尾矿，新建尾矿库</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按《选矿厂尾矿设施设计规范》（ZBJ1）、《尾矿库安全监督管理规定》《尾矿库安全规程》（GB39496）、《关于印发〈尾矿库环境应急管理工作指南（试行）〉的通知》（环办〔2010〕138号）、《防范化解尾矿库安全风险工作方案》（应急〔2020〕15号）、《尾矿污染环境防治管理办法》（中华人民共和国生态环境部令第26号）、《尾矿库环境风险评估技术导则（试行）》（HJ740）等要求选址、建设、运行和闭库。</w:t>
            </w:r>
          </w:p>
        </w:tc>
        <w:tc>
          <w:tcPr>
            <w:tcW w:w="475" w:type="pct"/>
            <w:tcBorders>
              <w:tl2br w:val="nil"/>
              <w:tr2bl w:val="nil"/>
            </w:tcBorders>
            <w:noWrap w:val="0"/>
            <w:vAlign w:val="center"/>
          </w:tcPr>
          <w:p w14:paraId="4F1F5D1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14:paraId="275D2A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07D9B1F0">
            <w:pPr>
              <w:keepNext w:val="0"/>
              <w:keepLines w:val="0"/>
              <w:pageBreakBefore w:val="0"/>
              <w:widowControl/>
              <w:kinsoku/>
              <w:wordWrap/>
              <w:overflowPunct/>
              <w:topLinePunct w:val="0"/>
              <w:autoSpaceDE/>
              <w:autoSpaceDN/>
              <w:bidi w:val="0"/>
              <w:adjustRightInd/>
              <w:snapToGrid/>
              <w:spacing w:line="360" w:lineRule="exact"/>
              <w:ind w:firstLine="0" w:firstLineChars="0"/>
              <w:jc w:val="both"/>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154" w:type="pct"/>
            <w:tcBorders>
              <w:tl2br w:val="nil"/>
              <w:tr2bl w:val="nil"/>
            </w:tcBorders>
            <w:noWrap w:val="0"/>
            <w:vAlign w:val="center"/>
          </w:tcPr>
          <w:p w14:paraId="01D2E1C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废石堆场及尾矿库选址应达到《一般工业固体废物贮存和填埋污染控制标准》（GB18599）要求，对不明确是否具有危险特性的尾矿砂，应当按照国家规定的危险废物鉴别标准和鉴别方法进行鉴别，经鉴别属于危险废物的按危险废物依法依规管理，其贮存设施应符合《危险废物贮存污染控制标准》（GB18597）。</w:t>
            </w:r>
          </w:p>
        </w:tc>
        <w:tc>
          <w:tcPr>
            <w:tcW w:w="2019" w:type="pct"/>
            <w:tcBorders>
              <w:tl2br w:val="nil"/>
              <w:tr2bl w:val="nil"/>
            </w:tcBorders>
            <w:noWrap w:val="0"/>
            <w:vAlign w:val="center"/>
          </w:tcPr>
          <w:p w14:paraId="7D8DA71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w:t>
            </w:r>
            <w:r>
              <w:rPr>
                <w:rFonts w:hint="eastAsia" w:cs="Times New Roman"/>
                <w:i w:val="0"/>
                <w:iCs w:val="0"/>
                <w:color w:val="000000" w:themeColor="text1"/>
                <w:kern w:val="0"/>
                <w:sz w:val="21"/>
                <w:szCs w:val="21"/>
                <w:u w:val="none"/>
                <w:lang w:val="en-US" w:eastAsia="zh-CN" w:bidi="ar"/>
                <w14:textFill>
                  <w14:solidFill>
                    <w14:schemeClr w14:val="tx1"/>
                  </w14:solidFill>
                </w14:textFill>
              </w:rPr>
              <w:t>项目尾矿砂属于《一般工业固体废物贮存和填埋污染控制标准》（GB18599-2020）中规定的Ⅰ类一般工业固体废物，尾矿砂部分用作建筑材料，其余堆至尾矿库；干选废石运至采矿区废石堆场堆放。</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废石堆场及尾矿库选址</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《一般工业固体废物贮存和填埋污染控制标准》（GB18599）要求</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75" w:type="pct"/>
            <w:tcBorders>
              <w:tl2br w:val="nil"/>
              <w:tr2bl w:val="nil"/>
            </w:tcBorders>
            <w:noWrap w:val="0"/>
            <w:vAlign w:val="center"/>
          </w:tcPr>
          <w:p w14:paraId="166DF7F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14:paraId="6E2E36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0" w:type="pct"/>
            <w:vMerge w:val="restart"/>
            <w:tcBorders>
              <w:tl2br w:val="nil"/>
              <w:tr2bl w:val="nil"/>
            </w:tcBorders>
            <w:noWrap w:val="0"/>
            <w:vAlign w:val="center"/>
          </w:tcPr>
          <w:p w14:paraId="4DFE9274">
            <w:pPr>
              <w:keepNext w:val="0"/>
              <w:keepLines w:val="0"/>
              <w:pageBreakBefore w:val="0"/>
              <w:widowControl/>
              <w:kinsoku/>
              <w:wordWrap/>
              <w:overflowPunct/>
              <w:topLinePunct w:val="0"/>
              <w:autoSpaceDE/>
              <w:autoSpaceDN/>
              <w:bidi w:val="0"/>
              <w:adjustRightInd/>
              <w:snapToGrid/>
              <w:spacing w:line="360" w:lineRule="exact"/>
              <w:ind w:firstLine="0" w:firstLineChars="0"/>
              <w:jc w:val="both"/>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污染防治与环境影响</w:t>
            </w:r>
          </w:p>
        </w:tc>
        <w:tc>
          <w:tcPr>
            <w:tcW w:w="2154" w:type="pct"/>
            <w:tcBorders>
              <w:tl2br w:val="nil"/>
              <w:tr2bl w:val="nil"/>
            </w:tcBorders>
            <w:noWrap w:val="0"/>
            <w:vAlign w:val="center"/>
          </w:tcPr>
          <w:p w14:paraId="2AE1A6F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铝矿采选执行《铝工业污染物排放标准》（GB25465），铅锌矿采选执行《铅、锌工业污染物排放标准》（GB25466），铜镍矿采选执行《铜、镍、钴工业污染物排放标准》（GB25467），稀土矿采选执行《稀土工业污染物排放标准》（GB26451），铁矿采选执行《铁矿采选工业污染物排放标准》（GB28661），钒矿采选执行《钒工业污染物排放标准》（GB26452），镁、钛矿采选执行《镁、钛工业污染物排放标准》（GB25468）。</w:t>
            </w:r>
          </w:p>
        </w:tc>
        <w:tc>
          <w:tcPr>
            <w:tcW w:w="2019" w:type="pct"/>
            <w:tcBorders>
              <w:tl2br w:val="nil"/>
              <w:tr2bl w:val="nil"/>
            </w:tcBorders>
            <w:noWrap w:val="0"/>
            <w:vAlign w:val="center"/>
          </w:tcPr>
          <w:p w14:paraId="7A0A744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本项目</w:t>
            </w:r>
            <w:r>
              <w:rPr>
                <w:rFonts w:hint="eastAsia" w:cs="Times New Roman"/>
                <w:i w:val="0"/>
                <w:iCs w:val="0"/>
                <w:color w:val="000000" w:themeColor="text1"/>
                <w:sz w:val="21"/>
                <w:szCs w:val="21"/>
                <w:u w:val="none"/>
                <w:lang w:val="en-US" w:eastAsia="zh-CN"/>
                <w14:textFill>
                  <w14:solidFill>
                    <w14:schemeClr w14:val="tx1"/>
                  </w14:solidFill>
                </w14:textFill>
              </w:rPr>
              <w:t>为</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铁矿</w:t>
            </w:r>
            <w:r>
              <w:rPr>
                <w:rFonts w:hint="eastAsia" w:cs="Times New Roman"/>
                <w:i w:val="0"/>
                <w:iCs w:val="0"/>
                <w:color w:val="000000" w:themeColor="text1"/>
                <w:sz w:val="21"/>
                <w:szCs w:val="21"/>
                <w:u w:val="none"/>
                <w:lang w:val="en-US" w:eastAsia="zh-CN"/>
                <w14:textFill>
                  <w14:solidFill>
                    <w14:schemeClr w14:val="tx1"/>
                  </w14:solidFill>
                </w14:textFill>
              </w:rPr>
              <w:t>选矿改建项目，废水、废气等污染物的排放</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执行《铁矿采选工业污染物排放标准》（GB28661</w:t>
            </w:r>
            <w:r>
              <w:rPr>
                <w:rFonts w:hint="eastAsia" w:cs="Times New Roman"/>
                <w:i w:val="0"/>
                <w:iCs w:val="0"/>
                <w:color w:val="000000" w:themeColor="text1"/>
                <w:sz w:val="21"/>
                <w:szCs w:val="21"/>
                <w:u w:val="none"/>
                <w:lang w:val="en-US" w:eastAsia="zh-CN"/>
                <w14:textFill>
                  <w14:solidFill>
                    <w14:schemeClr w14:val="tx1"/>
                  </w14:solidFill>
                </w14:textFill>
              </w:rPr>
              <w:t>-2012</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r>
              <w:rPr>
                <w:rFonts w:hint="eastAsia" w:cs="Times New Roman"/>
                <w:i w:val="0"/>
                <w:iCs w:val="0"/>
                <w:color w:val="000000" w:themeColor="text1"/>
                <w:sz w:val="21"/>
                <w:szCs w:val="21"/>
                <w:u w:val="none"/>
                <w:lang w:val="en-US" w:eastAsia="zh-CN"/>
                <w14:textFill>
                  <w14:solidFill>
                    <w14:schemeClr w14:val="tx1"/>
                  </w14:solidFill>
                </w14:textFill>
              </w:rPr>
              <w:t>限值要求</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c>
          <w:tcPr>
            <w:tcW w:w="475" w:type="pct"/>
            <w:tcBorders>
              <w:tl2br w:val="nil"/>
              <w:tr2bl w:val="nil"/>
            </w:tcBorders>
            <w:noWrap w:val="0"/>
            <w:vAlign w:val="center"/>
          </w:tcPr>
          <w:p w14:paraId="24E9F06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14:paraId="57CEE9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66132329">
            <w:pPr>
              <w:keepNext w:val="0"/>
              <w:keepLines w:val="0"/>
              <w:pageBreakBefore w:val="0"/>
              <w:widowControl/>
              <w:kinsoku/>
              <w:wordWrap/>
              <w:overflowPunct/>
              <w:topLinePunct w:val="0"/>
              <w:autoSpaceDE/>
              <w:autoSpaceDN/>
              <w:bidi w:val="0"/>
              <w:adjustRightInd/>
              <w:snapToGrid/>
              <w:spacing w:line="360" w:lineRule="exact"/>
              <w:ind w:firstLine="0" w:firstLineChars="0"/>
              <w:jc w:val="both"/>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154" w:type="pct"/>
            <w:tcBorders>
              <w:tl2br w:val="nil"/>
              <w:tr2bl w:val="nil"/>
            </w:tcBorders>
            <w:noWrap w:val="0"/>
            <w:vAlign w:val="center"/>
          </w:tcPr>
          <w:p w14:paraId="656C2A2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矿井涌水、矿坑涌水、选矿废水应优先用于生产工艺、降尘、绿化等，废水综合利用率应达到相关综合利用标准要求。采选废水排放有行业标准的应达到行业标准要求，无行业标准的应达到《污水综合排放标准》（GB8978）要求。生活污水处理达标后尽量综合利用，边远矿区的生活污水排放和综合利用可参照《农村生活污水处理排放标准》（DB65/4275）要求管控。</w:t>
            </w:r>
          </w:p>
        </w:tc>
        <w:tc>
          <w:tcPr>
            <w:tcW w:w="2019" w:type="pct"/>
            <w:tcBorders>
              <w:tl2br w:val="nil"/>
              <w:tr2bl w:val="nil"/>
            </w:tcBorders>
            <w:noWrap w:val="0"/>
            <w:vAlign w:val="center"/>
          </w:tcPr>
          <w:p w14:paraId="758568E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w:t>
            </w:r>
            <w:r>
              <w:rPr>
                <w:rFonts w:hint="eastAsia" w:cs="Times New Roman"/>
                <w:i w:val="0"/>
                <w:iCs w:val="0"/>
                <w:color w:val="000000" w:themeColor="text1"/>
                <w:kern w:val="0"/>
                <w:sz w:val="21"/>
                <w:szCs w:val="21"/>
                <w:u w:val="none"/>
                <w:lang w:val="en-US" w:eastAsia="zh-CN" w:bidi="ar"/>
                <w14:textFill>
                  <w14:solidFill>
                    <w14:schemeClr w14:val="tx1"/>
                  </w14:solidFill>
                </w14:textFill>
              </w:rPr>
              <w:t>生产废水“闭路循环”，不外排；生活污水处理达到《农村生活污水处理排放标准》（DB65 4275-2019）表2规定的A级排放限值以及《城市污水再生利用 城市杂用水水质》（GB/T18920-2020）中的城市绿化、道路清扫、消防、建筑施工限值后，灌溉期用于选矿厂绿化，非灌溉期用于选矿生产，不外排。</w:t>
            </w:r>
          </w:p>
        </w:tc>
        <w:tc>
          <w:tcPr>
            <w:tcW w:w="475" w:type="pct"/>
            <w:tcBorders>
              <w:tl2br w:val="nil"/>
              <w:tr2bl w:val="nil"/>
            </w:tcBorders>
            <w:noWrap w:val="0"/>
            <w:vAlign w:val="center"/>
          </w:tcPr>
          <w:p w14:paraId="08622FA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14:paraId="0C9A47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1B8C7128">
            <w:pPr>
              <w:keepNext w:val="0"/>
              <w:keepLines w:val="0"/>
              <w:pageBreakBefore w:val="0"/>
              <w:widowControl/>
              <w:kinsoku/>
              <w:wordWrap/>
              <w:overflowPunct/>
              <w:topLinePunct w:val="0"/>
              <w:autoSpaceDE/>
              <w:autoSpaceDN/>
              <w:bidi w:val="0"/>
              <w:adjustRightInd/>
              <w:snapToGrid/>
              <w:spacing w:line="360" w:lineRule="exact"/>
              <w:ind w:firstLine="0" w:firstLineChars="0"/>
              <w:jc w:val="both"/>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154" w:type="pct"/>
            <w:tcBorders>
              <w:tl2br w:val="nil"/>
              <w:tr2bl w:val="nil"/>
            </w:tcBorders>
            <w:noWrap w:val="0"/>
            <w:vAlign w:val="center"/>
          </w:tcPr>
          <w:p w14:paraId="0847BA3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采选活动矿石转运、破碎、筛分等粉尘产生工序，应配备抑尘、除尘设备，除尘效率不低于99%，有效控制无组织粉尘排放。采选矿各环节废气排放有行业标准的应达到行业标准要求，无行业标准的应达到《大气污染物综合排放标准》（GB16297）要求。</w:t>
            </w:r>
          </w:p>
        </w:tc>
        <w:tc>
          <w:tcPr>
            <w:tcW w:w="2019" w:type="pct"/>
            <w:tcBorders>
              <w:tl2br w:val="nil"/>
              <w:tr2bl w:val="nil"/>
            </w:tcBorders>
            <w:noWrap w:val="0"/>
            <w:vAlign w:val="center"/>
          </w:tcPr>
          <w:p w14:paraId="41C2DC7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本项目在选矿生产</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活动矿石转运、破碎、筛分等粉尘产生工序，</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配备袋式除尘器并洒水抑尘，除尘效率99.9%，车间、转载点均密闭，</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有效控制无组织粉尘排放。</w:t>
            </w:r>
            <w:r>
              <w:rPr>
                <w:rFonts w:hint="eastAsia" w:cs="Times New Roman"/>
                <w:i w:val="0"/>
                <w:iCs w:val="0"/>
                <w:color w:val="000000" w:themeColor="text1"/>
                <w:kern w:val="0"/>
                <w:sz w:val="21"/>
                <w:szCs w:val="21"/>
                <w:u w:val="none"/>
                <w:lang w:val="en-US" w:eastAsia="zh-CN" w:bidi="ar"/>
                <w14:textFill>
                  <w14:solidFill>
                    <w14:schemeClr w14:val="tx1"/>
                  </w14:solidFill>
                </w14:textFill>
              </w:rPr>
              <w:t>选矿生产过程中</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颗粒物</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排放</w:t>
            </w:r>
            <w:r>
              <w:rPr>
                <w:rFonts w:hint="eastAsia" w:cs="Times New Roman"/>
                <w:i w:val="0"/>
                <w:iCs w:val="0"/>
                <w:color w:val="000000" w:themeColor="text1"/>
                <w:kern w:val="0"/>
                <w:sz w:val="21"/>
                <w:szCs w:val="21"/>
                <w:u w:val="none"/>
                <w:lang w:val="en-US" w:eastAsia="zh-CN" w:bidi="ar"/>
                <w14:textFill>
                  <w14:solidFill>
                    <w14:schemeClr w14:val="tx1"/>
                  </w14:solidFill>
                </w14:textFill>
              </w:rPr>
              <w:t>执行</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《铁矿采选工业污染物排放标准》（GB28661</w:t>
            </w:r>
            <w:r>
              <w:rPr>
                <w:rFonts w:hint="eastAsia" w:cs="Times New Roman"/>
                <w:i w:val="0"/>
                <w:iCs w:val="0"/>
                <w:color w:val="000000" w:themeColor="text1"/>
                <w:sz w:val="21"/>
                <w:szCs w:val="21"/>
                <w:u w:val="none"/>
                <w:lang w:val="en-US" w:eastAsia="zh-CN"/>
                <w14:textFill>
                  <w14:solidFill>
                    <w14:schemeClr w14:val="tx1"/>
                  </w14:solidFill>
                </w14:textFill>
              </w:rPr>
              <w:t>-2012</w:t>
            </w: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c>
          <w:tcPr>
            <w:tcW w:w="475" w:type="pct"/>
            <w:tcBorders>
              <w:tl2br w:val="nil"/>
              <w:tr2bl w:val="nil"/>
            </w:tcBorders>
            <w:noWrap w:val="0"/>
            <w:vAlign w:val="center"/>
          </w:tcPr>
          <w:p w14:paraId="6CE2E93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14:paraId="354590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439A6EE8">
            <w:pPr>
              <w:keepNext w:val="0"/>
              <w:keepLines w:val="0"/>
              <w:pageBreakBefore w:val="0"/>
              <w:widowControl/>
              <w:kinsoku/>
              <w:wordWrap/>
              <w:overflowPunct/>
              <w:topLinePunct w:val="0"/>
              <w:autoSpaceDE/>
              <w:autoSpaceDN/>
              <w:bidi w:val="0"/>
              <w:adjustRightInd/>
              <w:snapToGrid/>
              <w:spacing w:line="360" w:lineRule="exact"/>
              <w:ind w:firstLine="0" w:firstLineChars="0"/>
              <w:jc w:val="both"/>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154" w:type="pct"/>
            <w:tcBorders>
              <w:tl2br w:val="nil"/>
              <w:tr2bl w:val="nil"/>
            </w:tcBorders>
            <w:noWrap w:val="0"/>
            <w:vAlign w:val="center"/>
          </w:tcPr>
          <w:p w14:paraId="06873E2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r>
              <w:rPr>
                <w:rStyle w:val="86"/>
                <w:rFonts w:hint="default" w:ascii="Times New Roman" w:hAnsi="Times New Roman" w:eastAsia="宋体" w:cs="Times New Roman"/>
                <w:color w:val="000000" w:themeColor="text1"/>
                <w:sz w:val="21"/>
                <w:szCs w:val="21"/>
                <w:lang w:val="en-US" w:eastAsia="zh-CN" w:bidi="ar"/>
                <w14:textFill>
                  <w14:solidFill>
                    <w14:schemeClr w14:val="tx1"/>
                  </w14:solidFill>
                </w14:textFill>
              </w:rPr>
              <w:t>噪声排放执行《工业企业厂界环境噪声排放标准》（</w:t>
            </w:r>
            <w:r>
              <w:rPr>
                <w:rStyle w:val="87"/>
                <w:rFonts w:hint="default" w:ascii="Times New Roman" w:hAnsi="Times New Roman" w:eastAsia="宋体" w:cs="Times New Roman"/>
                <w:color w:val="000000" w:themeColor="text1"/>
                <w:sz w:val="21"/>
                <w:szCs w:val="21"/>
                <w:lang w:val="en-US" w:eastAsia="zh-CN" w:bidi="ar"/>
                <w14:textFill>
                  <w14:solidFill>
                    <w14:schemeClr w14:val="tx1"/>
                  </w14:solidFill>
                </w14:textFill>
              </w:rPr>
              <w:t>GB12348</w:t>
            </w:r>
            <w:r>
              <w:rPr>
                <w:rStyle w:val="86"/>
                <w:rFonts w:hint="default" w:ascii="Times New Roman" w:hAnsi="Times New Roman" w:eastAsia="宋体" w:cs="Times New Roman"/>
                <w:color w:val="000000" w:themeColor="text1"/>
                <w:sz w:val="21"/>
                <w:szCs w:val="21"/>
                <w:lang w:val="en-US" w:eastAsia="zh-CN" w:bidi="ar"/>
                <w14:textFill>
                  <w14:solidFill>
                    <w14:schemeClr w14:val="tx1"/>
                  </w14:solidFill>
                </w14:textFill>
              </w:rPr>
              <w:t>）。</w:t>
            </w:r>
          </w:p>
        </w:tc>
        <w:tc>
          <w:tcPr>
            <w:tcW w:w="2019" w:type="pct"/>
            <w:tcBorders>
              <w:tl2br w:val="nil"/>
              <w:tr2bl w:val="nil"/>
            </w:tcBorders>
            <w:noWrap w:val="0"/>
            <w:vAlign w:val="center"/>
          </w:tcPr>
          <w:p w14:paraId="0DF0093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本项目噪声排放</w:t>
            </w:r>
            <w:r>
              <w:rPr>
                <w:rFonts w:hint="eastAsia" w:cs="Times New Roman"/>
                <w:i w:val="0"/>
                <w:iCs w:val="0"/>
                <w:color w:val="000000" w:themeColor="text1"/>
                <w:kern w:val="0"/>
                <w:sz w:val="21"/>
                <w:szCs w:val="21"/>
                <w:u w:val="none"/>
                <w:lang w:val="en-US" w:eastAsia="zh-CN" w:bidi="ar"/>
                <w14:textFill>
                  <w14:solidFill>
                    <w14:schemeClr w14:val="tx1"/>
                  </w14:solidFill>
                </w14:textFill>
              </w:rPr>
              <w:t>执行</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《工业企业厂界环境噪声排放标准》（GB12348-2008）2类标准要求</w:t>
            </w:r>
          </w:p>
        </w:tc>
        <w:tc>
          <w:tcPr>
            <w:tcW w:w="475" w:type="pct"/>
            <w:tcBorders>
              <w:tl2br w:val="nil"/>
              <w:tr2bl w:val="nil"/>
            </w:tcBorders>
            <w:noWrap w:val="0"/>
            <w:vAlign w:val="center"/>
          </w:tcPr>
          <w:p w14:paraId="78940EC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14:paraId="7618B3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7D677E57">
            <w:pPr>
              <w:keepNext w:val="0"/>
              <w:keepLines w:val="0"/>
              <w:pageBreakBefore w:val="0"/>
              <w:widowControl/>
              <w:kinsoku/>
              <w:wordWrap/>
              <w:overflowPunct/>
              <w:topLinePunct w:val="0"/>
              <w:autoSpaceDE/>
              <w:autoSpaceDN/>
              <w:bidi w:val="0"/>
              <w:adjustRightInd/>
              <w:snapToGrid/>
              <w:spacing w:line="360" w:lineRule="exact"/>
              <w:ind w:firstLine="0" w:firstLineChars="0"/>
              <w:jc w:val="both"/>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154" w:type="pct"/>
            <w:tcBorders>
              <w:tl2br w:val="nil"/>
              <w:tr2bl w:val="nil"/>
            </w:tcBorders>
            <w:noWrap w:val="0"/>
            <w:vAlign w:val="center"/>
          </w:tcPr>
          <w:p w14:paraId="0FC49DF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鼓励对废石、尾矿砂进行多途径综合利用，因地制宜选择合理的综合利用方式，提高综合利用率，其处置与综合利用应符合国家及行业相关标准规范要求。废石和尾矿砂应根据《一般工业固体废物贮存和填埋污染控制标准》（GB18599）进行管理，属危险废物的按危险废物相关要求依法依规进行管理，其贮存设施应符合《危险废物贮存污染控制标准》（GB18597）。生活垃圾实现100%无害化处置。</w:t>
            </w:r>
          </w:p>
        </w:tc>
        <w:tc>
          <w:tcPr>
            <w:tcW w:w="2019" w:type="pct"/>
            <w:tcBorders>
              <w:tl2br w:val="nil"/>
              <w:tr2bl w:val="nil"/>
            </w:tcBorders>
            <w:noWrap w:val="0"/>
            <w:vAlign w:val="center"/>
          </w:tcPr>
          <w:p w14:paraId="314A902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sz w:val="21"/>
                <w:szCs w:val="21"/>
                <w:highlight w:val="yellow"/>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本</w:t>
            </w:r>
            <w:r>
              <w:rPr>
                <w:rFonts w:hint="eastAsia" w:cs="Times New Roman"/>
                <w:i w:val="0"/>
                <w:iCs w:val="0"/>
                <w:color w:val="000000" w:themeColor="text1"/>
                <w:kern w:val="0"/>
                <w:sz w:val="21"/>
                <w:szCs w:val="21"/>
                <w:u w:val="none"/>
                <w:lang w:val="en-US" w:eastAsia="zh-CN" w:bidi="ar"/>
                <w14:textFill>
                  <w14:solidFill>
                    <w14:schemeClr w14:val="tx1"/>
                  </w14:solidFill>
                </w14:textFill>
              </w:rPr>
              <w:t>项目尾矿砂属于《一般工业固体废物贮存和填埋污染控制标准》（GB18599-2020）中规定的Ⅰ类一般工业固体废物，尾矿砂部分用作建筑材料，其余堆至尾矿库；干选废石属于《一般工业固体废物贮存和填埋污染控制标准》（GB18599-2020）中规定的Ⅰ类一般工业固体废物，运至采矿区废石堆场堆放，尾矿砂和干选废石的处置均符合</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《一般工业固体废物贮存和填埋污染控制标准》（GB18599）</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要求。</w:t>
            </w:r>
          </w:p>
        </w:tc>
        <w:tc>
          <w:tcPr>
            <w:tcW w:w="475" w:type="pct"/>
            <w:tcBorders>
              <w:tl2br w:val="nil"/>
              <w:tr2bl w:val="nil"/>
            </w:tcBorders>
            <w:noWrap w:val="0"/>
            <w:vAlign w:val="center"/>
          </w:tcPr>
          <w:p w14:paraId="11071CE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r w14:paraId="5CEA6D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noWrap w:val="0"/>
            <w:vAlign w:val="center"/>
          </w:tcPr>
          <w:p w14:paraId="19EE737D">
            <w:pPr>
              <w:keepNext w:val="0"/>
              <w:keepLines w:val="0"/>
              <w:pageBreakBefore w:val="0"/>
              <w:widowControl/>
              <w:kinsoku/>
              <w:wordWrap/>
              <w:overflowPunct/>
              <w:topLinePunct w:val="0"/>
              <w:autoSpaceDE/>
              <w:autoSpaceDN/>
              <w:bidi w:val="0"/>
              <w:adjustRightInd/>
              <w:snapToGrid/>
              <w:spacing w:line="360" w:lineRule="exact"/>
              <w:ind w:firstLine="0" w:firstLineChars="0"/>
              <w:jc w:val="both"/>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154" w:type="pct"/>
            <w:tcBorders>
              <w:tl2br w:val="nil"/>
              <w:tr2bl w:val="nil"/>
            </w:tcBorders>
            <w:noWrap w:val="0"/>
            <w:vAlign w:val="center"/>
          </w:tcPr>
          <w:p w14:paraId="4D0D468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6.矿山生态环境保护和恢复以及土地复垦应达到《矿山生态环境保护与恢复治理技术规范（试行）》（HJ651）及其他有关生态环境保护法律法规的相关要求。</w:t>
            </w:r>
          </w:p>
        </w:tc>
        <w:tc>
          <w:tcPr>
            <w:tcW w:w="2019" w:type="pct"/>
            <w:tcBorders>
              <w:tl2br w:val="nil"/>
              <w:tr2bl w:val="nil"/>
            </w:tcBorders>
            <w:noWrap w:val="0"/>
            <w:vAlign w:val="center"/>
          </w:tcPr>
          <w:p w14:paraId="55CF45C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center"/>
              <w:rPr>
                <w:rFonts w:hint="default" w:ascii="Times New Roman" w:hAnsi="Times New Roman" w:eastAsia="宋体" w:cs="Times New Roman"/>
                <w:i w:val="0"/>
                <w:iCs w:val="0"/>
                <w:color w:val="000000" w:themeColor="text1"/>
                <w:sz w:val="21"/>
                <w:szCs w:val="21"/>
                <w:highlight w:val="yellow"/>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建设单位</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已委托</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编制《新疆哈密市西成矿业有限责任公司M1033铁矿矿产资源开发利用与生态保护修复方案》</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，本次评价要求建设单位在选矿厂、尾矿库运行期间</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严格按照生态保护修复方案进行建设、</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生产</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75" w:type="pct"/>
            <w:tcBorders>
              <w:tl2br w:val="nil"/>
              <w:tr2bl w:val="nil"/>
            </w:tcBorders>
            <w:noWrap w:val="0"/>
            <w:vAlign w:val="center"/>
          </w:tcPr>
          <w:p w14:paraId="4C015D6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符合</w:t>
            </w:r>
          </w:p>
        </w:tc>
      </w:tr>
    </w:tbl>
    <w:p w14:paraId="56C5394A">
      <w:pPr>
        <w:pStyle w:val="41"/>
        <w:spacing w:line="480" w:lineRule="exact"/>
        <w:ind w:firstLine="480"/>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综上所述，</w:t>
      </w:r>
      <w:r>
        <w:rPr>
          <w:rFonts w:hint="default" w:ascii="Times New Roman" w:hAnsi="Times New Roman" w:eastAsia="宋体" w:cs="Times New Roman"/>
          <w:color w:val="000000" w:themeColor="text1"/>
          <w:sz w:val="24"/>
          <w:szCs w:val="24"/>
          <w14:textFill>
            <w14:solidFill>
              <w14:schemeClr w14:val="tx1"/>
            </w14:solidFill>
          </w14:textFill>
        </w:rPr>
        <w:t>本项目符合《新疆维吾尔自治区重点行业生态环境准入条件（2024年）》中的相关要求。</w:t>
      </w:r>
    </w:p>
    <w:p w14:paraId="7B429D01">
      <w:pPr>
        <w:pStyle w:val="5"/>
        <w:spacing w:before="0" w:after="0" w:line="480" w:lineRule="exact"/>
        <w:ind w:firstLine="482"/>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1.3.1.4</w:t>
      </w:r>
      <w:r>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t>与</w:t>
      </w:r>
      <w:r>
        <w:rPr>
          <w:rFonts w:hint="default" w:ascii="Times New Roman" w:hAnsi="Times New Roman" w:eastAsia="宋体" w:cs="Times New Roman"/>
          <w:bCs w:val="0"/>
          <w:color w:val="000000" w:themeColor="text1"/>
          <w:kern w:val="2"/>
          <w:szCs w:val="24"/>
          <w:highlight w:val="none"/>
          <w14:textFill>
            <w14:solidFill>
              <w14:schemeClr w14:val="tx1"/>
            </w14:solidFill>
          </w14:textFill>
        </w:rPr>
        <w:t>《空气质量持续改善行动计划》</w:t>
      </w:r>
      <w:r>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t>的符合性分析</w:t>
      </w:r>
    </w:p>
    <w:p w14:paraId="2D935FC1">
      <w:pPr>
        <w:pStyle w:val="41"/>
        <w:spacing w:line="480" w:lineRule="exact"/>
        <w:ind w:firstLine="480"/>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本项目与</w:t>
      </w:r>
      <w:r>
        <w:rPr>
          <w:rFonts w:hint="eastAsia" w:ascii="Times New Roman" w:hAnsi="Times New Roman" w:cs="Times New Roman"/>
          <w:color w:val="000000" w:themeColor="text1"/>
          <w:sz w:val="24"/>
          <w:highlight w:val="none"/>
          <w:lang w:eastAsia="zh-CN"/>
          <w14:textFill>
            <w14:solidFill>
              <w14:schemeClr w14:val="tx1"/>
            </w14:solidFill>
          </w14:textFill>
        </w:rPr>
        <w:t>《空气质量持续改善行动计划》的符合性分析</w:t>
      </w:r>
      <w:r>
        <w:rPr>
          <w:rFonts w:hint="eastAsia" w:ascii="Times New Roman" w:hAnsi="Times New Roman" w:cs="Times New Roman"/>
          <w:color w:val="000000" w:themeColor="text1"/>
          <w:sz w:val="24"/>
          <w:highlight w:val="none"/>
          <w:lang w:val="en-US" w:eastAsia="zh-CN"/>
          <w14:textFill>
            <w14:solidFill>
              <w14:schemeClr w14:val="tx1"/>
            </w14:solidFill>
          </w14:textFill>
        </w:rPr>
        <w:t>见表1.3-2。</w:t>
      </w:r>
    </w:p>
    <w:p w14:paraId="03AF4439">
      <w:pPr>
        <w:pStyle w:val="41"/>
        <w:spacing w:line="480" w:lineRule="exact"/>
        <w:ind w:left="0" w:leftChars="0" w:firstLine="0" w:firstLineChars="0"/>
        <w:jc w:val="center"/>
        <w:rPr>
          <w:rFonts w:hint="default" w:ascii="Times New Roman" w:hAnsi="Times New Roman" w:eastAsia="宋体" w:cs="Times New Roman"/>
          <w:b/>
          <w:bCs/>
          <w:color w:val="000000" w:themeColor="text1"/>
          <w:spacing w:val="0"/>
          <w:w w:val="100"/>
          <w:position w:val="0"/>
          <w:sz w:val="24"/>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 xml:space="preserve">表1.3-2    </w:t>
      </w:r>
      <w:r>
        <w:rPr>
          <w:rFonts w:hint="eastAsia" w:ascii="Times New Roman" w:hAnsi="Times New Roman" w:cs="Times New Roman"/>
          <w:b/>
          <w:bCs/>
          <w:color w:val="000000" w:themeColor="text1"/>
          <w:sz w:val="24"/>
          <w:szCs w:val="24"/>
          <w:highlight w:val="none"/>
          <w:lang w:val="en-US" w:eastAsia="zh-CN" w:bidi="ar"/>
          <w14:textFill>
            <w14:solidFill>
              <w14:schemeClr w14:val="tx1"/>
            </w14:solidFill>
          </w14:textFill>
        </w:rPr>
        <w:t>本项目与《空气质量持续改善行动计划》的符合性分析表</w:t>
      </w:r>
    </w:p>
    <w:tbl>
      <w:tblPr>
        <w:tblStyle w:val="32"/>
        <w:tblW w:w="494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49"/>
        <w:gridCol w:w="2664"/>
        <w:gridCol w:w="814"/>
      </w:tblGrid>
      <w:tr w14:paraId="00953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936" w:type="pct"/>
            <w:noWrap w:val="0"/>
            <w:vAlign w:val="center"/>
          </w:tcPr>
          <w:p w14:paraId="41D624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《空气质量持续改善行动计划》的</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相关</w:t>
            </w:r>
            <w:r>
              <w:rPr>
                <w:rFonts w:hint="default" w:ascii="Times New Roman" w:hAnsi="Times New Roman" w:eastAsia="宋体" w:cs="Times New Roman"/>
                <w:b/>
                <w:bCs/>
                <w:color w:val="000000" w:themeColor="text1"/>
                <w:sz w:val="21"/>
                <w:szCs w:val="21"/>
                <w14:textFill>
                  <w14:solidFill>
                    <w14:schemeClr w14:val="tx1"/>
                  </w14:solidFill>
                </w14:textFill>
              </w:rPr>
              <w:t>要求</w:t>
            </w:r>
          </w:p>
        </w:tc>
        <w:tc>
          <w:tcPr>
            <w:tcW w:w="1580" w:type="pct"/>
            <w:noWrap w:val="0"/>
            <w:vAlign w:val="center"/>
          </w:tcPr>
          <w:p w14:paraId="75C4E8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w:t>
            </w:r>
            <w:r>
              <w:rPr>
                <w:rFonts w:hint="eastAsia" w:cs="Times New Roman"/>
                <w:b/>
                <w:bCs/>
                <w:color w:val="000000" w:themeColor="text1"/>
                <w:sz w:val="21"/>
                <w:szCs w:val="21"/>
                <w:lang w:val="en-US" w:eastAsia="zh-CN"/>
                <w14:textFill>
                  <w14:solidFill>
                    <w14:schemeClr w14:val="tx1"/>
                  </w14:solidFill>
                </w14:textFill>
              </w:rPr>
              <w:t>项目</w:t>
            </w:r>
            <w:r>
              <w:rPr>
                <w:rFonts w:hint="default" w:ascii="Times New Roman" w:hAnsi="Times New Roman" w:eastAsia="宋体" w:cs="Times New Roman"/>
                <w:b/>
                <w:bCs/>
                <w:color w:val="000000" w:themeColor="text1"/>
                <w:sz w:val="21"/>
                <w:szCs w:val="21"/>
                <w14:textFill>
                  <w14:solidFill>
                    <w14:schemeClr w14:val="tx1"/>
                  </w14:solidFill>
                </w14:textFill>
              </w:rPr>
              <w:t>情况</w:t>
            </w:r>
          </w:p>
        </w:tc>
        <w:tc>
          <w:tcPr>
            <w:tcW w:w="483" w:type="pct"/>
            <w:noWrap w:val="0"/>
            <w:vAlign w:val="center"/>
          </w:tcPr>
          <w:p w14:paraId="419845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w:t>
            </w:r>
          </w:p>
        </w:tc>
      </w:tr>
      <w:tr w14:paraId="080AD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36" w:type="pct"/>
            <w:noWrap w:val="0"/>
            <w:vAlign w:val="center"/>
          </w:tcPr>
          <w:p w14:paraId="0966DA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580" w:type="pct"/>
            <w:noWrap w:val="0"/>
            <w:vAlign w:val="center"/>
          </w:tcPr>
          <w:p w14:paraId="1114F27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本项目为铁矿</w:t>
            </w:r>
            <w:r>
              <w:rPr>
                <w:rFonts w:hint="eastAsia" w:cs="Times New Roman"/>
                <w:color w:val="000000" w:themeColor="text1"/>
                <w:sz w:val="21"/>
                <w:szCs w:val="21"/>
                <w:lang w:val="en-US" w:eastAsia="zh-CN"/>
                <w14:textFill>
                  <w14:solidFill>
                    <w14:schemeClr w14:val="tx1"/>
                  </w14:solidFill>
                </w14:textFill>
              </w:rPr>
              <w:t>选矿</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项目，不属于</w:t>
            </w:r>
            <w:r>
              <w:rPr>
                <w:rFonts w:hint="default" w:ascii="Times New Roman" w:hAnsi="Times New Roman" w:eastAsia="宋体" w:cs="Times New Roman"/>
                <w:color w:val="000000" w:themeColor="text1"/>
                <w:sz w:val="21"/>
                <w:szCs w:val="21"/>
                <w14:textFill>
                  <w14:solidFill>
                    <w14:schemeClr w14:val="tx1"/>
                  </w14:solidFill>
                </w14:textFill>
              </w:rPr>
              <w:t>高耗能、高排放、低水平项目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不涉及产能置换</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本项目为“鼓励类”产业，符合产业政策、相关规划及规划环评的相关要求。</w:t>
            </w:r>
          </w:p>
        </w:tc>
        <w:tc>
          <w:tcPr>
            <w:tcW w:w="483" w:type="pct"/>
            <w:noWrap w:val="0"/>
            <w:vAlign w:val="center"/>
          </w:tcPr>
          <w:p w14:paraId="019582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123A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36" w:type="pct"/>
            <w:noWrap w:val="0"/>
            <w:vAlign w:val="center"/>
          </w:tcPr>
          <w:p w14:paraId="3A8B64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tc>
        <w:tc>
          <w:tcPr>
            <w:tcW w:w="1580" w:type="pct"/>
            <w:noWrap w:val="0"/>
            <w:vAlign w:val="center"/>
          </w:tcPr>
          <w:p w14:paraId="58DA8D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生产车间及辅助设施均设集中采暖，热源来自</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电锅炉，本项目不建设燃煤锅炉。</w:t>
            </w:r>
          </w:p>
        </w:tc>
        <w:tc>
          <w:tcPr>
            <w:tcW w:w="483" w:type="pct"/>
            <w:noWrap w:val="0"/>
            <w:vAlign w:val="center"/>
          </w:tcPr>
          <w:p w14:paraId="719D6F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A5CB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36" w:type="pct"/>
            <w:noWrap w:val="0"/>
            <w:vAlign w:val="center"/>
          </w:tcPr>
          <w:p w14:paraId="31CA75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楷体"/>
                <w:color w:val="000000" w:themeColor="text1"/>
                <w:sz w:val="21"/>
                <w:szCs w:val="21"/>
                <w14:textFill>
                  <w14:solidFill>
                    <w14:schemeClr w14:val="tx1"/>
                  </w14:solidFill>
                </w14:textFill>
              </w:rPr>
              <w:t>持续优化调整货物运输结构。</w:t>
            </w:r>
            <w:r>
              <w:rPr>
                <w:rFonts w:ascii="Times New Roman" w:hAnsi="Times New Roman" w:eastAsia="宋体"/>
                <w:color w:val="000000" w:themeColor="text1"/>
                <w:sz w:val="21"/>
                <w:szCs w:val="21"/>
                <w14:textFill>
                  <w14:solidFill>
                    <w14:schemeClr w14:val="tx1"/>
                  </w14:solidFill>
                </w14:textFill>
              </w:rPr>
              <w:t>大宗货物中长距离运输优先采用铁路、水路运输，短距离运输优先采用封闭式皮带廊道或新能源车船。探索将清洁运输作为煤矿、钢铁、火电、有色、焦化、煤化工等行业新改扩建项目审核和监管重点。重点区域内直辖市、省会城市采取公铁联运等</w:t>
            </w:r>
            <w:r>
              <w:rPr>
                <w:rFonts w:hint="eastAsia" w:ascii="Times New Roman" w:hAnsi="Times New Roman" w:eastAsia="宋体"/>
                <w:color w:val="000000" w:themeColor="text1"/>
                <w:sz w:val="21"/>
                <w:szCs w:val="21"/>
                <w:lang w:eastAsia="zh-CN"/>
                <w14:textFill>
                  <w14:solidFill>
                    <w14:schemeClr w14:val="tx1"/>
                  </w14:solidFill>
                </w14:textFill>
              </w:rPr>
              <w:t>“</w:t>
            </w:r>
            <w:r>
              <w:rPr>
                <w:rFonts w:ascii="Times New Roman" w:hAnsi="Times New Roman" w:eastAsia="宋体"/>
                <w:color w:val="000000" w:themeColor="text1"/>
                <w:sz w:val="21"/>
                <w:szCs w:val="21"/>
                <w14:textFill>
                  <w14:solidFill>
                    <w14:schemeClr w14:val="tx1"/>
                  </w14:solidFill>
                </w14:textFill>
              </w:rPr>
              <w:t>外集内配</w:t>
            </w:r>
            <w:r>
              <w:rPr>
                <w:rFonts w:hint="eastAsia" w:ascii="Times New Roman" w:hAnsi="Times New Roman" w:eastAsia="宋体"/>
                <w:color w:val="000000" w:themeColor="text1"/>
                <w:sz w:val="21"/>
                <w:szCs w:val="21"/>
                <w:lang w:eastAsia="zh-CN"/>
                <w14:textFill>
                  <w14:solidFill>
                    <w14:schemeClr w14:val="tx1"/>
                  </w14:solidFill>
                </w14:textFill>
              </w:rPr>
              <w:t>”</w:t>
            </w:r>
            <w:r>
              <w:rPr>
                <w:rFonts w:ascii="Times New Roman" w:hAnsi="Times New Roman" w:eastAsia="宋体"/>
                <w:color w:val="000000" w:themeColor="text1"/>
                <w:sz w:val="21"/>
                <w:szCs w:val="21"/>
                <w14:textFill>
                  <w14:solidFill>
                    <w14:schemeClr w14:val="tx1"/>
                  </w14:solidFill>
                </w14:textFill>
              </w:rPr>
              <w:t>物流方式。到2025年，铁路、水路货运量比2020年分别增长10%和12%左右；晋陕蒙新煤炭主产区中长距离运输（运距500公里以上）的煤炭和焦炭中，铁路运输比例力争达到90%；重点区域和粤港澳大湾区沿海主要港口铁矿石、焦炭等清洁运输（含新能源车）比例力争达到80%。</w:t>
            </w:r>
          </w:p>
        </w:tc>
        <w:tc>
          <w:tcPr>
            <w:tcW w:w="1580" w:type="pct"/>
            <w:noWrap w:val="0"/>
            <w:vAlign w:val="center"/>
          </w:tcPr>
          <w:p w14:paraId="671C6E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cs="Times New Roman"/>
                <w:color w:val="000000" w:themeColor="text1"/>
                <w:sz w:val="21"/>
                <w:szCs w:val="21"/>
                <w:highlight w:val="none"/>
                <w:lang w:val="en-US" w:eastAsia="zh-CN"/>
                <w14:textFill>
                  <w14:solidFill>
                    <w14:schemeClr w14:val="tx1"/>
                  </w14:solidFill>
                </w14:textFill>
              </w:rPr>
              <w:t>原矿、尾矿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w:t>
            </w:r>
            <w:r>
              <w:rPr>
                <w:rFonts w:hint="eastAsia" w:cs="Times New Roman"/>
                <w:color w:val="000000" w:themeColor="text1"/>
                <w:sz w:val="21"/>
                <w:szCs w:val="21"/>
                <w:highlight w:val="none"/>
                <w:lang w:val="en-US" w:eastAsia="zh-CN"/>
                <w14:textFill>
                  <w14:solidFill>
                    <w14:schemeClr w14:val="tx1"/>
                  </w14:solidFill>
                </w14:textFill>
              </w:rPr>
              <w:t>选矿厂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内短距离运输，尾矿采用管道运输，原矿采用汽车运输。</w:t>
            </w:r>
          </w:p>
        </w:tc>
        <w:tc>
          <w:tcPr>
            <w:tcW w:w="483" w:type="pct"/>
            <w:noWrap w:val="0"/>
            <w:vAlign w:val="center"/>
          </w:tcPr>
          <w:p w14:paraId="4C9A55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7A9F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36" w:type="pct"/>
            <w:noWrap w:val="0"/>
            <w:vAlign w:val="center"/>
          </w:tcPr>
          <w:p w14:paraId="3F7F78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进矿山生态环境综合整治。新建矿山原则上要同步建设铁路专用线或采用其他清洁运输方式。到2025年，京津冀及周边地区原则上不再新建露天矿山（省级矿产资源规划确定的重点开采区或经安全论证不宜采用地下开采方式的除外）。对限期整改仍不达标的矿山，根据安全生产、水土保持、生态环境等要求依法关闭。</w:t>
            </w:r>
          </w:p>
        </w:tc>
        <w:tc>
          <w:tcPr>
            <w:tcW w:w="1580" w:type="pct"/>
            <w:noWrap w:val="0"/>
            <w:vAlign w:val="center"/>
          </w:tcPr>
          <w:p w14:paraId="4F0034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本项目为铁矿选矿改建项目，不属于新建</w:t>
            </w:r>
            <w:r>
              <w:rPr>
                <w:rFonts w:hint="eastAsia" w:cs="Times New Roman"/>
                <w:color w:val="000000" w:themeColor="text1"/>
                <w:sz w:val="21"/>
                <w:szCs w:val="21"/>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，项目建设符合</w:t>
            </w:r>
            <w:r>
              <w:rPr>
                <w:rFonts w:hint="default" w:ascii="Times New Roman" w:hAnsi="Times New Roman" w:eastAsia="宋体" w:cs="Times New Roman"/>
                <w:color w:val="000000" w:themeColor="text1"/>
                <w:sz w:val="21"/>
                <w:szCs w:val="21"/>
                <w:highlight w:val="none"/>
                <w14:textFill>
                  <w14:solidFill>
                    <w14:schemeClr w14:val="tx1"/>
                  </w14:solidFill>
                </w14:textFill>
              </w:rPr>
              <w:t>安全生产、水土保持、生态环境</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等方面要求。</w:t>
            </w:r>
          </w:p>
        </w:tc>
        <w:tc>
          <w:tcPr>
            <w:tcW w:w="483" w:type="pct"/>
            <w:noWrap w:val="0"/>
            <w:vAlign w:val="center"/>
          </w:tcPr>
          <w:p w14:paraId="11DBC7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330D62DA">
      <w:pPr>
        <w:pStyle w:val="41"/>
        <w:spacing w:line="480" w:lineRule="exact"/>
        <w:ind w:firstLine="480"/>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综上，本项目符合</w:t>
      </w:r>
      <w:r>
        <w:rPr>
          <w:rFonts w:hint="eastAsia" w:ascii="Times New Roman" w:hAnsi="Times New Roman" w:cs="Times New Roman"/>
          <w:color w:val="000000" w:themeColor="text1"/>
          <w:sz w:val="24"/>
          <w:highlight w:val="none"/>
          <w:lang w:eastAsia="zh-CN"/>
          <w14:textFill>
            <w14:solidFill>
              <w14:schemeClr w14:val="tx1"/>
            </w14:solidFill>
          </w14:textFill>
        </w:rPr>
        <w:t>《空气质量持续改善行动计划》的</w:t>
      </w:r>
      <w:r>
        <w:rPr>
          <w:rFonts w:hint="eastAsia" w:ascii="Times New Roman" w:hAnsi="Times New Roman" w:cs="Times New Roman"/>
          <w:color w:val="000000" w:themeColor="text1"/>
          <w:sz w:val="24"/>
          <w:highlight w:val="none"/>
          <w:lang w:val="en-US" w:eastAsia="zh-CN"/>
          <w14:textFill>
            <w14:solidFill>
              <w14:schemeClr w14:val="tx1"/>
            </w14:solidFill>
          </w14:textFill>
        </w:rPr>
        <w:t>相关要求。</w:t>
      </w:r>
    </w:p>
    <w:p w14:paraId="073309D1">
      <w:pPr>
        <w:pStyle w:val="5"/>
        <w:spacing w:before="0" w:after="0" w:line="480" w:lineRule="exact"/>
        <w:ind w:firstLine="482"/>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1.3.1.5与《矿山生态环境保护与污染防治技术政策》的符合性分析</w:t>
      </w:r>
    </w:p>
    <w:p w14:paraId="0A71E0A6">
      <w:pPr>
        <w:pStyle w:val="41"/>
        <w:spacing w:line="480" w:lineRule="exact"/>
        <w:ind w:firstLine="480"/>
        <w:rPr>
          <w:rFonts w:hint="eastAsia" w:cs="Times New Roman"/>
          <w:color w:val="000000" w:themeColor="text1"/>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本项目与</w:t>
      </w:r>
      <w:r>
        <w:rPr>
          <w:rFonts w:hint="eastAsia" w:cs="Times New Roman"/>
          <w:color w:val="000000" w:themeColor="text1"/>
          <w:lang w:val="en-US" w:eastAsia="zh-CN"/>
          <w14:textFill>
            <w14:solidFill>
              <w14:schemeClr w14:val="tx1"/>
            </w14:solidFill>
          </w14:textFill>
        </w:rPr>
        <w:t>《矿山生态环境保护与污染防治技术政策》（环发〔2005〕109号）要求的符合性分析见下表。</w:t>
      </w:r>
    </w:p>
    <w:p w14:paraId="2CA1453D">
      <w:pPr>
        <w:pStyle w:val="41"/>
        <w:spacing w:line="480" w:lineRule="exact"/>
        <w:ind w:left="0" w:leftChars="0" w:firstLine="0" w:firstLineChars="0"/>
        <w:jc w:val="center"/>
        <w:rPr>
          <w:rFonts w:hint="default" w:ascii="Times New Roman" w:hAnsi="Times New Roman" w:eastAsia="宋体" w:cs="Times New Roman"/>
          <w:b/>
          <w:bCs/>
          <w:color w:val="000000" w:themeColor="text1"/>
          <w:spacing w:val="0"/>
          <w:w w:val="100"/>
          <w:position w:val="0"/>
          <w:sz w:val="24"/>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 xml:space="preserve">表1.3-3    </w:t>
      </w:r>
      <w:r>
        <w:rPr>
          <w:rFonts w:hint="eastAsia" w:ascii="Times New Roman" w:hAnsi="Times New Roman" w:cs="Times New Roman"/>
          <w:b/>
          <w:bCs/>
          <w:color w:val="000000" w:themeColor="text1"/>
          <w:sz w:val="24"/>
          <w:szCs w:val="24"/>
          <w:highlight w:val="none"/>
          <w:lang w:val="en-US" w:eastAsia="zh-CN" w:bidi="ar"/>
          <w14:textFill>
            <w14:solidFill>
              <w14:schemeClr w14:val="tx1"/>
            </w14:solidFill>
          </w14:textFill>
        </w:rPr>
        <w:t>与《矿山生态环境保护与污染防治技术政策》的符合性分析表</w:t>
      </w:r>
    </w:p>
    <w:tbl>
      <w:tblPr>
        <w:tblStyle w:val="32"/>
        <w:tblW w:w="499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4442"/>
        <w:gridCol w:w="2652"/>
        <w:gridCol w:w="763"/>
      </w:tblGrid>
      <w:tr w14:paraId="303350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388" w:type="pct"/>
            <w:tcBorders>
              <w:tl2br w:val="nil"/>
              <w:tr2bl w:val="nil"/>
            </w:tcBorders>
            <w:noWrap w:val="0"/>
            <w:vAlign w:val="center"/>
          </w:tcPr>
          <w:p w14:paraId="72E9FC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序号</w:t>
            </w:r>
          </w:p>
        </w:tc>
        <w:tc>
          <w:tcPr>
            <w:tcW w:w="2607" w:type="pct"/>
            <w:tcBorders>
              <w:tl2br w:val="nil"/>
              <w:tr2bl w:val="nil"/>
            </w:tcBorders>
            <w:noWrap w:val="0"/>
            <w:vAlign w:val="center"/>
          </w:tcPr>
          <w:p w14:paraId="268AC6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bCs/>
                <w:color w:val="000000" w:themeColor="text1"/>
                <w:sz w:val="21"/>
                <w:szCs w:val="21"/>
                <w:lang w:eastAsia="zh-CN"/>
                <w14:textFill>
                  <w14:solidFill>
                    <w14:schemeClr w14:val="tx1"/>
                  </w14:solidFill>
                </w14:textFill>
              </w:rPr>
            </w:pPr>
            <w:r>
              <w:rPr>
                <w:rFonts w:hint="eastAsia" w:eastAsia="宋体"/>
                <w:b/>
                <w:bCs/>
                <w:color w:val="000000" w:themeColor="text1"/>
                <w:sz w:val="21"/>
                <w:szCs w:val="21"/>
                <w:lang w:eastAsia="zh-CN"/>
                <w14:textFill>
                  <w14:solidFill>
                    <w14:schemeClr w14:val="tx1"/>
                  </w14:solidFill>
                </w14:textFill>
              </w:rPr>
              <w:t>《矿山生态环境保护与污染防治技术政策》（环发〔2005〕109号）</w:t>
            </w:r>
          </w:p>
        </w:tc>
        <w:tc>
          <w:tcPr>
            <w:tcW w:w="1556" w:type="pct"/>
            <w:tcBorders>
              <w:tl2br w:val="nil"/>
              <w:tr2bl w:val="nil"/>
            </w:tcBorders>
            <w:noWrap w:val="0"/>
            <w:vAlign w:val="center"/>
          </w:tcPr>
          <w:p w14:paraId="428C29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本项目情况</w:t>
            </w:r>
          </w:p>
        </w:tc>
        <w:tc>
          <w:tcPr>
            <w:tcW w:w="447" w:type="pct"/>
            <w:tcBorders>
              <w:tl2br w:val="nil"/>
              <w:tr2bl w:val="nil"/>
            </w:tcBorders>
            <w:noWrap w:val="0"/>
            <w:vAlign w:val="center"/>
          </w:tcPr>
          <w:p w14:paraId="49ECB2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符合性</w:t>
            </w:r>
          </w:p>
        </w:tc>
      </w:tr>
      <w:tr w14:paraId="38C5DD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14:paraId="04562F31">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五、选矿</w:t>
            </w:r>
          </w:p>
        </w:tc>
      </w:tr>
      <w:tr w14:paraId="3CCF1C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14:paraId="56D1C66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（一）鼓励采用的选矿技术</w:t>
            </w:r>
          </w:p>
        </w:tc>
      </w:tr>
      <w:tr w14:paraId="26DD5F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noWrap w:val="0"/>
            <w:vAlign w:val="center"/>
          </w:tcPr>
          <w:p w14:paraId="0D43CF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2607" w:type="pct"/>
            <w:tcBorders>
              <w:tl2br w:val="nil"/>
              <w:tr2bl w:val="nil"/>
            </w:tcBorders>
            <w:noWrap w:val="0"/>
            <w:vAlign w:val="center"/>
          </w:tcPr>
          <w:p w14:paraId="2ED324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开发推广高效无（低）毒的浮选新药剂产品。</w:t>
            </w:r>
          </w:p>
        </w:tc>
        <w:tc>
          <w:tcPr>
            <w:tcW w:w="1556" w:type="pct"/>
            <w:tcBorders>
              <w:tl2br w:val="nil"/>
              <w:tr2bl w:val="nil"/>
            </w:tcBorders>
            <w:noWrap w:val="0"/>
            <w:vAlign w:val="center"/>
          </w:tcPr>
          <w:p w14:paraId="78A348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本项目采用磨矿-磁选-过滤工艺，无浮选药剂。</w:t>
            </w:r>
          </w:p>
        </w:tc>
        <w:tc>
          <w:tcPr>
            <w:tcW w:w="447" w:type="pct"/>
            <w:tcBorders>
              <w:tl2br w:val="nil"/>
              <w:tr2bl w:val="nil"/>
            </w:tcBorders>
            <w:noWrap w:val="0"/>
            <w:vAlign w:val="center"/>
          </w:tcPr>
          <w:p w14:paraId="287E3A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72AD51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noWrap w:val="0"/>
            <w:vAlign w:val="center"/>
          </w:tcPr>
          <w:p w14:paraId="6C15CD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2607" w:type="pct"/>
            <w:tcBorders>
              <w:tl2br w:val="nil"/>
              <w:tr2bl w:val="nil"/>
            </w:tcBorders>
            <w:noWrap w:val="0"/>
            <w:vAlign w:val="center"/>
          </w:tcPr>
          <w:p w14:paraId="6C0FF8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在干旱缺水地区，宜推广干选工艺或节水型选矿工艺，如煤炭干选、大块干选抛尾等工艺技术。</w:t>
            </w:r>
          </w:p>
        </w:tc>
        <w:tc>
          <w:tcPr>
            <w:tcW w:w="1556" w:type="pct"/>
            <w:tcBorders>
              <w:tl2br w:val="nil"/>
              <w:tr2bl w:val="nil"/>
            </w:tcBorders>
            <w:noWrap w:val="0"/>
            <w:vAlign w:val="center"/>
          </w:tcPr>
          <w:p w14:paraId="238E3A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本项目所在地哈密市伊州区属干旱缺水地区，项目采用磨矿-磁选-过滤工艺，属于湿选工艺，但选矿过程闭路循环，水循环利用率高，属于节水型选矿工艺。</w:t>
            </w:r>
          </w:p>
        </w:tc>
        <w:tc>
          <w:tcPr>
            <w:tcW w:w="447" w:type="pct"/>
            <w:tcBorders>
              <w:tl2br w:val="nil"/>
              <w:tr2bl w:val="nil"/>
            </w:tcBorders>
            <w:noWrap w:val="0"/>
            <w:vAlign w:val="center"/>
          </w:tcPr>
          <w:p w14:paraId="370AA8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242735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noWrap w:val="0"/>
            <w:vAlign w:val="center"/>
          </w:tcPr>
          <w:p w14:paraId="1C8568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w:t>
            </w:r>
          </w:p>
        </w:tc>
        <w:tc>
          <w:tcPr>
            <w:tcW w:w="2607" w:type="pct"/>
            <w:tcBorders>
              <w:tl2br w:val="nil"/>
              <w:tr2bl w:val="nil"/>
            </w:tcBorders>
            <w:noWrap w:val="0"/>
            <w:vAlign w:val="center"/>
          </w:tcPr>
          <w:p w14:paraId="1054D6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推广高效脱硫降灰技术，有效去除和降低煤炭中的硫分和灰分。</w:t>
            </w:r>
          </w:p>
        </w:tc>
        <w:tc>
          <w:tcPr>
            <w:tcW w:w="1556" w:type="pct"/>
            <w:tcBorders>
              <w:tl2br w:val="nil"/>
              <w:tr2bl w:val="nil"/>
            </w:tcBorders>
            <w:noWrap w:val="0"/>
            <w:vAlign w:val="center"/>
          </w:tcPr>
          <w:p w14:paraId="3873E4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本项目不涉及煤炭采选、燃煤工序。</w:t>
            </w:r>
          </w:p>
        </w:tc>
        <w:tc>
          <w:tcPr>
            <w:tcW w:w="447" w:type="pct"/>
            <w:tcBorders>
              <w:tl2br w:val="nil"/>
              <w:tr2bl w:val="nil"/>
            </w:tcBorders>
            <w:noWrap w:val="0"/>
            <w:vAlign w:val="center"/>
          </w:tcPr>
          <w:p w14:paraId="7A2E5B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1B26C2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noWrap w:val="0"/>
            <w:vAlign w:val="center"/>
          </w:tcPr>
          <w:p w14:paraId="5B3C5E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w:t>
            </w:r>
          </w:p>
        </w:tc>
        <w:tc>
          <w:tcPr>
            <w:tcW w:w="2607" w:type="pct"/>
            <w:tcBorders>
              <w:tl2br w:val="nil"/>
              <w:tr2bl w:val="nil"/>
            </w:tcBorders>
            <w:noWrap w:val="0"/>
            <w:vAlign w:val="center"/>
          </w:tcPr>
          <w:p w14:paraId="756ED7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采用先进的洗选技术和设备，推广洁净煤技术，逐步降低直接销售、使用原煤的比率。</w:t>
            </w:r>
          </w:p>
        </w:tc>
        <w:tc>
          <w:tcPr>
            <w:tcW w:w="1556" w:type="pct"/>
            <w:tcBorders>
              <w:tl2br w:val="nil"/>
              <w:tr2bl w:val="nil"/>
            </w:tcBorders>
            <w:noWrap w:val="0"/>
            <w:vAlign w:val="center"/>
          </w:tcPr>
          <w:p w14:paraId="032095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本项目不涉及煤炭采选。</w:t>
            </w:r>
          </w:p>
        </w:tc>
        <w:tc>
          <w:tcPr>
            <w:tcW w:w="447" w:type="pct"/>
            <w:tcBorders>
              <w:tl2br w:val="nil"/>
              <w:tr2bl w:val="nil"/>
            </w:tcBorders>
            <w:noWrap w:val="0"/>
            <w:vAlign w:val="center"/>
          </w:tcPr>
          <w:p w14:paraId="61C60A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342D09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noWrap w:val="0"/>
            <w:vAlign w:val="center"/>
          </w:tcPr>
          <w:p w14:paraId="0D0E29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2607" w:type="pct"/>
            <w:tcBorders>
              <w:tl2br w:val="nil"/>
              <w:tr2bl w:val="nil"/>
            </w:tcBorders>
            <w:noWrap w:val="0"/>
            <w:vAlign w:val="center"/>
          </w:tcPr>
          <w:p w14:paraId="2AA7EC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积极研究推广共、伴生矿产资源中有价元素的分离回收技术，为共、伴生矿产资源的深加工创造条件。</w:t>
            </w:r>
          </w:p>
        </w:tc>
        <w:tc>
          <w:tcPr>
            <w:tcW w:w="1556" w:type="pct"/>
            <w:tcBorders>
              <w:tl2br w:val="nil"/>
              <w:tr2bl w:val="nil"/>
            </w:tcBorders>
            <w:noWrap w:val="0"/>
            <w:vAlign w:val="center"/>
          </w:tcPr>
          <w:p w14:paraId="590CC8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本项目为铁矿选矿项目，非矿石开采项目，且处理的原矿不涉及</w:t>
            </w:r>
            <w:r>
              <w:rPr>
                <w:rFonts w:hint="eastAsia" w:eastAsia="宋体"/>
                <w:b w:val="0"/>
                <w:bCs w:val="0"/>
                <w:color w:val="000000" w:themeColor="text1"/>
                <w:sz w:val="21"/>
                <w:szCs w:val="21"/>
                <w:lang w:eastAsia="zh-CN"/>
                <w14:textFill>
                  <w14:solidFill>
                    <w14:schemeClr w14:val="tx1"/>
                  </w14:solidFill>
                </w14:textFill>
              </w:rPr>
              <w:t>共、伴生矿产资源。</w:t>
            </w:r>
          </w:p>
        </w:tc>
        <w:tc>
          <w:tcPr>
            <w:tcW w:w="447" w:type="pct"/>
            <w:tcBorders>
              <w:tl2br w:val="nil"/>
              <w:tr2bl w:val="nil"/>
            </w:tcBorders>
            <w:noWrap w:val="0"/>
            <w:vAlign w:val="center"/>
          </w:tcPr>
          <w:p w14:paraId="60CE9F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6B1EBE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14:paraId="330E221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（二）选矿废水、废气的处理</w:t>
            </w:r>
          </w:p>
        </w:tc>
      </w:tr>
      <w:tr w14:paraId="4F921A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noWrap w:val="0"/>
            <w:vAlign w:val="center"/>
          </w:tcPr>
          <w:p w14:paraId="12D4D2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2607" w:type="pct"/>
            <w:tcBorders>
              <w:tl2br w:val="nil"/>
              <w:tr2bl w:val="nil"/>
            </w:tcBorders>
            <w:noWrap w:val="0"/>
            <w:vAlign w:val="center"/>
          </w:tcPr>
          <w:p w14:paraId="3B169F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选矿废水（含尾矿库溢流水）应循环利用，力求实现闭路循环。未循环利用的部分应进行收集，处理达标后排放。</w:t>
            </w:r>
          </w:p>
        </w:tc>
        <w:tc>
          <w:tcPr>
            <w:tcW w:w="1556" w:type="pct"/>
            <w:tcBorders>
              <w:tl2br w:val="nil"/>
              <w:tr2bl w:val="nil"/>
            </w:tcBorders>
            <w:noWrap w:val="0"/>
            <w:vAlign w:val="center"/>
          </w:tcPr>
          <w:p w14:paraId="673272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本项目</w:t>
            </w:r>
            <w:r>
              <w:rPr>
                <w:rFonts w:hint="eastAsia" w:eastAsia="宋体"/>
                <w:b w:val="0"/>
                <w:bCs w:val="0"/>
                <w:color w:val="000000" w:themeColor="text1"/>
                <w:sz w:val="21"/>
                <w:szCs w:val="21"/>
                <w:lang w:eastAsia="zh-CN"/>
                <w14:textFill>
                  <w14:solidFill>
                    <w14:schemeClr w14:val="tx1"/>
                  </w14:solidFill>
                </w14:textFill>
              </w:rPr>
              <w:t>选矿废水（含尾矿库溢流水）</w:t>
            </w:r>
            <w:r>
              <w:rPr>
                <w:rFonts w:hint="eastAsia" w:eastAsia="宋体"/>
                <w:b w:val="0"/>
                <w:bCs w:val="0"/>
                <w:color w:val="000000" w:themeColor="text1"/>
                <w:sz w:val="21"/>
                <w:szCs w:val="21"/>
                <w:lang w:val="en-US" w:eastAsia="zh-CN"/>
                <w14:textFill>
                  <w14:solidFill>
                    <w14:schemeClr w14:val="tx1"/>
                  </w14:solidFill>
                </w14:textFill>
              </w:rPr>
              <w:t>循环利用，</w:t>
            </w:r>
            <w:r>
              <w:rPr>
                <w:rFonts w:hint="eastAsia" w:eastAsia="宋体"/>
                <w:b w:val="0"/>
                <w:bCs w:val="0"/>
                <w:color w:val="000000" w:themeColor="text1"/>
                <w:sz w:val="21"/>
                <w:szCs w:val="21"/>
                <w:lang w:eastAsia="zh-CN"/>
                <w14:textFill>
                  <w14:solidFill>
                    <w14:schemeClr w14:val="tx1"/>
                  </w14:solidFill>
                </w14:textFill>
              </w:rPr>
              <w:t>闭路循环，</w:t>
            </w:r>
            <w:r>
              <w:rPr>
                <w:rFonts w:hint="eastAsia" w:eastAsia="宋体"/>
                <w:b w:val="0"/>
                <w:bCs w:val="0"/>
                <w:color w:val="000000" w:themeColor="text1"/>
                <w:sz w:val="21"/>
                <w:szCs w:val="21"/>
                <w:lang w:val="en-US" w:eastAsia="zh-CN"/>
                <w14:textFill>
                  <w14:solidFill>
                    <w14:schemeClr w14:val="tx1"/>
                  </w14:solidFill>
                </w14:textFill>
              </w:rPr>
              <w:t>不外排。</w:t>
            </w:r>
          </w:p>
        </w:tc>
        <w:tc>
          <w:tcPr>
            <w:tcW w:w="447" w:type="pct"/>
            <w:tcBorders>
              <w:tl2br w:val="nil"/>
              <w:tr2bl w:val="nil"/>
            </w:tcBorders>
            <w:noWrap w:val="0"/>
            <w:vAlign w:val="center"/>
          </w:tcPr>
          <w:p w14:paraId="18EBBA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72F1C1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noWrap w:val="0"/>
            <w:vAlign w:val="center"/>
          </w:tcPr>
          <w:p w14:paraId="213B35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2607" w:type="pct"/>
            <w:tcBorders>
              <w:tl2br w:val="nil"/>
              <w:tr2bl w:val="nil"/>
            </w:tcBorders>
            <w:noWrap w:val="0"/>
            <w:vAlign w:val="center"/>
          </w:tcPr>
          <w:p w14:paraId="1921A5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研究推广含氰、含重金属选矿废水的高效处理工艺与技术。</w:t>
            </w:r>
          </w:p>
        </w:tc>
        <w:tc>
          <w:tcPr>
            <w:tcW w:w="1556" w:type="pct"/>
            <w:tcBorders>
              <w:tl2br w:val="nil"/>
              <w:tr2bl w:val="nil"/>
            </w:tcBorders>
            <w:noWrap w:val="0"/>
            <w:vAlign w:val="center"/>
          </w:tcPr>
          <w:p w14:paraId="0FA892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本项目</w:t>
            </w:r>
            <w:r>
              <w:rPr>
                <w:rFonts w:hint="eastAsia" w:eastAsia="宋体"/>
                <w:b w:val="0"/>
                <w:bCs w:val="0"/>
                <w:color w:val="000000" w:themeColor="text1"/>
                <w:sz w:val="21"/>
                <w:szCs w:val="21"/>
                <w:lang w:eastAsia="zh-CN"/>
                <w14:textFill>
                  <w14:solidFill>
                    <w14:schemeClr w14:val="tx1"/>
                  </w14:solidFill>
                </w14:textFill>
              </w:rPr>
              <w:t>选矿废水（含尾矿库溢流水）</w:t>
            </w:r>
            <w:r>
              <w:rPr>
                <w:rFonts w:hint="eastAsia" w:eastAsia="宋体"/>
                <w:b w:val="0"/>
                <w:bCs w:val="0"/>
                <w:color w:val="000000" w:themeColor="text1"/>
                <w:sz w:val="21"/>
                <w:szCs w:val="21"/>
                <w:lang w:val="en-US" w:eastAsia="zh-CN"/>
                <w14:textFill>
                  <w14:solidFill>
                    <w14:schemeClr w14:val="tx1"/>
                  </w14:solidFill>
                </w14:textFill>
              </w:rPr>
              <w:t>循环利用，</w:t>
            </w:r>
            <w:r>
              <w:rPr>
                <w:rFonts w:hint="eastAsia" w:eastAsia="宋体"/>
                <w:b w:val="0"/>
                <w:bCs w:val="0"/>
                <w:color w:val="000000" w:themeColor="text1"/>
                <w:sz w:val="21"/>
                <w:szCs w:val="21"/>
                <w:lang w:eastAsia="zh-CN"/>
                <w14:textFill>
                  <w14:solidFill>
                    <w14:schemeClr w14:val="tx1"/>
                  </w14:solidFill>
                </w14:textFill>
              </w:rPr>
              <w:t>闭路循环，</w:t>
            </w:r>
            <w:r>
              <w:rPr>
                <w:rFonts w:hint="eastAsia" w:eastAsia="宋体"/>
                <w:b w:val="0"/>
                <w:bCs w:val="0"/>
                <w:color w:val="000000" w:themeColor="text1"/>
                <w:sz w:val="21"/>
                <w:szCs w:val="21"/>
                <w:lang w:val="en-US" w:eastAsia="zh-CN"/>
                <w14:textFill>
                  <w14:solidFill>
                    <w14:schemeClr w14:val="tx1"/>
                  </w14:solidFill>
                </w14:textFill>
              </w:rPr>
              <w:t>不外排。</w:t>
            </w:r>
          </w:p>
        </w:tc>
        <w:tc>
          <w:tcPr>
            <w:tcW w:w="447" w:type="pct"/>
            <w:tcBorders>
              <w:tl2br w:val="nil"/>
              <w:tr2bl w:val="nil"/>
            </w:tcBorders>
            <w:noWrap w:val="0"/>
            <w:vAlign w:val="center"/>
          </w:tcPr>
          <w:p w14:paraId="4869AE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4CC169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noWrap w:val="0"/>
            <w:vAlign w:val="center"/>
          </w:tcPr>
          <w:p w14:paraId="7B1A29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w:t>
            </w:r>
          </w:p>
        </w:tc>
        <w:tc>
          <w:tcPr>
            <w:tcW w:w="2607" w:type="pct"/>
            <w:tcBorders>
              <w:tl2br w:val="nil"/>
              <w:tr2bl w:val="nil"/>
            </w:tcBorders>
            <w:noWrap w:val="0"/>
            <w:vAlign w:val="center"/>
          </w:tcPr>
          <w:p w14:paraId="15F68A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val="0"/>
                <w:bCs w:val="0"/>
                <w:color w:val="000000" w:themeColor="text1"/>
                <w:sz w:val="21"/>
                <w:szCs w:val="21"/>
                <w:lang w:eastAsia="zh-CN"/>
                <w14:textFill>
                  <w14:solidFill>
                    <w14:schemeClr w14:val="tx1"/>
                  </w14:solidFill>
                </w14:textFill>
              </w:rPr>
            </w:pPr>
            <w:r>
              <w:rPr>
                <w:rFonts w:hint="eastAsia" w:eastAsia="宋体"/>
                <w:b w:val="0"/>
                <w:bCs w:val="0"/>
                <w:color w:val="000000" w:themeColor="text1"/>
                <w:sz w:val="21"/>
                <w:szCs w:val="21"/>
                <w:lang w:eastAsia="zh-CN"/>
                <w14:textFill>
                  <w14:solidFill>
                    <w14:schemeClr w14:val="tx1"/>
                  </w14:solidFill>
                </w14:textFill>
              </w:rPr>
              <w:t>宜采用尘源密闭、局部抽风、安装除尘装置等措施，防治破碎、筛分等选矿作业中的粉尘污染。</w:t>
            </w:r>
          </w:p>
        </w:tc>
        <w:tc>
          <w:tcPr>
            <w:tcW w:w="1556" w:type="pct"/>
            <w:tcBorders>
              <w:tl2br w:val="nil"/>
              <w:tr2bl w:val="nil"/>
            </w:tcBorders>
            <w:noWrap w:val="0"/>
            <w:vAlign w:val="center"/>
          </w:tcPr>
          <w:p w14:paraId="7FD946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本项目选矿过程</w:t>
            </w:r>
            <w:r>
              <w:rPr>
                <w:rFonts w:hint="eastAsia" w:eastAsia="宋体"/>
                <w:b w:val="0"/>
                <w:bCs w:val="0"/>
                <w:color w:val="000000" w:themeColor="text1"/>
                <w:sz w:val="21"/>
                <w:szCs w:val="21"/>
                <w:lang w:eastAsia="zh-CN"/>
                <w14:textFill>
                  <w14:solidFill>
                    <w14:schemeClr w14:val="tx1"/>
                  </w14:solidFill>
                </w14:textFill>
              </w:rPr>
              <w:t>采用尘源密闭、局部抽风、安装除尘装置等措施，防治破碎、筛分等选矿作业中的粉尘污染。</w:t>
            </w:r>
          </w:p>
        </w:tc>
        <w:tc>
          <w:tcPr>
            <w:tcW w:w="447" w:type="pct"/>
            <w:tcBorders>
              <w:tl2br w:val="nil"/>
              <w:tr2bl w:val="nil"/>
            </w:tcBorders>
            <w:noWrap w:val="0"/>
            <w:vAlign w:val="center"/>
          </w:tcPr>
          <w:p w14:paraId="380FCF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7831FB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14:paraId="32B2CA40">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（三）尾矿的贮存和综合利用</w:t>
            </w:r>
          </w:p>
        </w:tc>
      </w:tr>
      <w:tr w14:paraId="1C9AF0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noWrap w:val="0"/>
            <w:vAlign w:val="center"/>
          </w:tcPr>
          <w:p w14:paraId="3D73A0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w:t>
            </w:r>
          </w:p>
        </w:tc>
        <w:tc>
          <w:tcPr>
            <w:tcW w:w="2607" w:type="pct"/>
            <w:tcBorders>
              <w:tl2br w:val="nil"/>
              <w:tr2bl w:val="nil"/>
            </w:tcBorders>
            <w:noWrap w:val="0"/>
            <w:vAlign w:val="center"/>
          </w:tcPr>
          <w:p w14:paraId="7C575D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应建造专用的尾矿库，并采取措施防止尾矿库的二次环境污染及诱发次生地质灾害。</w:t>
            </w:r>
          </w:p>
        </w:tc>
        <w:tc>
          <w:tcPr>
            <w:tcW w:w="1556" w:type="pct"/>
            <w:vMerge w:val="restart"/>
            <w:tcBorders>
              <w:tl2br w:val="nil"/>
              <w:tr2bl w:val="nil"/>
            </w:tcBorders>
            <w:noWrap w:val="0"/>
            <w:vAlign w:val="center"/>
          </w:tcPr>
          <w:p w14:paraId="5368EF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本项目拟新建尾矿库一座，为本项目专用的尾矿库。</w:t>
            </w:r>
          </w:p>
        </w:tc>
        <w:tc>
          <w:tcPr>
            <w:tcW w:w="447" w:type="pct"/>
            <w:vMerge w:val="restart"/>
            <w:tcBorders>
              <w:tl2br w:val="nil"/>
              <w:tr2bl w:val="nil"/>
            </w:tcBorders>
            <w:noWrap w:val="0"/>
            <w:vAlign w:val="center"/>
          </w:tcPr>
          <w:p w14:paraId="0DAFDC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14:paraId="1A056E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noWrap w:val="0"/>
            <w:vAlign w:val="center"/>
          </w:tcPr>
          <w:p w14:paraId="610EA4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w:t>
            </w:r>
          </w:p>
        </w:tc>
        <w:tc>
          <w:tcPr>
            <w:tcW w:w="2607" w:type="pct"/>
            <w:tcBorders>
              <w:tl2br w:val="nil"/>
              <w:tr2bl w:val="nil"/>
            </w:tcBorders>
            <w:noWrap w:val="0"/>
            <w:vAlign w:val="center"/>
          </w:tcPr>
          <w:p w14:paraId="170586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应建造专用的尾矿库，并采取措施防止尾矿库的二次环境污染及诱发次生地质灾害。</w:t>
            </w:r>
          </w:p>
        </w:tc>
        <w:tc>
          <w:tcPr>
            <w:tcW w:w="1556" w:type="pct"/>
            <w:vMerge w:val="continue"/>
            <w:tcBorders>
              <w:tl2br w:val="nil"/>
              <w:tr2bl w:val="nil"/>
            </w:tcBorders>
            <w:noWrap w:val="0"/>
            <w:vAlign w:val="center"/>
          </w:tcPr>
          <w:p w14:paraId="162191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val="0"/>
                <w:bCs w:val="0"/>
                <w:color w:val="000000" w:themeColor="text1"/>
                <w:sz w:val="21"/>
                <w:szCs w:val="21"/>
                <w:lang w:val="en-US" w:eastAsia="zh-CN"/>
                <w14:textFill>
                  <w14:solidFill>
                    <w14:schemeClr w14:val="tx1"/>
                  </w14:solidFill>
                </w14:textFill>
              </w:rPr>
            </w:pPr>
          </w:p>
        </w:tc>
        <w:tc>
          <w:tcPr>
            <w:tcW w:w="447" w:type="pct"/>
            <w:vMerge w:val="continue"/>
            <w:tcBorders>
              <w:tl2br w:val="nil"/>
              <w:tr2bl w:val="nil"/>
            </w:tcBorders>
            <w:noWrap w:val="0"/>
            <w:vAlign w:val="center"/>
          </w:tcPr>
          <w:p w14:paraId="5A13C3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val="0"/>
                <w:bCs w:val="0"/>
                <w:color w:val="000000" w:themeColor="text1"/>
                <w:sz w:val="21"/>
                <w:szCs w:val="21"/>
                <w:lang w:val="en-US" w:eastAsia="zh-CN"/>
                <w14:textFill>
                  <w14:solidFill>
                    <w14:schemeClr w14:val="tx1"/>
                  </w14:solidFill>
                </w14:textFill>
              </w:rPr>
            </w:pPr>
          </w:p>
        </w:tc>
      </w:tr>
      <w:tr w14:paraId="66485C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noWrap w:val="0"/>
            <w:vAlign w:val="center"/>
          </w:tcPr>
          <w:p w14:paraId="7E79C4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w:t>
            </w:r>
          </w:p>
        </w:tc>
        <w:tc>
          <w:tcPr>
            <w:tcW w:w="2607" w:type="pct"/>
            <w:tcBorders>
              <w:tl2br w:val="nil"/>
              <w:tr2bl w:val="nil"/>
            </w:tcBorders>
            <w:noWrap w:val="0"/>
            <w:vAlign w:val="center"/>
          </w:tcPr>
          <w:p w14:paraId="69E872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尾矿库坝面、坝坡应采取种植植物和覆盖等措施，防止扬尘、滑坡和水土流失。</w:t>
            </w:r>
          </w:p>
        </w:tc>
        <w:tc>
          <w:tcPr>
            <w:tcW w:w="1556" w:type="pct"/>
            <w:vMerge w:val="continue"/>
            <w:tcBorders>
              <w:tl2br w:val="nil"/>
              <w:tr2bl w:val="nil"/>
            </w:tcBorders>
            <w:noWrap w:val="0"/>
            <w:vAlign w:val="center"/>
          </w:tcPr>
          <w:p w14:paraId="396820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val="0"/>
                <w:bCs w:val="0"/>
                <w:color w:val="000000" w:themeColor="text1"/>
                <w:sz w:val="21"/>
                <w:szCs w:val="21"/>
                <w:lang w:val="en-US" w:eastAsia="zh-CN"/>
                <w14:textFill>
                  <w14:solidFill>
                    <w14:schemeClr w14:val="tx1"/>
                  </w14:solidFill>
                </w14:textFill>
              </w:rPr>
            </w:pPr>
          </w:p>
        </w:tc>
        <w:tc>
          <w:tcPr>
            <w:tcW w:w="447" w:type="pct"/>
            <w:vMerge w:val="continue"/>
            <w:tcBorders>
              <w:tl2br w:val="nil"/>
              <w:tr2bl w:val="nil"/>
            </w:tcBorders>
            <w:noWrap w:val="0"/>
            <w:vAlign w:val="center"/>
          </w:tcPr>
          <w:p w14:paraId="5E1E89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val="0"/>
                <w:bCs w:val="0"/>
                <w:color w:val="000000" w:themeColor="text1"/>
                <w:sz w:val="21"/>
                <w:szCs w:val="21"/>
                <w:lang w:val="en-US" w:eastAsia="zh-CN"/>
                <w14:textFill>
                  <w14:solidFill>
                    <w14:schemeClr w14:val="tx1"/>
                  </w14:solidFill>
                </w14:textFill>
              </w:rPr>
            </w:pPr>
          </w:p>
        </w:tc>
      </w:tr>
      <w:tr w14:paraId="58FED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14:paraId="0CF2038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六、废弃地复垦</w:t>
            </w:r>
          </w:p>
        </w:tc>
      </w:tr>
      <w:tr w14:paraId="6FFDC5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noWrap w:val="0"/>
            <w:vAlign w:val="center"/>
          </w:tcPr>
          <w:p w14:paraId="35819D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w:t>
            </w:r>
          </w:p>
        </w:tc>
        <w:tc>
          <w:tcPr>
            <w:tcW w:w="2607" w:type="pct"/>
            <w:tcBorders>
              <w:tl2br w:val="nil"/>
              <w:tr2bl w:val="nil"/>
            </w:tcBorders>
            <w:noWrap w:val="0"/>
            <w:vAlign w:val="center"/>
          </w:tcPr>
          <w:p w14:paraId="05B947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val="0"/>
                <w:bCs w:val="0"/>
                <w:color w:val="000000" w:themeColor="text1"/>
                <w:sz w:val="21"/>
                <w:szCs w:val="21"/>
                <w14:textFill>
                  <w14:solidFill>
                    <w14:schemeClr w14:val="tx1"/>
                  </w14:solidFill>
                </w14:textFill>
              </w:rPr>
            </w:pPr>
            <w:r>
              <w:rPr>
                <w:rFonts w:hint="default"/>
                <w:b w:val="0"/>
                <w:bCs w:val="0"/>
                <w:color w:val="000000" w:themeColor="text1"/>
                <w:sz w:val="21"/>
                <w:szCs w:val="21"/>
                <w14:textFill>
                  <w14:solidFill>
                    <w14:schemeClr w14:val="tx1"/>
                  </w14:solidFill>
                </w14:textFill>
              </w:rPr>
              <w:t>矿山生产过程中应采取种植植物和覆盖等复垦措施，对露天坑、</w:t>
            </w:r>
            <w:r>
              <w:rPr>
                <w:rFonts w:hint="eastAsia"/>
                <w:b w:val="0"/>
                <w:bCs w:val="0"/>
                <w:color w:val="000000" w:themeColor="text1"/>
                <w:sz w:val="21"/>
                <w:szCs w:val="21"/>
                <w:lang w:eastAsia="zh-CN"/>
                <w14:textFill>
                  <w14:solidFill>
                    <w14:schemeClr w14:val="tx1"/>
                  </w14:solidFill>
                </w14:textFill>
              </w:rPr>
              <w:t>排土场</w:t>
            </w:r>
            <w:r>
              <w:rPr>
                <w:rFonts w:hint="default"/>
                <w:b w:val="0"/>
                <w:bCs w:val="0"/>
                <w:color w:val="000000" w:themeColor="text1"/>
                <w:sz w:val="21"/>
                <w:szCs w:val="21"/>
                <w14:textFill>
                  <w14:solidFill>
                    <w14:schemeClr w14:val="tx1"/>
                  </w14:solidFill>
                </w14:textFill>
              </w:rPr>
              <w:t>、尾矿库、矸石山等永久性坡面进行稳定化处理，防止水土流失和滑坡。</w:t>
            </w:r>
            <w:r>
              <w:rPr>
                <w:rFonts w:hint="eastAsia"/>
                <w:b w:val="0"/>
                <w:bCs w:val="0"/>
                <w:color w:val="000000" w:themeColor="text1"/>
                <w:sz w:val="21"/>
                <w:szCs w:val="21"/>
                <w:lang w:eastAsia="zh-CN"/>
                <w14:textFill>
                  <w14:solidFill>
                    <w14:schemeClr w14:val="tx1"/>
                  </w14:solidFill>
                </w14:textFill>
              </w:rPr>
              <w:t>排土场</w:t>
            </w:r>
            <w:r>
              <w:rPr>
                <w:rFonts w:hint="default"/>
                <w:b w:val="0"/>
                <w:bCs w:val="0"/>
                <w:color w:val="000000" w:themeColor="text1"/>
                <w:sz w:val="21"/>
                <w:szCs w:val="21"/>
                <w14:textFill>
                  <w14:solidFill>
                    <w14:schemeClr w14:val="tx1"/>
                  </w14:solidFill>
                </w14:textFill>
              </w:rPr>
              <w:t>、尾矿库、矸石山等固废堆场服务期满后，应及时封场和复垦，防止水土流失及风蚀扬尘等。</w:t>
            </w:r>
          </w:p>
        </w:tc>
        <w:tc>
          <w:tcPr>
            <w:tcW w:w="1556" w:type="pct"/>
            <w:tcBorders>
              <w:tl2br w:val="nil"/>
              <w:tr2bl w:val="nil"/>
            </w:tcBorders>
            <w:noWrap w:val="0"/>
            <w:vAlign w:val="center"/>
          </w:tcPr>
          <w:p w14:paraId="38559C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val="0"/>
                <w:bCs w:val="0"/>
                <w:color w:val="000000" w:themeColor="text1"/>
                <w:sz w:val="21"/>
                <w:szCs w:val="21"/>
                <w:lang w:val="en-US" w:eastAsia="zh-CN"/>
                <w14:textFill>
                  <w14:solidFill>
                    <w14:schemeClr w14:val="tx1"/>
                  </w14:solidFill>
                </w14:textFill>
              </w:rPr>
            </w:pPr>
            <w:r>
              <w:rPr>
                <w:rFonts w:hint="eastAsia" w:eastAsia="宋体"/>
                <w:b w:val="0"/>
                <w:bCs w:val="0"/>
                <w:color w:val="000000" w:themeColor="text1"/>
                <w:sz w:val="21"/>
                <w:szCs w:val="21"/>
                <w:lang w:val="en-US" w:eastAsia="zh-CN"/>
                <w14:textFill>
                  <w14:solidFill>
                    <w14:schemeClr w14:val="tx1"/>
                  </w14:solidFill>
                </w14:textFill>
              </w:rPr>
              <w:t>本项目尾矿库设计已考虑对</w:t>
            </w:r>
            <w:r>
              <w:rPr>
                <w:rFonts w:hint="default"/>
                <w:b w:val="0"/>
                <w:bCs w:val="0"/>
                <w:color w:val="000000" w:themeColor="text1"/>
                <w:sz w:val="21"/>
                <w:szCs w:val="21"/>
                <w14:textFill>
                  <w14:solidFill>
                    <w14:schemeClr w14:val="tx1"/>
                  </w14:solidFill>
                </w14:textFill>
              </w:rPr>
              <w:t>永久性坡面进行稳定化处理</w:t>
            </w:r>
            <w:r>
              <w:rPr>
                <w:rFonts w:hint="eastAsia"/>
                <w:b w:val="0"/>
                <w:bCs w:val="0"/>
                <w:color w:val="000000" w:themeColor="text1"/>
                <w:sz w:val="21"/>
                <w:szCs w:val="21"/>
                <w:lang w:eastAsia="zh-CN"/>
                <w14:textFill>
                  <w14:solidFill>
                    <w14:schemeClr w14:val="tx1"/>
                  </w14:solidFill>
                </w14:textFill>
              </w:rPr>
              <w:t>，</w:t>
            </w:r>
            <w:r>
              <w:rPr>
                <w:rFonts w:hint="eastAsia"/>
                <w:b w:val="0"/>
                <w:bCs w:val="0"/>
                <w:color w:val="000000" w:themeColor="text1"/>
                <w:sz w:val="21"/>
                <w:szCs w:val="21"/>
                <w:lang w:val="en-US" w:eastAsia="zh-CN"/>
                <w14:textFill>
                  <w14:solidFill>
                    <w14:schemeClr w14:val="tx1"/>
                  </w14:solidFill>
                </w14:textFill>
              </w:rPr>
              <w:t>以</w:t>
            </w:r>
            <w:r>
              <w:rPr>
                <w:rFonts w:hint="default"/>
                <w:b w:val="0"/>
                <w:bCs w:val="0"/>
                <w:color w:val="000000" w:themeColor="text1"/>
                <w:sz w:val="21"/>
                <w:szCs w:val="21"/>
                <w14:textFill>
                  <w14:solidFill>
                    <w14:schemeClr w14:val="tx1"/>
                  </w14:solidFill>
                </w14:textFill>
              </w:rPr>
              <w:t>防止水土流失和滑坡。</w:t>
            </w:r>
            <w:r>
              <w:rPr>
                <w:rFonts w:hint="eastAsia"/>
                <w:b w:val="0"/>
                <w:bCs w:val="0"/>
                <w:color w:val="000000" w:themeColor="text1"/>
                <w:sz w:val="21"/>
                <w:szCs w:val="21"/>
                <w:lang w:val="en-US" w:eastAsia="zh-CN"/>
                <w14:textFill>
                  <w14:solidFill>
                    <w14:schemeClr w14:val="tx1"/>
                  </w14:solidFill>
                </w14:textFill>
              </w:rPr>
              <w:t>尾矿库服务期满后，建设单位将及时采取</w:t>
            </w:r>
            <w:r>
              <w:rPr>
                <w:rFonts w:hint="default"/>
                <w:b w:val="0"/>
                <w:bCs w:val="0"/>
                <w:color w:val="000000" w:themeColor="text1"/>
                <w:sz w:val="21"/>
                <w:szCs w:val="21"/>
                <w14:textFill>
                  <w14:solidFill>
                    <w14:schemeClr w14:val="tx1"/>
                  </w14:solidFill>
                </w14:textFill>
              </w:rPr>
              <w:t>封场和复垦</w:t>
            </w:r>
            <w:r>
              <w:rPr>
                <w:rFonts w:hint="eastAsia"/>
                <w:b w:val="0"/>
                <w:bCs w:val="0"/>
                <w:color w:val="000000" w:themeColor="text1"/>
                <w:sz w:val="21"/>
                <w:szCs w:val="21"/>
                <w:lang w:val="en-US" w:eastAsia="zh-CN"/>
                <w14:textFill>
                  <w14:solidFill>
                    <w14:schemeClr w14:val="tx1"/>
                  </w14:solidFill>
                </w14:textFill>
              </w:rPr>
              <w:t>措施。</w:t>
            </w:r>
          </w:p>
        </w:tc>
        <w:tc>
          <w:tcPr>
            <w:tcW w:w="447" w:type="pct"/>
            <w:tcBorders>
              <w:tl2br w:val="nil"/>
              <w:tr2bl w:val="nil"/>
            </w:tcBorders>
            <w:noWrap w:val="0"/>
            <w:vAlign w:val="center"/>
          </w:tcPr>
          <w:p w14:paraId="1F626C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bl>
    <w:p w14:paraId="599EE79F">
      <w:pPr>
        <w:pStyle w:val="41"/>
        <w:spacing w:line="480" w:lineRule="exact"/>
        <w:ind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综上所述，本项目符合《矿山生态环境保护与污染防治技术政策》（环发〔2005〕109号）的相关要求。</w:t>
      </w:r>
    </w:p>
    <w:p w14:paraId="16D4AC93">
      <w:pPr>
        <w:pStyle w:val="5"/>
        <w:spacing w:before="0" w:after="0" w:line="480" w:lineRule="exact"/>
        <w:ind w:firstLine="482"/>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1.3.1.6</w:t>
      </w:r>
      <w:r>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t>与</w:t>
      </w:r>
      <w:r>
        <w:rPr>
          <w:rFonts w:hint="default" w:ascii="Times New Roman" w:hAnsi="Times New Roman" w:eastAsia="宋体" w:cs="Times New Roman"/>
          <w:color w:val="000000" w:themeColor="text1"/>
          <w:lang w:eastAsia="zh-Hans"/>
          <w14:textFill>
            <w14:solidFill>
              <w14:schemeClr w14:val="tx1"/>
            </w14:solidFill>
          </w14:textFill>
        </w:rPr>
        <w:t>《关于加强自治区生态保护红线管理的通知</w:t>
      </w:r>
      <w:r>
        <w:rPr>
          <w:rFonts w:hint="eastAsia"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Hans"/>
          <w14:textFill>
            <w14:solidFill>
              <w14:schemeClr w14:val="tx1"/>
            </w14:solidFill>
          </w14:textFill>
        </w:rPr>
        <w:t>试行</w:t>
      </w:r>
      <w:r>
        <w:rPr>
          <w:rFonts w:hint="eastAsia"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Hans"/>
          <w14:textFill>
            <w14:solidFill>
              <w14:schemeClr w14:val="tx1"/>
            </w14:solidFill>
          </w14:textFill>
        </w:rPr>
        <w:t>》</w:t>
      </w:r>
      <w:r>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t>的符合性分析</w:t>
      </w:r>
    </w:p>
    <w:p w14:paraId="0BC2B2F6">
      <w:pPr>
        <w:pStyle w:val="41"/>
        <w:spacing w:line="480" w:lineRule="exact"/>
        <w:ind w:firstLine="480"/>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t>根据《关于加强自治区生态保护红线管理的通知（试行）》附件1第七条：</w:t>
      </w:r>
      <w:r>
        <w:rPr>
          <w:rFonts w:hint="eastAsia" w:cs="Times New Roman"/>
          <w:color w:val="000000" w:themeColor="text1"/>
          <w:spacing w:val="0"/>
          <w:w w:val="100"/>
          <w:position w:val="0"/>
          <w:sz w:val="24"/>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t>地质调查与矿产资源勘查开采。主要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范围依照国家相关规定调出生态保护红线：已依法设立的油气采矿权不扩大用地范围，继续开采，可办理采矿权延续、变更（不含扩大矿区范围）、注销；已依法设立和新设立铬、铜、镍、锂、钴、锆、钾盐、中重稀土矿等战略性矿产探矿权开展勘查活动，可办理探矿权登记，因国家战略需要开展开采活动的，可办理采矿权登记。战略性矿产资源矿种，将视国民经济急需程度等情况进行动态调整。上述勘查开采活动，应落实减缓生态环境影响措施，严格执行绿色勘查、开采及矿山环境生态修复相关要求。</w:t>
      </w:r>
      <w:r>
        <w:rPr>
          <w:rFonts w:hint="eastAsia" w:cs="Times New Roman"/>
          <w:color w:val="000000" w:themeColor="text1"/>
          <w:spacing w:val="0"/>
          <w:w w:val="100"/>
          <w:position w:val="0"/>
          <w:sz w:val="24"/>
          <w:lang w:val="en-US" w:eastAsia="zh-CN"/>
          <w14:textFill>
            <w14:solidFill>
              <w14:schemeClr w14:val="tx1"/>
            </w14:solidFill>
          </w14:textFill>
        </w:rPr>
        <w:t>”</w:t>
      </w:r>
    </w:p>
    <w:p w14:paraId="18F9CBD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本项目未占用生态保护红线区，</w:t>
      </w:r>
      <w:r>
        <w:rPr>
          <w:rFonts w:hint="eastAsia"/>
          <w:color w:val="000000" w:themeColor="text1"/>
          <w:kern w:val="10"/>
          <w:sz w:val="24"/>
          <w:szCs w:val="24"/>
          <w14:textFill>
            <w14:solidFill>
              <w14:schemeClr w14:val="tx1"/>
            </w14:solidFill>
          </w14:textFill>
        </w:rPr>
        <w:t>项目用地不涉及</w:t>
      </w:r>
      <w:r>
        <w:rPr>
          <w:rFonts w:hint="eastAsia"/>
          <w:color w:val="000000" w:themeColor="text1"/>
          <w:kern w:val="10"/>
          <w:sz w:val="24"/>
          <w:szCs w:val="24"/>
          <w:lang w:val="en-US" w:eastAsia="zh-CN"/>
          <w14:textFill>
            <w14:solidFill>
              <w14:schemeClr w14:val="tx1"/>
            </w14:solidFill>
          </w14:textFill>
        </w:rPr>
        <w:t>生态保护红线</w:t>
      </w:r>
      <w:r>
        <w:rPr>
          <w:rFonts w:hint="eastAsia"/>
          <w:color w:val="000000" w:themeColor="text1"/>
          <w:kern w:val="10"/>
          <w:sz w:val="24"/>
          <w:szCs w:val="24"/>
          <w14:textFill>
            <w14:solidFill>
              <w14:schemeClr w14:val="tx1"/>
            </w14:solidFill>
          </w14:textFill>
        </w:rPr>
        <w:t>区域，</w:t>
      </w:r>
      <w:r>
        <w:rPr>
          <w:rFonts w:hint="eastAsia"/>
          <w:color w:val="000000" w:themeColor="text1"/>
          <w:kern w:val="10"/>
          <w:sz w:val="24"/>
          <w:szCs w:val="24"/>
          <w:lang w:val="en-US" w:eastAsia="zh-CN"/>
          <w14:textFill>
            <w14:solidFill>
              <w14:schemeClr w14:val="tx1"/>
            </w14:solidFill>
          </w14:textFill>
        </w:rPr>
        <w:t>项目区</w:t>
      </w:r>
      <w:r>
        <w:rPr>
          <w:rFonts w:hint="eastAsia"/>
          <w:color w:val="000000" w:themeColor="text1"/>
          <w:kern w:val="10"/>
          <w:sz w:val="24"/>
          <w:szCs w:val="24"/>
          <w14:textFill>
            <w14:solidFill>
              <w14:schemeClr w14:val="tx1"/>
            </w14:solidFill>
          </w14:textFill>
        </w:rPr>
        <w:t>西侧距库木塔格生物多样性维护、防风固沙生态保护红线区的最近距离约</w:t>
      </w:r>
      <w:r>
        <w:rPr>
          <w:color w:val="000000" w:themeColor="text1"/>
          <w:kern w:val="10"/>
          <w:sz w:val="24"/>
          <w:szCs w:val="24"/>
          <w14:textFill>
            <w14:solidFill>
              <w14:schemeClr w14:val="tx1"/>
            </w14:solidFill>
          </w14:textFill>
        </w:rPr>
        <w:t>37.7</w:t>
      </w:r>
      <w:r>
        <w:rPr>
          <w:rFonts w:hint="eastAsia"/>
          <w:color w:val="000000" w:themeColor="text1"/>
          <w:kern w:val="10"/>
          <w:sz w:val="24"/>
          <w:szCs w:val="24"/>
          <w14:textFill>
            <w14:solidFill>
              <w14:schemeClr w14:val="tx1"/>
            </w14:solidFill>
          </w14:textFill>
        </w:rPr>
        <w:t>km。</w:t>
      </w:r>
      <w:r>
        <w:rPr>
          <w:rFonts w:hint="eastAsia"/>
          <w:color w:val="000000" w:themeColor="text1"/>
          <w:kern w:val="10"/>
          <w:sz w:val="24"/>
          <w:szCs w:val="24"/>
          <w:lang w:val="en-US" w:eastAsia="zh-CN"/>
          <w14:textFill>
            <w14:solidFill>
              <w14:schemeClr w14:val="tx1"/>
            </w14:solidFill>
          </w14:textFill>
        </w:rPr>
        <w:t>建设单位已</w:t>
      </w:r>
      <w:r>
        <w:rPr>
          <w:rFonts w:hint="default" w:ascii="Times New Roman" w:hAnsi="Times New Roman" w:eastAsia="宋体" w:cs="Times New Roman"/>
          <w:color w:val="000000" w:themeColor="text1"/>
          <w:sz w:val="24"/>
          <w14:textFill>
            <w14:solidFill>
              <w14:schemeClr w14:val="tx1"/>
            </w14:solidFill>
          </w14:textFill>
        </w:rPr>
        <w:t>编制</w:t>
      </w:r>
      <w:r>
        <w:rPr>
          <w:rFonts w:hint="eastAsia" w:ascii="Times New Roman" w:hAnsi="Times New Roman" w:eastAsia="宋体" w:cs="Times New Roman"/>
          <w:color w:val="000000" w:themeColor="text1"/>
          <w:sz w:val="24"/>
          <w:lang w:eastAsia="zh-CN"/>
          <w14:textFill>
            <w14:solidFill>
              <w14:schemeClr w14:val="tx1"/>
            </w14:solidFill>
          </w14:textFill>
        </w:rPr>
        <w:t>《新疆哈密市西成矿业有限责任公司M1033铁矿矿产资源开发利用与生态保护修复方案》，</w:t>
      </w:r>
      <w:r>
        <w:rPr>
          <w:rFonts w:hint="default" w:ascii="Times New Roman" w:hAnsi="Times New Roman" w:eastAsia="宋体" w:cs="Times New Roman"/>
          <w:color w:val="000000" w:themeColor="text1"/>
          <w:sz w:val="24"/>
          <w14:textFill>
            <w14:solidFill>
              <w14:schemeClr w14:val="tx1"/>
            </w14:solidFill>
          </w14:textFill>
        </w:rPr>
        <w:t>建设单位</w:t>
      </w:r>
      <w:r>
        <w:rPr>
          <w:rFonts w:hint="eastAsia" w:ascii="Times New Roman" w:hAnsi="Times New Roman" w:eastAsia="宋体" w:cs="Times New Roman"/>
          <w:color w:val="000000" w:themeColor="text1"/>
          <w:sz w:val="24"/>
          <w:lang w:val="en-US" w:eastAsia="zh-CN"/>
          <w14:textFill>
            <w14:solidFill>
              <w14:schemeClr w14:val="tx1"/>
            </w14:solidFill>
          </w14:textFill>
        </w:rPr>
        <w:t>应在本项目</w:t>
      </w:r>
      <w:r>
        <w:rPr>
          <w:rFonts w:hint="default" w:ascii="Times New Roman" w:hAnsi="Times New Roman" w:eastAsia="宋体" w:cs="Times New Roman"/>
          <w:color w:val="000000" w:themeColor="text1"/>
          <w:sz w:val="24"/>
          <w14:textFill>
            <w14:solidFill>
              <w14:schemeClr w14:val="tx1"/>
            </w14:solidFill>
          </w14:textFill>
        </w:rPr>
        <w:t>建设运营期间严格按照方案进行建设、</w:t>
      </w:r>
      <w:r>
        <w:rPr>
          <w:rFonts w:hint="eastAsia" w:cs="Times New Roman"/>
          <w:color w:val="000000" w:themeColor="text1"/>
          <w:sz w:val="24"/>
          <w:lang w:val="en-US" w:eastAsia="zh-CN"/>
          <w14:textFill>
            <w14:solidFill>
              <w14:schemeClr w14:val="tx1"/>
            </w14:solidFill>
          </w14:textFill>
        </w:rPr>
        <w:t>生产及生态恢复</w:t>
      </w:r>
      <w:r>
        <w:rPr>
          <w:rFonts w:hint="default" w:ascii="Times New Roman" w:hAnsi="Times New Roman" w:eastAsia="宋体" w:cs="Times New Roman"/>
          <w:color w:val="000000" w:themeColor="text1"/>
          <w:sz w:val="24"/>
          <w14:textFill>
            <w14:solidFill>
              <w14:schemeClr w14:val="tx1"/>
            </w14:solidFill>
          </w14:textFill>
        </w:rPr>
        <w:t>。</w:t>
      </w:r>
    </w:p>
    <w:p w14:paraId="5BFD411C">
      <w:pPr>
        <w:pStyle w:val="41"/>
        <w:spacing w:line="480" w:lineRule="exact"/>
        <w:ind w:firstLine="480"/>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在采取本次评价提出的各项生态环境保护措施的前提下，本项目符合《关于加强自治区生态保护红线管理的通知（试行）》的相关要求。</w:t>
      </w:r>
    </w:p>
    <w:p w14:paraId="0894E715">
      <w:pPr>
        <w:pStyle w:val="5"/>
        <w:spacing w:before="0" w:after="0" w:line="480" w:lineRule="exact"/>
        <w:ind w:firstLine="482"/>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1.3.1.7与《尾矿库安全规程》（GB39496-2020）的符合性分析</w:t>
      </w:r>
    </w:p>
    <w:p w14:paraId="0140F265">
      <w:pPr>
        <w:pStyle w:val="41"/>
        <w:spacing w:line="480" w:lineRule="exact"/>
        <w:ind w:firstLine="480"/>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本项目与《尾矿库安全规程》（GB39496-2020）的符合性分析见下表。</w:t>
      </w:r>
    </w:p>
    <w:p w14:paraId="547717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pPr>
      <w:r>
        <w:rPr>
          <w:rFonts w:hint="default" w:ascii="Times New Roman" w:hAnsi="Times New Roman" w:cs="Times New Roman"/>
          <w:b/>
          <w:color w:val="000000" w:themeColor="text1"/>
          <w:szCs w:val="24"/>
          <w:highlight w:val="none"/>
          <w14:textFill>
            <w14:solidFill>
              <w14:schemeClr w14:val="tx1"/>
            </w14:solidFill>
          </w14:textFill>
        </w:rPr>
        <w:t>表</w:t>
      </w:r>
      <w:r>
        <w:rPr>
          <w:rFonts w:hint="eastAsia" w:cs="Times New Roman"/>
          <w:b/>
          <w:color w:val="000000" w:themeColor="text1"/>
          <w:szCs w:val="24"/>
          <w:highlight w:val="none"/>
          <w:lang w:val="en-US" w:eastAsia="zh-CN"/>
          <w14:textFill>
            <w14:solidFill>
              <w14:schemeClr w14:val="tx1"/>
            </w14:solidFill>
          </w14:textFill>
        </w:rPr>
        <w:t>1.3-4</w:t>
      </w:r>
      <w:r>
        <w:rPr>
          <w:rFonts w:hint="default" w:ascii="Times New Roman" w:hAnsi="Times New Roman" w:cs="Times New Roman"/>
          <w:b/>
          <w:color w:val="000000" w:themeColor="text1"/>
          <w:szCs w:val="24"/>
          <w:highlight w:val="none"/>
          <w14:textFill>
            <w14:solidFill>
              <w14:schemeClr w14:val="tx1"/>
            </w14:solidFill>
          </w14:textFill>
        </w:rPr>
        <w:t xml:space="preserve">    </w:t>
      </w:r>
      <w:r>
        <w:rPr>
          <w:rFonts w:hint="eastAsia" w:cs="Times New Roman"/>
          <w:b/>
          <w:color w:val="000000" w:themeColor="text1"/>
          <w:szCs w:val="24"/>
          <w:highlight w:val="none"/>
          <w:lang w:eastAsia="zh-CN"/>
          <w14:textFill>
            <w14:solidFill>
              <w14:schemeClr w14:val="tx1"/>
            </w14:solidFill>
          </w14:textFill>
        </w:rPr>
        <w:t>本</w:t>
      </w:r>
      <w:r>
        <w:rPr>
          <w:rFonts w:hint="eastAsia" w:cs="Times New Roman"/>
          <w:b/>
          <w:color w:val="000000" w:themeColor="text1"/>
          <w:szCs w:val="24"/>
          <w:highlight w:val="none"/>
          <w:lang w:val="en-US" w:eastAsia="zh-CN"/>
          <w14:textFill>
            <w14:solidFill>
              <w14:schemeClr w14:val="tx1"/>
            </w14:solidFill>
          </w14:textFill>
        </w:rPr>
        <w:t>项目</w:t>
      </w:r>
      <w:r>
        <w:rPr>
          <w:rFonts w:hint="default" w:ascii="Times New Roman" w:hAnsi="Times New Roman" w:cs="Times New Roman"/>
          <w:b/>
          <w:color w:val="000000" w:themeColor="text1"/>
          <w:szCs w:val="24"/>
          <w:highlight w:val="none"/>
          <w14:textFill>
            <w14:solidFill>
              <w14:schemeClr w14:val="tx1"/>
            </w14:solidFill>
          </w14:textFill>
        </w:rPr>
        <w:t>与《尾矿库安全规程》的符合性分析</w:t>
      </w:r>
      <w:r>
        <w:rPr>
          <w:rFonts w:hint="eastAsia" w:cs="Times New Roman"/>
          <w:b/>
          <w:color w:val="000000" w:themeColor="text1"/>
          <w:szCs w:val="24"/>
          <w:highlight w:val="none"/>
          <w:lang w:val="en-US" w:eastAsia="zh-CN"/>
          <w14:textFill>
            <w14:solidFill>
              <w14:schemeClr w14:val="tx1"/>
            </w14:solidFill>
          </w14:textFill>
        </w:rPr>
        <w:t>表</w:t>
      </w:r>
    </w:p>
    <w:tbl>
      <w:tblPr>
        <w:tblStyle w:val="32"/>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7"/>
        <w:gridCol w:w="3615"/>
        <w:gridCol w:w="3522"/>
        <w:gridCol w:w="650"/>
      </w:tblGrid>
      <w:tr w14:paraId="09619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432" w:type="pct"/>
            <w:noWrap w:val="0"/>
            <w:vAlign w:val="center"/>
          </w:tcPr>
          <w:p w14:paraId="058D75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color w:val="000000" w:themeColor="text1"/>
                <w:sz w:val="2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序号</w:t>
            </w:r>
          </w:p>
        </w:tc>
        <w:tc>
          <w:tcPr>
            <w:tcW w:w="2120" w:type="pct"/>
            <w:noWrap w:val="0"/>
            <w:vAlign w:val="center"/>
          </w:tcPr>
          <w:p w14:paraId="6B8DA3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color w:val="000000" w:themeColor="text1"/>
                <w:sz w:val="2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《尾矿库安全规程》</w:t>
            </w:r>
            <w:r>
              <w:rPr>
                <w:rFonts w:hint="eastAsia" w:ascii="Times New Roman" w:hAnsi="Times New Roman" w:cs="Times New Roman"/>
                <w:b/>
                <w:color w:val="000000" w:themeColor="text1"/>
                <w:sz w:val="21"/>
                <w:lang w:val="en-US" w:eastAsia="zh-CN"/>
                <w14:textFill>
                  <w14:solidFill>
                    <w14:schemeClr w14:val="tx1"/>
                  </w14:solidFill>
                </w14:textFill>
              </w:rPr>
              <w:t>相关</w:t>
            </w:r>
            <w:r>
              <w:rPr>
                <w:rFonts w:hint="default" w:ascii="Times New Roman" w:hAnsi="Times New Roman" w:cs="Times New Roman"/>
                <w:b/>
                <w:color w:val="000000" w:themeColor="text1"/>
                <w:sz w:val="21"/>
                <w14:textFill>
                  <w14:solidFill>
                    <w14:schemeClr w14:val="tx1"/>
                  </w14:solidFill>
                </w14:textFill>
              </w:rPr>
              <w:t>要求</w:t>
            </w:r>
          </w:p>
        </w:tc>
        <w:tc>
          <w:tcPr>
            <w:tcW w:w="2065" w:type="pct"/>
            <w:noWrap w:val="0"/>
            <w:vAlign w:val="center"/>
          </w:tcPr>
          <w:p w14:paraId="60C852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color w:val="000000" w:themeColor="text1"/>
                <w:sz w:val="21"/>
                <w14:textFill>
                  <w14:solidFill>
                    <w14:schemeClr w14:val="tx1"/>
                  </w14:solidFill>
                </w14:textFill>
              </w:rPr>
            </w:pPr>
            <w:r>
              <w:rPr>
                <w:rFonts w:hint="eastAsia" w:cs="Times New Roman"/>
                <w:b/>
                <w:color w:val="000000" w:themeColor="text1"/>
                <w:sz w:val="21"/>
                <w:lang w:eastAsia="zh-CN"/>
                <w14:textFill>
                  <w14:solidFill>
                    <w14:schemeClr w14:val="tx1"/>
                  </w14:solidFill>
                </w14:textFill>
              </w:rPr>
              <w:t>本项目</w:t>
            </w:r>
            <w:r>
              <w:rPr>
                <w:rFonts w:hint="default" w:ascii="Times New Roman" w:hAnsi="Times New Roman" w:cs="Times New Roman"/>
                <w:b/>
                <w:color w:val="000000" w:themeColor="text1"/>
                <w:sz w:val="21"/>
                <w14:textFill>
                  <w14:solidFill>
                    <w14:schemeClr w14:val="tx1"/>
                  </w14:solidFill>
                </w14:textFill>
              </w:rPr>
              <w:t>尾矿库</w:t>
            </w:r>
          </w:p>
        </w:tc>
        <w:tc>
          <w:tcPr>
            <w:tcW w:w="381" w:type="pct"/>
            <w:noWrap w:val="0"/>
            <w:vAlign w:val="center"/>
          </w:tcPr>
          <w:p w14:paraId="783F41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color w:val="000000" w:themeColor="text1"/>
                <w:sz w:val="2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备注</w:t>
            </w:r>
          </w:p>
        </w:tc>
      </w:tr>
      <w:tr w14:paraId="606C8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noWrap w:val="0"/>
            <w:vAlign w:val="center"/>
          </w:tcPr>
          <w:p w14:paraId="1F4B22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1</w:t>
            </w:r>
          </w:p>
        </w:tc>
        <w:tc>
          <w:tcPr>
            <w:tcW w:w="2120" w:type="pct"/>
            <w:noWrap w:val="0"/>
            <w:vAlign w:val="center"/>
          </w:tcPr>
          <w:p w14:paraId="769E8F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国家法律、法规规定禁止建设尾矿的区域</w:t>
            </w:r>
          </w:p>
        </w:tc>
        <w:tc>
          <w:tcPr>
            <w:tcW w:w="2065" w:type="pct"/>
            <w:noWrap w:val="0"/>
            <w:vAlign w:val="center"/>
          </w:tcPr>
          <w:p w14:paraId="4FE234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本</w:t>
            </w:r>
            <w:r>
              <w:rPr>
                <w:rFonts w:hint="eastAsia" w:cs="Times New Roman"/>
                <w:bCs/>
                <w:color w:val="000000" w:themeColor="text1"/>
                <w:sz w:val="21"/>
                <w:lang w:val="en-US" w:eastAsia="zh-CN"/>
                <w14:textFill>
                  <w14:solidFill>
                    <w14:schemeClr w14:val="tx1"/>
                  </w14:solidFill>
                </w14:textFill>
              </w:rPr>
              <w:t>项目</w:t>
            </w:r>
            <w:r>
              <w:rPr>
                <w:rFonts w:hint="default" w:ascii="Times New Roman" w:hAnsi="Times New Roman" w:cs="Times New Roman"/>
                <w:bCs/>
                <w:color w:val="000000" w:themeColor="text1"/>
                <w:sz w:val="21"/>
                <w14:textFill>
                  <w14:solidFill>
                    <w14:schemeClr w14:val="tx1"/>
                  </w14:solidFill>
                </w14:textFill>
              </w:rPr>
              <w:t>尾矿库不属于国家法律法规规定禁止建设的区域</w:t>
            </w:r>
            <w:r>
              <w:rPr>
                <w:rFonts w:hint="eastAsia" w:cs="Times New Roman"/>
                <w:bCs/>
                <w:color w:val="000000" w:themeColor="text1"/>
                <w:sz w:val="21"/>
                <w:lang w:eastAsia="zh-CN"/>
                <w14:textFill>
                  <w14:solidFill>
                    <w14:schemeClr w14:val="tx1"/>
                  </w14:solidFill>
                </w14:textFill>
              </w:rPr>
              <w:t>。</w:t>
            </w:r>
          </w:p>
        </w:tc>
        <w:tc>
          <w:tcPr>
            <w:tcW w:w="381" w:type="pct"/>
            <w:noWrap w:val="0"/>
            <w:vAlign w:val="center"/>
          </w:tcPr>
          <w:p w14:paraId="60E368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455EC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noWrap w:val="0"/>
            <w:vAlign w:val="center"/>
          </w:tcPr>
          <w:p w14:paraId="63C65E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2</w:t>
            </w:r>
          </w:p>
        </w:tc>
        <w:tc>
          <w:tcPr>
            <w:tcW w:w="2120" w:type="pct"/>
            <w:noWrap w:val="0"/>
            <w:vAlign w:val="center"/>
          </w:tcPr>
          <w:p w14:paraId="6DA6AB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尾矿库失事将使下游重要城镇、</w:t>
            </w:r>
            <w:r>
              <w:rPr>
                <w:rFonts w:hint="eastAsia" w:ascii="Times New Roman" w:hAnsi="Times New Roman" w:cs="Times New Roman"/>
                <w:bCs/>
                <w:color w:val="000000" w:themeColor="text1"/>
                <w:sz w:val="21"/>
                <w:lang w:eastAsia="zh-CN"/>
                <w14:textFill>
                  <w14:solidFill>
                    <w14:schemeClr w14:val="tx1"/>
                  </w14:solidFill>
                </w14:textFill>
              </w:rPr>
              <w:t>工矿企业</w:t>
            </w:r>
            <w:r>
              <w:rPr>
                <w:rFonts w:hint="default" w:ascii="Times New Roman" w:hAnsi="Times New Roman" w:cs="Times New Roman"/>
                <w:bCs/>
                <w:color w:val="000000" w:themeColor="text1"/>
                <w:sz w:val="21"/>
                <w14:textFill>
                  <w14:solidFill>
                    <w14:schemeClr w14:val="tx1"/>
                  </w14:solidFill>
                </w14:textFill>
              </w:rPr>
              <w:t>、铁路干线或高速公路等遭受严重威胁区域</w:t>
            </w:r>
          </w:p>
        </w:tc>
        <w:tc>
          <w:tcPr>
            <w:tcW w:w="2065" w:type="pct"/>
            <w:noWrap w:val="0"/>
            <w:vAlign w:val="center"/>
          </w:tcPr>
          <w:p w14:paraId="7F32CF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根据现场踏勘，</w:t>
            </w:r>
            <w:r>
              <w:rPr>
                <w:rFonts w:hint="eastAsia" w:cs="Times New Roman"/>
                <w:bCs/>
                <w:color w:val="000000" w:themeColor="text1"/>
                <w:sz w:val="21"/>
                <w:lang w:val="en-US" w:eastAsia="zh-CN"/>
                <w14:textFill>
                  <w14:solidFill>
                    <w14:schemeClr w14:val="tx1"/>
                  </w14:solidFill>
                </w14:textFill>
              </w:rPr>
              <w:t>尾矿库下游1.5km范围内无除本企业以外的</w:t>
            </w:r>
            <w:r>
              <w:rPr>
                <w:rFonts w:hint="default" w:ascii="Times New Roman" w:hAnsi="Times New Roman" w:cs="Times New Roman"/>
                <w:bCs/>
                <w:color w:val="000000" w:themeColor="text1"/>
                <w:sz w:val="21"/>
                <w14:textFill>
                  <w14:solidFill>
                    <w14:schemeClr w14:val="tx1"/>
                  </w14:solidFill>
                </w14:textFill>
              </w:rPr>
              <w:t>重要城镇、</w:t>
            </w:r>
            <w:r>
              <w:rPr>
                <w:rFonts w:hint="eastAsia" w:ascii="Times New Roman" w:hAnsi="Times New Roman" w:cs="Times New Roman"/>
                <w:bCs/>
                <w:color w:val="000000" w:themeColor="text1"/>
                <w:sz w:val="21"/>
                <w:lang w:eastAsia="zh-CN"/>
                <w14:textFill>
                  <w14:solidFill>
                    <w14:schemeClr w14:val="tx1"/>
                  </w14:solidFill>
                </w14:textFill>
              </w:rPr>
              <w:t>工矿企业</w:t>
            </w:r>
            <w:r>
              <w:rPr>
                <w:rFonts w:hint="default" w:ascii="Times New Roman" w:hAnsi="Times New Roman" w:cs="Times New Roman"/>
                <w:bCs/>
                <w:color w:val="000000" w:themeColor="text1"/>
                <w:sz w:val="21"/>
                <w14:textFill>
                  <w14:solidFill>
                    <w14:schemeClr w14:val="tx1"/>
                  </w14:solidFill>
                </w14:textFill>
              </w:rPr>
              <w:t>、铁路干线或高速公路等遭受严重威胁区域</w:t>
            </w:r>
            <w:r>
              <w:rPr>
                <w:rFonts w:hint="eastAsia" w:ascii="Times New Roman" w:hAnsi="Times New Roman" w:cs="Times New Roman"/>
                <w:bCs/>
                <w:color w:val="000000" w:themeColor="text1"/>
                <w:sz w:val="21"/>
                <w:lang w:eastAsia="zh-CN"/>
                <w14:textFill>
                  <w14:solidFill>
                    <w14:schemeClr w14:val="tx1"/>
                  </w14:solidFill>
                </w14:textFill>
              </w:rPr>
              <w:t>。</w:t>
            </w:r>
          </w:p>
        </w:tc>
        <w:tc>
          <w:tcPr>
            <w:tcW w:w="381" w:type="pct"/>
            <w:noWrap w:val="0"/>
            <w:vAlign w:val="center"/>
          </w:tcPr>
          <w:p w14:paraId="45C55F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570EB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noWrap w:val="0"/>
            <w:vAlign w:val="center"/>
          </w:tcPr>
          <w:p w14:paraId="7BDF98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3</w:t>
            </w:r>
          </w:p>
        </w:tc>
        <w:tc>
          <w:tcPr>
            <w:tcW w:w="2120" w:type="pct"/>
            <w:noWrap w:val="0"/>
            <w:vAlign w:val="center"/>
          </w:tcPr>
          <w:p w14:paraId="4FD253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汇水面积小，并有足够的库容，上游式尾矿库有足够的初、终期库长</w:t>
            </w:r>
          </w:p>
        </w:tc>
        <w:tc>
          <w:tcPr>
            <w:tcW w:w="2065" w:type="pct"/>
            <w:noWrap w:val="0"/>
            <w:vAlign w:val="center"/>
          </w:tcPr>
          <w:p w14:paraId="0EFF4B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eastAsia="zh-CN"/>
                <w14:textFill>
                  <w14:solidFill>
                    <w14:schemeClr w14:val="tx1"/>
                  </w14:solidFill>
                </w14:textFill>
              </w:rPr>
            </w:pPr>
            <w:r>
              <w:rPr>
                <w:rFonts w:hint="eastAsia" w:cs="Times New Roman"/>
                <w:bCs/>
                <w:color w:val="000000" w:themeColor="text1"/>
                <w:sz w:val="21"/>
                <w:highlight w:val="none"/>
                <w:lang w:val="en-US" w:eastAsia="zh-CN"/>
                <w14:textFill>
                  <w14:solidFill>
                    <w14:schemeClr w14:val="tx1"/>
                  </w14:solidFill>
                </w14:textFill>
              </w:rPr>
              <w:t>尾矿库</w:t>
            </w:r>
            <w:r>
              <w:rPr>
                <w:rFonts w:hint="eastAsia" w:cs="Times New Roman"/>
                <w:color w:val="000000" w:themeColor="text1"/>
                <w:kern w:val="0"/>
                <w:sz w:val="21"/>
                <w:szCs w:val="21"/>
                <w:lang w:eastAsia="zh-CN"/>
                <w14:textFill>
                  <w14:solidFill>
                    <w14:schemeClr w14:val="tx1"/>
                  </w14:solidFill>
                </w14:textFill>
              </w:rPr>
              <w:t>有效库容为501.17万m</w:t>
            </w:r>
            <w:r>
              <w:rPr>
                <w:rFonts w:hint="eastAsia" w:cs="Times New Roman"/>
                <w:color w:val="000000" w:themeColor="text1"/>
                <w:kern w:val="0"/>
                <w:sz w:val="21"/>
                <w:szCs w:val="21"/>
                <w:vertAlign w:val="superscript"/>
                <w:lang w:eastAsia="zh-CN"/>
                <w14:textFill>
                  <w14:solidFill>
                    <w14:schemeClr w14:val="tx1"/>
                  </w14:solidFill>
                </w14:textFill>
              </w:rPr>
              <w:t>3</w:t>
            </w:r>
            <w:r>
              <w:rPr>
                <w:rFonts w:hint="eastAsia" w:cs="Times New Roman"/>
                <w:color w:val="000000" w:themeColor="text1"/>
                <w:kern w:val="0"/>
                <w:sz w:val="21"/>
                <w:szCs w:val="21"/>
                <w:lang w:eastAsia="zh-CN"/>
                <w14:textFill>
                  <w14:solidFill>
                    <w14:schemeClr w14:val="tx1"/>
                  </w14:solidFill>
                </w14:textFill>
              </w:rPr>
              <w:t>，可服役年限为19年，</w:t>
            </w:r>
            <w:r>
              <w:rPr>
                <w:rFonts w:hint="default" w:ascii="Times New Roman" w:hAnsi="Times New Roman" w:cs="Times New Roman"/>
                <w:color w:val="000000" w:themeColor="text1"/>
                <w:sz w:val="21"/>
                <w14:textFill>
                  <w14:solidFill>
                    <w14:schemeClr w14:val="tx1"/>
                  </w14:solidFill>
                </w14:textFill>
              </w:rPr>
              <w:t>有足够的库容</w:t>
            </w:r>
            <w:r>
              <w:rPr>
                <w:rFonts w:hint="eastAsia" w:cs="Times New Roman"/>
                <w:color w:val="000000" w:themeColor="text1"/>
                <w:sz w:val="21"/>
                <w:lang w:eastAsia="zh-CN"/>
                <w14:textFill>
                  <w14:solidFill>
                    <w14:schemeClr w14:val="tx1"/>
                  </w14:solidFill>
                </w14:textFill>
              </w:rPr>
              <w:t>。</w:t>
            </w:r>
          </w:p>
        </w:tc>
        <w:tc>
          <w:tcPr>
            <w:tcW w:w="381" w:type="pct"/>
            <w:noWrap w:val="0"/>
            <w:vAlign w:val="center"/>
          </w:tcPr>
          <w:p w14:paraId="0D972E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2E23D2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noWrap w:val="0"/>
            <w:vAlign w:val="center"/>
          </w:tcPr>
          <w:p w14:paraId="2F1296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4</w:t>
            </w:r>
          </w:p>
        </w:tc>
        <w:tc>
          <w:tcPr>
            <w:tcW w:w="2120" w:type="pct"/>
            <w:noWrap w:val="0"/>
            <w:vAlign w:val="center"/>
          </w:tcPr>
          <w:p w14:paraId="64DE07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避开不良地质现象严重区域</w:t>
            </w:r>
          </w:p>
        </w:tc>
        <w:tc>
          <w:tcPr>
            <w:tcW w:w="2065" w:type="pct"/>
            <w:noWrap w:val="0"/>
            <w:vAlign w:val="center"/>
          </w:tcPr>
          <w:p w14:paraId="6E7784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根据尾矿库所在区域工程地质及水文地质调查，无活动断层、溶洞区、天然滑坡及泥石流影响区及湿地等区域</w:t>
            </w:r>
            <w:r>
              <w:rPr>
                <w:rFonts w:hint="eastAsia" w:cs="Times New Roman"/>
                <w:bCs/>
                <w:color w:val="000000" w:themeColor="text1"/>
                <w:sz w:val="21"/>
                <w:lang w:eastAsia="zh-CN"/>
                <w14:textFill>
                  <w14:solidFill>
                    <w14:schemeClr w14:val="tx1"/>
                  </w14:solidFill>
                </w14:textFill>
              </w:rPr>
              <w:t>。</w:t>
            </w:r>
          </w:p>
        </w:tc>
        <w:tc>
          <w:tcPr>
            <w:tcW w:w="381" w:type="pct"/>
            <w:noWrap w:val="0"/>
            <w:vAlign w:val="center"/>
          </w:tcPr>
          <w:p w14:paraId="722603E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1DA2D3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noWrap w:val="0"/>
            <w:vAlign w:val="center"/>
          </w:tcPr>
          <w:p w14:paraId="5EC067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5</w:t>
            </w:r>
          </w:p>
        </w:tc>
        <w:tc>
          <w:tcPr>
            <w:tcW w:w="2120" w:type="pct"/>
            <w:noWrap w:val="0"/>
            <w:vAlign w:val="center"/>
          </w:tcPr>
          <w:p w14:paraId="7FFD32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地震设计烈度为十级时，上游式尾矿筑坝尾矿堆积高度不得高于</w:t>
            </w:r>
            <w:r>
              <w:rPr>
                <w:rFonts w:hint="eastAsia" w:ascii="Times New Roman" w:hAnsi="Times New Roman" w:cs="Times New Roman"/>
                <w:bCs/>
                <w:color w:val="000000" w:themeColor="text1"/>
                <w:sz w:val="21"/>
                <w:lang w:val="en-US" w:eastAsia="zh-CN"/>
                <w14:textFill>
                  <w14:solidFill>
                    <w14:schemeClr w14:val="tx1"/>
                  </w14:solidFill>
                </w14:textFill>
              </w:rPr>
              <w:t>30m。</w:t>
            </w:r>
          </w:p>
        </w:tc>
        <w:tc>
          <w:tcPr>
            <w:tcW w:w="2065" w:type="pct"/>
            <w:noWrap w:val="0"/>
            <w:vAlign w:val="center"/>
          </w:tcPr>
          <w:p w14:paraId="7E6EAA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本</w:t>
            </w:r>
            <w:r>
              <w:rPr>
                <w:rFonts w:hint="eastAsia" w:cs="Times New Roman"/>
                <w:bCs/>
                <w:color w:val="000000" w:themeColor="text1"/>
                <w:sz w:val="21"/>
                <w:lang w:val="en-US" w:eastAsia="zh-CN"/>
                <w14:textFill>
                  <w14:solidFill>
                    <w14:schemeClr w14:val="tx1"/>
                  </w14:solidFill>
                </w14:textFill>
              </w:rPr>
              <w:t>项目</w:t>
            </w:r>
            <w:r>
              <w:rPr>
                <w:rFonts w:hint="eastAsia" w:ascii="Times New Roman" w:hAnsi="Times New Roman" w:cs="Times New Roman"/>
                <w:bCs/>
                <w:color w:val="000000" w:themeColor="text1"/>
                <w:sz w:val="21"/>
                <w:lang w:eastAsia="zh-CN"/>
                <w14:textFill>
                  <w14:solidFill>
                    <w14:schemeClr w14:val="tx1"/>
                  </w14:solidFill>
                </w14:textFill>
              </w:rPr>
              <w:t>地震设计烈度为Ⅵ度</w:t>
            </w:r>
            <w:r>
              <w:rPr>
                <w:rFonts w:hint="eastAsia" w:ascii="Times New Roman" w:hAnsi="Times New Roman" w:cs="Times New Roman"/>
                <w:bCs/>
                <w:color w:val="000000" w:themeColor="text1"/>
                <w:sz w:val="21"/>
                <w:lang w:val="en-US" w:eastAsia="zh-CN"/>
                <w14:textFill>
                  <w14:solidFill>
                    <w14:schemeClr w14:val="tx1"/>
                  </w14:solidFill>
                </w14:textFill>
              </w:rPr>
              <w:t>，</w:t>
            </w:r>
            <w:r>
              <w:rPr>
                <w:rFonts w:hint="eastAsia" w:cs="Times New Roman"/>
                <w:bCs/>
                <w:color w:val="000000" w:themeColor="text1"/>
                <w:sz w:val="21"/>
                <w:lang w:val="en-US" w:eastAsia="zh-CN"/>
                <w14:textFill>
                  <w14:solidFill>
                    <w14:schemeClr w14:val="tx1"/>
                  </w14:solidFill>
                </w14:textFill>
              </w:rPr>
              <w:t>尾矿堆积高度30m，</w:t>
            </w:r>
            <w:r>
              <w:rPr>
                <w:rFonts w:hint="eastAsia" w:ascii="Times New Roman" w:hAnsi="Times New Roman" w:cs="Times New Roman"/>
                <w:bCs/>
                <w:color w:val="000000" w:themeColor="text1"/>
                <w:sz w:val="21"/>
                <w:lang w:val="en-US" w:eastAsia="zh-CN"/>
                <w14:textFill>
                  <w14:solidFill>
                    <w14:schemeClr w14:val="tx1"/>
                  </w14:solidFill>
                </w14:textFill>
              </w:rPr>
              <w:t>满足</w:t>
            </w:r>
            <w:r>
              <w:rPr>
                <w:rFonts w:hint="eastAsia" w:cs="Times New Roman"/>
                <w:bCs/>
                <w:color w:val="000000" w:themeColor="text1"/>
                <w:sz w:val="21"/>
                <w:lang w:val="en-US" w:eastAsia="zh-CN"/>
                <w14:textFill>
                  <w14:solidFill>
                    <w14:schemeClr w14:val="tx1"/>
                  </w14:solidFill>
                </w14:textFill>
              </w:rPr>
              <w:t>相应</w:t>
            </w:r>
            <w:r>
              <w:rPr>
                <w:rFonts w:hint="eastAsia" w:ascii="Times New Roman" w:hAnsi="Times New Roman" w:cs="Times New Roman"/>
                <w:bCs/>
                <w:color w:val="000000" w:themeColor="text1"/>
                <w:sz w:val="21"/>
                <w:lang w:val="en-US" w:eastAsia="zh-CN"/>
                <w14:textFill>
                  <w14:solidFill>
                    <w14:schemeClr w14:val="tx1"/>
                  </w14:solidFill>
                </w14:textFill>
              </w:rPr>
              <w:t>要求。</w:t>
            </w:r>
          </w:p>
        </w:tc>
        <w:tc>
          <w:tcPr>
            <w:tcW w:w="381" w:type="pct"/>
            <w:noWrap w:val="0"/>
            <w:vAlign w:val="center"/>
          </w:tcPr>
          <w:p w14:paraId="1C45E8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符合</w:t>
            </w:r>
          </w:p>
        </w:tc>
      </w:tr>
      <w:tr w14:paraId="5B515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noWrap w:val="0"/>
            <w:vAlign w:val="center"/>
          </w:tcPr>
          <w:p w14:paraId="36E929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6</w:t>
            </w:r>
          </w:p>
        </w:tc>
        <w:tc>
          <w:tcPr>
            <w:tcW w:w="2120" w:type="pct"/>
            <w:noWrap w:val="0"/>
            <w:vAlign w:val="center"/>
          </w:tcPr>
          <w:p w14:paraId="302F46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除一等库外，防洪标准应在按5.4.1确定的防洪标准基础上提高一个等别</w:t>
            </w:r>
          </w:p>
        </w:tc>
        <w:tc>
          <w:tcPr>
            <w:tcW w:w="2065" w:type="pct"/>
            <w:noWrap w:val="0"/>
            <w:vAlign w:val="center"/>
          </w:tcPr>
          <w:p w14:paraId="70B321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本项目尾矿库防洪标准为设计防洪标准为200年一遇洪水重现期。</w:t>
            </w:r>
          </w:p>
        </w:tc>
        <w:tc>
          <w:tcPr>
            <w:tcW w:w="381" w:type="pct"/>
            <w:noWrap w:val="0"/>
            <w:vAlign w:val="center"/>
          </w:tcPr>
          <w:p w14:paraId="7920C6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符合</w:t>
            </w:r>
          </w:p>
        </w:tc>
      </w:tr>
      <w:tr w14:paraId="7F2E90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noWrap w:val="0"/>
            <w:vAlign w:val="center"/>
          </w:tcPr>
          <w:p w14:paraId="096A5E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7</w:t>
            </w:r>
          </w:p>
        </w:tc>
        <w:tc>
          <w:tcPr>
            <w:tcW w:w="2120" w:type="pct"/>
            <w:noWrap w:val="0"/>
            <w:vAlign w:val="center"/>
          </w:tcPr>
          <w:p w14:paraId="4FCFF5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设置可靠的排渗设施，尾矿堆积坝的控制浸润线埋深应不小于通过计算确定的控制浸线的1.2倍</w:t>
            </w:r>
          </w:p>
        </w:tc>
        <w:tc>
          <w:tcPr>
            <w:tcW w:w="2065" w:type="pct"/>
            <w:noWrap w:val="0"/>
            <w:vAlign w:val="center"/>
          </w:tcPr>
          <w:p w14:paraId="6BC04D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本项目尾矿库已设置</w:t>
            </w:r>
            <w:r>
              <w:rPr>
                <w:rFonts w:hint="eastAsia" w:ascii="Times New Roman" w:hAnsi="Times New Roman" w:cs="Times New Roman"/>
                <w:bCs/>
                <w:color w:val="000000" w:themeColor="text1"/>
                <w:sz w:val="21"/>
                <w:lang w:eastAsia="zh-CN"/>
                <w14:textFill>
                  <w14:solidFill>
                    <w14:schemeClr w14:val="tx1"/>
                  </w14:solidFill>
                </w14:textFill>
              </w:rPr>
              <w:t>可靠的排渗设施，尾矿堆积坝的控制浸润线埋深应不小于通过计算确定的控制浸线的1.2倍</w:t>
            </w:r>
            <w:r>
              <w:rPr>
                <w:rFonts w:hint="eastAsia" w:cs="Times New Roman"/>
                <w:bCs/>
                <w:color w:val="000000" w:themeColor="text1"/>
                <w:sz w:val="21"/>
                <w:lang w:eastAsia="zh-CN"/>
                <w14:textFill>
                  <w14:solidFill>
                    <w14:schemeClr w14:val="tx1"/>
                  </w14:solidFill>
                </w14:textFill>
              </w:rPr>
              <w:t>。</w:t>
            </w:r>
          </w:p>
        </w:tc>
        <w:tc>
          <w:tcPr>
            <w:tcW w:w="381" w:type="pct"/>
            <w:noWrap w:val="0"/>
            <w:vAlign w:val="center"/>
          </w:tcPr>
          <w:p w14:paraId="54CE8B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符合</w:t>
            </w:r>
          </w:p>
        </w:tc>
      </w:tr>
      <w:tr w14:paraId="700A3E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noWrap w:val="0"/>
            <w:vAlign w:val="center"/>
          </w:tcPr>
          <w:p w14:paraId="06154D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8</w:t>
            </w:r>
          </w:p>
        </w:tc>
        <w:tc>
          <w:tcPr>
            <w:tcW w:w="2120" w:type="pct"/>
            <w:noWrap w:val="0"/>
            <w:vAlign w:val="center"/>
          </w:tcPr>
          <w:p w14:paraId="57520E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利旧的排洪构筑物应根据加高扩容要求核算其可靠性，终止使用的排洪构筑物应进行可靠封堵</w:t>
            </w:r>
          </w:p>
        </w:tc>
        <w:tc>
          <w:tcPr>
            <w:tcW w:w="2065" w:type="pct"/>
            <w:noWrap w:val="0"/>
            <w:vAlign w:val="center"/>
          </w:tcPr>
          <w:p w14:paraId="0F335F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本项目尾矿库为本次新建，不涉及加高扩容。</w:t>
            </w:r>
          </w:p>
        </w:tc>
        <w:tc>
          <w:tcPr>
            <w:tcW w:w="381" w:type="pct"/>
            <w:noWrap w:val="0"/>
            <w:vAlign w:val="center"/>
          </w:tcPr>
          <w:p w14:paraId="6A00EC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符合</w:t>
            </w:r>
          </w:p>
        </w:tc>
      </w:tr>
      <w:tr w14:paraId="020E1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pct"/>
            <w:noWrap w:val="0"/>
            <w:vAlign w:val="center"/>
          </w:tcPr>
          <w:p w14:paraId="79E303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9</w:t>
            </w:r>
          </w:p>
        </w:tc>
        <w:tc>
          <w:tcPr>
            <w:tcW w:w="2120" w:type="pct"/>
            <w:noWrap w:val="0"/>
            <w:vAlign w:val="center"/>
          </w:tcPr>
          <w:p w14:paraId="0F718D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尾矿库一次加高高度不得超过50m</w:t>
            </w:r>
          </w:p>
        </w:tc>
        <w:tc>
          <w:tcPr>
            <w:tcW w:w="2065" w:type="pct"/>
            <w:noWrap w:val="0"/>
            <w:vAlign w:val="center"/>
          </w:tcPr>
          <w:p w14:paraId="448CB40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本项目尾矿库为本次新建，不涉及加高扩容。</w:t>
            </w:r>
          </w:p>
        </w:tc>
        <w:tc>
          <w:tcPr>
            <w:tcW w:w="381" w:type="pct"/>
            <w:noWrap w:val="0"/>
            <w:vAlign w:val="center"/>
          </w:tcPr>
          <w:p w14:paraId="5708C7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符合</w:t>
            </w:r>
          </w:p>
        </w:tc>
      </w:tr>
    </w:tbl>
    <w:p w14:paraId="75C0958D">
      <w:pPr>
        <w:pStyle w:val="41"/>
        <w:spacing w:line="480" w:lineRule="exact"/>
        <w:ind w:firstLine="480"/>
        <w:rPr>
          <w:rFonts w:hint="eastAsia" w:ascii="Times New Roman" w:hAnsi="Times New Roman" w:eastAsia="宋体" w:cs="Times New Roman"/>
          <w:color w:val="000000" w:themeColor="text1"/>
          <w:kern w:val="10"/>
          <w:sz w:val="24"/>
          <w:szCs w:val="24"/>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综上，本项目符合《尾矿库安全规程》（GB39496-2020）的相关要求。</w:t>
      </w:r>
    </w:p>
    <w:p w14:paraId="22F152DE">
      <w:pPr>
        <w:pStyle w:val="5"/>
        <w:spacing w:before="0" w:after="0" w:line="480" w:lineRule="exact"/>
        <w:ind w:firstLine="482"/>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1.3.1.8与</w:t>
      </w:r>
      <w:r>
        <w:rPr>
          <w:rFonts w:hint="eastAsia" w:cs="Times New Roman"/>
          <w:color w:val="000000" w:themeColor="text1"/>
          <w:lang w:val="en-US" w:eastAsia="zh-CN"/>
          <w14:textFill>
            <w14:solidFill>
              <w14:schemeClr w14:val="tx1"/>
            </w14:solidFill>
          </w14:textFill>
        </w:rPr>
        <w:t>《一般工业固体废物贮存和填埋污染控制标准》（GB18599-2020）</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的符合性分析</w:t>
      </w:r>
    </w:p>
    <w:p w14:paraId="563DF9EC">
      <w:pPr>
        <w:overflowPunct w:val="0"/>
        <w:topLinePunct/>
        <w:ind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本项目与《一般工业固体废物贮存和填埋污染控制标准》（GB18599-2020）的符合性分析见下表。</w:t>
      </w:r>
    </w:p>
    <w:p w14:paraId="6846E6A8">
      <w:pPr>
        <w:pStyle w:val="41"/>
        <w:spacing w:line="480" w:lineRule="exact"/>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表1.3-5    </w:t>
      </w:r>
      <w:r>
        <w:rPr>
          <w:rFonts w:hint="eastAsia" w:cs="Times New Roman"/>
          <w:b/>
          <w:bCs/>
          <w:color w:val="000000" w:themeColor="text1"/>
          <w:lang w:val="en-US" w:eastAsia="zh-CN"/>
          <w14:textFill>
            <w14:solidFill>
              <w14:schemeClr w14:val="tx1"/>
            </w14:solidFill>
          </w14:textFill>
        </w:rPr>
        <w:t>本项目与该标准的符合性分析表</w:t>
      </w:r>
    </w:p>
    <w:tbl>
      <w:tblPr>
        <w:tblStyle w:val="32"/>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8"/>
        <w:gridCol w:w="3613"/>
        <w:gridCol w:w="3514"/>
        <w:gridCol w:w="657"/>
      </w:tblGrid>
      <w:tr w14:paraId="6299B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 w:hRule="atLeast"/>
          <w:tblHeader/>
          <w:jc w:val="center"/>
        </w:trPr>
        <w:tc>
          <w:tcPr>
            <w:tcW w:w="433" w:type="pct"/>
            <w:noWrap w:val="0"/>
            <w:vAlign w:val="center"/>
          </w:tcPr>
          <w:p w14:paraId="3CD083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color w:val="000000" w:themeColor="text1"/>
                <w:sz w:val="2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序号</w:t>
            </w:r>
          </w:p>
        </w:tc>
        <w:tc>
          <w:tcPr>
            <w:tcW w:w="2120" w:type="pct"/>
            <w:noWrap w:val="0"/>
            <w:vAlign w:val="center"/>
          </w:tcPr>
          <w:p w14:paraId="1546FA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color w:val="000000" w:themeColor="text1"/>
                <w:sz w:val="2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GB18599-2020</w:t>
            </w:r>
            <w:r>
              <w:rPr>
                <w:rFonts w:hint="eastAsia" w:ascii="Times New Roman" w:hAnsi="Times New Roman" w:cs="Times New Roman"/>
                <w:b/>
                <w:color w:val="000000" w:themeColor="text1"/>
                <w:sz w:val="21"/>
                <w:lang w:eastAsia="zh-CN"/>
                <w14:textFill>
                  <w14:solidFill>
                    <w14:schemeClr w14:val="tx1"/>
                  </w14:solidFill>
                </w14:textFill>
              </w:rPr>
              <w:t>的</w:t>
            </w:r>
            <w:r>
              <w:rPr>
                <w:rFonts w:hint="eastAsia" w:ascii="Times New Roman" w:hAnsi="Times New Roman" w:cs="Times New Roman"/>
                <w:b/>
                <w:color w:val="000000" w:themeColor="text1"/>
                <w:sz w:val="21"/>
                <w:lang w:val="en-US" w:eastAsia="zh-CN"/>
                <w14:textFill>
                  <w14:solidFill>
                    <w14:schemeClr w14:val="tx1"/>
                  </w14:solidFill>
                </w14:textFill>
              </w:rPr>
              <w:t>相关</w:t>
            </w:r>
            <w:r>
              <w:rPr>
                <w:rFonts w:hint="default" w:ascii="Times New Roman" w:hAnsi="Times New Roman" w:cs="Times New Roman"/>
                <w:b/>
                <w:color w:val="000000" w:themeColor="text1"/>
                <w:sz w:val="21"/>
                <w14:textFill>
                  <w14:solidFill>
                    <w14:schemeClr w14:val="tx1"/>
                  </w14:solidFill>
                </w14:textFill>
              </w:rPr>
              <w:t>要求</w:t>
            </w:r>
          </w:p>
        </w:tc>
        <w:tc>
          <w:tcPr>
            <w:tcW w:w="2062" w:type="pct"/>
            <w:noWrap w:val="0"/>
            <w:vAlign w:val="center"/>
          </w:tcPr>
          <w:p w14:paraId="5D5A73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color w:val="000000" w:themeColor="text1"/>
                <w:sz w:val="21"/>
                <w14:textFill>
                  <w14:solidFill>
                    <w14:schemeClr w14:val="tx1"/>
                  </w14:solidFill>
                </w14:textFill>
              </w:rPr>
            </w:pPr>
            <w:r>
              <w:rPr>
                <w:rFonts w:hint="eastAsia" w:cs="Times New Roman"/>
                <w:b/>
                <w:color w:val="000000" w:themeColor="text1"/>
                <w:sz w:val="21"/>
                <w:lang w:eastAsia="zh-CN"/>
                <w14:textFill>
                  <w14:solidFill>
                    <w14:schemeClr w14:val="tx1"/>
                  </w14:solidFill>
                </w14:textFill>
              </w:rPr>
              <w:t>本项目</w:t>
            </w:r>
            <w:r>
              <w:rPr>
                <w:rFonts w:hint="default" w:ascii="Times New Roman" w:hAnsi="Times New Roman" w:cs="Times New Roman"/>
                <w:b/>
                <w:color w:val="000000" w:themeColor="text1"/>
                <w:sz w:val="21"/>
                <w14:textFill>
                  <w14:solidFill>
                    <w14:schemeClr w14:val="tx1"/>
                  </w14:solidFill>
                </w14:textFill>
              </w:rPr>
              <w:t>尾矿库</w:t>
            </w:r>
          </w:p>
        </w:tc>
        <w:tc>
          <w:tcPr>
            <w:tcW w:w="383" w:type="pct"/>
            <w:noWrap w:val="0"/>
            <w:vAlign w:val="center"/>
          </w:tcPr>
          <w:p w14:paraId="19D285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color w:val="000000" w:themeColor="text1"/>
                <w:sz w:val="2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备注</w:t>
            </w:r>
          </w:p>
        </w:tc>
      </w:tr>
      <w:tr w14:paraId="624A79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4"/>
            <w:noWrap w:val="0"/>
            <w:vAlign w:val="center"/>
          </w:tcPr>
          <w:p w14:paraId="0B8E57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val="en-US" w:eastAsia="zh-CN"/>
                <w14:textFill>
                  <w14:solidFill>
                    <w14:schemeClr w14:val="tx1"/>
                  </w14:solidFill>
                </w14:textFill>
              </w:rPr>
            </w:pPr>
            <w:r>
              <w:rPr>
                <w:rFonts w:hint="eastAsia" w:ascii="Times New Roman" w:hAnsi="Times New Roman" w:cs="Times New Roman"/>
                <w:b/>
                <w:bCs w:val="0"/>
                <w:color w:val="000000" w:themeColor="text1"/>
                <w:sz w:val="21"/>
                <w:lang w:val="en-US" w:eastAsia="zh-CN"/>
                <w14:textFill>
                  <w14:solidFill>
                    <w14:schemeClr w14:val="tx1"/>
                  </w14:solidFill>
                </w14:textFill>
              </w:rPr>
              <w:t>选址要求</w:t>
            </w:r>
          </w:p>
        </w:tc>
      </w:tr>
      <w:tr w14:paraId="0D2463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0" w:hRule="atLeast"/>
          <w:jc w:val="center"/>
        </w:trPr>
        <w:tc>
          <w:tcPr>
            <w:tcW w:w="433" w:type="pct"/>
            <w:noWrap w:val="0"/>
            <w:vAlign w:val="center"/>
          </w:tcPr>
          <w:p w14:paraId="7361BB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1</w:t>
            </w:r>
          </w:p>
        </w:tc>
        <w:tc>
          <w:tcPr>
            <w:tcW w:w="2120" w:type="pct"/>
            <w:noWrap w:val="0"/>
            <w:vAlign w:val="center"/>
          </w:tcPr>
          <w:p w14:paraId="2040F4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一般工业固体废物贮存场、填埋场的选址应符合环境保护法律法规及相关法定规划要求</w:t>
            </w:r>
            <w:r>
              <w:rPr>
                <w:rFonts w:hint="eastAsia" w:cs="Times New Roman"/>
                <w:bCs/>
                <w:color w:val="000000" w:themeColor="text1"/>
                <w:sz w:val="21"/>
                <w:lang w:eastAsia="zh-CN"/>
                <w14:textFill>
                  <w14:solidFill>
                    <w14:schemeClr w14:val="tx1"/>
                  </w14:solidFill>
                </w14:textFill>
              </w:rPr>
              <w:t>。</w:t>
            </w:r>
          </w:p>
        </w:tc>
        <w:tc>
          <w:tcPr>
            <w:tcW w:w="2062" w:type="pct"/>
            <w:noWrap w:val="0"/>
            <w:vAlign w:val="center"/>
          </w:tcPr>
          <w:p w14:paraId="10FE2C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kern w:val="2"/>
                <w:sz w:val="21"/>
                <w:szCs w:val="24"/>
                <w:lang w:val="en-US" w:eastAsia="zh-CN" w:bidi="ar-SA"/>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本</w:t>
            </w:r>
            <w:r>
              <w:rPr>
                <w:rFonts w:hint="eastAsia" w:cs="Times New Roman"/>
                <w:bCs/>
                <w:color w:val="000000" w:themeColor="text1"/>
                <w:sz w:val="21"/>
                <w:lang w:val="en-US" w:eastAsia="zh-CN"/>
                <w14:textFill>
                  <w14:solidFill>
                    <w14:schemeClr w14:val="tx1"/>
                  </w14:solidFill>
                </w14:textFill>
              </w:rPr>
              <w:t>项目</w:t>
            </w:r>
            <w:r>
              <w:rPr>
                <w:rFonts w:hint="default" w:ascii="Times New Roman" w:hAnsi="Times New Roman" w:cs="Times New Roman"/>
                <w:bCs/>
                <w:color w:val="000000" w:themeColor="text1"/>
                <w:sz w:val="21"/>
                <w14:textFill>
                  <w14:solidFill>
                    <w14:schemeClr w14:val="tx1"/>
                  </w14:solidFill>
                </w14:textFill>
              </w:rPr>
              <w:t>位于哈密市雅满苏镇以南约70km处，尾矿库建设符合环境保护法律法规及相关法定规划要求</w:t>
            </w:r>
            <w:r>
              <w:rPr>
                <w:rFonts w:hint="eastAsia" w:cs="Times New Roman"/>
                <w:bCs/>
                <w:color w:val="000000" w:themeColor="text1"/>
                <w:sz w:val="21"/>
                <w:lang w:eastAsia="zh-CN"/>
                <w14:textFill>
                  <w14:solidFill>
                    <w14:schemeClr w14:val="tx1"/>
                  </w14:solidFill>
                </w14:textFill>
              </w:rPr>
              <w:t>。</w:t>
            </w:r>
          </w:p>
        </w:tc>
        <w:tc>
          <w:tcPr>
            <w:tcW w:w="383" w:type="pct"/>
            <w:noWrap w:val="0"/>
            <w:vAlign w:val="center"/>
          </w:tcPr>
          <w:p w14:paraId="273ADF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0EBF5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3" w:type="pct"/>
            <w:noWrap w:val="0"/>
            <w:vAlign w:val="center"/>
          </w:tcPr>
          <w:p w14:paraId="6BC341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2</w:t>
            </w:r>
          </w:p>
        </w:tc>
        <w:tc>
          <w:tcPr>
            <w:tcW w:w="2120" w:type="pct"/>
            <w:noWrap w:val="0"/>
            <w:vAlign w:val="center"/>
          </w:tcPr>
          <w:p w14:paraId="2495CD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贮存场、填埋场的位置与周围居民区的距离应依据环境影响评价文件及审批意见确定</w:t>
            </w:r>
            <w:r>
              <w:rPr>
                <w:rFonts w:hint="eastAsia" w:cs="Times New Roman"/>
                <w:bCs/>
                <w:color w:val="000000" w:themeColor="text1"/>
                <w:sz w:val="21"/>
                <w:lang w:eastAsia="zh-CN"/>
                <w14:textFill>
                  <w14:solidFill>
                    <w14:schemeClr w14:val="tx1"/>
                  </w14:solidFill>
                </w14:textFill>
              </w:rPr>
              <w:t>。</w:t>
            </w:r>
          </w:p>
        </w:tc>
        <w:tc>
          <w:tcPr>
            <w:tcW w:w="2062" w:type="pct"/>
            <w:noWrap w:val="0"/>
            <w:vAlign w:val="center"/>
          </w:tcPr>
          <w:p w14:paraId="2A9754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根据现场踏勘，</w:t>
            </w:r>
            <w:r>
              <w:rPr>
                <w:rFonts w:hint="eastAsia" w:cs="Times New Roman"/>
                <w:bCs/>
                <w:color w:val="000000" w:themeColor="text1"/>
                <w:sz w:val="21"/>
                <w:lang w:val="en-US" w:eastAsia="zh-CN"/>
                <w14:textFill>
                  <w14:solidFill>
                    <w14:schemeClr w14:val="tx1"/>
                  </w14:solidFill>
                </w14:textFill>
              </w:rPr>
              <w:t>尾矿库下游1.5km范围内无工矿企业及居民区。</w:t>
            </w:r>
          </w:p>
        </w:tc>
        <w:tc>
          <w:tcPr>
            <w:tcW w:w="383" w:type="pct"/>
            <w:noWrap w:val="0"/>
            <w:vAlign w:val="center"/>
          </w:tcPr>
          <w:p w14:paraId="7ABAD6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7E3388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3" w:type="pct"/>
            <w:noWrap w:val="0"/>
            <w:vAlign w:val="center"/>
          </w:tcPr>
          <w:p w14:paraId="2282BB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3</w:t>
            </w:r>
          </w:p>
        </w:tc>
        <w:tc>
          <w:tcPr>
            <w:tcW w:w="2120" w:type="pct"/>
            <w:noWrap w:val="0"/>
            <w:vAlign w:val="center"/>
          </w:tcPr>
          <w:p w14:paraId="2469E9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贮存场、填埋场不得选在生态保护红线区域、永久基本农田集中区域和其他需要特别保护的区域内</w:t>
            </w:r>
            <w:r>
              <w:rPr>
                <w:rFonts w:hint="eastAsia" w:cs="Times New Roman"/>
                <w:bCs/>
                <w:color w:val="000000" w:themeColor="text1"/>
                <w:sz w:val="21"/>
                <w:lang w:eastAsia="zh-CN"/>
                <w14:textFill>
                  <w14:solidFill>
                    <w14:schemeClr w14:val="tx1"/>
                  </w14:solidFill>
                </w14:textFill>
              </w:rPr>
              <w:t>。</w:t>
            </w:r>
          </w:p>
        </w:tc>
        <w:tc>
          <w:tcPr>
            <w:tcW w:w="2062" w:type="pct"/>
            <w:noWrap w:val="0"/>
            <w:vAlign w:val="center"/>
          </w:tcPr>
          <w:p w14:paraId="6DA35D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highlight w:val="none"/>
                <w14:textFill>
                  <w14:solidFill>
                    <w14:schemeClr w14:val="tx1"/>
                  </w14:solidFill>
                </w14:textFill>
              </w:rPr>
              <w:t>尾矿库</w:t>
            </w:r>
            <w:r>
              <w:rPr>
                <w:rFonts w:hint="eastAsia" w:cs="Times New Roman"/>
                <w:bCs/>
                <w:color w:val="000000" w:themeColor="text1"/>
                <w:sz w:val="21"/>
                <w:lang w:val="en-US" w:eastAsia="zh-CN"/>
                <w14:textFill>
                  <w14:solidFill>
                    <w14:schemeClr w14:val="tx1"/>
                  </w14:solidFill>
                </w14:textFill>
              </w:rPr>
              <w:t>不</w:t>
            </w:r>
            <w:r>
              <w:rPr>
                <w:rFonts w:hint="default" w:ascii="Times New Roman" w:hAnsi="Times New Roman" w:cs="Times New Roman"/>
                <w:bCs/>
                <w:color w:val="000000" w:themeColor="text1"/>
                <w:sz w:val="21"/>
                <w14:textFill>
                  <w14:solidFill>
                    <w14:schemeClr w14:val="tx1"/>
                  </w14:solidFill>
                </w14:textFill>
              </w:rPr>
              <w:t>在生态保护红线范围内、永久基本农田集中区域</w:t>
            </w:r>
            <w:r>
              <w:rPr>
                <w:rFonts w:hint="eastAsia" w:cs="Times New Roman"/>
                <w:bCs/>
                <w:color w:val="000000" w:themeColor="text1"/>
                <w:sz w:val="21"/>
                <w:lang w:val="en-US" w:eastAsia="zh-CN"/>
                <w14:textFill>
                  <w14:solidFill>
                    <w14:schemeClr w14:val="tx1"/>
                  </w14:solidFill>
                </w14:textFill>
              </w:rPr>
              <w:t>或</w:t>
            </w:r>
            <w:r>
              <w:rPr>
                <w:rFonts w:hint="default" w:ascii="Times New Roman" w:hAnsi="Times New Roman" w:cs="Times New Roman"/>
                <w:bCs/>
                <w:color w:val="000000" w:themeColor="text1"/>
                <w:sz w:val="21"/>
                <w14:textFill>
                  <w14:solidFill>
                    <w14:schemeClr w14:val="tx1"/>
                  </w14:solidFill>
                </w14:textFill>
              </w:rPr>
              <w:t>其他需要特别保护的区域内</w:t>
            </w:r>
            <w:r>
              <w:rPr>
                <w:rFonts w:hint="eastAsia" w:cs="Times New Roman"/>
                <w:bCs/>
                <w:color w:val="000000" w:themeColor="text1"/>
                <w:sz w:val="21"/>
                <w:lang w:eastAsia="zh-CN"/>
                <w14:textFill>
                  <w14:solidFill>
                    <w14:schemeClr w14:val="tx1"/>
                  </w14:solidFill>
                </w14:textFill>
              </w:rPr>
              <w:t>。</w:t>
            </w:r>
          </w:p>
        </w:tc>
        <w:tc>
          <w:tcPr>
            <w:tcW w:w="383" w:type="pct"/>
            <w:noWrap w:val="0"/>
            <w:vAlign w:val="center"/>
          </w:tcPr>
          <w:p w14:paraId="512237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73ACA3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3" w:type="pct"/>
            <w:noWrap w:val="0"/>
            <w:vAlign w:val="center"/>
          </w:tcPr>
          <w:p w14:paraId="49CEF6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4</w:t>
            </w:r>
          </w:p>
        </w:tc>
        <w:tc>
          <w:tcPr>
            <w:tcW w:w="2120" w:type="pct"/>
            <w:noWrap w:val="0"/>
            <w:vAlign w:val="center"/>
          </w:tcPr>
          <w:p w14:paraId="41CAC8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贮存场、填埋场应避开活动断层、溶洞区、天然滑坡或泥石流影响区以及湿地等区域</w:t>
            </w:r>
            <w:r>
              <w:rPr>
                <w:rFonts w:hint="eastAsia" w:cs="Times New Roman"/>
                <w:bCs/>
                <w:color w:val="000000" w:themeColor="text1"/>
                <w:sz w:val="21"/>
                <w:lang w:eastAsia="zh-CN"/>
                <w14:textFill>
                  <w14:solidFill>
                    <w14:schemeClr w14:val="tx1"/>
                  </w14:solidFill>
                </w14:textFill>
              </w:rPr>
              <w:t>。</w:t>
            </w:r>
          </w:p>
        </w:tc>
        <w:tc>
          <w:tcPr>
            <w:tcW w:w="2062" w:type="pct"/>
            <w:noWrap w:val="0"/>
            <w:vAlign w:val="center"/>
          </w:tcPr>
          <w:p w14:paraId="72CADD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根据尾矿库所在区域工程地质及水文地质调查，无活动断层、溶洞区、天然滑坡及泥石流影响区及湿地等区域</w:t>
            </w:r>
            <w:r>
              <w:rPr>
                <w:rFonts w:hint="eastAsia" w:cs="Times New Roman"/>
                <w:bCs/>
                <w:color w:val="000000" w:themeColor="text1"/>
                <w:sz w:val="21"/>
                <w:lang w:eastAsia="zh-CN"/>
                <w14:textFill>
                  <w14:solidFill>
                    <w14:schemeClr w14:val="tx1"/>
                  </w14:solidFill>
                </w14:textFill>
              </w:rPr>
              <w:t>。</w:t>
            </w:r>
          </w:p>
        </w:tc>
        <w:tc>
          <w:tcPr>
            <w:tcW w:w="383" w:type="pct"/>
            <w:noWrap w:val="0"/>
            <w:vAlign w:val="center"/>
          </w:tcPr>
          <w:p w14:paraId="1B9CB6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67CC06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433" w:type="pct"/>
            <w:noWrap w:val="0"/>
            <w:vAlign w:val="center"/>
          </w:tcPr>
          <w:p w14:paraId="1F9651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5</w:t>
            </w:r>
          </w:p>
        </w:tc>
        <w:tc>
          <w:tcPr>
            <w:tcW w:w="2120" w:type="pct"/>
            <w:noWrap w:val="0"/>
            <w:vAlign w:val="center"/>
          </w:tcPr>
          <w:p w14:paraId="4AD949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贮存场、填埋场不得选在江河、湖泊、运河、渠道、水库最高水位线以下的滩地和岸坡，以及国家和地方长远规划中的水库等人工蓄水设施的淹没区和保护区之内</w:t>
            </w:r>
            <w:r>
              <w:rPr>
                <w:rFonts w:hint="eastAsia" w:cs="Times New Roman"/>
                <w:bCs/>
                <w:color w:val="000000" w:themeColor="text1"/>
                <w:sz w:val="21"/>
                <w:lang w:eastAsia="zh-CN"/>
                <w14:textFill>
                  <w14:solidFill>
                    <w14:schemeClr w14:val="tx1"/>
                  </w14:solidFill>
                </w14:textFill>
              </w:rPr>
              <w:t>。</w:t>
            </w:r>
          </w:p>
        </w:tc>
        <w:tc>
          <w:tcPr>
            <w:tcW w:w="2062" w:type="pct"/>
            <w:noWrap w:val="0"/>
            <w:vAlign w:val="center"/>
          </w:tcPr>
          <w:p w14:paraId="66117D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根据现场踏勘及资料收集，</w:t>
            </w:r>
            <w:r>
              <w:rPr>
                <w:rFonts w:hint="eastAsia" w:cs="Times New Roman"/>
                <w:bCs/>
                <w:color w:val="000000" w:themeColor="text1"/>
                <w:sz w:val="21"/>
                <w:lang w:val="en-US" w:eastAsia="zh-CN"/>
                <w14:textFill>
                  <w14:solidFill>
                    <w14:schemeClr w14:val="tx1"/>
                  </w14:solidFill>
                </w14:textFill>
              </w:rPr>
              <w:t>项目区</w:t>
            </w:r>
            <w:r>
              <w:rPr>
                <w:rFonts w:hint="default" w:ascii="Times New Roman" w:hAnsi="Times New Roman" w:cs="Times New Roman"/>
                <w:bCs/>
                <w:color w:val="000000" w:themeColor="text1"/>
                <w:sz w:val="21"/>
                <w14:textFill>
                  <w14:solidFill>
                    <w14:schemeClr w14:val="tx1"/>
                  </w14:solidFill>
                </w14:textFill>
              </w:rPr>
              <w:t>周边无地表水体</w:t>
            </w:r>
            <w:r>
              <w:rPr>
                <w:rFonts w:hint="eastAsia" w:cs="Times New Roman"/>
                <w:bCs/>
                <w:color w:val="000000" w:themeColor="text1"/>
                <w:sz w:val="21"/>
                <w:lang w:val="en-US" w:eastAsia="zh-CN"/>
                <w14:textFill>
                  <w14:solidFill>
                    <w14:schemeClr w14:val="tx1"/>
                  </w14:solidFill>
                </w14:textFill>
              </w:rPr>
              <w:t>。距项目区最近的地表水体库如克郭勒河约153.8km。</w:t>
            </w:r>
          </w:p>
        </w:tc>
        <w:tc>
          <w:tcPr>
            <w:tcW w:w="383" w:type="pct"/>
            <w:noWrap w:val="0"/>
            <w:vAlign w:val="center"/>
          </w:tcPr>
          <w:p w14:paraId="785E050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2DADF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4"/>
            <w:noWrap w:val="0"/>
            <w:vAlign w:val="center"/>
          </w:tcPr>
          <w:p w14:paraId="75A908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val="en-US" w:eastAsia="zh-CN"/>
                <w14:textFill>
                  <w14:solidFill>
                    <w14:schemeClr w14:val="tx1"/>
                  </w14:solidFill>
                </w14:textFill>
              </w:rPr>
            </w:pPr>
            <w:r>
              <w:rPr>
                <w:rFonts w:hint="eastAsia" w:ascii="Times New Roman" w:hAnsi="Times New Roman" w:cs="Times New Roman"/>
                <w:b/>
                <w:bCs w:val="0"/>
                <w:color w:val="000000" w:themeColor="text1"/>
                <w:sz w:val="21"/>
                <w:lang w:val="en-US" w:eastAsia="zh-CN"/>
                <w14:textFill>
                  <w14:solidFill>
                    <w14:schemeClr w14:val="tx1"/>
                  </w14:solidFill>
                </w14:textFill>
              </w:rPr>
              <w:t>技术要求</w:t>
            </w:r>
          </w:p>
        </w:tc>
      </w:tr>
      <w:tr w14:paraId="61B87A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pct"/>
            <w:noWrap w:val="0"/>
            <w:vAlign w:val="center"/>
          </w:tcPr>
          <w:p w14:paraId="5957F7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1</w:t>
            </w:r>
          </w:p>
        </w:tc>
        <w:tc>
          <w:tcPr>
            <w:tcW w:w="2120" w:type="pct"/>
            <w:noWrap w:val="0"/>
            <w:vAlign w:val="center"/>
          </w:tcPr>
          <w:p w14:paraId="0BCFBE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贮存场、填埋场的防洪标准应按重现期不小于50年一遇的洪水位设计，国家已有标准提出更高要求的除外。</w:t>
            </w:r>
          </w:p>
        </w:tc>
        <w:tc>
          <w:tcPr>
            <w:tcW w:w="2062" w:type="pct"/>
            <w:noWrap w:val="0"/>
            <w:vAlign w:val="center"/>
          </w:tcPr>
          <w:p w14:paraId="0531C9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w:t>
            </w:r>
            <w:r>
              <w:rPr>
                <w:rFonts w:hint="eastAsia" w:ascii="Times New Roman" w:hAnsi="Times New Roman" w:cs="Times New Roman"/>
                <w:bCs/>
                <w:color w:val="000000" w:themeColor="text1"/>
                <w:sz w:val="21"/>
                <w:lang w:val="en-US" w:eastAsia="zh-CN"/>
                <w14:textFill>
                  <w14:solidFill>
                    <w14:schemeClr w14:val="tx1"/>
                  </w14:solidFill>
                </w14:textFill>
              </w:rPr>
              <w:t>尾矿库防洪标准按重现期</w:t>
            </w:r>
            <w:r>
              <w:rPr>
                <w:rFonts w:hint="eastAsia" w:cs="Times New Roman"/>
                <w:bCs/>
                <w:color w:val="000000" w:themeColor="text1"/>
                <w:sz w:val="21"/>
                <w:lang w:val="en-US" w:eastAsia="zh-CN"/>
                <w14:textFill>
                  <w14:solidFill>
                    <w14:schemeClr w14:val="tx1"/>
                  </w14:solidFill>
                </w14:textFill>
              </w:rPr>
              <w:t>2</w:t>
            </w:r>
            <w:r>
              <w:rPr>
                <w:rFonts w:hint="eastAsia" w:ascii="Times New Roman" w:hAnsi="Times New Roman" w:cs="Times New Roman"/>
                <w:bCs/>
                <w:color w:val="000000" w:themeColor="text1"/>
                <w:sz w:val="21"/>
                <w:lang w:val="en-US" w:eastAsia="zh-CN"/>
                <w14:textFill>
                  <w14:solidFill>
                    <w14:schemeClr w14:val="tx1"/>
                  </w14:solidFill>
                </w14:textFill>
              </w:rPr>
              <w:t>00年一遇的洪水位设计。</w:t>
            </w:r>
          </w:p>
        </w:tc>
        <w:tc>
          <w:tcPr>
            <w:tcW w:w="383" w:type="pct"/>
            <w:noWrap w:val="0"/>
            <w:vAlign w:val="center"/>
          </w:tcPr>
          <w:p w14:paraId="1F4643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2CE2B0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pct"/>
            <w:noWrap w:val="0"/>
            <w:vAlign w:val="center"/>
          </w:tcPr>
          <w:p w14:paraId="23FCA5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2</w:t>
            </w:r>
          </w:p>
        </w:tc>
        <w:tc>
          <w:tcPr>
            <w:tcW w:w="2120" w:type="pct"/>
            <w:noWrap w:val="0"/>
            <w:vAlign w:val="center"/>
          </w:tcPr>
          <w:p w14:paraId="391A28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贮存场和填埋场一般应包括以下单元：a</w:t>
            </w:r>
            <w:r>
              <w:rPr>
                <w:rFonts w:hint="eastAsia" w:cs="Times New Roman"/>
                <w:bCs/>
                <w:color w:val="000000" w:themeColor="text1"/>
                <w:sz w:val="21"/>
                <w:lang w:eastAsia="zh-CN"/>
                <w14:textFill>
                  <w14:solidFill>
                    <w14:schemeClr w14:val="tx1"/>
                  </w14:solidFill>
                </w14:textFill>
              </w:rPr>
              <w:t>）</w:t>
            </w:r>
            <w:r>
              <w:rPr>
                <w:rFonts w:hint="default" w:ascii="Times New Roman" w:hAnsi="Times New Roman" w:cs="Times New Roman"/>
                <w:bCs/>
                <w:color w:val="000000" w:themeColor="text1"/>
                <w:sz w:val="21"/>
                <w14:textFill>
                  <w14:solidFill>
                    <w14:schemeClr w14:val="tx1"/>
                  </w14:solidFill>
                </w14:textFill>
              </w:rPr>
              <w:t>防渗系统、渗滤液收集和导排系统；b</w:t>
            </w:r>
            <w:r>
              <w:rPr>
                <w:rFonts w:hint="eastAsia" w:cs="Times New Roman"/>
                <w:bCs/>
                <w:color w:val="000000" w:themeColor="text1"/>
                <w:sz w:val="21"/>
                <w:lang w:eastAsia="zh-CN"/>
                <w14:textFill>
                  <w14:solidFill>
                    <w14:schemeClr w14:val="tx1"/>
                  </w14:solidFill>
                </w14:textFill>
              </w:rPr>
              <w:t>）</w:t>
            </w:r>
            <w:r>
              <w:rPr>
                <w:rFonts w:hint="default" w:ascii="Times New Roman" w:hAnsi="Times New Roman" w:cs="Times New Roman"/>
                <w:bCs/>
                <w:color w:val="000000" w:themeColor="text1"/>
                <w:sz w:val="21"/>
                <w14:textFill>
                  <w14:solidFill>
                    <w14:schemeClr w14:val="tx1"/>
                  </w14:solidFill>
                </w14:textFill>
              </w:rPr>
              <w:t>雨污分流系统；c</w:t>
            </w:r>
            <w:r>
              <w:rPr>
                <w:rFonts w:hint="eastAsia" w:cs="Times New Roman"/>
                <w:bCs/>
                <w:color w:val="000000" w:themeColor="text1"/>
                <w:sz w:val="21"/>
                <w:lang w:eastAsia="zh-CN"/>
                <w14:textFill>
                  <w14:solidFill>
                    <w14:schemeClr w14:val="tx1"/>
                  </w14:solidFill>
                </w14:textFill>
              </w:rPr>
              <w:t>）</w:t>
            </w:r>
            <w:r>
              <w:rPr>
                <w:rFonts w:hint="default" w:ascii="Times New Roman" w:hAnsi="Times New Roman" w:cs="Times New Roman"/>
                <w:bCs/>
                <w:color w:val="000000" w:themeColor="text1"/>
                <w:sz w:val="21"/>
                <w14:textFill>
                  <w14:solidFill>
                    <w14:schemeClr w14:val="tx1"/>
                  </w14:solidFill>
                </w14:textFill>
              </w:rPr>
              <w:t>分析化验与环境监测系统；d</w:t>
            </w:r>
            <w:r>
              <w:rPr>
                <w:rFonts w:hint="eastAsia" w:cs="Times New Roman"/>
                <w:bCs/>
                <w:color w:val="000000" w:themeColor="text1"/>
                <w:sz w:val="21"/>
                <w:lang w:eastAsia="zh-CN"/>
                <w14:textFill>
                  <w14:solidFill>
                    <w14:schemeClr w14:val="tx1"/>
                  </w14:solidFill>
                </w14:textFill>
              </w:rPr>
              <w:t>）</w:t>
            </w:r>
            <w:r>
              <w:rPr>
                <w:rFonts w:hint="default" w:ascii="Times New Roman" w:hAnsi="Times New Roman" w:cs="Times New Roman"/>
                <w:bCs/>
                <w:color w:val="000000" w:themeColor="text1"/>
                <w:sz w:val="21"/>
                <w14:textFill>
                  <w14:solidFill>
                    <w14:schemeClr w14:val="tx1"/>
                  </w14:solidFill>
                </w14:textFill>
              </w:rPr>
              <w:t>公用工程和配套设施；e</w:t>
            </w:r>
            <w:r>
              <w:rPr>
                <w:rFonts w:hint="eastAsia" w:cs="Times New Roman"/>
                <w:bCs/>
                <w:color w:val="000000" w:themeColor="text1"/>
                <w:sz w:val="21"/>
                <w:lang w:eastAsia="zh-CN"/>
                <w14:textFill>
                  <w14:solidFill>
                    <w14:schemeClr w14:val="tx1"/>
                  </w14:solidFill>
                </w14:textFill>
              </w:rPr>
              <w:t>）</w:t>
            </w:r>
            <w:r>
              <w:rPr>
                <w:rFonts w:hint="default" w:ascii="Times New Roman" w:hAnsi="Times New Roman" w:cs="Times New Roman"/>
                <w:bCs/>
                <w:color w:val="000000" w:themeColor="text1"/>
                <w:sz w:val="21"/>
                <w14:textFill>
                  <w14:solidFill>
                    <w14:schemeClr w14:val="tx1"/>
                  </w14:solidFill>
                </w14:textFill>
              </w:rPr>
              <w:t>地下水导排系统和废水处理系统（根据具体情况选择设置）。</w:t>
            </w:r>
          </w:p>
        </w:tc>
        <w:tc>
          <w:tcPr>
            <w:tcW w:w="2062" w:type="pct"/>
            <w:noWrap w:val="0"/>
            <w:vAlign w:val="center"/>
          </w:tcPr>
          <w:p w14:paraId="1D9FB3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w:t>
            </w:r>
            <w:r>
              <w:rPr>
                <w:rFonts w:hint="eastAsia" w:ascii="Times New Roman" w:hAnsi="Times New Roman" w:cs="Times New Roman"/>
                <w:bCs/>
                <w:color w:val="000000" w:themeColor="text1"/>
                <w:sz w:val="21"/>
                <w:lang w:val="en-US" w:eastAsia="zh-CN"/>
                <w14:textFill>
                  <w14:solidFill>
                    <w14:schemeClr w14:val="tx1"/>
                  </w14:solidFill>
                </w14:textFill>
              </w:rPr>
              <w:t>尾矿库</w:t>
            </w:r>
            <w:r>
              <w:rPr>
                <w:rFonts w:hint="eastAsia" w:cs="Times New Roman"/>
                <w:bCs/>
                <w:color w:val="000000" w:themeColor="text1"/>
                <w:sz w:val="21"/>
                <w:lang w:val="en-US" w:eastAsia="zh-CN"/>
                <w14:textFill>
                  <w14:solidFill>
                    <w14:schemeClr w14:val="tx1"/>
                  </w14:solidFill>
                </w14:textFill>
              </w:rPr>
              <w:t>配套</w:t>
            </w:r>
            <w:r>
              <w:rPr>
                <w:rFonts w:hint="eastAsia" w:ascii="Times New Roman" w:hAnsi="Times New Roman" w:cs="Times New Roman"/>
                <w:bCs/>
                <w:color w:val="000000" w:themeColor="text1"/>
                <w:sz w:val="21"/>
                <w:lang w:val="en-US" w:eastAsia="zh-CN"/>
                <w14:textFill>
                  <w14:solidFill>
                    <w14:schemeClr w14:val="tx1"/>
                  </w14:solidFill>
                </w14:textFill>
              </w:rPr>
              <w:t>包括防渗系统、集水沟、排渗系统，无需配套分析化验系统</w:t>
            </w:r>
            <w:r>
              <w:rPr>
                <w:rFonts w:hint="eastAsia" w:cs="Times New Roman"/>
                <w:bCs/>
                <w:color w:val="000000" w:themeColor="text1"/>
                <w:sz w:val="21"/>
                <w:lang w:val="en-US" w:eastAsia="zh-CN"/>
                <w14:textFill>
                  <w14:solidFill>
                    <w14:schemeClr w14:val="tx1"/>
                  </w14:solidFill>
                </w14:textFill>
              </w:rPr>
              <w:t>，具</w:t>
            </w:r>
            <w:r>
              <w:rPr>
                <w:rFonts w:hint="eastAsia" w:ascii="Times New Roman" w:hAnsi="Times New Roman" w:cs="Times New Roman"/>
                <w:bCs/>
                <w:color w:val="000000" w:themeColor="text1"/>
                <w:sz w:val="21"/>
                <w:lang w:val="en-US" w:eastAsia="zh-CN"/>
                <w14:textFill>
                  <w14:solidFill>
                    <w14:schemeClr w14:val="tx1"/>
                  </w14:solidFill>
                </w14:textFill>
              </w:rPr>
              <w:t>有公用工程和配套设施。</w:t>
            </w:r>
          </w:p>
        </w:tc>
        <w:tc>
          <w:tcPr>
            <w:tcW w:w="383" w:type="pct"/>
            <w:noWrap w:val="0"/>
            <w:vAlign w:val="center"/>
          </w:tcPr>
          <w:p w14:paraId="61D712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0896B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pct"/>
            <w:noWrap w:val="0"/>
            <w:vAlign w:val="center"/>
          </w:tcPr>
          <w:p w14:paraId="12E787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3</w:t>
            </w:r>
          </w:p>
        </w:tc>
        <w:tc>
          <w:tcPr>
            <w:tcW w:w="2120" w:type="pct"/>
            <w:noWrap w:val="0"/>
            <w:vAlign w:val="center"/>
          </w:tcPr>
          <w:p w14:paraId="329E26F1">
            <w:pPr>
              <w:keepNext w:val="0"/>
              <w:keepLines w:val="0"/>
              <w:pageBreakBefore w:val="0"/>
              <w:widowControl w:val="0"/>
              <w:tabs>
                <w:tab w:val="left" w:pos="286"/>
              </w:tabs>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贮存场及填埋场渗滤液收集池的防渗要求应不低于对应贮存场、填埋场的防渗要求。</w:t>
            </w:r>
          </w:p>
        </w:tc>
        <w:tc>
          <w:tcPr>
            <w:tcW w:w="2062" w:type="pct"/>
            <w:noWrap w:val="0"/>
            <w:vAlign w:val="center"/>
          </w:tcPr>
          <w:p w14:paraId="2E300B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highlight w:val="none"/>
                <w:lang w:val="en-US" w:eastAsia="zh-CN"/>
                <w14:textFill>
                  <w14:solidFill>
                    <w14:schemeClr w14:val="tx1"/>
                  </w14:solidFill>
                </w14:textFill>
              </w:rPr>
              <w:t>本项目尾矿库配套</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集水池、回水涵管</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的</w:t>
            </w:r>
            <w:r>
              <w:rPr>
                <w:rFonts w:hint="eastAsia" w:ascii="Times New Roman" w:hAnsi="Times New Roman" w:cs="Times New Roman"/>
                <w:bCs/>
                <w:color w:val="000000" w:themeColor="text1"/>
                <w:sz w:val="21"/>
                <w:lang w:val="en-US" w:eastAsia="zh-CN"/>
                <w14:textFill>
                  <w14:solidFill>
                    <w14:schemeClr w14:val="tx1"/>
                  </w14:solidFill>
                </w14:textFill>
              </w:rPr>
              <w:t>防渗要求同尾矿库</w:t>
            </w:r>
            <w:r>
              <w:rPr>
                <w:rFonts w:hint="eastAsia" w:ascii="Times New Roman" w:hAnsi="Times New Roman" w:cs="Times New Roman"/>
                <w:bCs/>
                <w:color w:val="000000" w:themeColor="text1"/>
                <w:sz w:val="21"/>
                <w:lang w:eastAsia="zh-CN"/>
                <w14:textFill>
                  <w14:solidFill>
                    <w14:schemeClr w14:val="tx1"/>
                  </w14:solidFill>
                </w14:textFill>
              </w:rPr>
              <w:t>的防渗要求。</w:t>
            </w:r>
          </w:p>
        </w:tc>
        <w:tc>
          <w:tcPr>
            <w:tcW w:w="383" w:type="pct"/>
            <w:noWrap w:val="0"/>
            <w:vAlign w:val="center"/>
          </w:tcPr>
          <w:p w14:paraId="4CBB21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53995A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pct"/>
            <w:noWrap w:val="0"/>
            <w:vAlign w:val="center"/>
          </w:tcPr>
          <w:p w14:paraId="0787BC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4</w:t>
            </w:r>
          </w:p>
        </w:tc>
        <w:tc>
          <w:tcPr>
            <w:tcW w:w="2120" w:type="pct"/>
            <w:noWrap w:val="0"/>
            <w:vAlign w:val="center"/>
          </w:tcPr>
          <w:p w14:paraId="01D2D484">
            <w:pPr>
              <w:keepNext w:val="0"/>
              <w:keepLines w:val="0"/>
              <w:pageBreakBefore w:val="0"/>
              <w:widowControl w:val="0"/>
              <w:tabs>
                <w:tab w:val="left" w:pos="286"/>
              </w:tabs>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 xml:space="preserve">5.2.1 </w:t>
            </w:r>
            <w:r>
              <w:rPr>
                <w:rFonts w:hint="eastAsia" w:ascii="Times New Roman" w:hAnsi="Times New Roman" w:cs="Times New Roman"/>
                <w:bCs/>
                <w:color w:val="000000" w:themeColor="text1"/>
                <w:sz w:val="21"/>
                <w:lang w:eastAsia="zh-CN"/>
                <w14:textFill>
                  <w14:solidFill>
                    <w14:schemeClr w14:val="tx1"/>
                  </w14:solidFill>
                </w14:textFill>
              </w:rPr>
              <w:t>当天然基础层饱和渗透系数不大于1.0×10</w:t>
            </w:r>
            <w:r>
              <w:rPr>
                <w:rFonts w:hint="eastAsia" w:ascii="Times New Roman" w:hAnsi="Times New Roman" w:cs="Times New Roman"/>
                <w:bCs/>
                <w:color w:val="000000" w:themeColor="text1"/>
                <w:sz w:val="21"/>
                <w:vertAlign w:val="superscript"/>
                <w:lang w:eastAsia="zh-CN"/>
                <w14:textFill>
                  <w14:solidFill>
                    <w14:schemeClr w14:val="tx1"/>
                  </w14:solidFill>
                </w14:textFill>
              </w:rPr>
              <w:t>-5</w:t>
            </w:r>
            <w:r>
              <w:rPr>
                <w:rFonts w:hint="eastAsia" w:ascii="Times New Roman" w:hAnsi="Times New Roman" w:cs="Times New Roman"/>
                <w:bCs/>
                <w:color w:val="000000" w:themeColor="text1"/>
                <w:sz w:val="21"/>
                <w:lang w:eastAsia="zh-CN"/>
                <w14:textFill>
                  <w14:solidFill>
                    <w14:schemeClr w14:val="tx1"/>
                  </w14:solidFill>
                </w14:textFill>
              </w:rPr>
              <w:t>cm/s，且厚度不小于0.75 m时，可以采用天然基础层作为防渗衬层。</w:t>
            </w:r>
          </w:p>
          <w:p w14:paraId="22856F49">
            <w:pPr>
              <w:keepNext w:val="0"/>
              <w:keepLines w:val="0"/>
              <w:pageBreakBefore w:val="0"/>
              <w:widowControl w:val="0"/>
              <w:tabs>
                <w:tab w:val="left" w:pos="286"/>
              </w:tabs>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 xml:space="preserve">5.2.2 </w:t>
            </w:r>
            <w:r>
              <w:rPr>
                <w:rFonts w:hint="eastAsia" w:ascii="Times New Roman" w:hAnsi="Times New Roman" w:cs="Times New Roman"/>
                <w:bCs/>
                <w:color w:val="000000" w:themeColor="text1"/>
                <w:sz w:val="21"/>
                <w:lang w:eastAsia="zh-CN"/>
                <w14:textFill>
                  <w14:solidFill>
                    <w14:schemeClr w14:val="tx1"/>
                  </w14:solidFill>
                </w14:textFill>
              </w:rPr>
              <w:t>当天然基础层不能满足5.2.1条防渗要求时，可采用改性压实粘土类衬层或具有同等以上隔水效力的其他材料防渗衬层，其防渗性能应至少相当于渗透系数为1.0×10</w:t>
            </w:r>
            <w:r>
              <w:rPr>
                <w:rFonts w:hint="eastAsia" w:ascii="Times New Roman" w:hAnsi="Times New Roman" w:cs="Times New Roman"/>
                <w:bCs/>
                <w:color w:val="000000" w:themeColor="text1"/>
                <w:sz w:val="21"/>
                <w:vertAlign w:val="superscript"/>
                <w:lang w:eastAsia="zh-CN"/>
                <w14:textFill>
                  <w14:solidFill>
                    <w14:schemeClr w14:val="tx1"/>
                  </w14:solidFill>
                </w14:textFill>
              </w:rPr>
              <w:t>-5</w:t>
            </w:r>
            <w:r>
              <w:rPr>
                <w:rFonts w:hint="eastAsia" w:ascii="Times New Roman" w:hAnsi="Times New Roman" w:cs="Times New Roman"/>
                <w:bCs/>
                <w:color w:val="000000" w:themeColor="text1"/>
                <w:sz w:val="21"/>
                <w:lang w:eastAsia="zh-CN"/>
                <w14:textFill>
                  <w14:solidFill>
                    <w14:schemeClr w14:val="tx1"/>
                  </w14:solidFill>
                </w14:textFill>
              </w:rPr>
              <w:t>cm/s且厚度为0.75m的天然基础层。</w:t>
            </w:r>
          </w:p>
        </w:tc>
        <w:tc>
          <w:tcPr>
            <w:tcW w:w="2062" w:type="pct"/>
            <w:noWrap w:val="0"/>
            <w:vAlign w:val="center"/>
          </w:tcPr>
          <w:p w14:paraId="03B641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本项目区</w:t>
            </w:r>
            <w:r>
              <w:rPr>
                <w:rFonts w:hint="eastAsia" w:ascii="Times New Roman" w:hAnsi="Times New Roman" w:cs="Times New Roman"/>
                <w:bCs/>
                <w:color w:val="000000" w:themeColor="text1"/>
                <w:sz w:val="21"/>
                <w:lang w:eastAsia="zh-CN"/>
                <w14:textFill>
                  <w14:solidFill>
                    <w14:schemeClr w14:val="tx1"/>
                  </w14:solidFill>
                </w14:textFill>
              </w:rPr>
              <w:t>天然基础层饱和渗透系数</w:t>
            </w:r>
            <w:r>
              <w:rPr>
                <w:rFonts w:hint="eastAsia" w:ascii="Times New Roman" w:hAnsi="Times New Roman" w:cs="Times New Roman"/>
                <w:bCs/>
                <w:color w:val="000000" w:themeColor="text1"/>
                <w:sz w:val="21"/>
                <w:lang w:val="en-US" w:eastAsia="zh-CN"/>
                <w14:textFill>
                  <w14:solidFill>
                    <w14:schemeClr w14:val="tx1"/>
                  </w14:solidFill>
                </w14:textFill>
              </w:rPr>
              <w:t>不满足</w:t>
            </w:r>
            <w:r>
              <w:rPr>
                <w:rFonts w:hint="eastAsia" w:ascii="Times New Roman" w:hAnsi="Times New Roman" w:cs="Times New Roman"/>
                <w:bCs/>
                <w:color w:val="000000" w:themeColor="text1"/>
                <w:sz w:val="21"/>
                <w:lang w:eastAsia="zh-CN"/>
                <w14:textFill>
                  <w14:solidFill>
                    <w14:schemeClr w14:val="tx1"/>
                  </w14:solidFill>
                </w14:textFill>
              </w:rPr>
              <w:t>5.2.1条防渗要求，</w:t>
            </w:r>
            <w:r>
              <w:rPr>
                <w:rFonts w:hint="eastAsia" w:ascii="Times New Roman" w:hAnsi="Times New Roman" w:cs="Times New Roman"/>
                <w:bCs/>
                <w:color w:val="000000" w:themeColor="text1"/>
                <w:sz w:val="21"/>
                <w:lang w:val="en-US" w:eastAsia="zh-CN"/>
                <w14:textFill>
                  <w14:solidFill>
                    <w14:schemeClr w14:val="tx1"/>
                  </w14:solidFill>
                </w14:textFill>
              </w:rPr>
              <w:t>尾矿库防渗设计采用全库区水平防渗，防渗衬垫系统由下至上依次为：整平压实基础、500mm厚压实粘土（压实后渗透系数≤1.0×10</w:t>
            </w:r>
            <w:r>
              <w:rPr>
                <w:rFonts w:hint="eastAsia" w:ascii="Times New Roman" w:hAnsi="Times New Roman" w:cs="Times New Roman"/>
                <w:bCs/>
                <w:color w:val="000000" w:themeColor="text1"/>
                <w:sz w:val="21"/>
                <w:vertAlign w:val="superscript"/>
                <w:lang w:val="en-US" w:eastAsia="zh-CN"/>
                <w14:textFill>
                  <w14:solidFill>
                    <w14:schemeClr w14:val="tx1"/>
                  </w14:solidFill>
                </w14:textFill>
              </w:rPr>
              <w:t>-10</w:t>
            </w:r>
            <w:r>
              <w:rPr>
                <w:rFonts w:hint="eastAsia" w:ascii="Times New Roman" w:hAnsi="Times New Roman" w:cs="Times New Roman"/>
                <w:bCs/>
                <w:color w:val="000000" w:themeColor="text1"/>
                <w:sz w:val="21"/>
                <w:lang w:val="en-US" w:eastAsia="zh-CN"/>
                <w14:textFill>
                  <w14:solidFill>
                    <w14:schemeClr w14:val="tx1"/>
                  </w14:solidFill>
                </w14:textFill>
              </w:rPr>
              <w:t>cm/s）、400g/m</w:t>
            </w:r>
            <w:r>
              <w:rPr>
                <w:rFonts w:hint="eastAsia" w:ascii="Times New Roman" w:hAnsi="Times New Roman" w:cs="Times New Roman"/>
                <w:bCs/>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bCs/>
                <w:color w:val="000000" w:themeColor="text1"/>
                <w:sz w:val="21"/>
                <w:lang w:val="en-US" w:eastAsia="zh-CN"/>
                <w14:textFill>
                  <w14:solidFill>
                    <w14:schemeClr w14:val="tx1"/>
                  </w14:solidFill>
                </w14:textFill>
              </w:rPr>
              <w:t>的防渗土工膜、300mm厚砂砾覆盖层，</w:t>
            </w:r>
            <w:r>
              <w:rPr>
                <w:rFonts w:hint="eastAsia" w:ascii="Times New Roman" w:hAnsi="Times New Roman" w:cs="Times New Roman"/>
                <w:bCs/>
                <w:color w:val="000000" w:themeColor="text1"/>
                <w:sz w:val="21"/>
                <w:lang w:eastAsia="zh-CN"/>
                <w14:textFill>
                  <w14:solidFill>
                    <w14:schemeClr w14:val="tx1"/>
                  </w14:solidFill>
                </w14:textFill>
              </w:rPr>
              <w:t>满足《一般工业固体废物贮存和填埋污染控制标准》（GB18599-2020）中I类场规定的</w:t>
            </w:r>
            <w:r>
              <w:rPr>
                <w:rFonts w:hint="eastAsia" w:cs="Times New Roman"/>
                <w:bCs/>
                <w:color w:val="000000" w:themeColor="text1"/>
                <w:sz w:val="21"/>
                <w:lang w:eastAsia="zh-CN"/>
                <w14:textFill>
                  <w14:solidFill>
                    <w14:schemeClr w14:val="tx1"/>
                  </w14:solidFill>
                </w14:textFill>
              </w:rPr>
              <w:t>“</w:t>
            </w:r>
            <w:r>
              <w:rPr>
                <w:rFonts w:hint="eastAsia" w:ascii="Times New Roman" w:hAnsi="Times New Roman" w:cs="Times New Roman"/>
                <w:bCs/>
                <w:color w:val="000000" w:themeColor="text1"/>
                <w:sz w:val="21"/>
                <w:lang w:eastAsia="zh-CN"/>
                <w14:textFill>
                  <w14:solidFill>
                    <w14:schemeClr w14:val="tx1"/>
                  </w14:solidFill>
                </w14:textFill>
              </w:rPr>
              <w:t>天然基础层饱和渗透系数不大于1.0×10</w:t>
            </w:r>
            <w:r>
              <w:rPr>
                <w:rFonts w:hint="eastAsia" w:cs="Times New Roman"/>
                <w:bCs/>
                <w:color w:val="000000" w:themeColor="text1"/>
                <w:sz w:val="21"/>
                <w:vertAlign w:val="superscript"/>
                <w:lang w:val="en-US" w:eastAsia="zh-CN"/>
                <w14:textFill>
                  <w14:solidFill>
                    <w14:schemeClr w14:val="tx1"/>
                  </w14:solidFill>
                </w14:textFill>
              </w:rPr>
              <w:t>-</w:t>
            </w:r>
            <w:r>
              <w:rPr>
                <w:rFonts w:hint="eastAsia" w:ascii="Times New Roman" w:hAnsi="Times New Roman" w:cs="Times New Roman"/>
                <w:bCs/>
                <w:color w:val="000000" w:themeColor="text1"/>
                <w:sz w:val="21"/>
                <w:vertAlign w:val="superscript"/>
                <w:lang w:eastAsia="zh-CN"/>
                <w14:textFill>
                  <w14:solidFill>
                    <w14:schemeClr w14:val="tx1"/>
                  </w14:solidFill>
                </w14:textFill>
              </w:rPr>
              <w:t>5</w:t>
            </w:r>
            <w:r>
              <w:rPr>
                <w:rFonts w:hint="eastAsia" w:ascii="Times New Roman" w:hAnsi="Times New Roman" w:cs="Times New Roman"/>
                <w:bCs/>
                <w:color w:val="000000" w:themeColor="text1"/>
                <w:sz w:val="21"/>
                <w:lang w:eastAsia="zh-CN"/>
                <w14:textFill>
                  <w14:solidFill>
                    <w14:schemeClr w14:val="tx1"/>
                  </w14:solidFill>
                </w14:textFill>
              </w:rPr>
              <w:t>cm/s，且厚度不小于0.75m</w:t>
            </w:r>
            <w:r>
              <w:rPr>
                <w:rFonts w:hint="eastAsia" w:cs="Times New Roman"/>
                <w:bCs/>
                <w:color w:val="000000" w:themeColor="text1"/>
                <w:sz w:val="21"/>
                <w:lang w:eastAsia="zh-CN"/>
                <w14:textFill>
                  <w14:solidFill>
                    <w14:schemeClr w14:val="tx1"/>
                  </w14:solidFill>
                </w14:textFill>
              </w:rPr>
              <w:t>”</w:t>
            </w:r>
            <w:r>
              <w:rPr>
                <w:rFonts w:hint="eastAsia" w:ascii="Times New Roman" w:hAnsi="Times New Roman" w:cs="Times New Roman"/>
                <w:bCs/>
                <w:color w:val="000000" w:themeColor="text1"/>
                <w:sz w:val="21"/>
                <w:lang w:eastAsia="zh-CN"/>
                <w14:textFill>
                  <w14:solidFill>
                    <w14:schemeClr w14:val="tx1"/>
                  </w14:solidFill>
                </w14:textFill>
              </w:rPr>
              <w:t>的要求。</w:t>
            </w:r>
          </w:p>
        </w:tc>
        <w:tc>
          <w:tcPr>
            <w:tcW w:w="383" w:type="pct"/>
            <w:noWrap w:val="0"/>
            <w:vAlign w:val="center"/>
          </w:tcPr>
          <w:p w14:paraId="0F4E4A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5FB72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4"/>
            <w:noWrap w:val="0"/>
            <w:vAlign w:val="center"/>
          </w:tcPr>
          <w:p w14:paraId="70FB9C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val="en-US" w:eastAsia="zh-CN"/>
                <w14:textFill>
                  <w14:solidFill>
                    <w14:schemeClr w14:val="tx1"/>
                  </w14:solidFill>
                </w14:textFill>
              </w:rPr>
            </w:pPr>
            <w:r>
              <w:rPr>
                <w:rFonts w:hint="eastAsia" w:ascii="Times New Roman" w:hAnsi="Times New Roman" w:cs="Times New Roman"/>
                <w:b/>
                <w:bCs w:val="0"/>
                <w:color w:val="000000" w:themeColor="text1"/>
                <w:sz w:val="21"/>
                <w:lang w:val="en-US" w:eastAsia="zh-CN"/>
                <w14:textFill>
                  <w14:solidFill>
                    <w14:schemeClr w14:val="tx1"/>
                  </w14:solidFill>
                </w14:textFill>
              </w:rPr>
              <w:t>运行要求</w:t>
            </w:r>
          </w:p>
        </w:tc>
      </w:tr>
      <w:tr w14:paraId="36FBF3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pct"/>
            <w:noWrap w:val="0"/>
            <w:vAlign w:val="center"/>
          </w:tcPr>
          <w:p w14:paraId="631F95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1</w:t>
            </w:r>
          </w:p>
        </w:tc>
        <w:tc>
          <w:tcPr>
            <w:tcW w:w="2120" w:type="pct"/>
            <w:noWrap w:val="0"/>
            <w:vAlign w:val="center"/>
          </w:tcPr>
          <w:p w14:paraId="282DF233">
            <w:pPr>
              <w:keepNext w:val="0"/>
              <w:keepLines w:val="0"/>
              <w:pageBreakBefore w:val="0"/>
              <w:widowControl w:val="0"/>
              <w:tabs>
                <w:tab w:val="left" w:pos="286"/>
              </w:tabs>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贮存场、填埋场投入运行之前，企业应制定突发环境事件应急预案或在突发事件应急预案中制定环境应急预案专章，说明各种可能发生的突发环境事件情景及应急处置措施。</w:t>
            </w:r>
          </w:p>
        </w:tc>
        <w:tc>
          <w:tcPr>
            <w:tcW w:w="2062" w:type="pct"/>
            <w:noWrap w:val="0"/>
            <w:vAlign w:val="center"/>
          </w:tcPr>
          <w:p w14:paraId="02D1B3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highlight w:val="none"/>
                <w:lang w:val="en-US" w:eastAsia="zh-CN"/>
                <w14:textFill>
                  <w14:solidFill>
                    <w14:schemeClr w14:val="tx1"/>
                  </w14:solidFill>
                </w14:textFill>
              </w:rPr>
              <w:t>本次评价已要求企业在项目投运前</w:t>
            </w:r>
            <w:r>
              <w:rPr>
                <w:rFonts w:hint="eastAsia" w:ascii="Times New Roman" w:hAnsi="Times New Roman" w:cs="Times New Roman"/>
                <w:bCs/>
                <w:color w:val="000000" w:themeColor="text1"/>
                <w:sz w:val="21"/>
                <w:lang w:val="en-US" w:eastAsia="zh-CN"/>
                <w14:textFill>
                  <w14:solidFill>
                    <w14:schemeClr w14:val="tx1"/>
                  </w14:solidFill>
                </w14:textFill>
              </w:rPr>
              <w:t>制定突发环境事件应急预案。</w:t>
            </w:r>
          </w:p>
        </w:tc>
        <w:tc>
          <w:tcPr>
            <w:tcW w:w="383" w:type="pct"/>
            <w:noWrap w:val="0"/>
            <w:vAlign w:val="center"/>
          </w:tcPr>
          <w:p w14:paraId="0AE4D5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4AC317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pct"/>
            <w:noWrap w:val="0"/>
            <w:vAlign w:val="center"/>
          </w:tcPr>
          <w:p w14:paraId="211FDC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2</w:t>
            </w:r>
          </w:p>
        </w:tc>
        <w:tc>
          <w:tcPr>
            <w:tcW w:w="2120" w:type="pct"/>
            <w:noWrap w:val="0"/>
            <w:vAlign w:val="center"/>
          </w:tcPr>
          <w:p w14:paraId="0289A52E">
            <w:pPr>
              <w:keepNext w:val="0"/>
              <w:keepLines w:val="0"/>
              <w:pageBreakBefore w:val="0"/>
              <w:widowControl w:val="0"/>
              <w:tabs>
                <w:tab w:val="left" w:pos="286"/>
              </w:tabs>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贮存场、填埋场应制定运行计划，运行管理人员应定期参加企业的岗位培训。</w:t>
            </w:r>
          </w:p>
        </w:tc>
        <w:tc>
          <w:tcPr>
            <w:tcW w:w="2062" w:type="pct"/>
            <w:noWrap w:val="0"/>
            <w:vAlign w:val="center"/>
          </w:tcPr>
          <w:p w14:paraId="264EBD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企业</w:t>
            </w:r>
            <w:r>
              <w:rPr>
                <w:rFonts w:hint="eastAsia" w:cs="Times New Roman"/>
                <w:bCs/>
                <w:color w:val="000000" w:themeColor="text1"/>
                <w:sz w:val="21"/>
                <w:lang w:val="en-US" w:eastAsia="zh-CN"/>
                <w14:textFill>
                  <w14:solidFill>
                    <w14:schemeClr w14:val="tx1"/>
                  </w14:solidFill>
                </w14:textFill>
              </w:rPr>
              <w:t>已</w:t>
            </w:r>
            <w:r>
              <w:rPr>
                <w:rFonts w:hint="eastAsia" w:ascii="Times New Roman" w:hAnsi="Times New Roman" w:cs="Times New Roman"/>
                <w:bCs/>
                <w:color w:val="000000" w:themeColor="text1"/>
                <w:sz w:val="21"/>
                <w:lang w:val="en-US" w:eastAsia="zh-CN"/>
                <w14:textFill>
                  <w14:solidFill>
                    <w14:schemeClr w14:val="tx1"/>
                  </w14:solidFill>
                </w14:textFill>
              </w:rPr>
              <w:t>制定运行计划。</w:t>
            </w:r>
          </w:p>
        </w:tc>
        <w:tc>
          <w:tcPr>
            <w:tcW w:w="383" w:type="pct"/>
            <w:noWrap w:val="0"/>
            <w:vAlign w:val="center"/>
          </w:tcPr>
          <w:p w14:paraId="741F98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24F031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pct"/>
            <w:noWrap w:val="0"/>
            <w:vAlign w:val="center"/>
          </w:tcPr>
          <w:p w14:paraId="548970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3</w:t>
            </w:r>
          </w:p>
        </w:tc>
        <w:tc>
          <w:tcPr>
            <w:tcW w:w="2120" w:type="pct"/>
            <w:noWrap w:val="0"/>
            <w:vAlign w:val="center"/>
          </w:tcPr>
          <w:p w14:paraId="576FC737">
            <w:pPr>
              <w:keepNext w:val="0"/>
              <w:keepLines w:val="0"/>
              <w:pageBreakBefore w:val="0"/>
              <w:widowControl w:val="0"/>
              <w:tabs>
                <w:tab w:val="left" w:pos="286"/>
              </w:tabs>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贮存场、填埋场运行企业应建立档案管理制度，并按照国家档案管理等法律法规进行整理与归档，永久保存。</w:t>
            </w:r>
          </w:p>
        </w:tc>
        <w:tc>
          <w:tcPr>
            <w:tcW w:w="2062" w:type="pct"/>
            <w:noWrap w:val="0"/>
            <w:vAlign w:val="center"/>
          </w:tcPr>
          <w:p w14:paraId="0FC8D8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企业已制定</w:t>
            </w:r>
            <w:r>
              <w:rPr>
                <w:rFonts w:hint="eastAsia" w:ascii="Times New Roman" w:hAnsi="Times New Roman" w:cs="Times New Roman"/>
                <w:bCs/>
                <w:color w:val="000000" w:themeColor="text1"/>
                <w:sz w:val="21"/>
                <w:lang w:val="en-US" w:eastAsia="zh-CN"/>
                <w14:textFill>
                  <w14:solidFill>
                    <w14:schemeClr w14:val="tx1"/>
                  </w14:solidFill>
                </w14:textFill>
              </w:rPr>
              <w:t>档案管理制度。</w:t>
            </w:r>
          </w:p>
        </w:tc>
        <w:tc>
          <w:tcPr>
            <w:tcW w:w="383" w:type="pct"/>
            <w:noWrap w:val="0"/>
            <w:vAlign w:val="center"/>
          </w:tcPr>
          <w:p w14:paraId="23B404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3E4CA9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pct"/>
            <w:noWrap w:val="0"/>
            <w:vAlign w:val="center"/>
          </w:tcPr>
          <w:p w14:paraId="0F8584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4</w:t>
            </w:r>
          </w:p>
        </w:tc>
        <w:tc>
          <w:tcPr>
            <w:tcW w:w="2120" w:type="pct"/>
            <w:noWrap w:val="0"/>
            <w:vAlign w:val="center"/>
          </w:tcPr>
          <w:p w14:paraId="27196B30">
            <w:pPr>
              <w:keepNext w:val="0"/>
              <w:keepLines w:val="0"/>
              <w:pageBreakBefore w:val="0"/>
              <w:widowControl w:val="0"/>
              <w:tabs>
                <w:tab w:val="left" w:pos="286"/>
              </w:tabs>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易产生扬尘的贮存或填埋场应采取分区作业、覆盖、洒水等有效抑尘措施防止扬尘污染。尾矿库应采取均匀放矿、洒水抑尘等措施防止干滩扬尘污染。</w:t>
            </w:r>
          </w:p>
        </w:tc>
        <w:tc>
          <w:tcPr>
            <w:tcW w:w="2062" w:type="pct"/>
            <w:noWrap w:val="0"/>
            <w:vAlign w:val="center"/>
          </w:tcPr>
          <w:p w14:paraId="468D14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w:t>
            </w:r>
            <w:r>
              <w:rPr>
                <w:rFonts w:hint="eastAsia" w:ascii="Times New Roman" w:hAnsi="Times New Roman" w:cs="Times New Roman"/>
                <w:bCs/>
                <w:color w:val="000000" w:themeColor="text1"/>
                <w:sz w:val="21"/>
                <w:lang w:val="en-US" w:eastAsia="zh-CN"/>
                <w14:textFill>
                  <w14:solidFill>
                    <w14:schemeClr w14:val="tx1"/>
                  </w14:solidFill>
                </w14:textFill>
              </w:rPr>
              <w:t>采取均匀放矿、洒水抑尘等措施防止干滩扬尘污染。</w:t>
            </w:r>
          </w:p>
        </w:tc>
        <w:tc>
          <w:tcPr>
            <w:tcW w:w="383" w:type="pct"/>
            <w:noWrap w:val="0"/>
            <w:vAlign w:val="center"/>
          </w:tcPr>
          <w:p w14:paraId="678873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08C92C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pct"/>
            <w:noWrap w:val="0"/>
            <w:vAlign w:val="center"/>
          </w:tcPr>
          <w:p w14:paraId="4EA1F7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5</w:t>
            </w:r>
          </w:p>
        </w:tc>
        <w:tc>
          <w:tcPr>
            <w:tcW w:w="2120" w:type="pct"/>
            <w:noWrap w:val="0"/>
            <w:vAlign w:val="center"/>
          </w:tcPr>
          <w:p w14:paraId="5F55B4F8">
            <w:pPr>
              <w:keepNext w:val="0"/>
              <w:keepLines w:val="0"/>
              <w:pageBreakBefore w:val="0"/>
              <w:widowControl w:val="0"/>
              <w:tabs>
                <w:tab w:val="left" w:pos="286"/>
              </w:tabs>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贮存场、填埋场产生的渗滤液应进行收集处理，达到GB8978要求后方可排放。已有行业、区域或地方污染物排放标准规定的，应执行相应标准。</w:t>
            </w:r>
          </w:p>
        </w:tc>
        <w:tc>
          <w:tcPr>
            <w:tcW w:w="2062" w:type="pct"/>
            <w:noWrap w:val="0"/>
            <w:vAlign w:val="center"/>
          </w:tcPr>
          <w:p w14:paraId="2E3C49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w:t>
            </w:r>
            <w:r>
              <w:rPr>
                <w:rFonts w:hint="eastAsia" w:ascii="Times New Roman" w:hAnsi="Times New Roman" w:cs="Times New Roman"/>
                <w:bCs/>
                <w:color w:val="000000" w:themeColor="text1"/>
                <w:sz w:val="21"/>
                <w:lang w:val="en-US" w:eastAsia="zh-CN"/>
                <w14:textFill>
                  <w14:solidFill>
                    <w14:schemeClr w14:val="tx1"/>
                  </w14:solidFill>
                </w14:textFill>
              </w:rPr>
              <w:t>尾矿废水收集至</w:t>
            </w:r>
            <w:r>
              <w:rPr>
                <w:rFonts w:hint="eastAsia" w:cs="Times New Roman"/>
                <w:bCs/>
                <w:color w:val="000000" w:themeColor="text1"/>
                <w:sz w:val="21"/>
                <w:lang w:val="en-US" w:eastAsia="zh-CN"/>
                <w14:textFill>
                  <w14:solidFill>
                    <w14:schemeClr w14:val="tx1"/>
                  </w14:solidFill>
                </w14:textFill>
              </w:rPr>
              <w:t>集水</w:t>
            </w:r>
            <w:r>
              <w:rPr>
                <w:rFonts w:hint="eastAsia" w:ascii="Times New Roman" w:hAnsi="Times New Roman" w:cs="Times New Roman"/>
                <w:bCs/>
                <w:color w:val="000000" w:themeColor="text1"/>
                <w:sz w:val="21"/>
                <w:lang w:val="en-US" w:eastAsia="zh-CN"/>
                <w14:textFill>
                  <w14:solidFill>
                    <w14:schemeClr w14:val="tx1"/>
                  </w14:solidFill>
                </w14:textFill>
              </w:rPr>
              <w:t>池，回用于选矿生产，废水不外排。</w:t>
            </w:r>
          </w:p>
        </w:tc>
        <w:tc>
          <w:tcPr>
            <w:tcW w:w="383" w:type="pct"/>
            <w:noWrap w:val="0"/>
            <w:vAlign w:val="center"/>
          </w:tcPr>
          <w:p w14:paraId="37C7C1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327C79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pct"/>
            <w:noWrap w:val="0"/>
            <w:vAlign w:val="center"/>
          </w:tcPr>
          <w:p w14:paraId="026477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6</w:t>
            </w:r>
          </w:p>
        </w:tc>
        <w:tc>
          <w:tcPr>
            <w:tcW w:w="2120" w:type="pct"/>
            <w:noWrap w:val="0"/>
            <w:vAlign w:val="center"/>
          </w:tcPr>
          <w:p w14:paraId="180662D0">
            <w:pPr>
              <w:keepNext w:val="0"/>
              <w:keepLines w:val="0"/>
              <w:pageBreakBefore w:val="0"/>
              <w:widowControl w:val="0"/>
              <w:tabs>
                <w:tab w:val="left" w:pos="286"/>
              </w:tabs>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贮存场、填埋场产生的无组织气体排放应符合GB16297规定的无组织排放限值的相关要求。</w:t>
            </w:r>
          </w:p>
        </w:tc>
        <w:tc>
          <w:tcPr>
            <w:tcW w:w="2062" w:type="pct"/>
            <w:noWrap w:val="0"/>
            <w:vAlign w:val="center"/>
          </w:tcPr>
          <w:p w14:paraId="6A64F6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经估算，</w:t>
            </w:r>
            <w:r>
              <w:rPr>
                <w:rFonts w:hint="eastAsia" w:cs="Times New Roman"/>
                <w:bCs/>
                <w:color w:val="000000" w:themeColor="text1"/>
                <w:sz w:val="21"/>
                <w:lang w:val="en-US" w:eastAsia="zh-CN"/>
                <w14:textFill>
                  <w14:solidFill>
                    <w14:schemeClr w14:val="tx1"/>
                  </w14:solidFill>
                </w14:textFill>
              </w:rPr>
              <w:t>本项目</w:t>
            </w:r>
            <w:r>
              <w:rPr>
                <w:rFonts w:hint="eastAsia" w:ascii="Times New Roman" w:hAnsi="Times New Roman" w:cs="Times New Roman"/>
                <w:bCs/>
                <w:color w:val="000000" w:themeColor="text1"/>
                <w:sz w:val="21"/>
                <w:lang w:val="en-US" w:eastAsia="zh-CN"/>
                <w14:textFill>
                  <w14:solidFill>
                    <w14:schemeClr w14:val="tx1"/>
                  </w14:solidFill>
                </w14:textFill>
              </w:rPr>
              <w:t>尾矿库无组织排放颗粒物可满足GB16297规定的无组织排放限值的相关要求。</w:t>
            </w:r>
          </w:p>
        </w:tc>
        <w:tc>
          <w:tcPr>
            <w:tcW w:w="383" w:type="pct"/>
            <w:noWrap w:val="0"/>
            <w:vAlign w:val="center"/>
          </w:tcPr>
          <w:p w14:paraId="11C7CC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1ACC2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pct"/>
            <w:noWrap w:val="0"/>
            <w:vAlign w:val="center"/>
          </w:tcPr>
          <w:p w14:paraId="066AE2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7</w:t>
            </w:r>
          </w:p>
        </w:tc>
        <w:tc>
          <w:tcPr>
            <w:tcW w:w="2120" w:type="pct"/>
            <w:noWrap w:val="0"/>
            <w:vAlign w:val="center"/>
          </w:tcPr>
          <w:p w14:paraId="528F9AD2">
            <w:pPr>
              <w:keepNext w:val="0"/>
              <w:keepLines w:val="0"/>
              <w:pageBreakBefore w:val="0"/>
              <w:widowControl w:val="0"/>
              <w:tabs>
                <w:tab w:val="left" w:pos="286"/>
              </w:tabs>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贮存场、填埋场排放的环境噪声、恶臭污染物应符合GB12348、GB14554的规定。</w:t>
            </w:r>
          </w:p>
        </w:tc>
        <w:tc>
          <w:tcPr>
            <w:tcW w:w="2062" w:type="pct"/>
            <w:noWrap w:val="0"/>
            <w:vAlign w:val="center"/>
          </w:tcPr>
          <w:p w14:paraId="6D34F0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本项目运行期</w:t>
            </w:r>
            <w:r>
              <w:rPr>
                <w:rFonts w:hint="eastAsia" w:ascii="Times New Roman" w:hAnsi="Times New Roman" w:cs="Times New Roman"/>
                <w:bCs/>
                <w:color w:val="000000" w:themeColor="text1"/>
                <w:sz w:val="21"/>
                <w:lang w:val="en-US" w:eastAsia="zh-CN"/>
                <w14:textFill>
                  <w14:solidFill>
                    <w14:schemeClr w14:val="tx1"/>
                  </w14:solidFill>
                </w14:textFill>
              </w:rPr>
              <w:t>无恶臭污染物产生，在采取本次评价提出的声环境污染控制措施的前提下，</w:t>
            </w:r>
            <w:r>
              <w:rPr>
                <w:rFonts w:hint="eastAsia" w:cs="Times New Roman"/>
                <w:bCs/>
                <w:color w:val="000000" w:themeColor="text1"/>
                <w:sz w:val="21"/>
                <w:lang w:val="en-US" w:eastAsia="zh-CN"/>
                <w14:textFill>
                  <w14:solidFill>
                    <w14:schemeClr w14:val="tx1"/>
                  </w14:solidFill>
                </w14:textFill>
              </w:rPr>
              <w:t>运行期</w:t>
            </w:r>
            <w:r>
              <w:rPr>
                <w:rFonts w:hint="eastAsia" w:ascii="Times New Roman" w:hAnsi="Times New Roman" w:cs="Times New Roman"/>
                <w:bCs/>
                <w:color w:val="000000" w:themeColor="text1"/>
                <w:sz w:val="21"/>
                <w:lang w:val="en-US" w:eastAsia="zh-CN"/>
                <w14:textFill>
                  <w14:solidFill>
                    <w14:schemeClr w14:val="tx1"/>
                  </w14:solidFill>
                </w14:textFill>
              </w:rPr>
              <w:t>环境噪声可满足GB12348的规定。</w:t>
            </w:r>
          </w:p>
        </w:tc>
        <w:tc>
          <w:tcPr>
            <w:tcW w:w="383" w:type="pct"/>
            <w:noWrap w:val="0"/>
            <w:vAlign w:val="center"/>
          </w:tcPr>
          <w:p w14:paraId="5A18FF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bl>
    <w:p w14:paraId="05BE8B50">
      <w:pPr>
        <w:overflowPunct w:val="0"/>
        <w:topLinePunct/>
        <w:ind w:firstLine="48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综上，本项目符合《一般工业固体废物贮存和填埋污染控制标准》（GB18599-2020）的相关要求。</w:t>
      </w:r>
    </w:p>
    <w:p w14:paraId="76D7103D">
      <w:pPr>
        <w:pStyle w:val="5"/>
        <w:spacing w:before="0" w:after="0" w:line="480" w:lineRule="exact"/>
        <w:ind w:firstLine="482"/>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1.3.1.9与</w:t>
      </w:r>
      <w:r>
        <w:rPr>
          <w:rFonts w:hint="eastAsia" w:cs="Times New Roman"/>
          <w:color w:val="000000" w:themeColor="text1"/>
          <w:lang w:val="en-US" w:eastAsia="zh-CN"/>
          <w14:textFill>
            <w14:solidFill>
              <w14:schemeClr w14:val="tx1"/>
            </w14:solidFill>
          </w14:textFill>
        </w:rPr>
        <w:t>《尾矿污染环境防治管理办法》</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的符合性分析</w:t>
      </w:r>
    </w:p>
    <w:p w14:paraId="416B8171">
      <w:pPr>
        <w:overflowPunct w:val="0"/>
        <w:topLinePunct/>
        <w:ind w:firstLine="48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本项目与《尾矿污染环境防治管理办法》的符合性分析见下表。</w:t>
      </w:r>
    </w:p>
    <w:p w14:paraId="75AB9DED">
      <w:pPr>
        <w:pStyle w:val="41"/>
        <w:spacing w:line="480" w:lineRule="exact"/>
        <w:ind w:left="0" w:leftChars="0" w:firstLine="0" w:firstLineChars="0"/>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表1.3-6    </w:t>
      </w:r>
      <w:r>
        <w:rPr>
          <w:rFonts w:hint="eastAsia" w:cs="Times New Roman"/>
          <w:b/>
          <w:bCs/>
          <w:color w:val="000000" w:themeColor="text1"/>
          <w:lang w:val="en-US" w:eastAsia="zh-CN"/>
          <w14:textFill>
            <w14:solidFill>
              <w14:schemeClr w14:val="tx1"/>
            </w14:solidFill>
          </w14:textFill>
        </w:rPr>
        <w:t>本项目</w:t>
      </w:r>
      <w:r>
        <w:rPr>
          <w:rFonts w:hint="default" w:ascii="Times New Roman" w:hAnsi="Times New Roman" w:cs="Times New Roman"/>
          <w:b/>
          <w:color w:val="000000" w:themeColor="text1"/>
          <w:szCs w:val="24"/>
          <w:highlight w:val="none"/>
          <w14:textFill>
            <w14:solidFill>
              <w14:schemeClr w14:val="tx1"/>
            </w14:solidFill>
          </w14:textFill>
        </w:rPr>
        <w:t>与《尾矿污染环境防治管理办法》</w:t>
      </w:r>
      <w:r>
        <w:rPr>
          <w:rFonts w:hint="eastAsia" w:cs="Times New Roman"/>
          <w:b/>
          <w:bCs/>
          <w:color w:val="000000" w:themeColor="text1"/>
          <w:lang w:val="en-US" w:eastAsia="zh-CN"/>
          <w14:textFill>
            <w14:solidFill>
              <w14:schemeClr w14:val="tx1"/>
            </w14:solidFill>
          </w14:textFill>
        </w:rPr>
        <w:t>的符合性分析表</w:t>
      </w:r>
    </w:p>
    <w:tbl>
      <w:tblPr>
        <w:tblStyle w:val="32"/>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8"/>
        <w:gridCol w:w="3678"/>
        <w:gridCol w:w="3456"/>
        <w:gridCol w:w="650"/>
      </w:tblGrid>
      <w:tr w14:paraId="69937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433" w:type="pct"/>
            <w:noWrap w:val="0"/>
            <w:vAlign w:val="center"/>
          </w:tcPr>
          <w:p w14:paraId="799F6D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color w:val="000000" w:themeColor="text1"/>
                <w:sz w:val="2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序号</w:t>
            </w:r>
          </w:p>
        </w:tc>
        <w:tc>
          <w:tcPr>
            <w:tcW w:w="2157" w:type="pct"/>
            <w:noWrap w:val="0"/>
            <w:vAlign w:val="center"/>
          </w:tcPr>
          <w:p w14:paraId="747F99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color w:val="000000" w:themeColor="text1"/>
                <w:sz w:val="21"/>
                <w14:textFill>
                  <w14:solidFill>
                    <w14:schemeClr w14:val="tx1"/>
                  </w14:solidFill>
                </w14:textFill>
              </w:rPr>
            </w:pPr>
            <w:r>
              <w:rPr>
                <w:rFonts w:hint="eastAsia" w:ascii="Times New Roman" w:hAnsi="Times New Roman" w:cs="Times New Roman"/>
                <w:b/>
                <w:color w:val="000000" w:themeColor="text1"/>
                <w:sz w:val="21"/>
                <w:lang w:val="en-US" w:eastAsia="zh-CN"/>
                <w14:textFill>
                  <w14:solidFill>
                    <w14:schemeClr w14:val="tx1"/>
                  </w14:solidFill>
                </w14:textFill>
              </w:rPr>
              <w:t>《尾矿污染环境防治管理办法》相关</w:t>
            </w:r>
            <w:r>
              <w:rPr>
                <w:rFonts w:hint="default" w:ascii="Times New Roman" w:hAnsi="Times New Roman" w:cs="Times New Roman"/>
                <w:b/>
                <w:color w:val="000000" w:themeColor="text1"/>
                <w:sz w:val="21"/>
                <w14:textFill>
                  <w14:solidFill>
                    <w14:schemeClr w14:val="tx1"/>
                  </w14:solidFill>
                </w14:textFill>
              </w:rPr>
              <w:t>要求</w:t>
            </w:r>
          </w:p>
        </w:tc>
        <w:tc>
          <w:tcPr>
            <w:tcW w:w="2027" w:type="pct"/>
            <w:noWrap w:val="0"/>
            <w:vAlign w:val="center"/>
          </w:tcPr>
          <w:p w14:paraId="791BE4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color w:val="000000" w:themeColor="text1"/>
                <w:sz w:val="21"/>
                <w14:textFill>
                  <w14:solidFill>
                    <w14:schemeClr w14:val="tx1"/>
                  </w14:solidFill>
                </w14:textFill>
              </w:rPr>
            </w:pPr>
            <w:r>
              <w:rPr>
                <w:rFonts w:hint="eastAsia" w:cs="Times New Roman"/>
                <w:b/>
                <w:color w:val="000000" w:themeColor="text1"/>
                <w:sz w:val="21"/>
                <w:lang w:eastAsia="zh-CN"/>
                <w14:textFill>
                  <w14:solidFill>
                    <w14:schemeClr w14:val="tx1"/>
                  </w14:solidFill>
                </w14:textFill>
              </w:rPr>
              <w:t>本项目</w:t>
            </w:r>
            <w:r>
              <w:rPr>
                <w:rFonts w:hint="default" w:ascii="Times New Roman" w:hAnsi="Times New Roman" w:cs="Times New Roman"/>
                <w:b/>
                <w:color w:val="000000" w:themeColor="text1"/>
                <w:sz w:val="21"/>
                <w14:textFill>
                  <w14:solidFill>
                    <w14:schemeClr w14:val="tx1"/>
                  </w14:solidFill>
                </w14:textFill>
              </w:rPr>
              <w:t>尾矿库</w:t>
            </w:r>
          </w:p>
        </w:tc>
        <w:tc>
          <w:tcPr>
            <w:tcW w:w="381" w:type="pct"/>
            <w:noWrap w:val="0"/>
            <w:vAlign w:val="center"/>
          </w:tcPr>
          <w:p w14:paraId="280E85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color w:val="000000" w:themeColor="text1"/>
                <w:sz w:val="2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备注</w:t>
            </w:r>
          </w:p>
        </w:tc>
      </w:tr>
      <w:tr w14:paraId="6F696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3" w:type="pct"/>
            <w:noWrap w:val="0"/>
            <w:vAlign w:val="center"/>
          </w:tcPr>
          <w:p w14:paraId="19A6EC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1</w:t>
            </w:r>
          </w:p>
        </w:tc>
        <w:tc>
          <w:tcPr>
            <w:tcW w:w="2157" w:type="pct"/>
            <w:noWrap w:val="0"/>
            <w:vAlign w:val="center"/>
          </w:tcPr>
          <w:p w14:paraId="0C732F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新建、改建、扩建尾矿库的，应当依法进行环境影响评价，并遵守国家有关建设项目环境保护管理的规定，落实尾矿污染防治的措施。</w:t>
            </w:r>
          </w:p>
          <w:p w14:paraId="53AF9A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尾矿库选址，应当符合生态环境保护有关法律法规和强制性标准要求。禁止在生态保护红线区域、永久基本农田集中区域、河道湖泊行洪区和其他需要特别保护的区域内建设尾矿库以及其他贮存尾矿的场所。</w:t>
            </w:r>
          </w:p>
        </w:tc>
        <w:tc>
          <w:tcPr>
            <w:tcW w:w="2027" w:type="pct"/>
            <w:noWrap w:val="0"/>
            <w:vAlign w:val="center"/>
          </w:tcPr>
          <w:p w14:paraId="7ECA29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w:t>
            </w:r>
            <w:r>
              <w:rPr>
                <w:rFonts w:hint="eastAsia" w:ascii="Times New Roman" w:hAnsi="Times New Roman" w:cs="Times New Roman"/>
                <w:bCs/>
                <w:color w:val="000000" w:themeColor="text1"/>
                <w:sz w:val="21"/>
                <w:lang w:val="en-US" w:eastAsia="zh-CN"/>
                <w14:textFill>
                  <w14:solidFill>
                    <w14:schemeClr w14:val="tx1"/>
                  </w14:solidFill>
                </w14:textFill>
              </w:rPr>
              <w:t>已开展环评工作。</w:t>
            </w:r>
            <w:r>
              <w:rPr>
                <w:rFonts w:hint="eastAsia" w:cs="Times New Roman"/>
                <w:bCs/>
                <w:color w:val="000000" w:themeColor="text1"/>
                <w:sz w:val="21"/>
                <w:lang w:val="en-US" w:eastAsia="zh-CN"/>
                <w14:textFill>
                  <w14:solidFill>
                    <w14:schemeClr w14:val="tx1"/>
                  </w14:solidFill>
                </w14:textFill>
              </w:rPr>
              <w:t>项目</w:t>
            </w:r>
            <w:r>
              <w:rPr>
                <w:rFonts w:hint="eastAsia" w:ascii="Times New Roman" w:hAnsi="Times New Roman" w:cs="Times New Roman"/>
                <w:bCs/>
                <w:color w:val="000000" w:themeColor="text1"/>
                <w:sz w:val="21"/>
                <w:lang w:val="en-US" w:eastAsia="zh-CN"/>
                <w14:textFill>
                  <w14:solidFill>
                    <w14:schemeClr w14:val="tx1"/>
                  </w14:solidFill>
                </w14:textFill>
              </w:rPr>
              <w:t>选址</w:t>
            </w:r>
            <w:r>
              <w:rPr>
                <w:rFonts w:hint="default" w:ascii="Times New Roman" w:hAnsi="Times New Roman" w:cs="Times New Roman"/>
                <w:bCs/>
                <w:color w:val="000000" w:themeColor="text1"/>
                <w:sz w:val="21"/>
                <w14:textFill>
                  <w14:solidFill>
                    <w14:schemeClr w14:val="tx1"/>
                  </w14:solidFill>
                </w14:textFill>
              </w:rPr>
              <w:t>符合生态环境保护有关法律法规和强制性标准要求</w:t>
            </w:r>
            <w:r>
              <w:rPr>
                <w:rFonts w:hint="eastAsia" w:ascii="Times New Roman" w:hAnsi="Times New Roman" w:cs="Times New Roman"/>
                <w:bCs/>
                <w:color w:val="000000" w:themeColor="text1"/>
                <w:sz w:val="21"/>
                <w:lang w:eastAsia="zh-CN"/>
                <w14:textFill>
                  <w14:solidFill>
                    <w14:schemeClr w14:val="tx1"/>
                  </w14:solidFill>
                </w14:textFill>
              </w:rPr>
              <w:t>，</w:t>
            </w:r>
            <w:r>
              <w:rPr>
                <w:rFonts w:hint="eastAsia" w:ascii="Times New Roman" w:hAnsi="Times New Roman" w:cs="Times New Roman"/>
                <w:bCs/>
                <w:color w:val="000000" w:themeColor="text1"/>
                <w:sz w:val="21"/>
                <w:lang w:val="en-US" w:eastAsia="zh-CN"/>
                <w14:textFill>
                  <w14:solidFill>
                    <w14:schemeClr w14:val="tx1"/>
                  </w14:solidFill>
                </w14:textFill>
              </w:rPr>
              <w:t>选址不涉及</w:t>
            </w:r>
            <w:r>
              <w:rPr>
                <w:rFonts w:hint="default" w:ascii="Times New Roman" w:hAnsi="Times New Roman" w:cs="Times New Roman"/>
                <w:bCs/>
                <w:color w:val="000000" w:themeColor="text1"/>
                <w:sz w:val="21"/>
                <w14:textFill>
                  <w14:solidFill>
                    <w14:schemeClr w14:val="tx1"/>
                  </w14:solidFill>
                </w14:textFill>
              </w:rPr>
              <w:t>生态保护红线区域、永久基本农田集中区域、河道湖泊行洪区和其他需要特别保护的区域内建设尾矿库以及其他贮存尾矿的场所</w:t>
            </w:r>
            <w:r>
              <w:rPr>
                <w:rFonts w:hint="eastAsia" w:ascii="Times New Roman" w:hAnsi="Times New Roman" w:cs="Times New Roman"/>
                <w:bCs/>
                <w:color w:val="000000" w:themeColor="text1"/>
                <w:sz w:val="21"/>
                <w:lang w:eastAsia="zh-CN"/>
                <w14:textFill>
                  <w14:solidFill>
                    <w14:schemeClr w14:val="tx1"/>
                  </w14:solidFill>
                </w14:textFill>
              </w:rPr>
              <w:t>。</w:t>
            </w:r>
          </w:p>
        </w:tc>
        <w:tc>
          <w:tcPr>
            <w:tcW w:w="381" w:type="pct"/>
            <w:noWrap w:val="0"/>
            <w:vAlign w:val="center"/>
          </w:tcPr>
          <w:p w14:paraId="60E034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758E45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3" w:type="pct"/>
            <w:noWrap w:val="0"/>
            <w:vAlign w:val="center"/>
          </w:tcPr>
          <w:p w14:paraId="40B6C3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2</w:t>
            </w:r>
          </w:p>
        </w:tc>
        <w:tc>
          <w:tcPr>
            <w:tcW w:w="2157" w:type="pct"/>
            <w:noWrap w:val="0"/>
            <w:vAlign w:val="center"/>
          </w:tcPr>
          <w:p w14:paraId="15F97E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新建、改建、扩建尾矿库的，应当根据国家有关规定和尾矿库实际情况，配套建设防渗、渗滤液收集、废水处理、环境监测、环境应急等污染防治设施。</w:t>
            </w:r>
          </w:p>
        </w:tc>
        <w:tc>
          <w:tcPr>
            <w:tcW w:w="2027" w:type="pct"/>
            <w:noWrap w:val="0"/>
            <w:vAlign w:val="center"/>
          </w:tcPr>
          <w:p w14:paraId="2757C3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可研和初步设计已设计配套的排渗设施、</w:t>
            </w:r>
            <w:r>
              <w:rPr>
                <w:rFonts w:hint="eastAsia" w:cs="Times New Roman"/>
                <w:bCs/>
                <w:color w:val="000000" w:themeColor="text1"/>
                <w:sz w:val="21"/>
                <w:lang w:val="en-US" w:eastAsia="zh-CN"/>
                <w14:textFill>
                  <w14:solidFill>
                    <w14:schemeClr w14:val="tx1"/>
                  </w14:solidFill>
                </w14:textFill>
              </w:rPr>
              <w:t>集水池</w:t>
            </w:r>
            <w:r>
              <w:rPr>
                <w:rFonts w:hint="eastAsia" w:ascii="Times New Roman" w:hAnsi="Times New Roman" w:cs="Times New Roman"/>
                <w:bCs/>
                <w:color w:val="000000" w:themeColor="text1"/>
                <w:sz w:val="21"/>
                <w:lang w:val="en-US" w:eastAsia="zh-CN"/>
                <w14:textFill>
                  <w14:solidFill>
                    <w14:schemeClr w14:val="tx1"/>
                  </w14:solidFill>
                </w14:textFill>
              </w:rPr>
              <w:t>、事故池等。</w:t>
            </w:r>
            <w:r>
              <w:rPr>
                <w:rFonts w:hint="eastAsia" w:cs="Times New Roman"/>
                <w:bCs/>
                <w:color w:val="000000" w:themeColor="text1"/>
                <w:sz w:val="21"/>
                <w:lang w:val="en-US" w:eastAsia="zh-CN"/>
                <w14:textFill>
                  <w14:solidFill>
                    <w14:schemeClr w14:val="tx1"/>
                  </w14:solidFill>
                </w14:textFill>
              </w:rPr>
              <w:t>本项目选矿废水循环利用，不外排；生活污水采用地埋式一体化污水处理设施处理。</w:t>
            </w:r>
            <w:r>
              <w:rPr>
                <w:rFonts w:hint="eastAsia" w:ascii="Times New Roman" w:hAnsi="Times New Roman" w:cs="Times New Roman"/>
                <w:bCs/>
                <w:color w:val="000000" w:themeColor="text1"/>
                <w:sz w:val="21"/>
                <w:lang w:val="en-US" w:eastAsia="zh-CN"/>
                <w14:textFill>
                  <w14:solidFill>
                    <w14:schemeClr w14:val="tx1"/>
                  </w14:solidFill>
                </w14:textFill>
              </w:rPr>
              <w:t>本次评价也已提出环境监测、</w:t>
            </w:r>
            <w:r>
              <w:rPr>
                <w:rFonts w:hint="eastAsia" w:cs="Times New Roman"/>
                <w:bCs/>
                <w:color w:val="000000" w:themeColor="text1"/>
                <w:sz w:val="21"/>
                <w:lang w:val="en-US" w:eastAsia="zh-CN"/>
                <w14:textFill>
                  <w14:solidFill>
                    <w14:schemeClr w14:val="tx1"/>
                  </w14:solidFill>
                </w14:textFill>
              </w:rPr>
              <w:t>及时编制</w:t>
            </w:r>
            <w:r>
              <w:rPr>
                <w:rFonts w:hint="eastAsia" w:ascii="Times New Roman" w:hAnsi="Times New Roman" w:cs="Times New Roman"/>
                <w:bCs/>
                <w:color w:val="000000" w:themeColor="text1"/>
                <w:sz w:val="21"/>
                <w:lang w:val="en-US" w:eastAsia="zh-CN"/>
                <w14:textFill>
                  <w14:solidFill>
                    <w14:schemeClr w14:val="tx1"/>
                  </w14:solidFill>
                </w14:textFill>
              </w:rPr>
              <w:t>突发环境事件应急预案等要求。</w:t>
            </w:r>
          </w:p>
        </w:tc>
        <w:tc>
          <w:tcPr>
            <w:tcW w:w="381" w:type="pct"/>
            <w:noWrap w:val="0"/>
            <w:vAlign w:val="center"/>
          </w:tcPr>
          <w:p w14:paraId="527236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2BE2F6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3" w:type="pct"/>
            <w:noWrap w:val="0"/>
            <w:vAlign w:val="center"/>
          </w:tcPr>
          <w:p w14:paraId="6301E8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3</w:t>
            </w:r>
          </w:p>
        </w:tc>
        <w:tc>
          <w:tcPr>
            <w:tcW w:w="2157" w:type="pct"/>
            <w:noWrap w:val="0"/>
            <w:vAlign w:val="center"/>
          </w:tcPr>
          <w:p w14:paraId="3249C7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尾矿库防渗设施的设计和建设，应当充分考虑地质、水文等条件，并符合相应尾矿属性类别管理要求。尾矿库配套的渗滤液收集池、回水池、环境应急事故池等设施的防渗要求应当不低于该尾矿库的防渗要求，并设置防漫流设施。</w:t>
            </w:r>
          </w:p>
        </w:tc>
        <w:tc>
          <w:tcPr>
            <w:tcW w:w="2027" w:type="pct"/>
            <w:noWrap w:val="0"/>
            <w:vAlign w:val="center"/>
          </w:tcPr>
          <w:p w14:paraId="49597A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w:t>
            </w:r>
            <w:r>
              <w:rPr>
                <w:rFonts w:hint="eastAsia" w:ascii="Times New Roman" w:hAnsi="Times New Roman" w:cs="Times New Roman"/>
                <w:bCs/>
                <w:color w:val="000000" w:themeColor="text1"/>
                <w:sz w:val="21"/>
                <w:lang w:val="en-US" w:eastAsia="zh-CN"/>
                <w14:textFill>
                  <w14:solidFill>
                    <w14:schemeClr w14:val="tx1"/>
                  </w14:solidFill>
                </w14:textFill>
              </w:rPr>
              <w:t>尾矿为I类一般工业固体废物，</w:t>
            </w:r>
            <w:r>
              <w:rPr>
                <w:rFonts w:hint="eastAsia" w:cs="Times New Roman"/>
                <w:bCs/>
                <w:color w:val="000000" w:themeColor="text1"/>
                <w:sz w:val="21"/>
                <w:lang w:val="en-US" w:eastAsia="zh-CN"/>
                <w14:textFill>
                  <w14:solidFill>
                    <w14:schemeClr w14:val="tx1"/>
                  </w14:solidFill>
                </w14:textFill>
              </w:rPr>
              <w:t>集水池</w:t>
            </w:r>
            <w:r>
              <w:rPr>
                <w:rFonts w:hint="eastAsia" w:ascii="Times New Roman" w:hAnsi="Times New Roman" w:cs="Times New Roman"/>
                <w:bCs/>
                <w:color w:val="000000" w:themeColor="text1"/>
                <w:sz w:val="21"/>
                <w:lang w:val="en-US" w:eastAsia="zh-CN"/>
                <w14:textFill>
                  <w14:solidFill>
                    <w14:schemeClr w14:val="tx1"/>
                  </w14:solidFill>
                </w14:textFill>
              </w:rPr>
              <w:t>、事故池等的</w:t>
            </w:r>
            <w:r>
              <w:rPr>
                <w:rFonts w:hint="default" w:ascii="Times New Roman" w:hAnsi="Times New Roman" w:cs="Times New Roman"/>
                <w:bCs/>
                <w:color w:val="000000" w:themeColor="text1"/>
                <w:sz w:val="21"/>
                <w14:textFill>
                  <w14:solidFill>
                    <w14:schemeClr w14:val="tx1"/>
                  </w14:solidFill>
                </w14:textFill>
              </w:rPr>
              <w:t>防渗要求</w:t>
            </w:r>
            <w:r>
              <w:rPr>
                <w:rFonts w:hint="eastAsia" w:ascii="Times New Roman" w:hAnsi="Times New Roman" w:cs="Times New Roman"/>
                <w:bCs/>
                <w:color w:val="000000" w:themeColor="text1"/>
                <w:sz w:val="21"/>
                <w:lang w:val="en-US" w:eastAsia="zh-CN"/>
                <w14:textFill>
                  <w14:solidFill>
                    <w14:schemeClr w14:val="tx1"/>
                  </w14:solidFill>
                </w14:textFill>
              </w:rPr>
              <w:t>同</w:t>
            </w:r>
            <w:r>
              <w:rPr>
                <w:rFonts w:hint="default" w:ascii="Times New Roman" w:hAnsi="Times New Roman" w:cs="Times New Roman"/>
                <w:bCs/>
                <w:color w:val="000000" w:themeColor="text1"/>
                <w:sz w:val="21"/>
                <w14:textFill>
                  <w14:solidFill>
                    <w14:schemeClr w14:val="tx1"/>
                  </w14:solidFill>
                </w14:textFill>
              </w:rPr>
              <w:t>尾矿库的防渗要求，</w:t>
            </w:r>
            <w:r>
              <w:rPr>
                <w:rFonts w:hint="eastAsia" w:ascii="Times New Roman" w:hAnsi="Times New Roman" w:cs="Times New Roman"/>
                <w:bCs/>
                <w:color w:val="000000" w:themeColor="text1"/>
                <w:sz w:val="21"/>
                <w:lang w:val="en-US" w:eastAsia="zh-CN"/>
                <w14:textFill>
                  <w14:solidFill>
                    <w14:schemeClr w14:val="tx1"/>
                  </w14:solidFill>
                </w14:textFill>
              </w:rPr>
              <w:t>并设置排洪系统</w:t>
            </w:r>
            <w:r>
              <w:rPr>
                <w:rFonts w:hint="eastAsia" w:ascii="Times New Roman" w:hAnsi="Times New Roman" w:cs="Times New Roman"/>
                <w:color w:val="000000" w:themeColor="text1"/>
                <w:sz w:val="21"/>
                <w:lang w:val="en-US" w:eastAsia="zh-CN"/>
                <w14:textFill>
                  <w14:solidFill>
                    <w14:schemeClr w14:val="tx1"/>
                  </w14:solidFill>
                </w14:textFill>
              </w:rPr>
              <w:t>。</w:t>
            </w:r>
          </w:p>
        </w:tc>
        <w:tc>
          <w:tcPr>
            <w:tcW w:w="381" w:type="pct"/>
            <w:noWrap w:val="0"/>
            <w:vAlign w:val="center"/>
          </w:tcPr>
          <w:p w14:paraId="6BCA4F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676A1C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3" w:type="pct"/>
            <w:noWrap w:val="0"/>
            <w:vAlign w:val="center"/>
          </w:tcPr>
          <w:p w14:paraId="69D7D1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4</w:t>
            </w:r>
          </w:p>
        </w:tc>
        <w:tc>
          <w:tcPr>
            <w:tcW w:w="2157" w:type="pct"/>
            <w:noWrap w:val="0"/>
            <w:vAlign w:val="center"/>
          </w:tcPr>
          <w:p w14:paraId="32D0FA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新建尾矿库的排尾管道、回水管道应当避免穿越农田、河流、湖泊；确需穿越的，应当建设管沟、套管等设施，防止渗漏造成环境污染。</w:t>
            </w:r>
          </w:p>
        </w:tc>
        <w:tc>
          <w:tcPr>
            <w:tcW w:w="2027" w:type="pct"/>
            <w:noWrap w:val="0"/>
            <w:vAlign w:val="center"/>
          </w:tcPr>
          <w:p w14:paraId="19C767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尾矿库的输送管道、回水管道未</w:t>
            </w:r>
            <w:r>
              <w:rPr>
                <w:rFonts w:hint="default" w:ascii="Times New Roman" w:hAnsi="Times New Roman" w:cs="Times New Roman"/>
                <w:bCs/>
                <w:color w:val="000000" w:themeColor="text1"/>
                <w:sz w:val="21"/>
                <w14:textFill>
                  <w14:solidFill>
                    <w14:schemeClr w14:val="tx1"/>
                  </w14:solidFill>
                </w14:textFill>
              </w:rPr>
              <w:t>穿越农田、河流、湖泊</w:t>
            </w:r>
            <w:r>
              <w:rPr>
                <w:rFonts w:hint="eastAsia" w:ascii="Times New Roman" w:hAnsi="Times New Roman" w:cs="Times New Roman"/>
                <w:bCs/>
                <w:color w:val="000000" w:themeColor="text1"/>
                <w:sz w:val="21"/>
                <w:lang w:val="en-US" w:eastAsia="zh-CN"/>
                <w14:textFill>
                  <w14:solidFill>
                    <w14:schemeClr w14:val="tx1"/>
                  </w14:solidFill>
                </w14:textFill>
              </w:rPr>
              <w:t>等。</w:t>
            </w:r>
          </w:p>
        </w:tc>
        <w:tc>
          <w:tcPr>
            <w:tcW w:w="381" w:type="pct"/>
            <w:noWrap w:val="0"/>
            <w:vAlign w:val="center"/>
          </w:tcPr>
          <w:p w14:paraId="68FDB0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22BC7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3" w:type="pct"/>
            <w:noWrap w:val="0"/>
            <w:vAlign w:val="center"/>
          </w:tcPr>
          <w:p w14:paraId="1CC8B7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5</w:t>
            </w:r>
          </w:p>
        </w:tc>
        <w:tc>
          <w:tcPr>
            <w:tcW w:w="2157" w:type="pct"/>
            <w:noWrap w:val="0"/>
            <w:vAlign w:val="center"/>
          </w:tcPr>
          <w:p w14:paraId="3478D3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尾矿库运营、管理单位应当采取防扬散、防流失、防渗漏或者其他防止污染环境的措施，加强对尾矿库污染防治设施的管理和维护，保证其正常运行和使用，防止尾矿污染环境。</w:t>
            </w:r>
          </w:p>
        </w:tc>
        <w:tc>
          <w:tcPr>
            <w:tcW w:w="2027" w:type="pct"/>
            <w:noWrap w:val="0"/>
            <w:vAlign w:val="center"/>
          </w:tcPr>
          <w:p w14:paraId="6B7E46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本次评价已提出</w:t>
            </w:r>
            <w:r>
              <w:rPr>
                <w:rFonts w:hint="default" w:ascii="Times New Roman" w:hAnsi="Times New Roman" w:cs="Times New Roman"/>
                <w:bCs/>
                <w:color w:val="000000" w:themeColor="text1"/>
                <w:sz w:val="21"/>
                <w14:textFill>
                  <w14:solidFill>
                    <w14:schemeClr w14:val="tx1"/>
                  </w14:solidFill>
                </w14:textFill>
              </w:rPr>
              <w:t>防渗漏</w:t>
            </w:r>
            <w:r>
              <w:rPr>
                <w:rFonts w:hint="eastAsia" w:ascii="Times New Roman" w:hAnsi="Times New Roman" w:cs="Times New Roman"/>
                <w:bCs/>
                <w:color w:val="000000" w:themeColor="text1"/>
                <w:sz w:val="21"/>
                <w:lang w:val="en-US" w:eastAsia="zh-CN"/>
                <w14:textFill>
                  <w14:solidFill>
                    <w14:schemeClr w14:val="tx1"/>
                  </w14:solidFill>
                </w14:textFill>
              </w:rPr>
              <w:t>及</w:t>
            </w:r>
            <w:r>
              <w:rPr>
                <w:rFonts w:hint="default" w:ascii="Times New Roman" w:hAnsi="Times New Roman" w:cs="Times New Roman"/>
                <w:bCs/>
                <w:color w:val="000000" w:themeColor="text1"/>
                <w:sz w:val="21"/>
                <w14:textFill>
                  <w14:solidFill>
                    <w14:schemeClr w14:val="tx1"/>
                  </w14:solidFill>
                </w14:textFill>
              </w:rPr>
              <w:t>其他防止污染环境的措施，</w:t>
            </w:r>
            <w:r>
              <w:rPr>
                <w:rFonts w:hint="eastAsia" w:ascii="Times New Roman" w:hAnsi="Times New Roman" w:cs="Times New Roman"/>
                <w:bCs/>
                <w:color w:val="000000" w:themeColor="text1"/>
                <w:sz w:val="21"/>
                <w:lang w:val="en-US" w:eastAsia="zh-CN"/>
                <w14:textFill>
                  <w14:solidFill>
                    <w14:schemeClr w14:val="tx1"/>
                  </w14:solidFill>
                </w14:textFill>
              </w:rPr>
              <w:t>要求</w:t>
            </w:r>
            <w:r>
              <w:rPr>
                <w:rFonts w:hint="default" w:ascii="Times New Roman" w:hAnsi="Times New Roman" w:cs="Times New Roman"/>
                <w:bCs/>
                <w:color w:val="000000" w:themeColor="text1"/>
                <w:sz w:val="21"/>
                <w14:textFill>
                  <w14:solidFill>
                    <w14:schemeClr w14:val="tx1"/>
                  </w14:solidFill>
                </w14:textFill>
              </w:rPr>
              <w:t>加强对尾矿库污染防治设施的管理和维护，保证其正常运行和使用，防止尾矿污染环境。</w:t>
            </w:r>
          </w:p>
        </w:tc>
        <w:tc>
          <w:tcPr>
            <w:tcW w:w="381" w:type="pct"/>
            <w:noWrap w:val="0"/>
            <w:vAlign w:val="center"/>
          </w:tcPr>
          <w:p w14:paraId="43514A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14:textFill>
                  <w14:solidFill>
                    <w14:schemeClr w14:val="tx1"/>
                  </w14:solidFill>
                </w14:textFill>
              </w:rPr>
              <w:t>符合</w:t>
            </w:r>
          </w:p>
        </w:tc>
      </w:tr>
      <w:tr w14:paraId="1470B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3" w:type="pct"/>
            <w:noWrap w:val="0"/>
            <w:vAlign w:val="center"/>
          </w:tcPr>
          <w:p w14:paraId="24E7B0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6</w:t>
            </w:r>
          </w:p>
        </w:tc>
        <w:tc>
          <w:tcPr>
            <w:tcW w:w="2157" w:type="pct"/>
            <w:noWrap w:val="0"/>
            <w:vAlign w:val="center"/>
          </w:tcPr>
          <w:p w14:paraId="3A0A93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lang w:val="en-US" w:eastAsia="zh-CN"/>
                <w14:textFill>
                  <w14:solidFill>
                    <w14:schemeClr w14:val="tx1"/>
                  </w14:solidFill>
                </w14:textFill>
              </w:rPr>
              <w:t>尾矿库运营、管理单位应当采取库面抑尘、边坡绿化等措施防止扬尘污染，美化环境。</w:t>
            </w:r>
          </w:p>
        </w:tc>
        <w:tc>
          <w:tcPr>
            <w:tcW w:w="2027" w:type="pct"/>
            <w:noWrap w:val="0"/>
            <w:vAlign w:val="center"/>
          </w:tcPr>
          <w:p w14:paraId="1A63F9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本次评价已提出</w:t>
            </w:r>
            <w:r>
              <w:rPr>
                <w:rFonts w:hint="eastAsia" w:cs="Times New Roman"/>
                <w:bCs/>
                <w:color w:val="000000" w:themeColor="text1"/>
                <w:sz w:val="21"/>
                <w:lang w:val="en-US" w:eastAsia="zh-CN"/>
                <w14:textFill>
                  <w14:solidFill>
                    <w14:schemeClr w14:val="tx1"/>
                  </w14:solidFill>
                </w14:textFill>
              </w:rPr>
              <w:t>采取</w:t>
            </w:r>
            <w:r>
              <w:rPr>
                <w:rFonts w:hint="eastAsia" w:ascii="Times New Roman" w:hAnsi="Times New Roman" w:cs="Times New Roman"/>
                <w:bCs/>
                <w:color w:val="000000" w:themeColor="text1"/>
                <w:sz w:val="21"/>
                <w:lang w:val="en-US" w:eastAsia="zh-CN"/>
                <w14:textFill>
                  <w14:solidFill>
                    <w14:schemeClr w14:val="tx1"/>
                  </w14:solidFill>
                </w14:textFill>
              </w:rPr>
              <w:t>洒水抑尘等</w:t>
            </w:r>
            <w:r>
              <w:rPr>
                <w:rFonts w:hint="default" w:ascii="Times New Roman" w:hAnsi="Times New Roman" w:eastAsia="宋体" w:cs="Times New Roman"/>
                <w:bCs/>
                <w:color w:val="000000" w:themeColor="text1"/>
                <w:sz w:val="21"/>
                <w:lang w:val="en-US" w:eastAsia="zh-CN"/>
                <w14:textFill>
                  <w14:solidFill>
                    <w14:schemeClr w14:val="tx1"/>
                  </w14:solidFill>
                </w14:textFill>
              </w:rPr>
              <w:t>措施防止扬尘污染</w:t>
            </w:r>
            <w:r>
              <w:rPr>
                <w:rFonts w:hint="eastAsia" w:ascii="Times New Roman" w:hAnsi="Times New Roman" w:cs="Times New Roman"/>
                <w:bCs/>
                <w:color w:val="000000" w:themeColor="text1"/>
                <w:sz w:val="21"/>
                <w:lang w:val="en-US" w:eastAsia="zh-CN"/>
                <w14:textFill>
                  <w14:solidFill>
                    <w14:schemeClr w14:val="tx1"/>
                  </w14:solidFill>
                </w14:textFill>
              </w:rPr>
              <w:t>。</w:t>
            </w:r>
          </w:p>
        </w:tc>
        <w:tc>
          <w:tcPr>
            <w:tcW w:w="381" w:type="pct"/>
            <w:noWrap w:val="0"/>
            <w:vAlign w:val="center"/>
          </w:tcPr>
          <w:p w14:paraId="7FBE91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符合</w:t>
            </w:r>
          </w:p>
        </w:tc>
      </w:tr>
      <w:tr w14:paraId="1D3804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3" w:type="pct"/>
            <w:noWrap w:val="0"/>
            <w:vAlign w:val="center"/>
          </w:tcPr>
          <w:p w14:paraId="559D0B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7</w:t>
            </w:r>
          </w:p>
        </w:tc>
        <w:tc>
          <w:tcPr>
            <w:tcW w:w="2157" w:type="pct"/>
            <w:noWrap w:val="0"/>
            <w:vAlign w:val="center"/>
          </w:tcPr>
          <w:p w14:paraId="54B1CA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lang w:val="en-US" w:eastAsia="zh-CN"/>
                <w14:textFill>
                  <w14:solidFill>
                    <w14:schemeClr w14:val="tx1"/>
                  </w14:solidFill>
                </w14:textFill>
              </w:rPr>
              <w:t>尾矿水应当优先返回选矿工艺使用；向环境排放的，应当符合国家和地方污染物排放标准，不得与尾矿库外的雨水混合排放，并按照有关规定设置污染物排放口，设立标志，依法安装流量计和视频监控。</w:t>
            </w:r>
          </w:p>
          <w:p w14:paraId="7C3763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lang w:val="en-US" w:eastAsia="zh-CN"/>
                <w14:textFill>
                  <w14:solidFill>
                    <w14:schemeClr w14:val="tx1"/>
                  </w14:solidFill>
                </w14:textFill>
              </w:rPr>
              <w:t>污染物排放口的流量计监测记录保存期限不得少于五年，视频监控记录保存期限不得少于三个月。</w:t>
            </w:r>
          </w:p>
        </w:tc>
        <w:tc>
          <w:tcPr>
            <w:tcW w:w="2027" w:type="pct"/>
            <w:noWrap w:val="0"/>
            <w:vAlign w:val="center"/>
          </w:tcPr>
          <w:p w14:paraId="5C2E20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w:t>
            </w:r>
            <w:r>
              <w:rPr>
                <w:rFonts w:hint="eastAsia" w:ascii="Times New Roman" w:hAnsi="Times New Roman" w:cs="Times New Roman"/>
                <w:bCs/>
                <w:color w:val="000000" w:themeColor="text1"/>
                <w:sz w:val="21"/>
                <w:lang w:val="en-US" w:eastAsia="zh-CN"/>
                <w14:textFill>
                  <w14:solidFill>
                    <w14:schemeClr w14:val="tx1"/>
                  </w14:solidFill>
                </w14:textFill>
              </w:rPr>
              <w:t>尾矿水回用于选矿工艺，不外排。</w:t>
            </w:r>
          </w:p>
        </w:tc>
        <w:tc>
          <w:tcPr>
            <w:tcW w:w="381" w:type="pct"/>
            <w:noWrap w:val="0"/>
            <w:vAlign w:val="center"/>
          </w:tcPr>
          <w:p w14:paraId="53EA43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符合</w:t>
            </w:r>
          </w:p>
        </w:tc>
      </w:tr>
      <w:tr w14:paraId="57B3B9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3" w:type="pct"/>
            <w:noWrap w:val="0"/>
            <w:vAlign w:val="center"/>
          </w:tcPr>
          <w:p w14:paraId="1223B4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000000" w:themeColor="text1"/>
                <w:sz w:val="21"/>
                <w:lang w:val="en-US" w:eastAsia="zh-CN"/>
                <w14:textFill>
                  <w14:solidFill>
                    <w14:schemeClr w14:val="tx1"/>
                  </w14:solidFill>
                </w14:textFill>
              </w:rPr>
            </w:pPr>
            <w:r>
              <w:rPr>
                <w:rFonts w:hint="eastAsia" w:ascii="Times New Roman" w:hAnsi="Times New Roman" w:cs="Times New Roman"/>
                <w:bCs/>
                <w:color w:val="000000" w:themeColor="text1"/>
                <w:sz w:val="21"/>
                <w:lang w:val="en-US" w:eastAsia="zh-CN"/>
                <w14:textFill>
                  <w14:solidFill>
                    <w14:schemeClr w14:val="tx1"/>
                  </w14:solidFill>
                </w14:textFill>
              </w:rPr>
              <w:t>8</w:t>
            </w:r>
          </w:p>
        </w:tc>
        <w:tc>
          <w:tcPr>
            <w:tcW w:w="2157" w:type="pct"/>
            <w:noWrap w:val="0"/>
            <w:vAlign w:val="center"/>
          </w:tcPr>
          <w:p w14:paraId="0ABABA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lang w:val="en-US" w:eastAsia="zh-CN"/>
                <w14:textFill>
                  <w14:solidFill>
                    <w14:schemeClr w14:val="tx1"/>
                  </w14:solidFill>
                </w14:textFill>
              </w:rPr>
              <w:t>尾矿库运营、管理单位应当按照国家有关标准和规范，建设地下水水质监测井。尾矿库上游、下游和可能出现污染扩散的尾矿库周边区域，应当设置地下水水质监测井。</w:t>
            </w:r>
          </w:p>
        </w:tc>
        <w:tc>
          <w:tcPr>
            <w:tcW w:w="2027" w:type="pct"/>
            <w:noWrap w:val="0"/>
            <w:vAlign w:val="center"/>
          </w:tcPr>
          <w:p w14:paraId="4AD609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w:t>
            </w:r>
            <w:r>
              <w:rPr>
                <w:rFonts w:hint="eastAsia" w:ascii="Times New Roman" w:hAnsi="Times New Roman" w:cs="Times New Roman"/>
                <w:bCs/>
                <w:color w:val="000000" w:themeColor="text1"/>
                <w:sz w:val="21"/>
                <w:lang w:val="en-US" w:eastAsia="zh-CN"/>
                <w14:textFill>
                  <w14:solidFill>
                    <w14:schemeClr w14:val="tx1"/>
                  </w14:solidFill>
                </w14:textFill>
              </w:rPr>
              <w:t>已按要求设置地下水水质监测井。</w:t>
            </w:r>
          </w:p>
        </w:tc>
        <w:tc>
          <w:tcPr>
            <w:tcW w:w="381" w:type="pct"/>
            <w:noWrap w:val="0"/>
            <w:vAlign w:val="center"/>
          </w:tcPr>
          <w:p w14:paraId="593B50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Cs/>
                <w:color w:val="000000" w:themeColor="text1"/>
                <w:sz w:val="21"/>
                <w:lang w:eastAsia="zh-CN"/>
                <w14:textFill>
                  <w14:solidFill>
                    <w14:schemeClr w14:val="tx1"/>
                  </w14:solidFill>
                </w14:textFill>
              </w:rPr>
            </w:pPr>
            <w:r>
              <w:rPr>
                <w:rFonts w:hint="eastAsia" w:ascii="Times New Roman" w:hAnsi="Times New Roman" w:cs="Times New Roman"/>
                <w:bCs/>
                <w:color w:val="000000" w:themeColor="text1"/>
                <w:sz w:val="21"/>
                <w:lang w:eastAsia="zh-CN"/>
                <w14:textFill>
                  <w14:solidFill>
                    <w14:schemeClr w14:val="tx1"/>
                  </w14:solidFill>
                </w14:textFill>
              </w:rPr>
              <w:t>符合</w:t>
            </w:r>
          </w:p>
        </w:tc>
      </w:tr>
    </w:tbl>
    <w:p w14:paraId="440B2E9C">
      <w:pPr>
        <w:pStyle w:val="41"/>
        <w:spacing w:line="480" w:lineRule="exact"/>
        <w:ind w:firstLine="480"/>
        <w:rPr>
          <w:rFonts w:hint="eastAsia"/>
          <w:color w:val="000000" w:themeColor="text1"/>
          <w:kern w:val="10"/>
          <w:sz w:val="24"/>
          <w:szCs w:val="24"/>
          <w14:textFill>
            <w14:solidFill>
              <w14:schemeClr w14:val="tx1"/>
            </w14:solidFill>
          </w14:textFill>
        </w:rPr>
      </w:pPr>
      <w:r>
        <w:rPr>
          <w:rFonts w:hint="eastAsia" w:cs="Times New Roman"/>
          <w:color w:val="000000" w:themeColor="text1"/>
          <w:lang w:val="en-US" w:eastAsia="zh-CN"/>
          <w14:textFill>
            <w14:solidFill>
              <w14:schemeClr w14:val="tx1"/>
            </w14:solidFill>
          </w14:textFill>
        </w:rPr>
        <w:t>综上，本项目符合《尾矿污染环境防治管理办法》的相关要求。</w:t>
      </w:r>
    </w:p>
    <w:p w14:paraId="20142F5C">
      <w:pPr>
        <w:pStyle w:val="5"/>
        <w:spacing w:before="0" w:after="0" w:line="480" w:lineRule="exact"/>
        <w:ind w:firstLine="482"/>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1.3.1.10与</w:t>
      </w:r>
      <w:r>
        <w:rPr>
          <w:rFonts w:hint="eastAsia"/>
          <w:color w:val="000000" w:themeColor="text1"/>
          <w14:textFill>
            <w14:solidFill>
              <w14:schemeClr w14:val="tx1"/>
            </w14:solidFill>
          </w14:textFill>
        </w:rPr>
        <w:t>《关于</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十四五</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大宗固体废弃物综合利用的指导意见》</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的符合性分析</w:t>
      </w:r>
    </w:p>
    <w:p w14:paraId="1DDE2512">
      <w:pPr>
        <w:pStyle w:val="41"/>
        <w:spacing w:line="480" w:lineRule="exact"/>
        <w:ind w:firstLine="48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本</w:t>
      </w:r>
      <w:r>
        <w:rPr>
          <w:rFonts w:hint="eastAsia"/>
          <w:color w:val="000000" w:themeColor="text1"/>
          <w:lang w:val="en-US" w:eastAsia="zh-CN"/>
          <w14:textFill>
            <w14:solidFill>
              <w14:schemeClr w14:val="tx1"/>
            </w14:solidFill>
          </w14:textFill>
        </w:rPr>
        <w:t>项目</w:t>
      </w:r>
      <w:r>
        <w:rPr>
          <w:rFonts w:hint="eastAsia"/>
          <w:color w:val="000000" w:themeColor="text1"/>
          <w14:textFill>
            <w14:solidFill>
              <w14:schemeClr w14:val="tx1"/>
            </w14:solidFill>
          </w14:textFill>
        </w:rPr>
        <w:t>与《关于</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十四五</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大宗固体废弃物综合利用的指导意见》符合性分析详见下表。</w:t>
      </w:r>
    </w:p>
    <w:p w14:paraId="34D23A74">
      <w:pPr>
        <w:pStyle w:val="41"/>
        <w:spacing w:line="480" w:lineRule="exact"/>
        <w:ind w:left="0" w:leftChars="0" w:firstLine="0" w:firstLineChars="0"/>
        <w:jc w:val="center"/>
        <w:rPr>
          <w:rFonts w:hint="eastAsia" w:eastAsia="宋体"/>
          <w:b/>
          <w:bCs/>
          <w:color w:val="000000" w:themeColor="text1"/>
          <w:kern w:val="10"/>
          <w:sz w:val="24"/>
          <w:szCs w:val="24"/>
          <w:lang w:val="en-US" w:eastAsia="zh-CN"/>
          <w14:textFill>
            <w14:solidFill>
              <w14:schemeClr w14:val="tx1"/>
            </w14:solidFill>
          </w14:textFill>
        </w:rPr>
      </w:pPr>
      <w:r>
        <w:rPr>
          <w:rFonts w:hint="eastAsia"/>
          <w:b/>
          <w:bCs/>
          <w:color w:val="000000" w:themeColor="text1"/>
          <w:kern w:val="10"/>
          <w:sz w:val="24"/>
          <w:szCs w:val="24"/>
          <w14:textFill>
            <w14:solidFill>
              <w14:schemeClr w14:val="tx1"/>
            </w14:solidFill>
          </w14:textFill>
        </w:rPr>
        <w:t>表</w:t>
      </w:r>
      <w:r>
        <w:rPr>
          <w:rFonts w:hint="eastAsia"/>
          <w:b/>
          <w:bCs/>
          <w:color w:val="000000" w:themeColor="text1"/>
          <w:kern w:val="10"/>
          <w:sz w:val="24"/>
          <w:szCs w:val="24"/>
          <w:lang w:val="en-US" w:eastAsia="zh-CN"/>
          <w14:textFill>
            <w14:solidFill>
              <w14:schemeClr w14:val="tx1"/>
            </w14:solidFill>
          </w14:textFill>
        </w:rPr>
        <w:t>1.3-7</w:t>
      </w:r>
      <w:r>
        <w:rPr>
          <w:rFonts w:hint="eastAsia"/>
          <w:b/>
          <w:bCs/>
          <w:color w:val="000000" w:themeColor="text1"/>
          <w:kern w:val="10"/>
          <w:sz w:val="24"/>
          <w:szCs w:val="24"/>
          <w14:textFill>
            <w14:solidFill>
              <w14:schemeClr w14:val="tx1"/>
            </w14:solidFill>
          </w14:textFill>
        </w:rPr>
        <w:t xml:space="preserve">    与《关于“十四五”大宗固体废弃物综合利用的指导意见》符合性分析</w:t>
      </w:r>
      <w:r>
        <w:rPr>
          <w:rFonts w:hint="eastAsia"/>
          <w:b/>
          <w:bCs/>
          <w:color w:val="000000" w:themeColor="text1"/>
          <w:kern w:val="10"/>
          <w:sz w:val="24"/>
          <w:szCs w:val="24"/>
          <w:lang w:val="en-US" w:eastAsia="zh-CN"/>
          <w14:textFill>
            <w14:solidFill>
              <w14:schemeClr w14:val="tx1"/>
            </w14:solidFill>
          </w14:textFill>
        </w:rPr>
        <w:t>表</w:t>
      </w:r>
    </w:p>
    <w:tbl>
      <w:tblPr>
        <w:tblStyle w:val="32"/>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76"/>
        <w:gridCol w:w="2933"/>
        <w:gridCol w:w="887"/>
      </w:tblGrid>
      <w:tr w14:paraId="0AE94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56" w:type="pct"/>
            <w:gridSpan w:val="2"/>
            <w:shd w:val="clear" w:color="auto" w:fill="auto"/>
            <w:vAlign w:val="center"/>
          </w:tcPr>
          <w:p w14:paraId="7F2E96A5">
            <w:pPr>
              <w:spacing w:line="360" w:lineRule="exact"/>
              <w:ind w:firstLine="0" w:firstLineChars="0"/>
              <w:jc w:val="center"/>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有关规定</w:t>
            </w:r>
          </w:p>
        </w:tc>
        <w:tc>
          <w:tcPr>
            <w:tcW w:w="1721" w:type="pct"/>
            <w:shd w:val="clear" w:color="auto" w:fill="auto"/>
            <w:vAlign w:val="center"/>
          </w:tcPr>
          <w:p w14:paraId="15F5BE37">
            <w:pPr>
              <w:spacing w:line="360" w:lineRule="exact"/>
              <w:ind w:firstLine="0" w:firstLineChars="0"/>
              <w:jc w:val="center"/>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项目情况</w:t>
            </w:r>
          </w:p>
        </w:tc>
        <w:tc>
          <w:tcPr>
            <w:tcW w:w="521" w:type="pct"/>
            <w:shd w:val="clear" w:color="auto" w:fill="auto"/>
            <w:vAlign w:val="center"/>
          </w:tcPr>
          <w:p w14:paraId="123CF949">
            <w:pPr>
              <w:spacing w:line="360" w:lineRule="exact"/>
              <w:ind w:firstLine="0" w:firstLineChars="0"/>
              <w:jc w:val="center"/>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相符性结论</w:t>
            </w:r>
          </w:p>
        </w:tc>
      </w:tr>
      <w:tr w14:paraId="126D2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shd w:val="clear" w:color="auto" w:fill="auto"/>
            <w:vAlign w:val="center"/>
          </w:tcPr>
          <w:p w14:paraId="41116A04">
            <w:pPr>
              <w:spacing w:line="36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尾矿</w:t>
            </w:r>
          </w:p>
        </w:tc>
        <w:tc>
          <w:tcPr>
            <w:tcW w:w="2508" w:type="pct"/>
            <w:shd w:val="clear" w:color="auto" w:fill="auto"/>
            <w:vAlign w:val="center"/>
          </w:tcPr>
          <w:p w14:paraId="62B554E0">
            <w:pPr>
              <w:spacing w:line="36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稳步推进金属尾矿有价组分高效提取及整体利用，推动采矿废石制备砂石骨料、陶粒、干混砂浆等砂源替代材料和胶凝回填利用，探索尾矿在生态环境治理领域的利用。加快推进黑色金属、有色金属、稀贵金属等共伴生矿产资源综合开发利用和有价组分梯级回收，推动有价金属提取后剩余废渣的规模化利用。依法依规推动已闭库尾矿库生态修复，未经批准不得擅自回采尾矿。</w:t>
            </w:r>
          </w:p>
        </w:tc>
        <w:tc>
          <w:tcPr>
            <w:tcW w:w="1721" w:type="pct"/>
            <w:shd w:val="clear" w:color="auto" w:fill="auto"/>
            <w:vAlign w:val="center"/>
          </w:tcPr>
          <w:p w14:paraId="55C3C007">
            <w:pPr>
              <w:spacing w:line="360" w:lineRule="exact"/>
              <w:ind w:firstLine="0" w:firstLine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eastAsia="zh-CN"/>
                <w14:textFill>
                  <w14:solidFill>
                    <w14:schemeClr w14:val="tx1"/>
                  </w14:solidFill>
                </w14:textFill>
              </w:rPr>
              <w:t>本</w:t>
            </w:r>
            <w:r>
              <w:rPr>
                <w:rFonts w:hint="eastAsia"/>
                <w:color w:val="000000" w:themeColor="text1"/>
                <w:sz w:val="21"/>
                <w:lang w:val="en-US" w:eastAsia="zh-CN"/>
                <w14:textFill>
                  <w14:solidFill>
                    <w14:schemeClr w14:val="tx1"/>
                  </w14:solidFill>
                </w14:textFill>
              </w:rPr>
              <w:t>项目尾矿砂产生量45.25万t/a</w:t>
            </w:r>
            <w:r>
              <w:rPr>
                <w:rFonts w:hint="eastAsia"/>
                <w:color w:val="000000" w:themeColor="text1"/>
                <w:sz w:val="21"/>
                <w14:textFill>
                  <w14:solidFill>
                    <w14:schemeClr w14:val="tx1"/>
                  </w14:solidFill>
                </w14:textFill>
              </w:rPr>
              <w:t>，为</w:t>
            </w:r>
            <w:r>
              <w:rPr>
                <w:rFonts w:hint="eastAsia"/>
                <w:color w:val="000000" w:themeColor="text1"/>
                <w:sz w:val="21"/>
                <w:lang w:val="en-US" w:eastAsia="zh-CN"/>
                <w14:textFill>
                  <w14:solidFill>
                    <w14:schemeClr w14:val="tx1"/>
                  </w14:solidFill>
                </w14:textFill>
              </w:rPr>
              <w:t>第</w:t>
            </w:r>
            <w:r>
              <w:rPr>
                <w:rFonts w:hint="eastAsia"/>
                <w:color w:val="000000" w:themeColor="text1"/>
                <w:sz w:val="21"/>
                <w14:textFill>
                  <w14:solidFill>
                    <w14:schemeClr w14:val="tx1"/>
                  </w14:solidFill>
                </w14:textFill>
              </w:rPr>
              <w:t>I类一般</w:t>
            </w:r>
            <w:r>
              <w:rPr>
                <w:rFonts w:hint="eastAsia"/>
                <w:color w:val="000000" w:themeColor="text1"/>
                <w:sz w:val="21"/>
                <w:lang w:val="en-US" w:eastAsia="zh-CN"/>
                <w14:textFill>
                  <w14:solidFill>
                    <w14:schemeClr w14:val="tx1"/>
                  </w14:solidFill>
                </w14:textFill>
              </w:rPr>
              <w:t>工业</w:t>
            </w:r>
            <w:r>
              <w:rPr>
                <w:rFonts w:hint="eastAsia"/>
                <w:color w:val="000000" w:themeColor="text1"/>
                <w:sz w:val="21"/>
                <w14:textFill>
                  <w14:solidFill>
                    <w14:schemeClr w14:val="tx1"/>
                  </w14:solidFill>
                </w14:textFill>
              </w:rPr>
              <w:t>固体废物</w:t>
            </w:r>
            <w:r>
              <w:rPr>
                <w:rFonts w:hint="eastAsia"/>
                <w:color w:val="000000" w:themeColor="text1"/>
                <w:sz w:val="21"/>
                <w:lang w:eastAsia="zh-CN"/>
                <w14:textFill>
                  <w14:solidFill>
                    <w14:schemeClr w14:val="tx1"/>
                  </w14:solidFill>
                </w14:textFill>
              </w:rPr>
              <w:t>，</w:t>
            </w:r>
            <w:r>
              <w:rPr>
                <w:rFonts w:hint="eastAsia"/>
                <w:color w:val="000000" w:themeColor="text1"/>
                <w:sz w:val="21"/>
                <w:lang w:val="en-US" w:eastAsia="zh-CN"/>
                <w14:textFill>
                  <w14:solidFill>
                    <w14:schemeClr w14:val="tx1"/>
                  </w14:solidFill>
                </w14:textFill>
              </w:rPr>
              <w:t>本项目尾砂不涉及共伴生有价组分。</w:t>
            </w:r>
          </w:p>
        </w:tc>
        <w:tc>
          <w:tcPr>
            <w:tcW w:w="521" w:type="pct"/>
            <w:shd w:val="clear" w:color="auto" w:fill="auto"/>
            <w:vAlign w:val="center"/>
          </w:tcPr>
          <w:p w14:paraId="613BFEE5">
            <w:pPr>
              <w:spacing w:line="36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r w14:paraId="69114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shd w:val="clear" w:color="auto" w:fill="auto"/>
            <w:vAlign w:val="center"/>
          </w:tcPr>
          <w:p w14:paraId="041337D7">
            <w:pPr>
              <w:spacing w:line="36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建筑垃圾</w:t>
            </w:r>
          </w:p>
        </w:tc>
        <w:tc>
          <w:tcPr>
            <w:tcW w:w="2508" w:type="pct"/>
            <w:shd w:val="clear" w:color="auto" w:fill="auto"/>
            <w:vAlign w:val="center"/>
          </w:tcPr>
          <w:p w14:paraId="22DDE3AC">
            <w:pPr>
              <w:spacing w:line="36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加强建筑垃圾分类处理和回收利用，规范建筑垃圾堆存、中转和资源化利用场所建设和运营，推动建筑垃圾综合利用产品应用。鼓励建筑垃圾再生骨料及制品在建筑工程和道路工程中的应用，以及将建筑垃圾用于土方平衡、林业用土、环境治理、烧结制品及回填等，不断提高利用质量、扩大资源化利用规模。</w:t>
            </w:r>
          </w:p>
        </w:tc>
        <w:tc>
          <w:tcPr>
            <w:tcW w:w="1721" w:type="pct"/>
            <w:shd w:val="clear" w:color="auto" w:fill="auto"/>
            <w:vAlign w:val="center"/>
          </w:tcPr>
          <w:p w14:paraId="627BD612">
            <w:pPr>
              <w:spacing w:line="36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施工期产生的建筑垃圾包括碎石、砂土等废弃土石方、废钢筋、废钢材等废弃建筑材料。废弃土石方用于场地平整及地面硬化，废钢筋、废钢材等废弃建筑材料由施工单位及时收集后综合利用。</w:t>
            </w:r>
          </w:p>
        </w:tc>
        <w:tc>
          <w:tcPr>
            <w:tcW w:w="521" w:type="pct"/>
            <w:shd w:val="clear" w:color="auto" w:fill="auto"/>
            <w:vAlign w:val="center"/>
          </w:tcPr>
          <w:p w14:paraId="7370EB45">
            <w:pPr>
              <w:spacing w:line="36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符合</w:t>
            </w:r>
          </w:p>
        </w:tc>
      </w:tr>
    </w:tbl>
    <w:p w14:paraId="7EE463B2">
      <w:pPr>
        <w:pStyle w:val="41"/>
        <w:spacing w:line="480" w:lineRule="exact"/>
        <w:ind w:firstLine="48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综上，</w:t>
      </w:r>
      <w:r>
        <w:rPr>
          <w:rFonts w:hint="eastAsia"/>
          <w:color w:val="000000" w:themeColor="text1"/>
          <w:lang w:eastAsia="zh-CN"/>
          <w14:textFill>
            <w14:solidFill>
              <w14:schemeClr w14:val="tx1"/>
            </w14:solidFill>
          </w14:textFill>
        </w:rPr>
        <w:t>本</w:t>
      </w:r>
      <w:r>
        <w:rPr>
          <w:rFonts w:hint="eastAsia"/>
          <w:color w:val="000000" w:themeColor="text1"/>
          <w:lang w:val="en-US" w:eastAsia="zh-CN"/>
          <w14:textFill>
            <w14:solidFill>
              <w14:schemeClr w14:val="tx1"/>
            </w14:solidFill>
          </w14:textFill>
        </w:rPr>
        <w:t>项目符合</w:t>
      </w:r>
      <w:r>
        <w:rPr>
          <w:rFonts w:hint="eastAsia"/>
          <w:color w:val="000000" w:themeColor="text1"/>
          <w14:textFill>
            <w14:solidFill>
              <w14:schemeClr w14:val="tx1"/>
            </w14:solidFill>
          </w14:textFill>
        </w:rPr>
        <w:t>《关于</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十四五</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大宗固体废弃物综合利用的指导意见》</w:t>
      </w:r>
      <w:r>
        <w:rPr>
          <w:rFonts w:hint="eastAsia"/>
          <w:color w:val="000000" w:themeColor="text1"/>
          <w:lang w:eastAsia="zh-CN"/>
          <w14:textFill>
            <w14:solidFill>
              <w14:schemeClr w14:val="tx1"/>
            </w14:solidFill>
          </w14:textFill>
        </w:rPr>
        <w:t>的</w:t>
      </w:r>
      <w:r>
        <w:rPr>
          <w:rFonts w:hint="eastAsia"/>
          <w:color w:val="000000" w:themeColor="text1"/>
          <w:lang w:val="en-US" w:eastAsia="zh-CN"/>
          <w14:textFill>
            <w14:solidFill>
              <w14:schemeClr w14:val="tx1"/>
            </w14:solidFill>
          </w14:textFill>
        </w:rPr>
        <w:t>相关要求。</w:t>
      </w:r>
    </w:p>
    <w:p w14:paraId="2432BD10">
      <w:pPr>
        <w:pStyle w:val="5"/>
        <w:spacing w:before="0" w:after="0" w:line="480" w:lineRule="exact"/>
        <w:ind w:firstLine="482"/>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1.3.1.11与《固体废物综合治理行动计划》的符合性分析</w:t>
      </w:r>
    </w:p>
    <w:p w14:paraId="44C70591">
      <w:pPr>
        <w:pStyle w:val="41"/>
        <w:spacing w:line="480" w:lineRule="exact"/>
        <w:ind w:firstLine="48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本</w:t>
      </w:r>
      <w:r>
        <w:rPr>
          <w:rFonts w:hint="eastAsia"/>
          <w:color w:val="000000" w:themeColor="text1"/>
          <w:lang w:val="en-US" w:eastAsia="zh-CN"/>
          <w14:textFill>
            <w14:solidFill>
              <w14:schemeClr w14:val="tx1"/>
            </w14:solidFill>
          </w14:textFill>
        </w:rPr>
        <w:t>项目与《固体废物综合治理行动计划》的符合性分析</w:t>
      </w:r>
      <w:r>
        <w:rPr>
          <w:rFonts w:hint="eastAsia"/>
          <w:color w:val="000000" w:themeColor="text1"/>
          <w:kern w:val="0"/>
          <w14:textFill>
            <w14:solidFill>
              <w14:schemeClr w14:val="tx1"/>
            </w14:solidFill>
          </w14:textFill>
        </w:rPr>
        <w:t>见表</w:t>
      </w:r>
      <w:r>
        <w:rPr>
          <w:rFonts w:hint="eastAsia"/>
          <w:color w:val="000000" w:themeColor="text1"/>
          <w:kern w:val="0"/>
          <w:lang w:val="en-US" w:eastAsia="zh-CN"/>
          <w14:textFill>
            <w14:solidFill>
              <w14:schemeClr w14:val="tx1"/>
            </w14:solidFill>
          </w14:textFill>
        </w:rPr>
        <w:t>1.3-8</w:t>
      </w:r>
      <w:r>
        <w:rPr>
          <w:rFonts w:hint="eastAsia"/>
          <w:color w:val="000000" w:themeColor="text1"/>
          <w:kern w:val="0"/>
          <w14:textFill>
            <w14:solidFill>
              <w14:schemeClr w14:val="tx1"/>
            </w14:solidFill>
          </w14:textFill>
        </w:rPr>
        <w:t>。</w:t>
      </w:r>
    </w:p>
    <w:p w14:paraId="62E32D05">
      <w:pPr>
        <w:pStyle w:val="41"/>
        <w:spacing w:line="480" w:lineRule="exact"/>
        <w:ind w:left="0" w:leftChars="0" w:firstLine="0" w:firstLineChars="0"/>
        <w:jc w:val="center"/>
        <w:rPr>
          <w:rFonts w:hint="default"/>
          <w:b/>
          <w:bCs/>
          <w:color w:val="000000" w:themeColor="text1"/>
          <w:lang w:val="en-US" w:eastAsia="zh-CN"/>
          <w14:textFill>
            <w14:solidFill>
              <w14:schemeClr w14:val="tx1"/>
            </w14:solidFill>
          </w14:textFill>
        </w:rPr>
      </w:pPr>
      <w:r>
        <w:rPr>
          <w:rFonts w:hint="eastAsia"/>
          <w:b/>
          <w:bCs/>
          <w:color w:val="000000" w:themeColor="text1"/>
          <w:kern w:val="0"/>
          <w14:textFill>
            <w14:solidFill>
              <w14:schemeClr w14:val="tx1"/>
            </w14:solidFill>
          </w14:textFill>
        </w:rPr>
        <w:t>表</w:t>
      </w:r>
      <w:r>
        <w:rPr>
          <w:rFonts w:hint="eastAsia"/>
          <w:b/>
          <w:bCs/>
          <w:color w:val="000000" w:themeColor="text1"/>
          <w:kern w:val="0"/>
          <w:lang w:val="en-US" w:eastAsia="zh-CN"/>
          <w14:textFill>
            <w14:solidFill>
              <w14:schemeClr w14:val="tx1"/>
            </w14:solidFill>
          </w14:textFill>
        </w:rPr>
        <w:t xml:space="preserve">1.3-8    </w:t>
      </w:r>
      <w:r>
        <w:rPr>
          <w:rFonts w:hint="eastAsia"/>
          <w:b/>
          <w:bCs/>
          <w:color w:val="000000" w:themeColor="text1"/>
          <w:lang w:eastAsia="zh-CN"/>
          <w14:textFill>
            <w14:solidFill>
              <w14:schemeClr w14:val="tx1"/>
            </w14:solidFill>
          </w14:textFill>
        </w:rPr>
        <w:t>本</w:t>
      </w:r>
      <w:r>
        <w:rPr>
          <w:rFonts w:hint="eastAsia"/>
          <w:b/>
          <w:bCs/>
          <w:color w:val="000000" w:themeColor="text1"/>
          <w:lang w:val="en-US" w:eastAsia="zh-CN"/>
          <w14:textFill>
            <w14:solidFill>
              <w14:schemeClr w14:val="tx1"/>
            </w14:solidFill>
          </w14:textFill>
        </w:rPr>
        <w:t>项目与《固体废物综合治理行动计划》的符合性分析表</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82"/>
        <w:gridCol w:w="2586"/>
        <w:gridCol w:w="654"/>
      </w:tblGrid>
      <w:tr w14:paraId="0B881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98" w:type="pct"/>
            <w:noWrap w:val="0"/>
            <w:vAlign w:val="center"/>
          </w:tcPr>
          <w:p w14:paraId="5DAC855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eastAsia="宋体"/>
                <w:b/>
                <w:bCs/>
                <w:color w:val="000000" w:themeColor="text1"/>
                <w:sz w:val="21"/>
                <w:szCs w:val="21"/>
                <w:lang w:eastAsia="zh-CN"/>
                <w14:textFill>
                  <w14:solidFill>
                    <w14:schemeClr w14:val="tx1"/>
                  </w14:solidFill>
                </w14:textFill>
              </w:rPr>
            </w:pPr>
            <w:r>
              <w:rPr>
                <w:rFonts w:hint="eastAsia" w:ascii="Times New Roman" w:eastAsia="宋体"/>
                <w:b/>
                <w:bCs/>
                <w:color w:val="000000" w:themeColor="text1"/>
                <w:sz w:val="21"/>
                <w:szCs w:val="21"/>
                <w:lang w:val="en-US" w:eastAsia="zh-CN"/>
                <w14:textFill>
                  <w14:solidFill>
                    <w14:schemeClr w14:val="tx1"/>
                  </w14:solidFill>
                </w14:textFill>
              </w:rPr>
              <w:t>有关规定</w:t>
            </w:r>
          </w:p>
        </w:tc>
        <w:tc>
          <w:tcPr>
            <w:tcW w:w="1517" w:type="pct"/>
            <w:noWrap w:val="0"/>
            <w:vAlign w:val="center"/>
          </w:tcPr>
          <w:p w14:paraId="6F85AEF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eastAsia="宋体"/>
                <w:b/>
                <w:bCs/>
                <w:color w:val="000000" w:themeColor="text1"/>
                <w:sz w:val="21"/>
                <w:szCs w:val="21"/>
                <w:lang w:eastAsia="zh-CN"/>
                <w14:textFill>
                  <w14:solidFill>
                    <w14:schemeClr w14:val="tx1"/>
                  </w14:solidFill>
                </w14:textFill>
              </w:rPr>
            </w:pPr>
            <w:r>
              <w:rPr>
                <w:rFonts w:hint="eastAsia" w:ascii="Times New Roman" w:eastAsia="宋体"/>
                <w:b/>
                <w:bCs/>
                <w:color w:val="000000" w:themeColor="text1"/>
                <w:sz w:val="21"/>
                <w:szCs w:val="21"/>
                <w:lang w:val="en-US" w:eastAsia="zh-CN"/>
                <w14:textFill>
                  <w14:solidFill>
                    <w14:schemeClr w14:val="tx1"/>
                  </w14:solidFill>
                </w14:textFill>
              </w:rPr>
              <w:t>项目情况</w:t>
            </w:r>
          </w:p>
        </w:tc>
        <w:tc>
          <w:tcPr>
            <w:tcW w:w="383" w:type="pct"/>
            <w:noWrap w:val="0"/>
            <w:vAlign w:val="center"/>
          </w:tcPr>
          <w:p w14:paraId="773CD0D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ascii="Times New Roman" w:eastAsia="宋体"/>
                <w:b/>
                <w:bCs/>
                <w:color w:val="000000" w:themeColor="text1"/>
                <w:sz w:val="21"/>
                <w:szCs w:val="21"/>
                <w:lang w:val="en-US" w:eastAsia="zh-CN"/>
                <w14:textFill>
                  <w14:solidFill>
                    <w14:schemeClr w14:val="tx1"/>
                  </w14:solidFill>
                </w14:textFill>
              </w:rPr>
              <w:t>结论</w:t>
            </w:r>
          </w:p>
        </w:tc>
      </w:tr>
      <w:tr w14:paraId="1C091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8" w:type="pct"/>
            <w:noWrap w:val="0"/>
            <w:vAlign w:val="center"/>
          </w:tcPr>
          <w:p w14:paraId="359940D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推动重有色金属矿采选一体化建设，促进尾矿就近充填回填，原则上不再批准建设无自建矿山、无配套尾矿利用处置设施的选矿项目</w:t>
            </w:r>
            <w:r>
              <w:rPr>
                <w:rFonts w:hint="eastAsia" w:eastAsia="宋体"/>
                <w:color w:val="000000" w:themeColor="text1"/>
                <w:sz w:val="21"/>
                <w:szCs w:val="21"/>
                <w:lang w:eastAsia="zh-CN"/>
                <w14:textFill>
                  <w14:solidFill>
                    <w14:schemeClr w14:val="tx1"/>
                  </w14:solidFill>
                </w14:textFill>
              </w:rPr>
              <w:t>。</w:t>
            </w:r>
          </w:p>
        </w:tc>
        <w:tc>
          <w:tcPr>
            <w:tcW w:w="1517" w:type="pct"/>
            <w:noWrap w:val="0"/>
            <w:vAlign w:val="center"/>
          </w:tcPr>
          <w:p w14:paraId="1F2DF1D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本项目不属于</w:t>
            </w:r>
            <w:r>
              <w:rPr>
                <w:rFonts w:hint="eastAsia"/>
                <w:color w:val="000000" w:themeColor="text1"/>
                <w:sz w:val="21"/>
                <w:szCs w:val="21"/>
                <w14:textFill>
                  <w14:solidFill>
                    <w14:schemeClr w14:val="tx1"/>
                  </w14:solidFill>
                </w14:textFill>
              </w:rPr>
              <w:t>无自建矿山、无配套尾矿利用处置设施的选矿项目</w:t>
            </w:r>
            <w:r>
              <w:rPr>
                <w:rFonts w:hint="eastAsia" w:eastAsia="宋体"/>
                <w:color w:val="000000" w:themeColor="text1"/>
                <w:sz w:val="21"/>
                <w:szCs w:val="21"/>
                <w:lang w:eastAsia="zh-CN"/>
                <w14:textFill>
                  <w14:solidFill>
                    <w14:schemeClr w14:val="tx1"/>
                  </w14:solidFill>
                </w14:textFill>
              </w:rPr>
              <w:t>。</w:t>
            </w:r>
          </w:p>
        </w:tc>
        <w:tc>
          <w:tcPr>
            <w:tcW w:w="383" w:type="pct"/>
            <w:noWrap w:val="0"/>
            <w:vAlign w:val="center"/>
          </w:tcPr>
          <w:p w14:paraId="4887FB5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符合</w:t>
            </w:r>
          </w:p>
        </w:tc>
      </w:tr>
      <w:tr w14:paraId="50A7C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8" w:type="pct"/>
            <w:noWrap w:val="0"/>
            <w:vAlign w:val="center"/>
          </w:tcPr>
          <w:p w14:paraId="574605C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提升冶炼渣、尾矿、共伴生矿、赤泥、建筑垃圾综合利用能力，加强有价组分高效提取及整体利用，因地制宜推动煤矸石多元化利用。</w:t>
            </w:r>
          </w:p>
        </w:tc>
        <w:tc>
          <w:tcPr>
            <w:tcW w:w="1517" w:type="pct"/>
            <w:noWrap w:val="0"/>
            <w:vAlign w:val="center"/>
          </w:tcPr>
          <w:p w14:paraId="0E83DF1A">
            <w:pPr>
              <w:keepNext w:val="0"/>
              <w:keepLines w:val="0"/>
              <w:pageBreakBefore w:val="0"/>
              <w:widowControl w:val="0"/>
              <w:numPr>
                <w:ilvl w:val="0"/>
                <w:numId w:val="0"/>
              </w:numPr>
              <w:kinsoku/>
              <w:wordWrap w:val="0"/>
              <w:overflowPunct/>
              <w:topLinePunct w:val="0"/>
              <w:autoSpaceDE/>
              <w:autoSpaceDN/>
              <w:bidi w:val="0"/>
              <w:adjustRightInd/>
              <w:snapToGrid/>
              <w:spacing w:line="360" w:lineRule="exact"/>
              <w:ind w:lef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企业目前正在积极探索尾矿综合利用途径。</w:t>
            </w:r>
          </w:p>
        </w:tc>
        <w:tc>
          <w:tcPr>
            <w:tcW w:w="383" w:type="pct"/>
            <w:noWrap w:val="0"/>
            <w:vAlign w:val="center"/>
          </w:tcPr>
          <w:p w14:paraId="3A30F76F">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符合</w:t>
            </w:r>
          </w:p>
        </w:tc>
      </w:tr>
      <w:tr w14:paraId="2C26A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8" w:type="pct"/>
            <w:noWrap w:val="0"/>
            <w:vAlign w:val="center"/>
          </w:tcPr>
          <w:p w14:paraId="160251B5">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在符合环境质量标准、污染风险管控要求和安全生产要求前提下，探索通过井下充填、矿坑回填、生态修复等方式规模化消纳利用大宗工业固体废物。</w:t>
            </w:r>
          </w:p>
        </w:tc>
        <w:tc>
          <w:tcPr>
            <w:tcW w:w="1517" w:type="pct"/>
            <w:noWrap w:val="0"/>
            <w:vAlign w:val="center"/>
          </w:tcPr>
          <w:p w14:paraId="5BD4DA09">
            <w:pPr>
              <w:keepNext w:val="0"/>
              <w:keepLines w:val="0"/>
              <w:pageBreakBefore w:val="0"/>
              <w:widowControl w:val="0"/>
              <w:numPr>
                <w:ilvl w:val="0"/>
                <w:numId w:val="0"/>
              </w:numPr>
              <w:kinsoku/>
              <w:wordWrap w:val="0"/>
              <w:overflowPunct/>
              <w:topLinePunct w:val="0"/>
              <w:autoSpaceDE/>
              <w:autoSpaceDN/>
              <w:bidi w:val="0"/>
              <w:adjustRightInd/>
              <w:snapToGrid/>
              <w:spacing w:line="360" w:lineRule="exact"/>
              <w:ind w:lef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目前矿山开采方式为地下开采，暂不具备充填开采的条件。</w:t>
            </w:r>
          </w:p>
        </w:tc>
        <w:tc>
          <w:tcPr>
            <w:tcW w:w="383" w:type="pct"/>
            <w:noWrap w:val="0"/>
            <w:vAlign w:val="center"/>
          </w:tcPr>
          <w:p w14:paraId="493A7EF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符合</w:t>
            </w:r>
          </w:p>
        </w:tc>
      </w:tr>
      <w:tr w14:paraId="3BBE4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98" w:type="pct"/>
            <w:noWrap w:val="0"/>
            <w:vAlign w:val="center"/>
          </w:tcPr>
          <w:p w14:paraId="352AD19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开展环境风险调查评估，</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一场</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矿</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一策</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深入推进涉重金属矿山、尾矿库、堆</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渣</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场、危险废物填埋场等环境安全隐患排查整治。</w:t>
            </w:r>
          </w:p>
        </w:tc>
        <w:tc>
          <w:tcPr>
            <w:tcW w:w="1517" w:type="pct"/>
            <w:noWrap w:val="0"/>
            <w:vAlign w:val="center"/>
          </w:tcPr>
          <w:p w14:paraId="75DE0BF4">
            <w:pPr>
              <w:keepNext w:val="0"/>
              <w:keepLines w:val="0"/>
              <w:pageBreakBefore w:val="0"/>
              <w:widowControl w:val="0"/>
              <w:numPr>
                <w:ilvl w:val="0"/>
                <w:numId w:val="0"/>
              </w:numPr>
              <w:kinsoku/>
              <w:wordWrap w:val="0"/>
              <w:overflowPunct/>
              <w:topLinePunct w:val="0"/>
              <w:autoSpaceDE/>
              <w:autoSpaceDN/>
              <w:bidi w:val="0"/>
              <w:adjustRightInd/>
              <w:snapToGrid/>
              <w:spacing w:line="360" w:lineRule="exact"/>
              <w:ind w:leftChars="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企业将按照相关要求</w:t>
            </w:r>
            <w:r>
              <w:rPr>
                <w:rFonts w:hint="default" w:ascii="Times New Roman" w:hAnsi="Times New Roman" w:cs="Times New Roman"/>
                <w:color w:val="000000" w:themeColor="text1"/>
                <w:sz w:val="21"/>
                <w:szCs w:val="21"/>
                <w14:textFill>
                  <w14:solidFill>
                    <w14:schemeClr w14:val="tx1"/>
                  </w14:solidFill>
                </w14:textFill>
              </w:rPr>
              <w:t>开展环境风险调查评估</w:t>
            </w:r>
          </w:p>
        </w:tc>
        <w:tc>
          <w:tcPr>
            <w:tcW w:w="383" w:type="pct"/>
            <w:noWrap w:val="0"/>
            <w:vAlign w:val="center"/>
          </w:tcPr>
          <w:p w14:paraId="2A3EE48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eastAsia="宋体"/>
                <w:color w:val="000000" w:themeColor="text1"/>
                <w:sz w:val="21"/>
                <w:szCs w:val="21"/>
                <w:lang w:val="en-US" w:eastAsia="zh-CN"/>
                <w14:textFill>
                  <w14:solidFill>
                    <w14:schemeClr w14:val="tx1"/>
                  </w14:solidFill>
                </w14:textFill>
              </w:rPr>
            </w:pPr>
            <w:r>
              <w:rPr>
                <w:rFonts w:hint="eastAsia" w:ascii="Times New Roman" w:eastAsia="宋体"/>
                <w:color w:val="000000" w:themeColor="text1"/>
                <w:sz w:val="21"/>
                <w:szCs w:val="21"/>
                <w:lang w:val="en-US" w:eastAsia="zh-CN"/>
                <w14:textFill>
                  <w14:solidFill>
                    <w14:schemeClr w14:val="tx1"/>
                  </w14:solidFill>
                </w14:textFill>
              </w:rPr>
              <w:t>符合</w:t>
            </w:r>
          </w:p>
        </w:tc>
      </w:tr>
    </w:tbl>
    <w:p w14:paraId="1CDEB4ED">
      <w:pPr>
        <w:pStyle w:val="41"/>
        <w:keepLines w:val="0"/>
        <w:pageBreakBefore w:val="0"/>
        <w:widowControl w:val="0"/>
        <w:kinsoku/>
        <w:wordWrap/>
        <w:overflowPunct w:val="0"/>
        <w:topLinePunct/>
        <w:autoSpaceDE/>
        <w:autoSpaceDN/>
        <w:bidi w:val="0"/>
        <w:adjustRightInd/>
        <w:snapToGrid/>
        <w:spacing w:line="480" w:lineRule="exact"/>
        <w:ind w:firstLine="48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综上，本项目符合《固体废物综合治理行动计划》的相关要求。</w:t>
      </w:r>
    </w:p>
    <w:p w14:paraId="7647DF49">
      <w:pPr>
        <w:pStyle w:val="5"/>
        <w:keepLines w:val="0"/>
        <w:pageBreakBefore w:val="0"/>
        <w:widowControl w:val="0"/>
        <w:kinsoku/>
        <w:wordWrap/>
        <w:overflowPunct w:val="0"/>
        <w:topLinePunct/>
        <w:autoSpaceDE/>
        <w:autoSpaceDN/>
        <w:bidi w:val="0"/>
        <w:adjustRightInd/>
        <w:snapToGrid/>
        <w:spacing w:before="0" w:after="0" w:line="480" w:lineRule="exact"/>
        <w:ind w:firstLine="482"/>
        <w:textAlignment w:val="auto"/>
        <w:rPr>
          <w:rFonts w:hint="default"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1.3.1.12与《关于印发防范化解尾矿库安全风险工作方案的通知》的符合性分析</w:t>
      </w:r>
    </w:p>
    <w:p w14:paraId="13C08F8E">
      <w:pPr>
        <w:pStyle w:val="41"/>
        <w:keepLines w:val="0"/>
        <w:pageBreakBefore w:val="0"/>
        <w:widowControl w:val="0"/>
        <w:kinsoku/>
        <w:wordWrap/>
        <w:overflowPunct w:val="0"/>
        <w:topLinePunct/>
        <w:autoSpaceDE/>
        <w:autoSpaceDN/>
        <w:bidi w:val="0"/>
        <w:adjustRightInd/>
        <w:snapToGrid/>
        <w:spacing w:line="480" w:lineRule="exact"/>
        <w:ind w:firstLine="480"/>
        <w:textAlignment w:val="auto"/>
        <w:rPr>
          <w:rFonts w:hint="default" w:eastAsia="宋体"/>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本项目与</w:t>
      </w:r>
      <w:r>
        <w:rPr>
          <w:rFonts w:hint="eastAsia" w:cs="Times New Roman"/>
          <w:color w:val="000000" w:themeColor="text1"/>
          <w:lang w:val="en-US" w:eastAsia="zh-CN"/>
          <w14:textFill>
            <w14:solidFill>
              <w14:schemeClr w14:val="tx1"/>
            </w14:solidFill>
          </w14:textFill>
        </w:rPr>
        <w:t>《关于印发防范化解尾矿库安全风险工作方案的通知》</w:t>
      </w:r>
      <w:r>
        <w:rPr>
          <w:rFonts w:hint="eastAsia"/>
          <w:color w:val="000000" w:themeColor="text1"/>
          <w:lang w:val="en-US" w:eastAsia="zh-CN"/>
          <w14:textFill>
            <w14:solidFill>
              <w14:schemeClr w14:val="tx1"/>
            </w14:solidFill>
          </w14:textFill>
        </w:rPr>
        <w:t>的</w:t>
      </w:r>
      <w:r>
        <w:rPr>
          <w:rFonts w:hint="eastAsia" w:ascii="Times New Roman" w:hAnsi="Times New Roman" w:eastAsia="宋体"/>
          <w:color w:val="000000" w:themeColor="text1"/>
          <w:lang w:val="en-US" w:eastAsia="zh-CN"/>
          <w14:textFill>
            <w14:solidFill>
              <w14:schemeClr w14:val="tx1"/>
            </w14:solidFill>
          </w14:textFill>
        </w:rPr>
        <w:t>符合性分析见</w:t>
      </w:r>
      <w:r>
        <w:rPr>
          <w:rFonts w:hint="eastAsia" w:eastAsia="宋体"/>
          <w:color w:val="000000" w:themeColor="text1"/>
          <w:lang w:val="en-US" w:eastAsia="zh-CN"/>
          <w14:textFill>
            <w14:solidFill>
              <w14:schemeClr w14:val="tx1"/>
            </w14:solidFill>
          </w14:textFill>
        </w:rPr>
        <w:t>下表。</w:t>
      </w:r>
    </w:p>
    <w:p w14:paraId="13F408CC">
      <w:pPr>
        <w:pStyle w:val="41"/>
        <w:spacing w:line="480" w:lineRule="exact"/>
        <w:ind w:left="0" w:leftChars="0" w:firstLine="0" w:firstLineChars="0"/>
        <w:jc w:val="center"/>
        <w:rPr>
          <w:rFonts w:hint="default" w:eastAsia="宋体"/>
          <w:b/>
          <w:bCs/>
          <w:color w:val="000000" w:themeColor="text1"/>
          <w:kern w:val="10"/>
          <w:sz w:val="24"/>
          <w:szCs w:val="24"/>
          <w:lang w:val="en-US" w:eastAsia="zh-CN"/>
          <w14:textFill>
            <w14:solidFill>
              <w14:schemeClr w14:val="tx1"/>
            </w14:solidFill>
          </w14:textFill>
        </w:rPr>
      </w:pPr>
      <w:r>
        <w:rPr>
          <w:rFonts w:hint="eastAsia"/>
          <w:b/>
          <w:bCs/>
          <w:color w:val="000000" w:themeColor="text1"/>
          <w:kern w:val="10"/>
          <w:sz w:val="24"/>
          <w:szCs w:val="24"/>
          <w:lang w:val="en-US" w:eastAsia="zh-CN"/>
          <w14:textFill>
            <w14:solidFill>
              <w14:schemeClr w14:val="tx1"/>
            </w14:solidFill>
          </w14:textFill>
        </w:rPr>
        <w:t xml:space="preserve">表1.3-9    </w:t>
      </w:r>
      <w:r>
        <w:rPr>
          <w:rFonts w:hint="eastAsia" w:ascii="Times New Roman" w:hAnsi="Times New Roman" w:cs="Times New Roman"/>
          <w:b/>
          <w:bCs/>
          <w:color w:val="000000" w:themeColor="text1"/>
          <w:highlight w:val="none"/>
          <w:lang w:val="en-US" w:eastAsia="zh-CN"/>
          <w14:textFill>
            <w14:solidFill>
              <w14:schemeClr w14:val="tx1"/>
            </w14:solidFill>
          </w14:textFill>
        </w:rPr>
        <w:t>与《关于印发防范化解尾矿库安全风险工作方案的通知》的符合性分析表</w:t>
      </w:r>
    </w:p>
    <w:tbl>
      <w:tblPr>
        <w:tblStyle w:val="33"/>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3083"/>
        <w:gridCol w:w="679"/>
      </w:tblGrid>
      <w:tr w14:paraId="3DD4B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91" w:type="pct"/>
            <w:noWrap w:val="0"/>
            <w:vAlign w:val="center"/>
          </w:tcPr>
          <w:p w14:paraId="63763EC2">
            <w:pPr>
              <w:spacing w:line="360" w:lineRule="exact"/>
              <w:ind w:firstLine="0" w:firstLineChars="0"/>
              <w:jc w:val="center"/>
              <w:rPr>
                <w:rFonts w:hint="eastAsia" w:eastAsia="宋体"/>
                <w:b/>
                <w:bCs/>
                <w:color w:val="000000" w:themeColor="text1"/>
                <w:sz w:val="21"/>
                <w:lang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有关规定</w:t>
            </w:r>
          </w:p>
        </w:tc>
        <w:tc>
          <w:tcPr>
            <w:tcW w:w="1809" w:type="pct"/>
            <w:noWrap w:val="0"/>
            <w:vAlign w:val="center"/>
          </w:tcPr>
          <w:p w14:paraId="51AF28B9">
            <w:pPr>
              <w:spacing w:line="360" w:lineRule="exact"/>
              <w:ind w:firstLine="0" w:firstLineChars="0"/>
              <w:jc w:val="center"/>
              <w:rPr>
                <w:rFonts w:hint="eastAsia" w:eastAsia="宋体"/>
                <w:b/>
                <w:bCs/>
                <w:color w:val="000000" w:themeColor="text1"/>
                <w:sz w:val="21"/>
                <w:lang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项目情况</w:t>
            </w:r>
          </w:p>
        </w:tc>
        <w:tc>
          <w:tcPr>
            <w:tcW w:w="398" w:type="pct"/>
            <w:noWrap w:val="0"/>
            <w:vAlign w:val="center"/>
          </w:tcPr>
          <w:p w14:paraId="47080AA3">
            <w:pPr>
              <w:spacing w:line="360" w:lineRule="exact"/>
              <w:ind w:firstLine="0" w:firstLineChars="0"/>
              <w:jc w:val="center"/>
              <w:rPr>
                <w:rFonts w:hint="default"/>
                <w:b/>
                <w:bCs/>
                <w:color w:val="000000" w:themeColor="text1"/>
                <w:sz w:val="21"/>
                <w:lang w:val="en-US"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结论</w:t>
            </w:r>
          </w:p>
        </w:tc>
      </w:tr>
      <w:tr w14:paraId="2345F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91" w:type="pct"/>
            <w:noWrap w:val="0"/>
            <w:vAlign w:val="center"/>
          </w:tcPr>
          <w:p w14:paraId="726B3B6B">
            <w:pPr>
              <w:spacing w:line="360" w:lineRule="exact"/>
              <w:ind w:firstLine="0" w:firstLineChars="0"/>
              <w:jc w:val="center"/>
              <w:rPr>
                <w:rFonts w:hint="eastAsia" w:eastAsia="宋体"/>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w:t>
            </w:r>
            <w:r>
              <w:rPr>
                <w:rFonts w:hint="eastAsia" w:eastAsia="宋体"/>
                <w:color w:val="000000" w:themeColor="text1"/>
                <w:sz w:val="21"/>
                <w:lang w:eastAsia="zh-CN"/>
                <w14:textFill>
                  <w14:solidFill>
                    <w14:schemeClr w14:val="tx1"/>
                  </w14:solidFill>
                </w14:textFill>
              </w:rPr>
              <w:t>严格实行总量控制。各省（自治区、直辖市）要结合本地区国民经济和社会发展规划、土地利用、安全生产、水土保持和生态环境保护等要求，采取等量或减量置换等政策措施对本地区尾矿库实施总量控制，自2020年起，在保证紧缺和战略性矿产矿山正常建设开发的前提下，尾矿库数量原则上只减不增。要实行尾矿库基本情况公告制度，每年年初将上年度尾矿库数量、名称、地址、所属或管理单位等信息在当地政府和有关部门网站以及当地其他主流媒体上公告，主动接受新闻舆论和社会公众监督。</w:t>
            </w:r>
          </w:p>
        </w:tc>
        <w:tc>
          <w:tcPr>
            <w:tcW w:w="1809" w:type="pct"/>
            <w:noWrap w:val="0"/>
            <w:vAlign w:val="center"/>
          </w:tcPr>
          <w:p w14:paraId="306A6830">
            <w:pPr>
              <w:spacing w:line="360" w:lineRule="exact"/>
              <w:ind w:firstLine="0" w:firstLine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本项目现有尾矿库不符合环保要求，且库容不满足后续使用要求。老尾矿库闭库建新尾矿库，未增加尾矿库数量。</w:t>
            </w:r>
          </w:p>
        </w:tc>
        <w:tc>
          <w:tcPr>
            <w:tcW w:w="398" w:type="pct"/>
            <w:noWrap w:val="0"/>
            <w:vAlign w:val="center"/>
          </w:tcPr>
          <w:p w14:paraId="5F204CA5">
            <w:pPr>
              <w:spacing w:line="360" w:lineRule="exact"/>
              <w:ind w:firstLine="0" w:firstLine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符合</w:t>
            </w:r>
          </w:p>
        </w:tc>
      </w:tr>
      <w:tr w14:paraId="25C80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91" w:type="pct"/>
            <w:noWrap w:val="0"/>
            <w:vAlign w:val="center"/>
          </w:tcPr>
          <w:p w14:paraId="08DC92F5">
            <w:pPr>
              <w:spacing w:line="36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严格准入条件审查。鼓励新开发矿山项目优先利用现有尾矿库；确需配套新建尾矿库的，严格新建尾矿库项目立项、项目选址、河道保护、安全生产、生态环境保护等方面的审查，对于不符合产业总体布局、国土空间规划、河道保护、安全生产、水土保持、生态环境保护等国家有关法律法规、标准和政策要求的，一律不予批准。严格控制新建独立选矿厂尾矿库，严禁新建</w:t>
            </w:r>
            <w:r>
              <w:rPr>
                <w:rFonts w:hint="eastAsia" w:cs="Times New Roman"/>
                <w:color w:val="000000" w:themeColor="text1"/>
                <w:sz w:val="21"/>
                <w:lang w:eastAsia="zh-CN"/>
                <w14:textFill>
                  <w14:solidFill>
                    <w14:schemeClr w14:val="tx1"/>
                  </w14:solidFill>
                </w14:textFill>
              </w:rPr>
              <w:t>“</w:t>
            </w:r>
            <w:r>
              <w:rPr>
                <w:rFonts w:hint="default" w:ascii="Times New Roman" w:hAnsi="Times New Roman" w:cs="Times New Roman"/>
                <w:color w:val="000000" w:themeColor="text1"/>
                <w:sz w:val="21"/>
                <w14:textFill>
                  <w14:solidFill>
                    <w14:schemeClr w14:val="tx1"/>
                  </w14:solidFill>
                </w14:textFill>
              </w:rPr>
              <w:t>头顶库</w:t>
            </w:r>
            <w:r>
              <w:rPr>
                <w:rFonts w:hint="eastAsia" w:cs="Times New Roman"/>
                <w:color w:val="000000" w:themeColor="text1"/>
                <w:sz w:val="21"/>
                <w:lang w:eastAsia="zh-CN"/>
                <w14:textFill>
                  <w14:solidFill>
                    <w14:schemeClr w14:val="tx1"/>
                  </w14:solidFill>
                </w14:textFill>
              </w:rPr>
              <w:t>”</w:t>
            </w:r>
            <w:r>
              <w:rPr>
                <w:rFonts w:hint="default" w:ascii="Times New Roman" w:hAnsi="Times New Roman" w:cs="Times New Roman"/>
                <w:color w:val="000000" w:themeColor="text1"/>
                <w:sz w:val="21"/>
                <w14:textFill>
                  <w14:solidFill>
                    <w14:schemeClr w14:val="tx1"/>
                  </w14:solidFill>
                </w14:textFill>
              </w:rPr>
              <w:t>、总坝高超过200米的尾矿库，严禁在距离长江和黄河干流岸线3公里、重要支流岸线1公里范围内新（改、扩）建尾矿库，新建四等、五等尾矿库必须采用一次建坝方式。</w:t>
            </w:r>
          </w:p>
        </w:tc>
        <w:tc>
          <w:tcPr>
            <w:tcW w:w="1809" w:type="pct"/>
            <w:noWrap w:val="0"/>
            <w:vAlign w:val="center"/>
          </w:tcPr>
          <w:p w14:paraId="3C941FC6">
            <w:pPr>
              <w:numPr>
                <w:ilvl w:val="0"/>
                <w:numId w:val="0"/>
              </w:numPr>
              <w:spacing w:line="360" w:lineRule="exact"/>
              <w:ind w:leftChars="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本项目现有尾矿库不符合环保要求，需闭库、新建尾矿库，项目选址符合</w:t>
            </w:r>
            <w:r>
              <w:rPr>
                <w:rFonts w:hint="default" w:ascii="Times New Roman" w:hAnsi="Times New Roman" w:cs="Times New Roman"/>
                <w:color w:val="000000" w:themeColor="text1"/>
                <w:sz w:val="21"/>
                <w14:textFill>
                  <w14:solidFill>
                    <w14:schemeClr w14:val="tx1"/>
                  </w14:solidFill>
                </w14:textFill>
              </w:rPr>
              <w:t>产业总体布局、国土空间规划、河道保护、安全生产、水土保持、生态环境保护等国家有关法律法规、标准和政策要求</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本项目有配套矿山项目，不属于</w:t>
            </w:r>
            <w:r>
              <w:rPr>
                <w:rFonts w:hint="default" w:ascii="Times New Roman" w:hAnsi="Times New Roman" w:cs="Times New Roman"/>
                <w:color w:val="000000" w:themeColor="text1"/>
                <w:sz w:val="21"/>
                <w14:textFill>
                  <w14:solidFill>
                    <w14:schemeClr w14:val="tx1"/>
                  </w14:solidFill>
                </w14:textFill>
              </w:rPr>
              <w:t>新建独立选矿厂尾矿库</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新建的尾矿库总坝高30m，且不属于</w:t>
            </w:r>
            <w:r>
              <w:rPr>
                <w:rFonts w:hint="eastAsia" w:cs="Times New Roman"/>
                <w:color w:val="000000" w:themeColor="text1"/>
                <w:sz w:val="21"/>
                <w:lang w:eastAsia="zh-CN"/>
                <w14:textFill>
                  <w14:solidFill>
                    <w14:schemeClr w14:val="tx1"/>
                  </w14:solidFill>
                </w14:textFill>
              </w:rPr>
              <w:t>“</w:t>
            </w:r>
            <w:r>
              <w:rPr>
                <w:rFonts w:hint="default" w:ascii="Times New Roman" w:hAnsi="Times New Roman" w:cs="Times New Roman"/>
                <w:color w:val="000000" w:themeColor="text1"/>
                <w:sz w:val="21"/>
                <w14:textFill>
                  <w14:solidFill>
                    <w14:schemeClr w14:val="tx1"/>
                  </w14:solidFill>
                </w14:textFill>
              </w:rPr>
              <w:t>头顶库</w:t>
            </w:r>
            <w:r>
              <w:rPr>
                <w:rFonts w:hint="eastAsia" w:cs="Times New Roman"/>
                <w:color w:val="000000" w:themeColor="text1"/>
                <w:sz w:val="21"/>
                <w:lang w:eastAsia="zh-CN"/>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本项目新建尾矿库为四等库，一次筑坝，尾矿库周边无</w:t>
            </w:r>
            <w:r>
              <w:rPr>
                <w:rFonts w:hint="default" w:ascii="Times New Roman" w:hAnsi="Times New Roman" w:cs="Times New Roman"/>
                <w:color w:val="000000" w:themeColor="text1"/>
                <w:sz w:val="21"/>
                <w14:textFill>
                  <w14:solidFill>
                    <w14:schemeClr w14:val="tx1"/>
                  </w14:solidFill>
                </w14:textFill>
              </w:rPr>
              <w:t>长江和黄河干流岸线3公里、重要支流岸线</w:t>
            </w:r>
            <w:r>
              <w:rPr>
                <w:rFonts w:hint="eastAsia" w:ascii="Times New Roman" w:hAnsi="Times New Roman" w:cs="Times New Roman"/>
                <w:color w:val="000000" w:themeColor="text1"/>
                <w:sz w:val="21"/>
                <w:lang w:eastAsia="zh-CN"/>
                <w14:textFill>
                  <w14:solidFill>
                    <w14:schemeClr w14:val="tx1"/>
                  </w14:solidFill>
                </w14:textFill>
              </w:rPr>
              <w:t>。</w:t>
            </w:r>
          </w:p>
        </w:tc>
        <w:tc>
          <w:tcPr>
            <w:tcW w:w="398" w:type="pct"/>
            <w:noWrap w:val="0"/>
            <w:vAlign w:val="center"/>
          </w:tcPr>
          <w:p w14:paraId="40C4D079">
            <w:pPr>
              <w:spacing w:line="360" w:lineRule="exact"/>
              <w:ind w:firstLine="0" w:firstLineChars="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符合</w:t>
            </w:r>
          </w:p>
        </w:tc>
      </w:tr>
      <w:tr w14:paraId="02676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91" w:type="pct"/>
            <w:noWrap w:val="0"/>
            <w:vAlign w:val="center"/>
          </w:tcPr>
          <w:p w14:paraId="5874855C">
            <w:pPr>
              <w:spacing w:line="36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严格控制加高扩容。各有关部门要严格尾矿库加高扩容工程项目行政审批，强化尾矿库加高扩容项目工程勘察、安全评价、水土保持、环境影响评价、工程设计、施工监理等工作，凡不满足国家有关法律法规、标准和政策要求的，一律不予批准。严禁审批</w:t>
            </w:r>
            <w:r>
              <w:rPr>
                <w:rFonts w:hint="eastAsia"/>
                <w:color w:val="000000" w:themeColor="text1"/>
                <w:sz w:val="21"/>
                <w:lang w:eastAsia="zh-CN"/>
                <w14:textFill>
                  <w14:solidFill>
                    <w14:schemeClr w14:val="tx1"/>
                  </w14:solidFill>
                </w14:textFill>
              </w:rPr>
              <w:t>“</w:t>
            </w:r>
            <w:r>
              <w:rPr>
                <w:rFonts w:hint="eastAsia"/>
                <w:color w:val="000000" w:themeColor="text1"/>
                <w:sz w:val="21"/>
                <w14:textFill>
                  <w14:solidFill>
                    <w14:schemeClr w14:val="tx1"/>
                  </w14:solidFill>
                </w14:textFill>
              </w:rPr>
              <w:t>头顶库</w:t>
            </w:r>
            <w:r>
              <w:rPr>
                <w:rFonts w:hint="eastAsia"/>
                <w:color w:val="000000" w:themeColor="text1"/>
                <w:sz w:val="21"/>
                <w:lang w:eastAsia="zh-CN"/>
                <w14:textFill>
                  <w14:solidFill>
                    <w14:schemeClr w14:val="tx1"/>
                  </w14:solidFill>
                </w14:textFill>
              </w:rPr>
              <w:t>”</w:t>
            </w:r>
            <w:r>
              <w:rPr>
                <w:rFonts w:hint="eastAsia"/>
                <w:color w:val="000000" w:themeColor="text1"/>
                <w:sz w:val="21"/>
                <w14:textFill>
                  <w14:solidFill>
                    <w14:schemeClr w14:val="tx1"/>
                  </w14:solidFill>
                </w14:textFill>
              </w:rPr>
              <w:t>、运行状况与设计不符的尾矿库加高扩容项目。</w:t>
            </w:r>
          </w:p>
        </w:tc>
        <w:tc>
          <w:tcPr>
            <w:tcW w:w="1809" w:type="pct"/>
            <w:noWrap w:val="0"/>
            <w:vAlign w:val="center"/>
          </w:tcPr>
          <w:p w14:paraId="2A8B7ED3">
            <w:pPr>
              <w:spacing w:line="360" w:lineRule="exact"/>
              <w:ind w:firstLine="0" w:firstLineChars="0"/>
              <w:jc w:val="center"/>
              <w:rPr>
                <w:rFonts w:hint="default" w:eastAsia="宋体"/>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本项目尾矿库为本次新建，不涉及加高扩容。</w:t>
            </w:r>
          </w:p>
        </w:tc>
        <w:tc>
          <w:tcPr>
            <w:tcW w:w="398" w:type="pct"/>
            <w:noWrap w:val="0"/>
            <w:vAlign w:val="center"/>
          </w:tcPr>
          <w:p w14:paraId="703247C5">
            <w:pPr>
              <w:spacing w:line="360" w:lineRule="exact"/>
              <w:ind w:firstLine="0" w:firstLineChars="0"/>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符合</w:t>
            </w:r>
          </w:p>
        </w:tc>
      </w:tr>
    </w:tbl>
    <w:p w14:paraId="1D18376F">
      <w:pPr>
        <w:pStyle w:val="41"/>
        <w:spacing w:line="480" w:lineRule="exact"/>
        <w:ind w:firstLine="4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综上，本项目符合</w:t>
      </w:r>
      <w:r>
        <w:rPr>
          <w:rFonts w:hint="eastAsia" w:cs="Times New Roman"/>
          <w:color w:val="000000" w:themeColor="text1"/>
          <w:lang w:val="en-US" w:eastAsia="zh-CN"/>
          <w14:textFill>
            <w14:solidFill>
              <w14:schemeClr w14:val="tx1"/>
            </w14:solidFill>
          </w14:textFill>
        </w:rPr>
        <w:t>《关于印发防范化解尾矿库安全风险工作方案的通知》</w:t>
      </w:r>
      <w:r>
        <w:rPr>
          <w:rFonts w:hint="eastAsia"/>
          <w:color w:val="000000" w:themeColor="text1"/>
          <w:lang w:val="en-US" w:eastAsia="zh-CN"/>
          <w14:textFill>
            <w14:solidFill>
              <w14:schemeClr w14:val="tx1"/>
            </w14:solidFill>
          </w14:textFill>
        </w:rPr>
        <w:t>的相关要求。</w:t>
      </w:r>
    </w:p>
    <w:p w14:paraId="20BE543D">
      <w:pPr>
        <w:pStyle w:val="5"/>
        <w:spacing w:before="0" w:after="0" w:line="480" w:lineRule="exact"/>
        <w:ind w:firstLine="482"/>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1.3.1.13与《关于进一步加强尾矿库监督管理工作的指导意见》（安监总管—〔2012〕32号）的符合性分析</w:t>
      </w:r>
    </w:p>
    <w:p w14:paraId="79CC3DEC">
      <w:pPr>
        <w:pStyle w:val="41"/>
        <w:spacing w:line="480" w:lineRule="exact"/>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本项目与</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《关于进一步加强尾矿库监督管理工作的指导意见》（安监总管—〔2012〕32号）的符合性</w:t>
      </w:r>
      <w:r>
        <w:rPr>
          <w:rFonts w:hint="eastAsia"/>
          <w:color w:val="000000" w:themeColor="text1"/>
          <w:kern w:val="0"/>
          <w14:textFill>
            <w14:solidFill>
              <w14:schemeClr w14:val="tx1"/>
            </w14:solidFill>
          </w14:textFill>
        </w:rPr>
        <w:t>见</w:t>
      </w:r>
      <w:r>
        <w:rPr>
          <w:rFonts w:hint="eastAsia"/>
          <w:color w:val="000000" w:themeColor="text1"/>
          <w:kern w:val="0"/>
          <w:lang w:val="en-US" w:eastAsia="zh-CN"/>
          <w14:textFill>
            <w14:solidFill>
              <w14:schemeClr w14:val="tx1"/>
            </w14:solidFill>
          </w14:textFill>
        </w:rPr>
        <w:t>下表</w:t>
      </w:r>
      <w:r>
        <w:rPr>
          <w:rFonts w:hint="eastAsia"/>
          <w:color w:val="000000" w:themeColor="text1"/>
          <w:kern w:val="0"/>
          <w14:textFill>
            <w14:solidFill>
              <w14:schemeClr w14:val="tx1"/>
            </w14:solidFill>
          </w14:textFill>
        </w:rPr>
        <w:t>。</w:t>
      </w:r>
    </w:p>
    <w:p w14:paraId="364214E1">
      <w:pPr>
        <w:ind w:firstLine="0" w:firstLineChars="0"/>
        <w:jc w:val="center"/>
        <w:rPr>
          <w:rFonts w:hint="eastAsia" w:eastAsia="宋体" w:cs="Times New Roman"/>
          <w:b/>
          <w:color w:val="000000" w:themeColor="text1"/>
          <w:szCs w:val="24"/>
          <w:lang w:val="en-US" w:eastAsia="zh-CN"/>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1.3-10</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 xml:space="preserve"> 本项目</w:t>
      </w:r>
      <w:r>
        <w:rPr>
          <w:rFonts w:hint="eastAsia"/>
          <w:b/>
          <w:bCs/>
          <w:color w:val="000000" w:themeColor="text1"/>
          <w14:textFill>
            <w14:solidFill>
              <w14:schemeClr w14:val="tx1"/>
            </w14:solidFill>
          </w14:textFill>
        </w:rPr>
        <w:t>与</w:t>
      </w:r>
      <w:r>
        <w:rPr>
          <w:rFonts w:hint="eastAsia"/>
          <w:b/>
          <w:bCs/>
          <w:color w:val="000000" w:themeColor="text1"/>
          <w:lang w:val="en-US" w:eastAsia="zh-CN"/>
          <w14:textFill>
            <w14:solidFill>
              <w14:schemeClr w14:val="tx1"/>
            </w14:solidFill>
          </w14:textFill>
        </w:rPr>
        <w:t>该指导意见</w:t>
      </w:r>
      <w:r>
        <w:rPr>
          <w:rFonts w:hint="eastAsia"/>
          <w:b/>
          <w:bCs/>
          <w:color w:val="000000" w:themeColor="text1"/>
          <w:lang w:eastAsia="zh-CN"/>
          <w14:textFill>
            <w14:solidFill>
              <w14:schemeClr w14:val="tx1"/>
            </w14:solidFill>
          </w14:textFill>
        </w:rPr>
        <w:t>的</w:t>
      </w:r>
      <w:r>
        <w:rPr>
          <w:rFonts w:hint="eastAsia"/>
          <w:b/>
          <w:bCs/>
          <w:color w:val="000000" w:themeColor="text1"/>
          <w14:textFill>
            <w14:solidFill>
              <w14:schemeClr w14:val="tx1"/>
            </w14:solidFill>
          </w14:textFill>
        </w:rPr>
        <w:t>符合性分析</w:t>
      </w:r>
      <w:r>
        <w:rPr>
          <w:rFonts w:hint="eastAsia"/>
          <w:b/>
          <w:bCs/>
          <w:color w:val="000000" w:themeColor="text1"/>
          <w:lang w:val="en-US" w:eastAsia="zh-CN"/>
          <w14:textFill>
            <w14:solidFill>
              <w14:schemeClr w14:val="tx1"/>
            </w14:solidFill>
          </w14:textFill>
        </w:rPr>
        <w:t>表</w:t>
      </w:r>
    </w:p>
    <w:tbl>
      <w:tblPr>
        <w:tblStyle w:val="33"/>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28"/>
        <w:gridCol w:w="3238"/>
        <w:gridCol w:w="653"/>
      </w:tblGrid>
      <w:tr w14:paraId="19E13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716" w:type="pct"/>
            <w:noWrap w:val="0"/>
            <w:vAlign w:val="center"/>
          </w:tcPr>
          <w:p w14:paraId="29784A3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b/>
                <w:bCs/>
                <w:color w:val="000000" w:themeColor="text1"/>
                <w:sz w:val="21"/>
                <w:szCs w:val="21"/>
                <w:lang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有关规定</w:t>
            </w:r>
          </w:p>
        </w:tc>
        <w:tc>
          <w:tcPr>
            <w:tcW w:w="1900" w:type="pct"/>
            <w:noWrap w:val="0"/>
            <w:vAlign w:val="center"/>
          </w:tcPr>
          <w:p w14:paraId="50E5FB1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b/>
                <w:bCs/>
                <w:color w:val="000000" w:themeColor="text1"/>
                <w:sz w:val="21"/>
                <w:szCs w:val="21"/>
                <w:lang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项目情况</w:t>
            </w:r>
          </w:p>
        </w:tc>
        <w:tc>
          <w:tcPr>
            <w:tcW w:w="383" w:type="pct"/>
            <w:noWrap w:val="0"/>
            <w:vAlign w:val="center"/>
          </w:tcPr>
          <w:p w14:paraId="2378031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结论</w:t>
            </w:r>
          </w:p>
        </w:tc>
      </w:tr>
      <w:tr w14:paraId="33078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6" w:type="pct"/>
            <w:noWrap w:val="0"/>
            <w:vAlign w:val="center"/>
          </w:tcPr>
          <w:p w14:paraId="29CE7D6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依法合规建设，严格履行安全、环保设施“三同时”手续。尾矿库企业要依法履行土地使用、地质灾害危险性评估备案、环境影响评价和安全、环保设施“三同时”审批等相关手续，依法取得相关证照后方可生产运行。尾矿库闭库时，应按照国家有关规定履行闭库设计、闭库评价、竣工验收等审批手续，承担复垦义务。闭库后进行尾矿回采综合利用的，应依法履行相关程序和审批手续。</w:t>
            </w:r>
          </w:p>
        </w:tc>
        <w:tc>
          <w:tcPr>
            <w:tcW w:w="1900" w:type="pct"/>
            <w:noWrap w:val="0"/>
            <w:vAlign w:val="center"/>
          </w:tcPr>
          <w:p w14:paraId="526DAFCD">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本项目建设单位将严格</w:t>
            </w:r>
            <w:r>
              <w:rPr>
                <w:rFonts w:hint="eastAsia"/>
                <w:color w:val="000000" w:themeColor="text1"/>
                <w:sz w:val="21"/>
                <w:szCs w:val="21"/>
                <w:lang w:val="en-US" w:eastAsia="zh-CN"/>
                <w14:textFill>
                  <w14:solidFill>
                    <w14:schemeClr w14:val="tx1"/>
                  </w14:solidFill>
                </w14:textFill>
              </w:rPr>
              <w:t>执</w:t>
            </w:r>
            <w:r>
              <w:rPr>
                <w:rFonts w:hint="eastAsia" w:ascii="Times New Roman" w:hAnsi="Times New Roman" w:eastAsia="宋体"/>
                <w:color w:val="000000" w:themeColor="text1"/>
                <w:sz w:val="21"/>
                <w:szCs w:val="21"/>
                <w:lang w:eastAsia="zh-CN"/>
                <w14:textFill>
                  <w14:solidFill>
                    <w14:schemeClr w14:val="tx1"/>
                  </w14:solidFill>
                </w14:textFill>
              </w:rPr>
              <w:t>行安全、环保设施“三同时”手续，依法履行土地使用、地质灾害危险性评估备案、环境影响评价和安全、环保设施“三同时”审批等相关手续，依法取得相关证照后方可生产运行。尾矿库闭库时，</w:t>
            </w:r>
            <w:r>
              <w:rPr>
                <w:rFonts w:hint="eastAsia" w:ascii="Times New Roman" w:hAnsi="Times New Roman" w:eastAsia="宋体"/>
                <w:color w:val="000000" w:themeColor="text1"/>
                <w:sz w:val="21"/>
                <w:szCs w:val="21"/>
                <w:lang w:val="en-US" w:eastAsia="zh-CN"/>
                <w14:textFill>
                  <w14:solidFill>
                    <w14:schemeClr w14:val="tx1"/>
                  </w14:solidFill>
                </w14:textFill>
              </w:rPr>
              <w:t>建设单位将按照国家有关规定履行闭库设计、闭库评价、竣工验收等审批手续，承担复垦义务。</w:t>
            </w:r>
          </w:p>
        </w:tc>
        <w:tc>
          <w:tcPr>
            <w:tcW w:w="383" w:type="pct"/>
            <w:noWrap w:val="0"/>
            <w:vAlign w:val="center"/>
          </w:tcPr>
          <w:p w14:paraId="3757C15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符合</w:t>
            </w:r>
          </w:p>
        </w:tc>
      </w:tr>
      <w:tr w14:paraId="70809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6" w:type="pct"/>
            <w:noWrap w:val="0"/>
            <w:vAlign w:val="center"/>
          </w:tcPr>
          <w:p w14:paraId="77929988">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立完善规章制度，加强现场管理，确保尾矿库运行安全。要进一步落实尾矿库企业主体责任，把尾矿库作为一个独立、特殊的生产系统进行运行管理，提高管理层级，健全完善严格的建设、生产、安全、环保规章制度，认真落实汛期或极端天气下企业领导值班值守制度。要自觉开展有针对性的教育培训，强化岗位作业人员技能培训，企业主要负责人、安全管理人员和特种作业人员必须经培训合格，取得资格证书后方可任职或上岗作业。要严格按照设计要求进行作业，确保尾矿库干滩长度、安全超高、排水构筑物过流能力等重要指标符合设计要求，尾矿库回水、尾砂处理等符合环保要求。要加强尾矿库技术管理，每座尾矿库应至少配备一名熟悉尾矿库业务的安全技术管理人员。要建立完善并严格执行尾矿库隐患排查治理制度，切实做到整改措施、责任、资金、时限和预案“五到位”。要建立尾矿库安全、环保管理档案、工程技术档案、隐患排查治理档案和年度、季度作业计划，并妥善保存。</w:t>
            </w:r>
          </w:p>
        </w:tc>
        <w:tc>
          <w:tcPr>
            <w:tcW w:w="1900" w:type="pct"/>
            <w:noWrap w:val="0"/>
            <w:vAlign w:val="center"/>
          </w:tcPr>
          <w:p w14:paraId="707621E8">
            <w:pPr>
              <w:keepNext w:val="0"/>
              <w:keepLines w:val="0"/>
              <w:pageBreakBefore w:val="0"/>
              <w:widowControl w:val="0"/>
              <w:numPr>
                <w:ilvl w:val="0"/>
                <w:numId w:val="0"/>
              </w:numPr>
              <w:kinsoku/>
              <w:wordWrap w:val="0"/>
              <w:overflowPunct/>
              <w:topLinePunct w:val="0"/>
              <w:autoSpaceDE/>
              <w:autoSpaceDN/>
              <w:bidi w:val="0"/>
              <w:adjustRightInd/>
              <w:snapToGrid/>
              <w:spacing w:line="360" w:lineRule="exact"/>
              <w:ind w:left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建设单位将</w:t>
            </w:r>
            <w:r>
              <w:rPr>
                <w:rFonts w:hint="default" w:ascii="Times New Roman" w:hAnsi="Times New Roman" w:eastAsia="宋体" w:cs="Times New Roman"/>
                <w:color w:val="000000" w:themeColor="text1"/>
                <w:sz w:val="21"/>
                <w:szCs w:val="21"/>
                <w14:textFill>
                  <w14:solidFill>
                    <w14:schemeClr w14:val="tx1"/>
                  </w14:solidFill>
                </w14:textFill>
              </w:rPr>
              <w:t>尾矿库作为一个独立、特殊的生产系统进行运行管理</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企业主要负责人、安全管理人员和特种作业人员必须经培训合格，取得资格证书后方可任职或上岗作业。严格按照设计要求进行作业，确保尾矿库干滩长度、安全超高、排水构筑物过流能力等重要指标符合设计要求，尾矿库回水、尾砂处理等符合环保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建设单位将</w:t>
            </w:r>
            <w:r>
              <w:rPr>
                <w:rFonts w:hint="default" w:ascii="Times New Roman" w:hAnsi="Times New Roman" w:eastAsia="宋体" w:cs="Times New Roman"/>
                <w:color w:val="000000" w:themeColor="text1"/>
                <w:sz w:val="21"/>
                <w:szCs w:val="21"/>
                <w14:textFill>
                  <w14:solidFill>
                    <w14:schemeClr w14:val="tx1"/>
                  </w14:solidFill>
                </w14:textFill>
              </w:rPr>
              <w:t>至少配备一名熟悉尾矿库业务的安全技术管理人员</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建立完善并严格执行尾矿库隐患排查治理制度</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建立尾矿库安全、环保管理档案、工程技术档案、隐患排查治理档案和年度、季度作业计划，并妥善保存。</w:t>
            </w:r>
          </w:p>
        </w:tc>
        <w:tc>
          <w:tcPr>
            <w:tcW w:w="383" w:type="pct"/>
            <w:noWrap w:val="0"/>
            <w:vAlign w:val="center"/>
          </w:tcPr>
          <w:p w14:paraId="437994C5">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符合</w:t>
            </w:r>
          </w:p>
        </w:tc>
      </w:tr>
    </w:tbl>
    <w:p w14:paraId="70C1B469">
      <w:pPr>
        <w:pStyle w:val="41"/>
        <w:spacing w:line="480" w:lineRule="exact"/>
        <w:ind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综上，本项目符合</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《关于进一步加强尾矿库监督管理工作的指导意见》（安监总管—〔2012〕32号）的相关要求。</w:t>
      </w:r>
    </w:p>
    <w:p w14:paraId="56FD3CB3">
      <w:pPr>
        <w:pStyle w:val="5"/>
        <w:spacing w:before="0" w:after="0" w:line="480" w:lineRule="exact"/>
        <w:ind w:firstLine="482"/>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1.3.1.1</w:t>
      </w:r>
      <w:r>
        <w:rPr>
          <w:rFonts w:hint="eastAsia" w:cs="Times New Roman"/>
          <w:bCs w:val="0"/>
          <w:color w:val="000000" w:themeColor="text1"/>
          <w:kern w:val="2"/>
          <w:szCs w:val="24"/>
          <w:lang w:val="en-US" w:eastAsia="zh-CN"/>
          <w14:textFill>
            <w14:solidFill>
              <w14:schemeClr w14:val="tx1"/>
            </w14:solidFill>
          </w14:textFill>
        </w:rPr>
        <w:t>4</w:t>
      </w:r>
      <w:r>
        <w:rPr>
          <w:rFonts w:hint="eastAsia" w:ascii="Times New Roman" w:hAnsi="Times New Roman" w:eastAsia="宋体" w:cs="Times New Roman"/>
          <w:bCs w:val="0"/>
          <w:color w:val="000000" w:themeColor="text1"/>
          <w:kern w:val="2"/>
          <w:szCs w:val="24"/>
          <w:lang w:val="en-US" w:eastAsia="zh-CN"/>
          <w14:textFill>
            <w14:solidFill>
              <w14:schemeClr w14:val="tx1"/>
            </w14:solidFill>
          </w14:textFill>
        </w:rPr>
        <w:t>与《关于印发自治区防范化解尾矿库安全风险工作实施方案的通知》的符合性分析</w:t>
      </w:r>
    </w:p>
    <w:p w14:paraId="0656369D">
      <w:pPr>
        <w:pStyle w:val="41"/>
        <w:spacing w:line="480" w:lineRule="exact"/>
        <w:ind w:firstLine="480"/>
        <w:rPr>
          <w:rFonts w:hint="eastAsia"/>
          <w:color w:val="000000" w:themeColor="text1"/>
          <w:kern w:val="10"/>
          <w:sz w:val="24"/>
          <w:szCs w:val="24"/>
          <w14:textFill>
            <w14:solidFill>
              <w14:schemeClr w14:val="tx1"/>
            </w14:solidFill>
          </w14:textFill>
        </w:rPr>
      </w:pPr>
      <w:r>
        <w:rPr>
          <w:rFonts w:hint="eastAsia"/>
          <w:color w:val="000000" w:themeColor="text1"/>
          <w:kern w:val="0"/>
          <w14:textFill>
            <w14:solidFill>
              <w14:schemeClr w14:val="tx1"/>
            </w14:solidFill>
          </w14:textFill>
        </w:rPr>
        <w:t>《关于印发自治区防范化解尾矿库安全风险工作实施方案的通知》对尾矿库的选址及污染防治进行了要求，</w:t>
      </w:r>
      <w:r>
        <w:rPr>
          <w:rFonts w:hint="eastAsia"/>
          <w:color w:val="000000" w:themeColor="text1"/>
          <w:kern w:val="0"/>
          <w:lang w:eastAsia="zh-CN"/>
          <w14:textFill>
            <w14:solidFill>
              <w14:schemeClr w14:val="tx1"/>
            </w14:solidFill>
          </w14:textFill>
        </w:rPr>
        <w:t>本</w:t>
      </w:r>
      <w:r>
        <w:rPr>
          <w:rFonts w:hint="eastAsia"/>
          <w:color w:val="000000" w:themeColor="text1"/>
          <w:kern w:val="0"/>
          <w:lang w:val="en-US" w:eastAsia="zh-CN"/>
          <w14:textFill>
            <w14:solidFill>
              <w14:schemeClr w14:val="tx1"/>
            </w14:solidFill>
          </w14:textFill>
        </w:rPr>
        <w:t>项目</w:t>
      </w:r>
      <w:r>
        <w:rPr>
          <w:rFonts w:hint="eastAsia"/>
          <w:color w:val="000000" w:themeColor="text1"/>
          <w:kern w:val="0"/>
          <w14:textFill>
            <w14:solidFill>
              <w14:schemeClr w14:val="tx1"/>
            </w14:solidFill>
          </w14:textFill>
        </w:rPr>
        <w:t>与实施方案的符合性分析见</w:t>
      </w:r>
      <w:r>
        <w:rPr>
          <w:rFonts w:hint="eastAsia"/>
          <w:color w:val="000000" w:themeColor="text1"/>
          <w:kern w:val="0"/>
          <w:lang w:val="en-US" w:eastAsia="zh-CN"/>
          <w14:textFill>
            <w14:solidFill>
              <w14:schemeClr w14:val="tx1"/>
            </w14:solidFill>
          </w14:textFill>
        </w:rPr>
        <w:t>下表</w:t>
      </w:r>
      <w:r>
        <w:rPr>
          <w:rFonts w:hint="eastAsia"/>
          <w:color w:val="000000" w:themeColor="text1"/>
          <w:kern w:val="0"/>
          <w14:textFill>
            <w14:solidFill>
              <w14:schemeClr w14:val="tx1"/>
            </w14:solidFill>
          </w14:textFill>
        </w:rPr>
        <w:t>。</w:t>
      </w:r>
    </w:p>
    <w:p w14:paraId="5530B115">
      <w:pPr>
        <w:ind w:firstLine="0" w:firstLineChars="0"/>
        <w:jc w:val="center"/>
        <w:rPr>
          <w:rFonts w:hint="eastAsia" w:eastAsia="宋体" w:cs="Times New Roman"/>
          <w:b/>
          <w:color w:val="000000" w:themeColor="text1"/>
          <w:szCs w:val="24"/>
          <w:lang w:val="en-US" w:eastAsia="zh-CN"/>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1.3-11</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 xml:space="preserve"> </w:t>
      </w:r>
      <w:r>
        <w:rPr>
          <w:rFonts w:hint="eastAsia"/>
          <w:b/>
          <w:bCs/>
          <w:color w:val="000000" w:themeColor="text1"/>
          <w14:textFill>
            <w14:solidFill>
              <w14:schemeClr w14:val="tx1"/>
            </w14:solidFill>
          </w14:textFill>
        </w:rPr>
        <w:t>与《关于印发自治区防范化解尾矿库安全风险工作实施方案的通知》符合性分析</w:t>
      </w:r>
      <w:r>
        <w:rPr>
          <w:rFonts w:hint="eastAsia"/>
          <w:b/>
          <w:bCs/>
          <w:color w:val="000000" w:themeColor="text1"/>
          <w:lang w:val="en-US" w:eastAsia="zh-CN"/>
          <w14:textFill>
            <w14:solidFill>
              <w14:schemeClr w14:val="tx1"/>
            </w14:solidFill>
          </w14:textFill>
        </w:rPr>
        <w:t>表</w:t>
      </w:r>
    </w:p>
    <w:tbl>
      <w:tblPr>
        <w:tblStyle w:val="33"/>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67"/>
        <w:gridCol w:w="2899"/>
        <w:gridCol w:w="653"/>
      </w:tblGrid>
      <w:tr w14:paraId="60081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15" w:type="pct"/>
            <w:noWrap w:val="0"/>
            <w:vAlign w:val="center"/>
          </w:tcPr>
          <w:p w14:paraId="1042251D">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b/>
                <w:bCs/>
                <w:color w:val="000000" w:themeColor="text1"/>
                <w:sz w:val="21"/>
                <w:szCs w:val="21"/>
                <w:lang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有关规定</w:t>
            </w:r>
          </w:p>
        </w:tc>
        <w:tc>
          <w:tcPr>
            <w:tcW w:w="1701" w:type="pct"/>
            <w:noWrap w:val="0"/>
            <w:vAlign w:val="center"/>
          </w:tcPr>
          <w:p w14:paraId="5800D4F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b/>
                <w:bCs/>
                <w:color w:val="000000" w:themeColor="text1"/>
                <w:sz w:val="21"/>
                <w:szCs w:val="21"/>
                <w:lang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项目情况</w:t>
            </w:r>
          </w:p>
        </w:tc>
        <w:tc>
          <w:tcPr>
            <w:tcW w:w="383" w:type="pct"/>
            <w:noWrap w:val="0"/>
            <w:vAlign w:val="center"/>
          </w:tcPr>
          <w:p w14:paraId="5FF89C2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eastAsia="宋体"/>
                <w:b/>
                <w:bCs/>
                <w:color w:val="000000" w:themeColor="text1"/>
                <w:sz w:val="21"/>
                <w:szCs w:val="21"/>
                <w:lang w:val="en-US" w:eastAsia="zh-CN"/>
                <w14:textFill>
                  <w14:solidFill>
                    <w14:schemeClr w14:val="tx1"/>
                  </w14:solidFill>
                </w14:textFill>
              </w:rPr>
              <w:t>结论</w:t>
            </w:r>
          </w:p>
        </w:tc>
      </w:tr>
      <w:tr w14:paraId="3D679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5" w:type="pct"/>
            <w:noWrap w:val="0"/>
            <w:vAlign w:val="center"/>
          </w:tcPr>
          <w:p w14:paraId="2A75A60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尾矿库企业法定代表人和实际控制人同为本企业防范化解安全风险第一责任人，对防范化解安全风险工作全面负责。要建立相应的安全生产管理机构，配备足够的专职安全生产管理人员和专业技术人员，建立健全安全生产规章制度和安全技术操作规程，实行全员安全生产责任制度，强化各职能部门安全生产职责，落实一岗双责，按职责分工对防范化解安全风险工作承担相应责任。要加强尾矿库企业安全培训教育，充分利用安全生产网络平台，强化复工复产及汛前事故警示教育，有效提高企业全员防范安全风险意识和能力</w:t>
            </w:r>
            <w:r>
              <w:rPr>
                <w:rFonts w:hint="eastAsia" w:ascii="Times New Roman" w:hAnsi="Times New Roman" w:eastAsia="宋体"/>
                <w:color w:val="000000" w:themeColor="text1"/>
                <w:sz w:val="21"/>
                <w:szCs w:val="21"/>
                <w:lang w:eastAsia="zh-CN"/>
                <w14:textFill>
                  <w14:solidFill>
                    <w14:schemeClr w14:val="tx1"/>
                  </w14:solidFill>
                </w14:textFill>
              </w:rPr>
              <w:t>。</w:t>
            </w:r>
          </w:p>
        </w:tc>
        <w:tc>
          <w:tcPr>
            <w:tcW w:w="1701" w:type="pct"/>
            <w:noWrap w:val="0"/>
            <w:vAlign w:val="center"/>
          </w:tcPr>
          <w:p w14:paraId="0C5C876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根据设计资料，本项目尾矿库将按照相关要求开展建设工作，尾矿库安全风险第一负责人为企业法人，对安全风险工作全面负责，企业建立安全管理部，配备专职安全生产管理人员和专业技术人员，建立安全生产规章制度和安全技术操作规程，按职责分工对防范化解安全风险工作承担相应责任。加强尾矿库企业安全培训教育，充分利用安全生产网络平台，强化事故警示教育，提高全员防范安全风险意识和能力。</w:t>
            </w:r>
          </w:p>
        </w:tc>
        <w:tc>
          <w:tcPr>
            <w:tcW w:w="383" w:type="pct"/>
            <w:noWrap w:val="0"/>
            <w:vAlign w:val="center"/>
          </w:tcPr>
          <w:p w14:paraId="4BE205D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符合</w:t>
            </w:r>
          </w:p>
        </w:tc>
      </w:tr>
      <w:tr w14:paraId="6A95E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5" w:type="pct"/>
            <w:noWrap w:val="0"/>
            <w:vAlign w:val="center"/>
          </w:tcPr>
          <w:p w14:paraId="7A31F0AD">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新建尾矿库项目立项、项目选址、环境影响评价、河道保护、安全生产等方面的审查。对于不符合产业总体布局、国土空间规划、河道保护、安全生产、水土保持、生态环境保护等国家有关法律法规、标准和政策要求的，均一律不予批准。严格控制</w:t>
            </w:r>
            <w:r>
              <w:rPr>
                <w:rFonts w:hint="eastAsia" w:ascii="Times New Roman" w:hAnsi="Times New Roman" w:eastAsia="宋体" w:cs="Times New Roman"/>
                <w:color w:val="000000" w:themeColor="text1"/>
                <w:sz w:val="21"/>
                <w:szCs w:val="21"/>
                <w:lang w:eastAsia="zh-CN"/>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独立选矿厂尾矿库，严禁</w:t>
            </w:r>
            <w:r>
              <w:rPr>
                <w:rFonts w:hint="eastAsia" w:ascii="Times New Roman" w:hAnsi="Times New Roman" w:eastAsia="宋体" w:cs="Times New Roman"/>
                <w:color w:val="000000" w:themeColor="text1"/>
                <w:sz w:val="21"/>
                <w:szCs w:val="21"/>
                <w:lang w:eastAsia="zh-CN"/>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头顶库</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、总坝高超过200米的尾矿库，</w:t>
            </w:r>
            <w:r>
              <w:rPr>
                <w:rFonts w:hint="eastAsia" w:ascii="Times New Roman" w:hAnsi="Times New Roman" w:eastAsia="宋体" w:cs="Times New Roman"/>
                <w:color w:val="000000" w:themeColor="text1"/>
                <w:sz w:val="21"/>
                <w:szCs w:val="21"/>
                <w:lang w:eastAsia="zh-CN"/>
                <w14:textFill>
                  <w14:solidFill>
                    <w14:schemeClr w14:val="tx1"/>
                  </w14:solidFill>
                </w14:textFill>
              </w:rPr>
              <w:t>扩建</w:t>
            </w:r>
            <w:r>
              <w:rPr>
                <w:rFonts w:hint="default" w:ascii="Times New Roman" w:hAnsi="Times New Roman" w:eastAsia="宋体" w:cs="Times New Roman"/>
                <w:color w:val="000000" w:themeColor="text1"/>
                <w:sz w:val="21"/>
                <w:szCs w:val="21"/>
                <w14:textFill>
                  <w14:solidFill>
                    <w14:schemeClr w14:val="tx1"/>
                  </w14:solidFill>
                </w14:textFill>
              </w:rPr>
              <w:t>四等、五等尾矿库必须采用一次性筑坝方式。</w:t>
            </w:r>
          </w:p>
        </w:tc>
        <w:tc>
          <w:tcPr>
            <w:tcW w:w="1701" w:type="pct"/>
            <w:noWrap w:val="0"/>
            <w:vAlign w:val="center"/>
          </w:tcPr>
          <w:p w14:paraId="0B0C6D5D">
            <w:pPr>
              <w:keepNext w:val="0"/>
              <w:keepLines w:val="0"/>
              <w:pageBreakBefore w:val="0"/>
              <w:widowControl w:val="0"/>
              <w:numPr>
                <w:ilvl w:val="0"/>
                <w:numId w:val="0"/>
              </w:numPr>
              <w:kinsoku/>
              <w:wordWrap w:val="0"/>
              <w:overflowPunct/>
              <w:topLinePunct w:val="0"/>
              <w:autoSpaceDE/>
              <w:autoSpaceDN/>
              <w:bidi w:val="0"/>
              <w:adjustRightInd/>
              <w:snapToGrid/>
              <w:spacing w:line="360" w:lineRule="exact"/>
              <w:ind w:left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本项目符合国家有关法律法规、标准和政策要求，</w:t>
            </w:r>
            <w:r>
              <w:rPr>
                <w:rFonts w:hint="default" w:ascii="Times New Roman" w:hAnsi="Times New Roman" w:eastAsia="宋体" w:cs="Times New Roman"/>
                <w:bCs/>
                <w:color w:val="000000" w:themeColor="text1"/>
                <w:sz w:val="21"/>
                <w:szCs w:val="21"/>
                <w:highlight w:val="none"/>
                <w14:textFill>
                  <w14:solidFill>
                    <w14:schemeClr w14:val="tx1"/>
                  </w14:solidFill>
                </w14:textFill>
              </w:rPr>
              <w:t>尾矿库为</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四等库</w:t>
            </w: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总</w:t>
            </w:r>
            <w:r>
              <w:rPr>
                <w:rFonts w:hint="default" w:ascii="Times New Roman" w:hAnsi="Times New Roman" w:eastAsia="宋体" w:cs="Times New Roman"/>
                <w:bCs/>
                <w:color w:val="000000" w:themeColor="text1"/>
                <w:sz w:val="21"/>
                <w:szCs w:val="21"/>
                <w:highlight w:val="none"/>
                <w14:textFill>
                  <w14:solidFill>
                    <w14:schemeClr w14:val="tx1"/>
                  </w14:solidFill>
                </w14:textFill>
              </w:rPr>
              <w:t>坝高</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bCs/>
                <w:color w:val="000000" w:themeColor="text1"/>
                <w:sz w:val="21"/>
                <w:szCs w:val="21"/>
                <w:highlight w:val="none"/>
                <w14:textFill>
                  <w14:solidFill>
                    <w14:schemeClr w14:val="tx1"/>
                  </w14:solidFill>
                </w14:textFill>
              </w:rPr>
              <w:t>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未超过200米。本项目尾矿库不属于“头顶库”。</w:t>
            </w:r>
          </w:p>
        </w:tc>
        <w:tc>
          <w:tcPr>
            <w:tcW w:w="383" w:type="pct"/>
            <w:noWrap w:val="0"/>
            <w:vAlign w:val="center"/>
          </w:tcPr>
          <w:p w14:paraId="42A1DE6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符合</w:t>
            </w:r>
          </w:p>
        </w:tc>
      </w:tr>
      <w:tr w14:paraId="0D4F6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5" w:type="pct"/>
            <w:noWrap w:val="0"/>
            <w:vAlign w:val="center"/>
          </w:tcPr>
          <w:p w14:paraId="4C48099F">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z w:val="21"/>
                <w:szCs w:val="21"/>
                <w:highlight w:val="yellow"/>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各有关部门要严格尾矿库加高扩容工程项目行政审批，进一步细化审查、审批流程，凡是尾矿库加高扩容审批事项，必须经自治区相关部门审查同意。要强化尾矿库加高扩容项目工程勘察、安全评价、水土保持、环境影响评价、工程设计、施工监理等工作，凡不满足国家有关法律法规、标准和政策要求的，均一律不予批准。严禁审批</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default" w:ascii="Times New Roman" w:hAnsi="Times New Roman" w:eastAsia="宋体"/>
                <w:color w:val="000000" w:themeColor="text1"/>
                <w:sz w:val="21"/>
                <w:szCs w:val="21"/>
                <w:highlight w:val="none"/>
                <w14:textFill>
                  <w14:solidFill>
                    <w14:schemeClr w14:val="tx1"/>
                  </w14:solidFill>
                </w14:textFill>
              </w:rPr>
              <w:t>头顶库</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default" w:ascii="Times New Roman" w:hAnsi="Times New Roman" w:eastAsia="宋体"/>
                <w:color w:val="000000" w:themeColor="text1"/>
                <w:sz w:val="21"/>
                <w:szCs w:val="21"/>
                <w:highlight w:val="none"/>
                <w14:textFill>
                  <w14:solidFill>
                    <w14:schemeClr w14:val="tx1"/>
                  </w14:solidFill>
                </w14:textFill>
              </w:rPr>
              <w:t>、运行状况与设计不符的尾矿库加高扩容项目。</w:t>
            </w:r>
          </w:p>
        </w:tc>
        <w:tc>
          <w:tcPr>
            <w:tcW w:w="1701" w:type="pct"/>
            <w:noWrap w:val="0"/>
            <w:vAlign w:val="center"/>
          </w:tcPr>
          <w:p w14:paraId="52AB613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本项目尾矿库为新建库，不涉及加高扩容。</w:t>
            </w:r>
          </w:p>
        </w:tc>
        <w:tc>
          <w:tcPr>
            <w:tcW w:w="383" w:type="pct"/>
            <w:noWrap w:val="0"/>
            <w:vAlign w:val="center"/>
          </w:tcPr>
          <w:p w14:paraId="7F69068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符合</w:t>
            </w:r>
          </w:p>
        </w:tc>
      </w:tr>
      <w:tr w14:paraId="52A56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5" w:type="pct"/>
            <w:noWrap w:val="0"/>
            <w:vAlign w:val="center"/>
          </w:tcPr>
          <w:p w14:paraId="3933DB5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各级人民政府要按照分级监管的原则，研究制定有针对性的安全风险管控措施，明确落实各项管控措施的责任部门和责任人，督促尾矿库企业全面开展安全风险评估工作；要科学评定尾矿库安全风险等级，实施分类指导，实行动态和差异化监管。县级人民政府负责对无生产经营主体的尾矿库每年进行一次安全风险评估，并将评估结果向社会公告。尾矿库企业要构建源头辨识、过程控制、持续改进、全员参与的安全风险管控体系。强化尾矿库安全风险动态评估，制定有针对性的安全风险管控措施，编制安全风险管控方案，明确落实各项管控措施的责任部门和责任人，确保安全风险管控措施有效实施，确保尾矿库安全风险始终处于受控状态。尽量降低库内水位，确保尾矿库干滩长度、安全超高、调洪库容、浸润线埋深等主要运行参数及排洪系统始终满足设计要求。</w:t>
            </w:r>
          </w:p>
        </w:tc>
        <w:tc>
          <w:tcPr>
            <w:tcW w:w="1701" w:type="pct"/>
            <w:noWrap w:val="0"/>
            <w:vAlign w:val="center"/>
          </w:tcPr>
          <w:p w14:paraId="01F86062">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尾矿库安全风险第一负责人为企业法人，对安全风险工作全面负责。根据设计资料，本项目尾矿库将按照相关要求开展尾矿库建设工作，设置有排洪系统、尾矿回水系</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统、监控系统等。将按要求编制生产安全事故应急预案和突发环境事件应急预案，制</w:t>
            </w:r>
            <w:r>
              <w:rPr>
                <w:rFonts w:hint="eastAsia" w:ascii="Times New Roman" w:hAnsi="Times New Roman" w:eastAsia="宋体"/>
                <w:color w:val="000000" w:themeColor="text1"/>
                <w:sz w:val="21"/>
                <w:szCs w:val="21"/>
                <w:lang w:val="en-US" w:eastAsia="zh-CN"/>
                <w14:textFill>
                  <w14:solidFill>
                    <w14:schemeClr w14:val="tx1"/>
                  </w14:solidFill>
                </w14:textFill>
              </w:rPr>
              <w:t>定</w:t>
            </w:r>
            <w:r>
              <w:rPr>
                <w:rFonts w:hint="eastAsia" w:ascii="Times New Roman" w:hAnsi="Times New Roman" w:eastAsia="宋体"/>
                <w:color w:val="000000" w:themeColor="text1"/>
                <w:sz w:val="21"/>
                <w:szCs w:val="21"/>
                <w:lang w:eastAsia="zh-CN"/>
                <w14:textFill>
                  <w14:solidFill>
                    <w14:schemeClr w14:val="tx1"/>
                  </w14:solidFill>
                </w14:textFill>
              </w:rPr>
              <w:t>安全风险管控方案，落实各项管控措施的责任部门和责任人。尾矿库干滩长度、安全超高、调洪库容、浸润线埋深等主要运行参数及排洪系统满足设计要求。</w:t>
            </w:r>
          </w:p>
        </w:tc>
        <w:tc>
          <w:tcPr>
            <w:tcW w:w="383" w:type="pct"/>
            <w:noWrap w:val="0"/>
            <w:vAlign w:val="center"/>
          </w:tcPr>
          <w:p w14:paraId="77CE30B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符合</w:t>
            </w:r>
          </w:p>
        </w:tc>
      </w:tr>
      <w:tr w14:paraId="565BC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5" w:type="pct"/>
            <w:noWrap w:val="0"/>
            <w:vAlign w:val="center"/>
          </w:tcPr>
          <w:p w14:paraId="7DA1929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各级人民政府要将</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头顶库</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作为防范化解重大风险的重点对象，对</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头顶库</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治理工作进行再梳理，在巩固2016年至2019年我区</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头顶库</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综合治理工作的基础上，继续深入对前期综合治理效果进行评估，深化巩固、确保安全。对于前期已采用隐患治理方式进行治理但本质安全水平没有提高或者安全管理水平滑坡的</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头顶库</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，要督促企业进一步完善治理方案，采用闭库销号或升级改造、尾矿综合利用等方式进行治理，原则上2021年年底前完成治理任务。尾矿库企业每年要对</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头顶库</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进行一次安全风险评估。尾矿库下游1公里范围内不得新设置居民区、人员密集场所或重要设施。严禁已搬迁居民再次返回</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头顶库</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下游原居住地。因公路、铁路以及其他项目建设导致尾矿库成为</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头顶库</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的，由项目建设单位出资对尾矿库进行治理。</w:t>
            </w:r>
          </w:p>
        </w:tc>
        <w:tc>
          <w:tcPr>
            <w:tcW w:w="1701" w:type="pct"/>
            <w:noWrap w:val="0"/>
            <w:vAlign w:val="center"/>
          </w:tcPr>
          <w:p w14:paraId="7CB035B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olor w:val="000000" w:themeColor="text1"/>
                <w:sz w:val="21"/>
                <w:szCs w:val="21"/>
                <w:highlight w:val="none"/>
                <w14:textFill>
                  <w14:solidFill>
                    <w14:schemeClr w14:val="tx1"/>
                  </w14:solidFill>
                </w14:textFill>
              </w:rPr>
              <w:t>尾矿库下游1公里范围内</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未</w:t>
            </w:r>
            <w:r>
              <w:rPr>
                <w:rFonts w:hint="eastAsia" w:ascii="Times New Roman" w:hAnsi="Times New Roman" w:eastAsia="宋体"/>
                <w:color w:val="000000" w:themeColor="text1"/>
                <w:sz w:val="21"/>
                <w:szCs w:val="21"/>
                <w:highlight w:val="none"/>
                <w14:textFill>
                  <w14:solidFill>
                    <w14:schemeClr w14:val="tx1"/>
                  </w14:solidFill>
                </w14:textFill>
              </w:rPr>
              <w:t>新设置居民区、人员密集场所或重要设施</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不属于“头顶库”</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383" w:type="pct"/>
            <w:noWrap w:val="0"/>
            <w:vAlign w:val="center"/>
          </w:tcPr>
          <w:p w14:paraId="634C2B1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符合</w:t>
            </w:r>
          </w:p>
        </w:tc>
      </w:tr>
      <w:tr w14:paraId="79391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5" w:type="pct"/>
            <w:noWrap w:val="0"/>
            <w:vAlign w:val="center"/>
          </w:tcPr>
          <w:p w14:paraId="50FD45A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全区四等、五等尾矿库企业要加快建立在线监测监控系统，并确保有效运行。2022年6月底前，湿排尾矿库要实现对坝体位移、浸润线、库水位等的在线监测和重要部位的视频监控，干式堆存尾矿库要实现对坝体表面位移的在线监测。自治区应急管理厅建立全区统一的尾矿库安全风险监测预警信息平台，2020年年底前实现与三</w:t>
            </w:r>
            <w:r>
              <w:rPr>
                <w:rFonts w:hint="eastAsia" w:ascii="Times New Roman" w:hAnsi="Times New Roman" w:eastAsia="宋体"/>
                <w:color w:val="000000" w:themeColor="text1"/>
                <w:sz w:val="21"/>
                <w:szCs w:val="21"/>
                <w:lang w:eastAsia="zh-CN"/>
                <w14:textFill>
                  <w14:solidFill>
                    <w14:schemeClr w14:val="tx1"/>
                  </w14:solidFill>
                </w14:textFill>
              </w:rPr>
              <w:t>等级</w:t>
            </w:r>
            <w:r>
              <w:rPr>
                <w:rFonts w:hint="eastAsia" w:ascii="Times New Roman" w:hAnsi="Times New Roman" w:eastAsia="宋体"/>
                <w:color w:val="000000" w:themeColor="text1"/>
                <w:sz w:val="21"/>
                <w:szCs w:val="21"/>
                <w14:textFill>
                  <w14:solidFill>
                    <w14:schemeClr w14:val="tx1"/>
                  </w14:solidFill>
                </w14:textFill>
              </w:rPr>
              <w:t>以上尾矿库和</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头顶库</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企业在线监测监控系统的互联互通，2022年年底前全面实现与所有尾矿库企业在线监测监控系统的互联互通，并接入国家灾害风险综合监测预警信息平台。应急管理部门牵头会同有关部门建立重大安全风险会商研判机制，针对地震、暴雨、连续降雨等极端天气，建立健全预警信息发布制度，及时向企业发出预警信息，并督促做好应急准备。</w:t>
            </w:r>
          </w:p>
        </w:tc>
        <w:tc>
          <w:tcPr>
            <w:tcW w:w="1701" w:type="pct"/>
            <w:noWrap w:val="0"/>
            <w:vAlign w:val="center"/>
          </w:tcPr>
          <w:p w14:paraId="2929A41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本项目尾矿库为干排尾矿库，根据设计资料，设计有</w:t>
            </w:r>
            <w:r>
              <w:rPr>
                <w:rFonts w:hint="eastAsia" w:ascii="Times New Roman" w:hAnsi="Times New Roman" w:eastAsia="宋体"/>
                <w:color w:val="000000" w:themeColor="text1"/>
                <w:sz w:val="21"/>
                <w:szCs w:val="21"/>
                <w14:textFill>
                  <w14:solidFill>
                    <w14:schemeClr w14:val="tx1"/>
                  </w14:solidFill>
                </w14:textFill>
              </w:rPr>
              <w:t>坝体位移、浸润线、库水位等的在线监测和重要部位的视频监控</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lang w:val="en-US" w:eastAsia="zh-CN"/>
                <w14:textFill>
                  <w14:solidFill>
                    <w14:schemeClr w14:val="tx1"/>
                  </w14:solidFill>
                </w14:textFill>
              </w:rPr>
              <w:t>能够保证尾矿库有效运行。尾矿库企业在线监测监控系统将接入国家灾害风险综合监测预警信息平台。</w:t>
            </w:r>
          </w:p>
        </w:tc>
        <w:tc>
          <w:tcPr>
            <w:tcW w:w="383" w:type="pct"/>
            <w:noWrap w:val="0"/>
            <w:vAlign w:val="center"/>
          </w:tcPr>
          <w:p w14:paraId="1B34846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符合</w:t>
            </w:r>
          </w:p>
        </w:tc>
      </w:tr>
      <w:tr w14:paraId="77EEA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5" w:type="pct"/>
            <w:noWrap w:val="0"/>
            <w:vAlign w:val="center"/>
          </w:tcPr>
          <w:p w14:paraId="327561A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尾矿库企业要切实完善溃坝、漫顶、排洪设施损毁等事故专项应急预案、环境应急预案和现场处置方案，储备必要的应急救援器材、设备和物资，确保上坝道路、通信、供电及照明线路可靠和畅通。严格执行应急值班、专人巡查和事故信息报告制度，确保一旦发生险情，立即启动应急预案并迅速报告。各级人民政府要进一步完善应急预案，强化与企业应急预案的合理衔接；尾矿库企业与政府有关部门、乡（镇）政府每年至少联合开展一次应急演练，切实增强应急联动响应能力。自治区综合性消防救援队伍和安全生产应急救援队伍要将尾矿库事故救援纳入重点设防范围，加强针对性训练和装备配备，提高专业救援能力。发生溃坝、漫顶等尾矿库生产安全事故，应急管理部门应及时向有关部门通报事故信息，参与事故抢救的部门和单位应当服从统一指挥，加强协同联动，采取有效的应急救援措施，防止事故扩大和次生灾害的发生，减少人员伤亡和财产损失。事故抢救过程中应当采取必要措施，避免或者减少对环境造成的危害。</w:t>
            </w:r>
          </w:p>
        </w:tc>
        <w:tc>
          <w:tcPr>
            <w:tcW w:w="1701" w:type="pct"/>
            <w:noWrap w:val="0"/>
            <w:vAlign w:val="center"/>
          </w:tcPr>
          <w:p w14:paraId="27F4640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企业将按要求制定溃坝、漫顶、排洪设施损毁等事故专项应急预案、环境应急预案和现场处置方案，本项目建成投运前建设单位应及时编制尾矿库安全应急预案、</w:t>
            </w:r>
            <w:r>
              <w:rPr>
                <w:rFonts w:hint="eastAsia" w:ascii="Times New Roman" w:hAnsi="Times New Roman" w:eastAsia="宋体"/>
                <w:color w:val="000000" w:themeColor="text1"/>
                <w:sz w:val="21"/>
                <w:szCs w:val="21"/>
                <w14:textFill>
                  <w14:solidFill>
                    <w14:schemeClr w14:val="tx1"/>
                  </w14:solidFill>
                </w14:textFill>
              </w:rPr>
              <w:t>事故专项应急预案、环境应急预案和现场处置方案，储备必要的应急救援器材、设备和物资</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lang w:val="en-US" w:eastAsia="zh-CN"/>
                <w14:textFill>
                  <w14:solidFill>
                    <w14:schemeClr w14:val="tx1"/>
                  </w14:solidFill>
                </w14:textFill>
              </w:rPr>
              <w:t>辅助设施（</w:t>
            </w:r>
            <w:r>
              <w:rPr>
                <w:rFonts w:hint="eastAsia" w:ascii="Times New Roman" w:hAnsi="Times New Roman" w:eastAsia="宋体"/>
                <w:color w:val="000000" w:themeColor="text1"/>
                <w:sz w:val="21"/>
                <w:szCs w:val="21"/>
                <w14:textFill>
                  <w14:solidFill>
                    <w14:schemeClr w14:val="tx1"/>
                  </w14:solidFill>
                </w14:textFill>
              </w:rPr>
              <w:t>上坝道路、通信、供电及照明线路</w:t>
            </w:r>
            <w:r>
              <w:rPr>
                <w:rFonts w:hint="eastAsia" w:ascii="Times New Roman" w:hAnsi="Times New Roman" w:eastAsia="宋体"/>
                <w:color w:val="000000" w:themeColor="text1"/>
                <w:sz w:val="21"/>
                <w:szCs w:val="21"/>
                <w:lang w:val="en-US" w:eastAsia="zh-CN"/>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可靠</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lang w:val="en-US" w:eastAsia="zh-CN"/>
                <w14:textFill>
                  <w14:solidFill>
                    <w14:schemeClr w14:val="tx1"/>
                  </w14:solidFill>
                </w14:textFill>
              </w:rPr>
              <w:t>联系</w:t>
            </w:r>
            <w:r>
              <w:rPr>
                <w:rFonts w:hint="eastAsia" w:ascii="Times New Roman" w:hAnsi="Times New Roman" w:eastAsia="宋体"/>
                <w:color w:val="000000" w:themeColor="text1"/>
                <w:sz w:val="21"/>
                <w:szCs w:val="21"/>
                <w14:textFill>
                  <w14:solidFill>
                    <w14:schemeClr w14:val="tx1"/>
                  </w14:solidFill>
                </w14:textFill>
              </w:rPr>
              <w:t>畅通</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lang w:val="en-US" w:eastAsia="zh-CN"/>
                <w14:textFill>
                  <w14:solidFill>
                    <w14:schemeClr w14:val="tx1"/>
                  </w14:solidFill>
                </w14:textFill>
              </w:rPr>
              <w:t>尾矿库应建立严格的值班制度，配备专人巡查和事故信息报告制度，企业与政府有关部门、乡（镇）政府</w:t>
            </w:r>
            <w:r>
              <w:rPr>
                <w:rFonts w:hint="eastAsia" w:ascii="Times New Roman" w:hAnsi="Times New Roman" w:eastAsia="宋体"/>
                <w:color w:val="000000" w:themeColor="text1"/>
                <w:sz w:val="21"/>
                <w:szCs w:val="21"/>
                <w14:textFill>
                  <w14:solidFill>
                    <w14:schemeClr w14:val="tx1"/>
                  </w14:solidFill>
                </w14:textFill>
              </w:rPr>
              <w:t>每年至少联合开展一次应急演练</w:t>
            </w:r>
            <w:r>
              <w:rPr>
                <w:rFonts w:hint="eastAsia" w:ascii="Times New Roman" w:hAnsi="Times New Roman" w:eastAsia="宋体"/>
                <w:color w:val="000000" w:themeColor="text1"/>
                <w:sz w:val="21"/>
                <w:szCs w:val="21"/>
                <w:lang w:val="en-US" w:eastAsia="zh-CN"/>
                <w14:textFill>
                  <w14:solidFill>
                    <w14:schemeClr w14:val="tx1"/>
                  </w14:solidFill>
                </w14:textFill>
              </w:rPr>
              <w:t>等，</w:t>
            </w:r>
            <w:r>
              <w:rPr>
                <w:rFonts w:hint="eastAsia" w:ascii="Times New Roman" w:hAnsi="Times New Roman" w:eastAsia="宋体"/>
                <w:color w:val="000000" w:themeColor="text1"/>
                <w:sz w:val="21"/>
                <w:szCs w:val="21"/>
                <w14:textFill>
                  <w14:solidFill>
                    <w14:schemeClr w14:val="tx1"/>
                  </w14:solidFill>
                </w14:textFill>
              </w:rPr>
              <w:t>避免</w:t>
            </w:r>
            <w:r>
              <w:rPr>
                <w:rFonts w:hint="eastAsia" w:ascii="Times New Roman" w:hAnsi="Times New Roman" w:eastAsia="宋体"/>
                <w:color w:val="000000" w:themeColor="text1"/>
                <w:sz w:val="21"/>
                <w:szCs w:val="21"/>
                <w:lang w:eastAsia="zh-CN"/>
                <w14:textFill>
                  <w14:solidFill>
                    <w14:schemeClr w14:val="tx1"/>
                  </w14:solidFill>
                </w14:textFill>
              </w:rPr>
              <w:t>或</w:t>
            </w:r>
            <w:r>
              <w:rPr>
                <w:rFonts w:hint="eastAsia" w:ascii="Times New Roman" w:hAnsi="Times New Roman" w:eastAsia="宋体"/>
                <w:color w:val="000000" w:themeColor="text1"/>
                <w:sz w:val="21"/>
                <w:szCs w:val="21"/>
                <w14:textFill>
                  <w14:solidFill>
                    <w14:schemeClr w14:val="tx1"/>
                  </w14:solidFill>
                </w14:textFill>
              </w:rPr>
              <w:t>减少对环境造成的危害</w:t>
            </w:r>
            <w:r>
              <w:rPr>
                <w:rFonts w:hint="eastAsia" w:ascii="Times New Roman" w:hAnsi="Times New Roman" w:eastAsia="宋体"/>
                <w:color w:val="000000" w:themeColor="text1"/>
                <w:sz w:val="21"/>
                <w:szCs w:val="21"/>
                <w:lang w:val="en-US" w:eastAsia="zh-CN"/>
                <w14:textFill>
                  <w14:solidFill>
                    <w14:schemeClr w14:val="tx1"/>
                  </w14:solidFill>
                </w14:textFill>
              </w:rPr>
              <w:t>。发生溃坝、漫顶等生产安全事故，应及时向有关部门通报事故信息，采取有效的应急救援措施，防止事故扩大和次生灾害的发生，减少人员伤亡和财产损失。事故抢救过程中应当采取必要措施，避免或者减少对环境造成的危害。</w:t>
            </w:r>
          </w:p>
        </w:tc>
        <w:tc>
          <w:tcPr>
            <w:tcW w:w="383" w:type="pct"/>
            <w:noWrap w:val="0"/>
            <w:vAlign w:val="center"/>
          </w:tcPr>
          <w:p w14:paraId="46A5053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符合</w:t>
            </w:r>
          </w:p>
        </w:tc>
      </w:tr>
    </w:tbl>
    <w:p w14:paraId="09529AFC">
      <w:pPr>
        <w:pStyle w:val="41"/>
        <w:spacing w:line="480" w:lineRule="exact"/>
        <w:ind w:firstLine="480"/>
        <w:rPr>
          <w:rFonts w:hint="eastAsia"/>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综上，本项目建设《关于印发自治区防范化解尾矿库安全风险工作实施方案的通知》的相关要求。</w:t>
      </w:r>
    </w:p>
    <w:p w14:paraId="714F1509">
      <w:pPr>
        <w:pStyle w:val="5"/>
        <w:ind w:firstLine="48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1.3.1.14</w:t>
      </w:r>
      <w:r>
        <w:rPr>
          <w:rFonts w:hint="eastAsia" w:ascii="Times New Roman" w:hAnsi="Times New Roman" w:eastAsia="宋体" w:cs="Times New Roman"/>
          <w:color w:val="000000" w:themeColor="text1"/>
          <w:highlight w:val="none"/>
          <w:lang w:eastAsia="zh-Hans"/>
          <w14:textFill>
            <w14:solidFill>
              <w14:schemeClr w14:val="tx1"/>
            </w14:solidFill>
          </w14:textFill>
        </w:rPr>
        <w:t>与</w:t>
      </w:r>
      <w:r>
        <w:rPr>
          <w:rFonts w:hint="eastAsia"/>
          <w:b/>
          <w:bCs/>
          <w:color w:val="000000" w:themeColor="text1"/>
          <w:kern w:val="0"/>
          <w:lang w:val="en-US" w:eastAsia="zh-CN"/>
          <w14:textFill>
            <w14:solidFill>
              <w14:schemeClr w14:val="tx1"/>
            </w14:solidFill>
          </w14:textFill>
        </w:rPr>
        <w:t>《新疆维吾尔自治区2025年空气质量持续改善行动实施方案》（新政办发〔2024〕58号）</w:t>
      </w:r>
      <w:r>
        <w:rPr>
          <w:rFonts w:hint="eastAsia" w:ascii="Times New Roman" w:hAnsi="Times New Roman" w:eastAsia="宋体" w:cs="Times New Roman"/>
          <w:color w:val="000000" w:themeColor="text1"/>
          <w:highlight w:val="none"/>
          <w:lang w:eastAsia="zh-Hans"/>
          <w14:textFill>
            <w14:solidFill>
              <w14:schemeClr w14:val="tx1"/>
            </w14:solidFill>
          </w14:textFill>
        </w:rPr>
        <w:t>的符合性分析</w:t>
      </w:r>
    </w:p>
    <w:p w14:paraId="4F00CF31">
      <w:pPr>
        <w:pStyle w:val="41"/>
        <w:spacing w:line="480" w:lineRule="exact"/>
        <w:ind w:firstLine="480"/>
        <w:rPr>
          <w:rFonts w:hint="eastAsia"/>
          <w:color w:val="000000" w:themeColor="text1"/>
          <w:kern w:val="0"/>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本项目与《新疆维吾尔自治区2025年空气质量持续改善行动实施方案》（新政办发〔2024〕58号）的符合性见下表。</w:t>
      </w:r>
    </w:p>
    <w:p w14:paraId="5419DD82">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b/>
          <w:color w:val="000000" w:themeColor="text1"/>
          <w:kern w:val="0"/>
          <w:sz w:val="24"/>
          <w:szCs w:val="24"/>
          <w:highlight w:val="none"/>
          <w:lang w:bidi="ar"/>
          <w14:textFill>
            <w14:solidFill>
              <w14:schemeClr w14:val="tx1"/>
            </w14:solidFill>
          </w14:textFill>
        </w:rPr>
      </w:pPr>
      <w:r>
        <w:rPr>
          <w:rFonts w:hint="eastAsia"/>
          <w:b/>
          <w:color w:val="000000" w:themeColor="text1"/>
          <w:kern w:val="0"/>
          <w:sz w:val="24"/>
          <w:szCs w:val="24"/>
          <w:highlight w:val="none"/>
          <w:lang w:bidi="ar"/>
          <w14:textFill>
            <w14:solidFill>
              <w14:schemeClr w14:val="tx1"/>
            </w14:solidFill>
          </w14:textFill>
        </w:rPr>
        <w:t>表</w:t>
      </w:r>
      <w:r>
        <w:rPr>
          <w:rFonts w:hint="eastAsia"/>
          <w:b/>
          <w:color w:val="000000" w:themeColor="text1"/>
          <w:kern w:val="0"/>
          <w:sz w:val="24"/>
          <w:szCs w:val="24"/>
          <w:highlight w:val="none"/>
          <w:lang w:val="en-US" w:eastAsia="zh-CN" w:bidi="ar"/>
          <w14:textFill>
            <w14:solidFill>
              <w14:schemeClr w14:val="tx1"/>
            </w14:solidFill>
          </w14:textFill>
        </w:rPr>
        <w:t>1.3-12</w:t>
      </w:r>
      <w:r>
        <w:rPr>
          <w:rFonts w:hint="eastAsia"/>
          <w:b/>
          <w:color w:val="000000" w:themeColor="text1"/>
          <w:kern w:val="0"/>
          <w:sz w:val="24"/>
          <w:szCs w:val="24"/>
          <w:highlight w:val="none"/>
          <w:lang w:bidi="ar"/>
          <w14:textFill>
            <w14:solidFill>
              <w14:schemeClr w14:val="tx1"/>
            </w14:solidFill>
          </w14:textFill>
        </w:rPr>
        <w:t xml:space="preserve">    </w:t>
      </w:r>
      <w:r>
        <w:rPr>
          <w:rFonts w:hint="eastAsia"/>
          <w:b/>
          <w:color w:val="000000" w:themeColor="text1"/>
          <w:kern w:val="0"/>
          <w:sz w:val="24"/>
          <w:szCs w:val="24"/>
          <w:highlight w:val="none"/>
          <w:lang w:val="en-US" w:eastAsia="zh-CN" w:bidi="ar"/>
          <w14:textFill>
            <w14:solidFill>
              <w14:schemeClr w14:val="tx1"/>
            </w14:solidFill>
          </w14:textFill>
        </w:rPr>
        <w:t>本项目</w:t>
      </w:r>
      <w:r>
        <w:rPr>
          <w:rFonts w:hint="eastAsia"/>
          <w:b/>
          <w:color w:val="000000" w:themeColor="text1"/>
          <w:kern w:val="0"/>
          <w:sz w:val="24"/>
          <w:szCs w:val="24"/>
          <w:highlight w:val="none"/>
          <w:lang w:bidi="ar"/>
          <w14:textFill>
            <w14:solidFill>
              <w14:schemeClr w14:val="tx1"/>
            </w14:solidFill>
          </w14:textFill>
        </w:rPr>
        <w:t>与</w:t>
      </w:r>
      <w:r>
        <w:rPr>
          <w:rFonts w:hint="eastAsia"/>
          <w:b/>
          <w:color w:val="000000" w:themeColor="text1"/>
          <w:kern w:val="0"/>
          <w:sz w:val="24"/>
          <w:szCs w:val="24"/>
          <w:highlight w:val="none"/>
          <w:lang w:val="en-US" w:eastAsia="zh-CN" w:bidi="ar"/>
          <w14:textFill>
            <w14:solidFill>
              <w14:schemeClr w14:val="tx1"/>
            </w14:solidFill>
          </w14:textFill>
        </w:rPr>
        <w:t>该行动实施方案的</w:t>
      </w:r>
      <w:r>
        <w:rPr>
          <w:rFonts w:hint="eastAsia"/>
          <w:b/>
          <w:color w:val="000000" w:themeColor="text1"/>
          <w:kern w:val="0"/>
          <w:sz w:val="24"/>
          <w:szCs w:val="24"/>
          <w:highlight w:val="none"/>
          <w:lang w:bidi="ar"/>
          <w14:textFill>
            <w14:solidFill>
              <w14:schemeClr w14:val="tx1"/>
            </w14:solidFill>
          </w14:textFill>
        </w:rPr>
        <w:t>符合性分析表</w:t>
      </w:r>
    </w:p>
    <w:tbl>
      <w:tblPr>
        <w:tblStyle w:val="32"/>
        <w:tblW w:w="493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24"/>
        <w:gridCol w:w="2826"/>
        <w:gridCol w:w="975"/>
      </w:tblGrid>
      <w:tr w14:paraId="32D73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744" w:type="pct"/>
            <w:tcBorders>
              <w:tl2br w:val="nil"/>
              <w:tr2bl w:val="nil"/>
            </w:tcBorders>
            <w:noWrap w:val="0"/>
            <w:vAlign w:val="center"/>
          </w:tcPr>
          <w:p w14:paraId="2010FB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相关</w:t>
            </w:r>
            <w:r>
              <w:rPr>
                <w:rFonts w:hint="default" w:ascii="Times New Roman" w:hAnsi="Times New Roman" w:eastAsia="宋体" w:cs="Times New Roman"/>
                <w:b/>
                <w:bCs/>
                <w:color w:val="000000" w:themeColor="text1"/>
                <w:sz w:val="21"/>
                <w:szCs w:val="21"/>
                <w14:textFill>
                  <w14:solidFill>
                    <w14:schemeClr w14:val="tx1"/>
                  </w14:solidFill>
                </w14:textFill>
              </w:rPr>
              <w:t>要求</w:t>
            </w:r>
          </w:p>
        </w:tc>
        <w:tc>
          <w:tcPr>
            <w:tcW w:w="1676" w:type="pct"/>
            <w:tcBorders>
              <w:tl2br w:val="nil"/>
              <w:tr2bl w:val="nil"/>
            </w:tcBorders>
            <w:noWrap w:val="0"/>
            <w:vAlign w:val="center"/>
          </w:tcPr>
          <w:p w14:paraId="78E9D0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本</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项目</w:t>
            </w:r>
            <w:r>
              <w:rPr>
                <w:rFonts w:hint="default" w:ascii="Times New Roman" w:hAnsi="Times New Roman" w:eastAsia="宋体" w:cs="Times New Roman"/>
                <w:b/>
                <w:bCs/>
                <w:color w:val="000000" w:themeColor="text1"/>
                <w:sz w:val="21"/>
                <w:szCs w:val="21"/>
                <w14:textFill>
                  <w14:solidFill>
                    <w14:schemeClr w14:val="tx1"/>
                  </w14:solidFill>
                </w14:textFill>
              </w:rPr>
              <w:t>情况</w:t>
            </w:r>
          </w:p>
        </w:tc>
        <w:tc>
          <w:tcPr>
            <w:tcW w:w="578" w:type="pct"/>
            <w:tcBorders>
              <w:tl2br w:val="nil"/>
              <w:tr2bl w:val="nil"/>
            </w:tcBorders>
            <w:noWrap w:val="0"/>
            <w:vAlign w:val="center"/>
          </w:tcPr>
          <w:p w14:paraId="6326DC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w:t>
            </w:r>
          </w:p>
        </w:tc>
      </w:tr>
      <w:tr w14:paraId="440DB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4" w:type="pct"/>
            <w:tcBorders>
              <w:tl2br w:val="nil"/>
              <w:tr2bl w:val="nil"/>
            </w:tcBorders>
            <w:noWrap w:val="0"/>
            <w:vAlign w:val="center"/>
          </w:tcPr>
          <w:p w14:paraId="3DA051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w:t>
            </w:r>
          </w:p>
          <w:p w14:paraId="22D1B7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严格落实钢铁产能置换，联防联控区严禁新增钢铁产能。推行钢铁、焦化、烧结一体化布局，大幅减少独立焦化、烧结、球团和热轧企业及工序。到2025年，短流程炼钢产量占比力争提升至15%。</w:t>
            </w:r>
          </w:p>
        </w:tc>
        <w:tc>
          <w:tcPr>
            <w:tcW w:w="1676" w:type="pct"/>
            <w:tcBorders>
              <w:tl2br w:val="nil"/>
              <w:tr2bl w:val="nil"/>
            </w:tcBorders>
            <w:noWrap w:val="0"/>
            <w:vAlign w:val="center"/>
          </w:tcPr>
          <w:p w14:paraId="4EF8D5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本项目为铁矿选矿项目，不属于</w:t>
            </w:r>
            <w:r>
              <w:rPr>
                <w:rFonts w:hint="default" w:ascii="Times New Roman" w:hAnsi="Times New Roman" w:eastAsia="宋体" w:cs="Times New Roman"/>
                <w:color w:val="000000" w:themeColor="text1"/>
                <w:sz w:val="21"/>
                <w:szCs w:val="21"/>
                <w14:textFill>
                  <w14:solidFill>
                    <w14:schemeClr w14:val="tx1"/>
                  </w14:solidFill>
                </w14:textFill>
              </w:rPr>
              <w:t>高耗能、高排放、低水平项目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不涉及产能置换</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本项目符合产业政策、</w:t>
            </w:r>
            <w:r>
              <w:rPr>
                <w:rFonts w:hint="default" w:ascii="Times New Roman" w:hAnsi="Times New Roman" w:eastAsia="宋体" w:cs="Times New Roman"/>
                <w:color w:val="000000" w:themeColor="text1"/>
                <w:sz w:val="21"/>
                <w:szCs w:val="21"/>
                <w14:textFill>
                  <w14:solidFill>
                    <w14:schemeClr w14:val="tx1"/>
                  </w14:solidFill>
                </w14:textFill>
              </w:rPr>
              <w:t>生态环境分区管控方案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及其他相关要求。</w:t>
            </w:r>
          </w:p>
        </w:tc>
        <w:tc>
          <w:tcPr>
            <w:tcW w:w="578" w:type="pct"/>
            <w:tcBorders>
              <w:tl2br w:val="nil"/>
              <w:tr2bl w:val="nil"/>
            </w:tcBorders>
            <w:noWrap w:val="0"/>
            <w:vAlign w:val="center"/>
          </w:tcPr>
          <w:p w14:paraId="2814BF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87E3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4" w:type="pct"/>
            <w:tcBorders>
              <w:tl2br w:val="nil"/>
              <w:tr2bl w:val="nil"/>
            </w:tcBorders>
            <w:noWrap w:val="0"/>
            <w:vAlign w:val="center"/>
          </w:tcPr>
          <w:p w14:paraId="0038AC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合理控制煤炭消费总量。在保障能源安全供应前提下，联防联控区合理控制新改扩建用煤项目；不得将使用石油焦、焦炭、兰炭等高污染燃料作为煤炭减量替代措施。完善联防联控区煤炭消费减量替代管理，煤矸石、原料用煤不纳入煤炭消费总量。高质量建设国家大型煤电煤化工基地，原则上不再新增自备燃煤机组，推进现有自备燃煤机组清洁能源替代。合理保障支撑电力稳定供应、电网安全运行、清洁能源大规模并网消纳的煤电项目及其用煤量。完善联防联控区骨干电网建设，保障冬季生产网电需求。</w:t>
            </w:r>
          </w:p>
        </w:tc>
        <w:tc>
          <w:tcPr>
            <w:tcW w:w="1676" w:type="pct"/>
            <w:tcBorders>
              <w:tl2br w:val="nil"/>
              <w:tr2bl w:val="nil"/>
            </w:tcBorders>
            <w:noWrap w:val="0"/>
            <w:vAlign w:val="center"/>
          </w:tcPr>
          <w:p w14:paraId="70B6C6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本项目运行期使用电锅炉采暖，不涉及煤炭消耗。</w:t>
            </w:r>
          </w:p>
        </w:tc>
        <w:tc>
          <w:tcPr>
            <w:tcW w:w="578" w:type="pct"/>
            <w:tcBorders>
              <w:tl2br w:val="nil"/>
              <w:tr2bl w:val="nil"/>
            </w:tcBorders>
            <w:noWrap w:val="0"/>
            <w:vAlign w:val="center"/>
          </w:tcPr>
          <w:p w14:paraId="144101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A85F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4" w:type="pct"/>
            <w:tcBorders>
              <w:tl2br w:val="nil"/>
              <w:tr2bl w:val="nil"/>
            </w:tcBorders>
            <w:noWrap w:val="0"/>
            <w:vAlign w:val="center"/>
          </w:tcPr>
          <w:p w14:paraId="6D5DC7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持续强化扬尘污染综合管控。施工场地严格落实</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六个百分百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要求。扬尘污染防治费用纳入工程造价，3000m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及以上建筑工地安装视频监控并接入当地监管平台。道路、水务等长距离线性工程实行分段施工。城市建成区主次干道机械化清扫率达到80%。加强城市及周边公共裸地、物料堆场等易产尘区域抑尘管理。到2025年，装配式建筑占新建建筑面积比例达到30%。</w:t>
            </w:r>
          </w:p>
        </w:tc>
        <w:tc>
          <w:tcPr>
            <w:tcW w:w="1676" w:type="pct"/>
            <w:tcBorders>
              <w:tl2br w:val="nil"/>
              <w:tr2bl w:val="nil"/>
            </w:tcBorders>
            <w:noWrap w:val="0"/>
            <w:vAlign w:val="center"/>
          </w:tcPr>
          <w:p w14:paraId="767BB1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施工场地严格落实</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六个百分百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要求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建设单位按照评价要求加强易产尘区域抑尘管理。</w:t>
            </w:r>
          </w:p>
        </w:tc>
        <w:tc>
          <w:tcPr>
            <w:tcW w:w="578" w:type="pct"/>
            <w:tcBorders>
              <w:tl2br w:val="nil"/>
              <w:tr2bl w:val="nil"/>
            </w:tcBorders>
            <w:noWrap w:val="0"/>
            <w:vAlign w:val="center"/>
          </w:tcPr>
          <w:p w14:paraId="2F777B3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558E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4" w:type="pct"/>
            <w:tcBorders>
              <w:tl2br w:val="nil"/>
              <w:tr2bl w:val="nil"/>
            </w:tcBorders>
            <w:noWrap w:val="0"/>
            <w:vAlign w:val="center"/>
          </w:tcPr>
          <w:p w14:paraId="59FF86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进矿山生态环境综合整治。根据安全生产、水土保持、生态环境等要求，新建矿山按照绿色矿山标准规划、设计、建设和运行管理，鼓励同步建设铁路专用线或采用其他清洁运输方式；推进生产矿山绿色矿山建设，依法关闭限期整改仍不达标矿山。沙化土地范围内矿产资源开发建设项目加强防沙治沙工作。</w:t>
            </w:r>
          </w:p>
        </w:tc>
        <w:tc>
          <w:tcPr>
            <w:tcW w:w="1676" w:type="pct"/>
            <w:tcBorders>
              <w:tl2br w:val="nil"/>
              <w:tr2bl w:val="nil"/>
            </w:tcBorders>
            <w:noWrap w:val="0"/>
            <w:vAlign w:val="center"/>
          </w:tcPr>
          <w:p w14:paraId="58D1D5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建设单位将按照</w:t>
            </w:r>
            <w:r>
              <w:rPr>
                <w:rFonts w:hint="default" w:ascii="Times New Roman" w:hAnsi="Times New Roman" w:eastAsia="宋体" w:cs="Times New Roman"/>
                <w:color w:val="000000" w:themeColor="text1"/>
                <w:sz w:val="21"/>
                <w:szCs w:val="21"/>
                <w14:textFill>
                  <w14:solidFill>
                    <w14:schemeClr w14:val="tx1"/>
                  </w14:solidFill>
                </w14:textFill>
              </w:rPr>
              <w:t>绿色矿山</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相关要求</w:t>
            </w:r>
            <w:r>
              <w:rPr>
                <w:rFonts w:hint="default" w:ascii="Times New Roman" w:hAnsi="Times New Roman" w:eastAsia="宋体" w:cs="Times New Roman"/>
                <w:color w:val="000000" w:themeColor="text1"/>
                <w:sz w:val="21"/>
                <w:szCs w:val="21"/>
                <w14:textFill>
                  <w14:solidFill>
                    <w14:schemeClr w14:val="tx1"/>
                  </w14:solidFill>
                </w14:textFill>
              </w:rPr>
              <w:t>建设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本项目。本项目所在区域不属于沙化土地范围。</w:t>
            </w:r>
          </w:p>
        </w:tc>
        <w:tc>
          <w:tcPr>
            <w:tcW w:w="578" w:type="pct"/>
            <w:tcBorders>
              <w:tl2br w:val="nil"/>
              <w:tr2bl w:val="nil"/>
            </w:tcBorders>
            <w:noWrap w:val="0"/>
            <w:vAlign w:val="center"/>
          </w:tcPr>
          <w:p w14:paraId="5050F3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6CC77FF7">
      <w:pPr>
        <w:pStyle w:val="41"/>
        <w:spacing w:line="480" w:lineRule="exact"/>
        <w:ind w:firstLine="480"/>
        <w:rPr>
          <w:rFonts w:hint="default"/>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综上，本项目建设符合</w:t>
      </w:r>
      <w:r>
        <w:rPr>
          <w:rFonts w:hint="eastAsia"/>
          <w:color w:val="000000" w:themeColor="text1"/>
          <w:sz w:val="24"/>
          <w:lang w:val="en-US" w:eastAsia="zh-CN"/>
          <w14:textFill>
            <w14:solidFill>
              <w14:schemeClr w14:val="tx1"/>
            </w14:solidFill>
          </w14:textFill>
        </w:rPr>
        <w:t>《新疆维吾尔自治区2025年空气质量持续改善行动实施方案》（新政办发〔2024〕58号）的相关要求。</w:t>
      </w:r>
    </w:p>
    <w:p w14:paraId="79995255">
      <w:pPr>
        <w:pStyle w:val="5"/>
        <w:ind w:firstLine="48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1.3.1.1</w:t>
      </w:r>
      <w:r>
        <w:rPr>
          <w:rFonts w:hint="eastAsia"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lang w:eastAsia="zh-Hans"/>
          <w14:textFill>
            <w14:solidFill>
              <w14:schemeClr w14:val="tx1"/>
            </w14:solidFill>
          </w14:textFill>
        </w:rPr>
        <w:t>与</w:t>
      </w:r>
      <w:r>
        <w:rPr>
          <w:rFonts w:hint="eastAsia" w:ascii="Times New Roman" w:hAnsi="Times New Roman" w:eastAsia="宋体" w:cs="Times New Roman"/>
          <w:color w:val="000000" w:themeColor="text1"/>
          <w:highlight w:val="none"/>
          <w14:textFill>
            <w14:solidFill>
              <w14:schemeClr w14:val="tx1"/>
            </w14:solidFill>
          </w14:textFill>
        </w:rPr>
        <w:t>《哈密市戈壁生态环境保护办法（暂行）》</w:t>
      </w:r>
      <w:r>
        <w:rPr>
          <w:rFonts w:hint="eastAsia" w:ascii="Times New Roman" w:hAnsi="Times New Roman" w:eastAsia="宋体" w:cs="Times New Roman"/>
          <w:color w:val="000000" w:themeColor="text1"/>
          <w:highlight w:val="none"/>
          <w:lang w:eastAsia="zh-Hans"/>
          <w14:textFill>
            <w14:solidFill>
              <w14:schemeClr w14:val="tx1"/>
            </w14:solidFill>
          </w14:textFill>
        </w:rPr>
        <w:t>的符合性分析</w:t>
      </w:r>
    </w:p>
    <w:p w14:paraId="7A15F434">
      <w:pPr>
        <w:spacing w:line="48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本项目与《哈密市戈壁生态环境保护办法（暂行）》的符合性分析见下表。</w:t>
      </w:r>
    </w:p>
    <w:p w14:paraId="59FAB9DD">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b/>
          <w:color w:val="000000" w:themeColor="text1"/>
          <w:kern w:val="0"/>
          <w:sz w:val="24"/>
          <w:szCs w:val="24"/>
          <w:highlight w:val="none"/>
          <w:lang w:bidi="ar"/>
          <w14:textFill>
            <w14:solidFill>
              <w14:schemeClr w14:val="tx1"/>
            </w14:solidFill>
          </w14:textFill>
        </w:rPr>
      </w:pPr>
      <w:r>
        <w:rPr>
          <w:rFonts w:hint="eastAsia"/>
          <w:b/>
          <w:color w:val="000000" w:themeColor="text1"/>
          <w:kern w:val="0"/>
          <w:sz w:val="24"/>
          <w:szCs w:val="24"/>
          <w:highlight w:val="none"/>
          <w:lang w:bidi="ar"/>
          <w14:textFill>
            <w14:solidFill>
              <w14:schemeClr w14:val="tx1"/>
            </w14:solidFill>
          </w14:textFill>
        </w:rPr>
        <w:t>表</w:t>
      </w:r>
      <w:r>
        <w:rPr>
          <w:rFonts w:hint="eastAsia"/>
          <w:b/>
          <w:color w:val="000000" w:themeColor="text1"/>
          <w:kern w:val="0"/>
          <w:sz w:val="24"/>
          <w:szCs w:val="24"/>
          <w:highlight w:val="none"/>
          <w:lang w:val="en-US" w:eastAsia="zh-CN" w:bidi="ar"/>
          <w14:textFill>
            <w14:solidFill>
              <w14:schemeClr w14:val="tx1"/>
            </w14:solidFill>
          </w14:textFill>
        </w:rPr>
        <w:t>1.3-13</w:t>
      </w:r>
      <w:r>
        <w:rPr>
          <w:rFonts w:hint="eastAsia"/>
          <w:b/>
          <w:color w:val="000000" w:themeColor="text1"/>
          <w:kern w:val="0"/>
          <w:sz w:val="24"/>
          <w:szCs w:val="24"/>
          <w:highlight w:val="none"/>
          <w:lang w:bidi="ar"/>
          <w14:textFill>
            <w14:solidFill>
              <w14:schemeClr w14:val="tx1"/>
            </w14:solidFill>
          </w14:textFill>
        </w:rPr>
        <w:t xml:space="preserve">    与《哈密市戈壁生态环境保护办法（暂行）》符合性分析表</w:t>
      </w:r>
    </w:p>
    <w:tbl>
      <w:tblPr>
        <w:tblStyle w:val="3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188"/>
        <w:gridCol w:w="3524"/>
        <w:gridCol w:w="814"/>
      </w:tblGrid>
      <w:tr w14:paraId="0BB21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2456" w:type="pct"/>
            <w:noWrap w:val="0"/>
            <w:vAlign w:val="center"/>
          </w:tcPr>
          <w:p w14:paraId="246070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办法规定</w:t>
            </w:r>
          </w:p>
        </w:tc>
        <w:tc>
          <w:tcPr>
            <w:tcW w:w="2066" w:type="pct"/>
            <w:noWrap w:val="0"/>
            <w:vAlign w:val="center"/>
          </w:tcPr>
          <w:p w14:paraId="67C3CC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本</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项目</w:t>
            </w:r>
            <w:r>
              <w:rPr>
                <w:rFonts w:hint="eastAsia" w:ascii="Times New Roman" w:hAnsi="Times New Roman" w:eastAsia="宋体" w:cs="Times New Roman"/>
                <w:b/>
                <w:bCs/>
                <w:color w:val="000000" w:themeColor="text1"/>
                <w:sz w:val="21"/>
                <w:szCs w:val="21"/>
                <w14:textFill>
                  <w14:solidFill>
                    <w14:schemeClr w14:val="tx1"/>
                  </w14:solidFill>
                </w14:textFill>
              </w:rPr>
              <w:t>情况</w:t>
            </w:r>
          </w:p>
        </w:tc>
        <w:tc>
          <w:tcPr>
            <w:tcW w:w="477" w:type="pct"/>
            <w:noWrap w:val="0"/>
            <w:vAlign w:val="center"/>
          </w:tcPr>
          <w:p w14:paraId="214BA1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符合性</w:t>
            </w:r>
          </w:p>
        </w:tc>
      </w:tr>
      <w:tr w14:paraId="3FD6A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56" w:type="pct"/>
            <w:noWrap w:val="0"/>
            <w:vAlign w:val="center"/>
          </w:tcPr>
          <w:p w14:paraId="10955A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第十五条 禁止任何单位和个人在戈壁上从事非法采砂、采石、挖石等破坏戈壁自然资源、生态环境的活动，严格保护戈壁植被、沙壳、结皮、砾幕层等具有水土保持功能的原生地貌。</w:t>
            </w:r>
          </w:p>
        </w:tc>
        <w:tc>
          <w:tcPr>
            <w:tcW w:w="2066" w:type="pct"/>
            <w:noWrap w:val="0"/>
            <w:vAlign w:val="center"/>
          </w:tcPr>
          <w:p w14:paraId="56430A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本项目已开展环境影响评价工作，为铁矿选矿项目，不属于非法</w:t>
            </w:r>
            <w:r>
              <w:rPr>
                <w:rFonts w:hint="default" w:ascii="Times New Roman" w:hAnsi="Times New Roman" w:eastAsia="宋体" w:cs="Times New Roman"/>
                <w:color w:val="000000" w:themeColor="text1"/>
                <w:sz w:val="21"/>
                <w:szCs w:val="21"/>
                <w14:textFill>
                  <w14:solidFill>
                    <w14:schemeClr w14:val="tx1"/>
                  </w14:solidFill>
                </w14:textFill>
              </w:rPr>
              <w:t>采砂、采石、挖石等破坏戈壁自然资源、生态环境的活动，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本次评价提出的各项保护措施可做到严格保护</w:t>
            </w:r>
            <w:r>
              <w:rPr>
                <w:rFonts w:hint="default" w:ascii="Times New Roman" w:hAnsi="Times New Roman" w:eastAsia="宋体" w:cs="Times New Roman"/>
                <w:color w:val="000000" w:themeColor="text1"/>
                <w:sz w:val="21"/>
                <w:szCs w:val="21"/>
                <w14:textFill>
                  <w14:solidFill>
                    <w14:schemeClr w14:val="tx1"/>
                  </w14:solidFill>
                </w14:textFill>
              </w:rPr>
              <w:t>戈壁植被、沙壳、结皮、砾幕层</w:t>
            </w:r>
            <w:r>
              <w:rPr>
                <w:rFonts w:hint="eastAsia" w:ascii="Times New Roman" w:hAnsi="Times New Roman" w:eastAsia="宋体" w:cs="Times New Roman"/>
                <w:color w:val="000000" w:themeColor="text1"/>
                <w:sz w:val="21"/>
                <w:szCs w:val="21"/>
                <w:lang w:eastAsia="zh-CN"/>
                <w14:textFill>
                  <w14:solidFill>
                    <w14:schemeClr w14:val="tx1"/>
                  </w14:solidFill>
                </w14:textFill>
              </w:rPr>
              <w:t>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要求。</w:t>
            </w:r>
          </w:p>
        </w:tc>
        <w:tc>
          <w:tcPr>
            <w:tcW w:w="477" w:type="pct"/>
            <w:noWrap w:val="0"/>
            <w:vAlign w:val="center"/>
          </w:tcPr>
          <w:p w14:paraId="2BEAB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符合</w:t>
            </w:r>
          </w:p>
        </w:tc>
      </w:tr>
      <w:tr w14:paraId="32201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56" w:type="pct"/>
            <w:noWrap w:val="0"/>
            <w:vAlign w:val="center"/>
          </w:tcPr>
          <w:p w14:paraId="080728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第十六条 在戈壁上实施开发建设活动的，必须事先就该项目可能对当地及相关地区生态环境产生的影响依法进行环境影响评价。</w:t>
            </w:r>
          </w:p>
        </w:tc>
        <w:tc>
          <w:tcPr>
            <w:tcW w:w="2066" w:type="pct"/>
            <w:noWrap w:val="0"/>
            <w:vAlign w:val="center"/>
          </w:tcPr>
          <w:p w14:paraId="251C86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本项目尚未建设，在项目建设前建设单位已</w:t>
            </w:r>
            <w:r>
              <w:rPr>
                <w:rFonts w:hint="default" w:ascii="Times New Roman" w:hAnsi="Times New Roman" w:eastAsia="宋体" w:cs="Times New Roman"/>
                <w:color w:val="000000" w:themeColor="text1"/>
                <w:sz w:val="21"/>
                <w:szCs w:val="21"/>
                <w14:textFill>
                  <w14:solidFill>
                    <w14:schemeClr w14:val="tx1"/>
                  </w14:solidFill>
                </w14:textFill>
              </w:rPr>
              <w:t>依法进行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环境影响评价。</w:t>
            </w:r>
          </w:p>
        </w:tc>
        <w:tc>
          <w:tcPr>
            <w:tcW w:w="477" w:type="pct"/>
            <w:noWrap w:val="0"/>
            <w:vAlign w:val="center"/>
          </w:tcPr>
          <w:p w14:paraId="21DB2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符合</w:t>
            </w:r>
          </w:p>
        </w:tc>
      </w:tr>
      <w:tr w14:paraId="432CE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56" w:type="pct"/>
            <w:noWrap w:val="0"/>
            <w:vAlign w:val="center"/>
          </w:tcPr>
          <w:p w14:paraId="08A3C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第十七条 排放污染物的企事业单位和其他生产经营者应当采取措施防治在生产建设或者其他活动中产生的废气、废水、废渣、医疗废物、粉尘、恶臭气体、放射性物质以及噪声、振动、光辐射、电磁辐射、生活垃圾等对戈壁生态环境的污染和危害。</w:t>
            </w:r>
          </w:p>
        </w:tc>
        <w:tc>
          <w:tcPr>
            <w:tcW w:w="2066" w:type="pct"/>
            <w:noWrap w:val="0"/>
            <w:vAlign w:val="center"/>
          </w:tcPr>
          <w:p w14:paraId="030961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建设单位在落实本次评价提出的各项保护措施的前提下，可做到防治生产建设活动</w:t>
            </w:r>
            <w:r>
              <w:rPr>
                <w:rFonts w:hint="default" w:ascii="Times New Roman" w:hAnsi="Times New Roman" w:eastAsia="宋体" w:cs="Times New Roman"/>
                <w:color w:val="000000" w:themeColor="text1"/>
                <w:sz w:val="21"/>
                <w:szCs w:val="21"/>
                <w14:textFill>
                  <w14:solidFill>
                    <w14:schemeClr w14:val="tx1"/>
                  </w14:solidFill>
                </w14:textFill>
              </w:rPr>
              <w:t>产生的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粉尘</w:t>
            </w:r>
            <w:r>
              <w:rPr>
                <w:rFonts w:hint="default" w:ascii="Times New Roman" w:hAnsi="Times New Roman" w:eastAsia="宋体" w:cs="Times New Roman"/>
                <w:color w:val="000000" w:themeColor="text1"/>
                <w:sz w:val="21"/>
                <w:szCs w:val="21"/>
                <w14:textFill>
                  <w14:solidFill>
                    <w14:schemeClr w14:val="tx1"/>
                  </w14:solidFill>
                </w14:textFill>
              </w:rPr>
              <w:t>、废水、废渣、生活垃圾等对戈壁生态环境的污染和危害。</w:t>
            </w:r>
          </w:p>
        </w:tc>
        <w:tc>
          <w:tcPr>
            <w:tcW w:w="477" w:type="pct"/>
            <w:noWrap w:val="0"/>
            <w:vAlign w:val="center"/>
          </w:tcPr>
          <w:p w14:paraId="74743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符合</w:t>
            </w:r>
          </w:p>
        </w:tc>
      </w:tr>
      <w:tr w14:paraId="4ABA5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56" w:type="pct"/>
            <w:noWrap w:val="0"/>
            <w:vAlign w:val="center"/>
          </w:tcPr>
          <w:p w14:paraId="05161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第十八条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各级人民政府应当积极推进戈壁区域内的绿色矿山建设，加强对矿山勘查开发活动的监管，因地制宜开展矿山生态环境保护和综合治理。</w:t>
            </w:r>
          </w:p>
        </w:tc>
        <w:tc>
          <w:tcPr>
            <w:tcW w:w="2066" w:type="pct"/>
            <w:noWrap w:val="0"/>
            <w:vAlign w:val="center"/>
          </w:tcPr>
          <w:p w14:paraId="1C0E26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因哈密市西成矿业有限责任公司M1033铁矿目前处于停产状态，故未开展绿色矿山建设。本次评价提出，项目应按照绿色矿山的标准进行建设。</w:t>
            </w:r>
          </w:p>
        </w:tc>
        <w:tc>
          <w:tcPr>
            <w:tcW w:w="477" w:type="pct"/>
            <w:noWrap w:val="0"/>
            <w:vAlign w:val="center"/>
          </w:tcPr>
          <w:p w14:paraId="0BC9D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符合</w:t>
            </w:r>
          </w:p>
        </w:tc>
      </w:tr>
    </w:tbl>
    <w:p w14:paraId="4C421841">
      <w:pPr>
        <w:pStyle w:val="41"/>
        <w:spacing w:line="480" w:lineRule="exact"/>
        <w:ind w:firstLine="480"/>
        <w:rPr>
          <w:rFonts w:hint="eastAsia"/>
          <w:color w:val="000000" w:themeColor="text1"/>
          <w:kern w:val="0"/>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在采取本次评价提出的戈壁生态保护措施的前提下，本项目符合《哈密市戈壁生态环境保护办法（暂行）》的相关要求。</w:t>
      </w:r>
    </w:p>
    <w:p w14:paraId="0253D482">
      <w:pPr>
        <w:pStyle w:val="4"/>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1.3.2相关规划符合性分析</w:t>
      </w:r>
    </w:p>
    <w:p w14:paraId="6E2A5997">
      <w:pPr>
        <w:pStyle w:val="5"/>
        <w:spacing w:before="0" w:after="0" w:line="480" w:lineRule="exact"/>
        <w:ind w:firstLine="482"/>
        <w:rPr>
          <w:rFonts w:hint="eastAsia" w:ascii="Times New Roman" w:hAnsi="Times New Roman"/>
          <w:bCs w:val="0"/>
          <w:color w:val="000000" w:themeColor="text1"/>
          <w:kern w:val="2"/>
          <w:szCs w:val="24"/>
          <w:lang w:val="en-US" w:eastAsia="zh-CN"/>
          <w14:textFill>
            <w14:solidFill>
              <w14:schemeClr w14:val="tx1"/>
            </w14:solidFill>
          </w14:textFill>
        </w:rPr>
      </w:pPr>
      <w:r>
        <w:rPr>
          <w:rFonts w:hint="eastAsia"/>
          <w:bCs w:val="0"/>
          <w:color w:val="000000" w:themeColor="text1"/>
          <w:kern w:val="2"/>
          <w:szCs w:val="24"/>
          <w:lang w:val="en-US" w:eastAsia="zh-CN"/>
          <w14:textFill>
            <w14:solidFill>
              <w14:schemeClr w14:val="tx1"/>
            </w14:solidFill>
          </w14:textFill>
        </w:rPr>
        <w:t>1.3.2.1</w:t>
      </w:r>
      <w:r>
        <w:rPr>
          <w:rFonts w:hint="eastAsia" w:ascii="Times New Roman" w:hAnsi="Times New Roman"/>
          <w:bCs w:val="0"/>
          <w:color w:val="000000" w:themeColor="text1"/>
          <w:kern w:val="2"/>
          <w:szCs w:val="24"/>
          <w14:textFill>
            <w14:solidFill>
              <w14:schemeClr w14:val="tx1"/>
            </w14:solidFill>
          </w14:textFill>
        </w:rPr>
        <w:t>与</w:t>
      </w:r>
      <w:r>
        <w:rPr>
          <w:rFonts w:hint="eastAsia" w:ascii="Times New Roman" w:hAnsi="Times New Roman"/>
          <w:bCs w:val="0"/>
          <w:color w:val="000000" w:themeColor="text1"/>
          <w:kern w:val="2"/>
          <w:szCs w:val="24"/>
          <w:lang w:eastAsia="zh-CN"/>
          <w14:textFill>
            <w14:solidFill>
              <w14:schemeClr w14:val="tx1"/>
            </w14:solidFill>
          </w14:textFill>
        </w:rPr>
        <w:t>《</w:t>
      </w:r>
      <w:r>
        <w:rPr>
          <w:rFonts w:hint="eastAsia"/>
          <w:bCs w:val="0"/>
          <w:color w:val="000000" w:themeColor="text1"/>
          <w:kern w:val="2"/>
          <w:szCs w:val="24"/>
          <w:lang w:eastAsia="zh-CN"/>
          <w14:textFill>
            <w14:solidFill>
              <w14:schemeClr w14:val="tx1"/>
            </w14:solidFill>
          </w14:textFill>
        </w:rPr>
        <w:t>“</w:t>
      </w:r>
      <w:r>
        <w:rPr>
          <w:rFonts w:hint="eastAsia" w:ascii="Times New Roman" w:hAnsi="Times New Roman"/>
          <w:bCs w:val="0"/>
          <w:color w:val="000000" w:themeColor="text1"/>
          <w:kern w:val="2"/>
          <w:szCs w:val="24"/>
          <w:lang w:eastAsia="zh-CN"/>
          <w14:textFill>
            <w14:solidFill>
              <w14:schemeClr w14:val="tx1"/>
            </w14:solidFill>
          </w14:textFill>
        </w:rPr>
        <w:t>十四五</w:t>
      </w:r>
      <w:r>
        <w:rPr>
          <w:rFonts w:hint="eastAsia"/>
          <w:bCs w:val="0"/>
          <w:color w:val="000000" w:themeColor="text1"/>
          <w:kern w:val="2"/>
          <w:szCs w:val="24"/>
          <w:lang w:eastAsia="zh-CN"/>
          <w14:textFill>
            <w14:solidFill>
              <w14:schemeClr w14:val="tx1"/>
            </w14:solidFill>
          </w14:textFill>
        </w:rPr>
        <w:t>”</w:t>
      </w:r>
      <w:r>
        <w:rPr>
          <w:rFonts w:hint="eastAsia" w:ascii="Times New Roman" w:hAnsi="Times New Roman"/>
          <w:bCs w:val="0"/>
          <w:color w:val="000000" w:themeColor="text1"/>
          <w:kern w:val="2"/>
          <w:szCs w:val="24"/>
          <w:lang w:eastAsia="zh-CN"/>
          <w14:textFill>
            <w14:solidFill>
              <w14:schemeClr w14:val="tx1"/>
            </w14:solidFill>
          </w14:textFill>
        </w:rPr>
        <w:t>工业绿色发展规划》</w:t>
      </w:r>
      <w:r>
        <w:rPr>
          <w:rFonts w:hint="eastAsia" w:ascii="Times New Roman" w:hAnsi="Times New Roman"/>
          <w:bCs w:val="0"/>
          <w:color w:val="000000" w:themeColor="text1"/>
          <w:kern w:val="2"/>
          <w:szCs w:val="24"/>
          <w14:textFill>
            <w14:solidFill>
              <w14:schemeClr w14:val="tx1"/>
            </w14:solidFill>
          </w14:textFill>
        </w:rPr>
        <w:t>相符性分析</w:t>
      </w:r>
    </w:p>
    <w:p w14:paraId="5580275E">
      <w:pPr>
        <w:pStyle w:val="41"/>
        <w:spacing w:line="480" w:lineRule="exact"/>
        <w:ind w:firstLine="480"/>
        <w:rPr>
          <w:rFonts w:hint="eastAsia"/>
          <w:color w:val="000000" w:themeColor="text1"/>
          <w:kern w:val="10"/>
          <w:sz w:val="24"/>
          <w:szCs w:val="24"/>
          <w14:textFill>
            <w14:solidFill>
              <w14:schemeClr w14:val="tx1"/>
            </w14:solidFill>
          </w14:textFill>
        </w:rPr>
      </w:pPr>
      <w:r>
        <w:rPr>
          <w:rFonts w:hint="eastAsia"/>
          <w:color w:val="000000" w:themeColor="text1"/>
          <w:kern w:val="10"/>
          <w:sz w:val="24"/>
          <w:szCs w:val="24"/>
          <w14:textFill>
            <w14:solidFill>
              <w14:schemeClr w14:val="tx1"/>
            </w14:solidFill>
          </w14:textFill>
        </w:rPr>
        <w:t>《“十四五”工业绿色发展规划》对工业产业结构、生产方式绿色低碳转型进行了要求，本</w:t>
      </w:r>
      <w:r>
        <w:rPr>
          <w:rFonts w:hint="eastAsia"/>
          <w:color w:val="000000" w:themeColor="text1"/>
          <w:kern w:val="10"/>
          <w:sz w:val="24"/>
          <w:szCs w:val="24"/>
          <w:lang w:val="en-US" w:eastAsia="zh-CN"/>
          <w14:textFill>
            <w14:solidFill>
              <w14:schemeClr w14:val="tx1"/>
            </w14:solidFill>
          </w14:textFill>
        </w:rPr>
        <w:t>项目</w:t>
      </w:r>
      <w:r>
        <w:rPr>
          <w:rFonts w:hint="eastAsia"/>
          <w:color w:val="000000" w:themeColor="text1"/>
          <w:kern w:val="10"/>
          <w:sz w:val="24"/>
          <w:szCs w:val="24"/>
          <w14:textFill>
            <w14:solidFill>
              <w14:schemeClr w14:val="tx1"/>
            </w14:solidFill>
          </w14:textFill>
        </w:rPr>
        <w:t>与《“十四五”工业绿色发展规划》的符合性分析见</w:t>
      </w:r>
      <w:r>
        <w:rPr>
          <w:rFonts w:hint="eastAsia"/>
          <w:color w:val="000000" w:themeColor="text1"/>
          <w:kern w:val="10"/>
          <w:sz w:val="24"/>
          <w:szCs w:val="24"/>
          <w:lang w:val="en-US" w:eastAsia="zh-CN"/>
          <w14:textFill>
            <w14:solidFill>
              <w14:schemeClr w14:val="tx1"/>
            </w14:solidFill>
          </w14:textFill>
        </w:rPr>
        <w:t>下表</w:t>
      </w:r>
      <w:r>
        <w:rPr>
          <w:rFonts w:hint="eastAsia"/>
          <w:color w:val="000000" w:themeColor="text1"/>
          <w:kern w:val="10"/>
          <w:sz w:val="24"/>
          <w:szCs w:val="24"/>
          <w14:textFill>
            <w14:solidFill>
              <w14:schemeClr w14:val="tx1"/>
            </w14:solidFill>
          </w14:textFill>
        </w:rPr>
        <w:t>。</w:t>
      </w:r>
    </w:p>
    <w:p w14:paraId="0C4AA2A9">
      <w:pPr>
        <w:pStyle w:val="41"/>
        <w:spacing w:line="480" w:lineRule="exact"/>
        <w:ind w:left="0" w:leftChars="0" w:firstLine="0" w:firstLineChars="0"/>
        <w:jc w:val="center"/>
        <w:rPr>
          <w:rFonts w:hint="default" w:eastAsia="宋体"/>
          <w:b/>
          <w:bCs/>
          <w:color w:val="000000" w:themeColor="text1"/>
          <w:kern w:val="10"/>
          <w:sz w:val="24"/>
          <w:szCs w:val="24"/>
          <w:lang w:val="en-US" w:eastAsia="zh-CN"/>
          <w14:textFill>
            <w14:solidFill>
              <w14:schemeClr w14:val="tx1"/>
            </w14:solidFill>
          </w14:textFill>
        </w:rPr>
      </w:pPr>
      <w:r>
        <w:rPr>
          <w:rFonts w:hint="eastAsia"/>
          <w:b/>
          <w:bCs/>
          <w:color w:val="000000" w:themeColor="text1"/>
          <w:kern w:val="10"/>
          <w:sz w:val="24"/>
          <w:szCs w:val="24"/>
          <w:lang w:val="en-US" w:eastAsia="zh-CN"/>
          <w14:textFill>
            <w14:solidFill>
              <w14:schemeClr w14:val="tx1"/>
            </w14:solidFill>
          </w14:textFill>
        </w:rPr>
        <w:t xml:space="preserve">表1.3-14    </w:t>
      </w:r>
      <w:r>
        <w:rPr>
          <w:rFonts w:hint="eastAsia" w:ascii="Times New Roman" w:hAnsi="Times New Roman" w:cs="Times New Roman"/>
          <w:b/>
          <w:bCs/>
          <w:color w:val="000000" w:themeColor="text1"/>
          <w:highlight w:val="none"/>
          <w:lang w:val="en-US" w:eastAsia="zh-CN"/>
          <w14:textFill>
            <w14:solidFill>
              <w14:schemeClr w14:val="tx1"/>
            </w14:solidFill>
          </w14:textFill>
        </w:rPr>
        <w:t>与《</w:t>
      </w:r>
      <w:r>
        <w:rPr>
          <w:rFonts w:hint="eastAsia" w:cs="Times New Roman"/>
          <w:b/>
          <w:bCs/>
          <w:color w:val="000000" w:themeColor="text1"/>
          <w:highlight w:val="none"/>
          <w:lang w:val="en-US" w:eastAsia="zh-CN"/>
          <w14:textFill>
            <w14:solidFill>
              <w14:schemeClr w14:val="tx1"/>
            </w14:solidFill>
          </w14:textFill>
        </w:rPr>
        <w:t>“</w:t>
      </w:r>
      <w:r>
        <w:rPr>
          <w:rFonts w:hint="eastAsia" w:ascii="Times New Roman" w:hAnsi="Times New Roman" w:cs="Times New Roman"/>
          <w:b/>
          <w:bCs/>
          <w:color w:val="000000" w:themeColor="text1"/>
          <w:highlight w:val="none"/>
          <w:lang w:val="en-US" w:eastAsia="zh-CN"/>
          <w14:textFill>
            <w14:solidFill>
              <w14:schemeClr w14:val="tx1"/>
            </w14:solidFill>
          </w14:textFill>
        </w:rPr>
        <w:t>十四五</w:t>
      </w:r>
      <w:r>
        <w:rPr>
          <w:rFonts w:hint="eastAsia" w:cs="Times New Roman"/>
          <w:b/>
          <w:bCs/>
          <w:color w:val="000000" w:themeColor="text1"/>
          <w:highlight w:val="none"/>
          <w:lang w:val="en-US" w:eastAsia="zh-CN"/>
          <w14:textFill>
            <w14:solidFill>
              <w14:schemeClr w14:val="tx1"/>
            </w14:solidFill>
          </w14:textFill>
        </w:rPr>
        <w:t>”</w:t>
      </w:r>
      <w:r>
        <w:rPr>
          <w:rFonts w:hint="eastAsia" w:ascii="Times New Roman" w:hAnsi="Times New Roman" w:cs="Times New Roman"/>
          <w:b/>
          <w:bCs/>
          <w:color w:val="000000" w:themeColor="text1"/>
          <w:highlight w:val="none"/>
          <w:lang w:val="en-US" w:eastAsia="zh-CN"/>
          <w14:textFill>
            <w14:solidFill>
              <w14:schemeClr w14:val="tx1"/>
            </w14:solidFill>
          </w14:textFill>
        </w:rPr>
        <w:t>工业绿色发展规划》符合性分析一览表</w:t>
      </w:r>
    </w:p>
    <w:tbl>
      <w:tblPr>
        <w:tblStyle w:val="33"/>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59"/>
        <w:gridCol w:w="3487"/>
        <w:gridCol w:w="681"/>
      </w:tblGrid>
      <w:tr w14:paraId="2ACDA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56" w:type="pct"/>
            <w:noWrap w:val="0"/>
            <w:vAlign w:val="center"/>
          </w:tcPr>
          <w:p w14:paraId="09F0F796">
            <w:pPr>
              <w:spacing w:line="360" w:lineRule="exact"/>
              <w:ind w:firstLine="0" w:firstLineChars="0"/>
              <w:jc w:val="center"/>
              <w:rPr>
                <w:rFonts w:hint="eastAsia" w:eastAsia="宋体"/>
                <w:b/>
                <w:bCs/>
                <w:color w:val="000000" w:themeColor="text1"/>
                <w:sz w:val="21"/>
                <w:lang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有关规定</w:t>
            </w:r>
          </w:p>
        </w:tc>
        <w:tc>
          <w:tcPr>
            <w:tcW w:w="2044" w:type="pct"/>
            <w:noWrap w:val="0"/>
            <w:vAlign w:val="center"/>
          </w:tcPr>
          <w:p w14:paraId="1A0E2296">
            <w:pPr>
              <w:spacing w:line="360" w:lineRule="exact"/>
              <w:ind w:firstLine="0" w:firstLineChars="0"/>
              <w:jc w:val="center"/>
              <w:rPr>
                <w:rFonts w:hint="eastAsia" w:eastAsia="宋体"/>
                <w:b/>
                <w:bCs/>
                <w:color w:val="000000" w:themeColor="text1"/>
                <w:sz w:val="21"/>
                <w:lang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项目情况</w:t>
            </w:r>
          </w:p>
        </w:tc>
        <w:tc>
          <w:tcPr>
            <w:tcW w:w="399" w:type="pct"/>
            <w:noWrap w:val="0"/>
            <w:vAlign w:val="center"/>
          </w:tcPr>
          <w:p w14:paraId="75CF2436">
            <w:pPr>
              <w:spacing w:line="360" w:lineRule="exact"/>
              <w:ind w:firstLine="0" w:firstLineChars="0"/>
              <w:jc w:val="center"/>
              <w:rPr>
                <w:rFonts w:hint="default"/>
                <w:b/>
                <w:bCs/>
                <w:color w:val="000000" w:themeColor="text1"/>
                <w:sz w:val="21"/>
                <w:lang w:val="en-US"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结论</w:t>
            </w:r>
          </w:p>
        </w:tc>
      </w:tr>
      <w:tr w14:paraId="6EEDF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56" w:type="pct"/>
            <w:noWrap w:val="0"/>
            <w:vAlign w:val="center"/>
          </w:tcPr>
          <w:p w14:paraId="30EBB9E1">
            <w:pPr>
              <w:spacing w:line="360" w:lineRule="exact"/>
              <w:ind w:firstLine="0" w:firstLineChars="0"/>
              <w:jc w:val="center"/>
              <w:rPr>
                <w:rFonts w:hint="eastAsia" w:eastAsia="宋体"/>
                <w:color w:val="000000" w:themeColor="text1"/>
                <w:sz w:val="21"/>
                <w:lang w:eastAsia="zh-CN"/>
                <w14:textFill>
                  <w14:solidFill>
                    <w14:schemeClr w14:val="tx1"/>
                  </w14:solidFill>
                </w14:textFill>
              </w:rPr>
            </w:pPr>
            <w:r>
              <w:rPr>
                <w:rFonts w:hint="eastAsia" w:eastAsia="宋体"/>
                <w:color w:val="000000" w:themeColor="text1"/>
                <w:sz w:val="21"/>
                <w:lang w:val="en-US" w:eastAsia="zh-CN"/>
                <w14:textFill>
                  <w14:solidFill>
                    <w14:schemeClr w14:val="tx1"/>
                  </w14:solidFill>
                </w14:textFill>
              </w:rPr>
              <w:t>碳排放强度持续下降。单位工业增加值二氧化碳排放降低18%，钢铁、有色金属、建材等重点行业碳排放总量控制取得阶段性成果。</w:t>
            </w:r>
          </w:p>
        </w:tc>
        <w:tc>
          <w:tcPr>
            <w:tcW w:w="2044" w:type="pct"/>
            <w:noWrap w:val="0"/>
            <w:vAlign w:val="center"/>
          </w:tcPr>
          <w:p w14:paraId="160BAA2F">
            <w:pPr>
              <w:spacing w:line="360" w:lineRule="exact"/>
              <w:ind w:firstLine="0" w:firstLine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本项目</w:t>
            </w:r>
            <w:r>
              <w:rPr>
                <w:rFonts w:hint="eastAsia" w:eastAsia="宋体"/>
                <w:color w:val="000000" w:themeColor="text1"/>
                <w:sz w:val="21"/>
                <w:lang w:val="en-US" w:eastAsia="zh-CN"/>
                <w14:textFill>
                  <w14:solidFill>
                    <w14:schemeClr w14:val="tx1"/>
                  </w14:solidFill>
                </w14:textFill>
              </w:rPr>
              <w:t>为</w:t>
            </w:r>
            <w:r>
              <w:rPr>
                <w:rFonts w:hint="eastAsia"/>
                <w:color w:val="000000" w:themeColor="text1"/>
                <w:sz w:val="21"/>
                <w:lang w:val="en-US" w:eastAsia="zh-CN"/>
                <w14:textFill>
                  <w14:solidFill>
                    <w14:schemeClr w14:val="tx1"/>
                  </w14:solidFill>
                </w14:textFill>
              </w:rPr>
              <w:t>选矿改建项目</w:t>
            </w:r>
            <w:r>
              <w:rPr>
                <w:rFonts w:hint="eastAsia" w:eastAsia="宋体"/>
                <w:color w:val="000000" w:themeColor="text1"/>
                <w:sz w:val="21"/>
                <w:lang w:val="en-US" w:eastAsia="zh-CN"/>
                <w14:textFill>
                  <w14:solidFill>
                    <w14:schemeClr w14:val="tx1"/>
                  </w14:solidFill>
                </w14:textFill>
              </w:rPr>
              <w:t>，项目不排放二氧化碳，能够有效控制碳排放总量控制。</w:t>
            </w:r>
          </w:p>
        </w:tc>
        <w:tc>
          <w:tcPr>
            <w:tcW w:w="399" w:type="pct"/>
            <w:noWrap w:val="0"/>
            <w:vAlign w:val="center"/>
          </w:tcPr>
          <w:p w14:paraId="101F6B60">
            <w:pPr>
              <w:spacing w:line="360" w:lineRule="exact"/>
              <w:ind w:firstLine="0" w:firstLine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符合</w:t>
            </w:r>
          </w:p>
        </w:tc>
      </w:tr>
      <w:tr w14:paraId="5BC48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56" w:type="pct"/>
            <w:noWrap w:val="0"/>
            <w:vAlign w:val="center"/>
          </w:tcPr>
          <w:p w14:paraId="28EE8EEC">
            <w:pPr>
              <w:spacing w:line="36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污染物排放强度显著下降。有害物质源头管控能力持续加强，清洁生产水平显著提高，重点行业主要污染物排放强度降低10%。</w:t>
            </w:r>
          </w:p>
        </w:tc>
        <w:tc>
          <w:tcPr>
            <w:tcW w:w="2044" w:type="pct"/>
            <w:noWrap w:val="0"/>
            <w:vAlign w:val="center"/>
          </w:tcPr>
          <w:p w14:paraId="0BDDFAF9">
            <w:pPr>
              <w:numPr>
                <w:ilvl w:val="0"/>
                <w:numId w:val="0"/>
              </w:numPr>
              <w:spacing w:line="360" w:lineRule="exact"/>
              <w:ind w:leftChars="0"/>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本</w:t>
            </w:r>
            <w:r>
              <w:rPr>
                <w:rFonts w:hint="eastAsia"/>
                <w:color w:val="000000" w:themeColor="text1"/>
                <w:sz w:val="21"/>
                <w:lang w:val="en-US" w:eastAsia="zh-CN"/>
                <w14:textFill>
                  <w14:solidFill>
                    <w14:schemeClr w14:val="tx1"/>
                  </w14:solidFill>
                </w14:textFill>
              </w:rPr>
              <w:t>项目</w:t>
            </w:r>
            <w:r>
              <w:rPr>
                <w:rFonts w:hint="eastAsia" w:ascii="Times New Roman" w:hAnsi="Times New Roman" w:eastAsia="宋体" w:cs="Times New Roman"/>
                <w:color w:val="000000" w:themeColor="text1"/>
                <w:sz w:val="21"/>
                <w:lang w:val="en-US" w:eastAsia="zh-CN"/>
                <w14:textFill>
                  <w14:solidFill>
                    <w14:schemeClr w14:val="tx1"/>
                  </w14:solidFill>
                </w14:textFill>
              </w:rPr>
              <w:t>产生的废气、废水、固废均得到有效处置，污染物排放强度降低，并且对源头管控能力加强，均达到清洁生产国内先进水平。</w:t>
            </w:r>
          </w:p>
        </w:tc>
        <w:tc>
          <w:tcPr>
            <w:tcW w:w="399" w:type="pct"/>
            <w:noWrap w:val="0"/>
            <w:vAlign w:val="center"/>
          </w:tcPr>
          <w:p w14:paraId="7B35F343">
            <w:pPr>
              <w:spacing w:line="360" w:lineRule="exact"/>
              <w:ind w:firstLine="0" w:firstLineChars="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符合</w:t>
            </w:r>
          </w:p>
        </w:tc>
      </w:tr>
      <w:tr w14:paraId="33A11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56" w:type="pct"/>
            <w:noWrap w:val="0"/>
            <w:vAlign w:val="center"/>
          </w:tcPr>
          <w:p w14:paraId="51C7DFDA">
            <w:pPr>
              <w:spacing w:line="36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能源效率稳步提升。规模以上工业单位增加值能耗降低13.5%，粗钢、水泥、乙烯等重点工业产品单耗达到世界先进水平。</w:t>
            </w:r>
          </w:p>
        </w:tc>
        <w:tc>
          <w:tcPr>
            <w:tcW w:w="2044" w:type="pct"/>
            <w:noWrap w:val="0"/>
            <w:vAlign w:val="center"/>
          </w:tcPr>
          <w:p w14:paraId="66EC6679">
            <w:pPr>
              <w:spacing w:line="360" w:lineRule="exact"/>
              <w:ind w:firstLine="0" w:firstLine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本项目</w:t>
            </w:r>
            <w:r>
              <w:rPr>
                <w:rFonts w:hint="eastAsia" w:eastAsia="宋体"/>
                <w:color w:val="000000" w:themeColor="text1"/>
                <w:sz w:val="21"/>
                <w:lang w:val="en-US" w:eastAsia="zh-CN"/>
                <w14:textFill>
                  <w14:solidFill>
                    <w14:schemeClr w14:val="tx1"/>
                  </w14:solidFill>
                </w14:textFill>
              </w:rPr>
              <w:t>供电能满足</w:t>
            </w:r>
            <w:r>
              <w:rPr>
                <w:rFonts w:hint="eastAsia"/>
                <w:color w:val="000000" w:themeColor="text1"/>
                <w:sz w:val="21"/>
                <w:lang w:val="en-US" w:eastAsia="zh-CN"/>
                <w14:textFill>
                  <w14:solidFill>
                    <w14:schemeClr w14:val="tx1"/>
                  </w14:solidFill>
                </w14:textFill>
              </w:rPr>
              <w:t>项目</w:t>
            </w:r>
            <w:r>
              <w:rPr>
                <w:rFonts w:hint="eastAsia" w:eastAsia="宋体"/>
                <w:color w:val="000000" w:themeColor="text1"/>
                <w:sz w:val="21"/>
                <w:lang w:val="en-US" w:eastAsia="zh-CN"/>
                <w14:textFill>
                  <w14:solidFill>
                    <w14:schemeClr w14:val="tx1"/>
                  </w14:solidFill>
                </w14:textFill>
              </w:rPr>
              <w:t>所需，</w:t>
            </w:r>
            <w:r>
              <w:rPr>
                <w:rFonts w:hint="eastAsia"/>
                <w:color w:val="000000" w:themeColor="text1"/>
                <w:sz w:val="21"/>
                <w:lang w:val="en-US" w:eastAsia="zh-CN"/>
                <w14:textFill>
                  <w14:solidFill>
                    <w14:schemeClr w14:val="tx1"/>
                  </w14:solidFill>
                </w14:textFill>
              </w:rPr>
              <w:t>未建设燃煤供暖设施</w:t>
            </w:r>
            <w:r>
              <w:rPr>
                <w:rFonts w:hint="default" w:eastAsia="宋体"/>
                <w:color w:val="000000" w:themeColor="text1"/>
                <w:sz w:val="21"/>
                <w:lang w:val="en-US" w:eastAsia="zh-CN"/>
                <w14:textFill>
                  <w14:solidFill>
                    <w14:schemeClr w14:val="tx1"/>
                  </w14:solidFill>
                </w14:textFill>
              </w:rPr>
              <w:t>。</w:t>
            </w:r>
            <w:r>
              <w:rPr>
                <w:rFonts w:hint="default" w:ascii="Times New Roman" w:hAnsi="Times New Roman" w:cs="Times New Roman"/>
                <w:color w:val="000000" w:themeColor="text1"/>
                <w:sz w:val="21"/>
                <w14:textFill>
                  <w14:solidFill>
                    <w14:schemeClr w14:val="tx1"/>
                  </w14:solidFill>
                </w14:textFill>
              </w:rPr>
              <w:t>工业产品能耗可满足国家二级水平。</w:t>
            </w:r>
          </w:p>
        </w:tc>
        <w:tc>
          <w:tcPr>
            <w:tcW w:w="399" w:type="pct"/>
            <w:noWrap w:val="0"/>
            <w:vAlign w:val="center"/>
          </w:tcPr>
          <w:p w14:paraId="74E3E48D">
            <w:pPr>
              <w:spacing w:line="360" w:lineRule="exact"/>
              <w:ind w:firstLine="0" w:firstLineChars="0"/>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符合</w:t>
            </w:r>
          </w:p>
        </w:tc>
      </w:tr>
      <w:tr w14:paraId="6D3A7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56" w:type="pct"/>
            <w:noWrap w:val="0"/>
            <w:vAlign w:val="center"/>
          </w:tcPr>
          <w:p w14:paraId="42CF9221">
            <w:pPr>
              <w:spacing w:line="360" w:lineRule="exact"/>
              <w:ind w:firstLine="0" w:firstLineChars="0"/>
              <w:jc w:val="center"/>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资源利用水平明显提高。重点行业资源产出率持续提升，大宗工业固废综合利用率达到57%，主要再生资源回收利用量达到4.8亿吨。单位工业增加值用水量降低16%。</w:t>
            </w:r>
          </w:p>
        </w:tc>
        <w:tc>
          <w:tcPr>
            <w:tcW w:w="2044" w:type="pct"/>
            <w:noWrap w:val="0"/>
            <w:vAlign w:val="center"/>
          </w:tcPr>
          <w:p w14:paraId="22067C5B">
            <w:pPr>
              <w:spacing w:line="360" w:lineRule="exact"/>
              <w:ind w:firstLine="0" w:firstLineChars="0"/>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本项目尾矿回水</w:t>
            </w:r>
            <w:r>
              <w:rPr>
                <w:rFonts w:hint="eastAsia" w:eastAsia="宋体"/>
                <w:color w:val="000000" w:themeColor="text1"/>
                <w:sz w:val="21"/>
                <w:lang w:val="en-US" w:eastAsia="zh-CN"/>
                <w14:textFill>
                  <w14:solidFill>
                    <w14:schemeClr w14:val="tx1"/>
                  </w14:solidFill>
                </w14:textFill>
              </w:rPr>
              <w:t>回用于选矿工艺，不外排</w:t>
            </w:r>
            <w:r>
              <w:rPr>
                <w:rFonts w:hint="eastAsia"/>
                <w:color w:val="000000" w:themeColor="text1"/>
                <w:sz w:val="21"/>
                <w:lang w:val="en-US" w:eastAsia="zh-CN"/>
                <w14:textFill>
                  <w14:solidFill>
                    <w14:schemeClr w14:val="tx1"/>
                  </w14:solidFill>
                </w14:textFill>
              </w:rPr>
              <w:t>；</w:t>
            </w:r>
            <w:r>
              <w:rPr>
                <w:rFonts w:hint="eastAsia"/>
                <w:color w:val="000000" w:themeColor="text1"/>
                <w:sz w:val="21"/>
                <w:highlight w:val="none"/>
                <w:lang w:val="en-US" w:eastAsia="zh-CN"/>
                <w14:textFill>
                  <w14:solidFill>
                    <w14:schemeClr w14:val="tx1"/>
                  </w14:solidFill>
                </w14:textFill>
              </w:rPr>
              <w:t>矿山因不具备充填开采的条件，目前正在积极开展尾砂综合利用途径的研究，尾砂综合利用率可达20%</w:t>
            </w:r>
            <w:r>
              <w:rPr>
                <w:rFonts w:hint="eastAsia"/>
                <w:color w:val="000000" w:themeColor="text1"/>
                <w:sz w:val="21"/>
                <w:highlight w:val="none"/>
                <w:lang w:eastAsia="zh-CN"/>
                <w14:textFill>
                  <w14:solidFill>
                    <w14:schemeClr w14:val="tx1"/>
                  </w14:solidFill>
                </w14:textFill>
              </w:rPr>
              <w:t>。</w:t>
            </w:r>
          </w:p>
        </w:tc>
        <w:tc>
          <w:tcPr>
            <w:tcW w:w="399" w:type="pct"/>
            <w:noWrap w:val="0"/>
            <w:vAlign w:val="center"/>
          </w:tcPr>
          <w:p w14:paraId="10F052E7">
            <w:pPr>
              <w:spacing w:line="360" w:lineRule="exact"/>
              <w:ind w:firstLine="0" w:firstLineChars="0"/>
              <w:jc w:val="center"/>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符合</w:t>
            </w:r>
          </w:p>
        </w:tc>
      </w:tr>
      <w:tr w14:paraId="52EA5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56" w:type="pct"/>
            <w:noWrap w:val="0"/>
            <w:vAlign w:val="center"/>
          </w:tcPr>
          <w:p w14:paraId="7352D254">
            <w:pPr>
              <w:spacing w:line="360" w:lineRule="exact"/>
              <w:ind w:firstLine="0" w:firstLineChars="0"/>
              <w:jc w:val="center"/>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绿色制造体系日趋完善。重点行业和重点区域绿色制造体系基本建成，完善工业绿色低碳标准体系，推广万种绿色产品，绿色环保产业产值达到11万亿元。布局建设一批标准、技术公共服务平台。</w:t>
            </w:r>
          </w:p>
        </w:tc>
        <w:tc>
          <w:tcPr>
            <w:tcW w:w="2044" w:type="pct"/>
            <w:noWrap w:val="0"/>
            <w:vAlign w:val="center"/>
          </w:tcPr>
          <w:p w14:paraId="0CE70FFD">
            <w:pPr>
              <w:spacing w:line="360" w:lineRule="exact"/>
              <w:ind w:firstLine="0" w:firstLine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本项目</w:t>
            </w:r>
            <w:r>
              <w:rPr>
                <w:rFonts w:hint="eastAsia" w:eastAsia="宋体"/>
                <w:color w:val="000000" w:themeColor="text1"/>
                <w:sz w:val="21"/>
                <w:lang w:val="en-US" w:eastAsia="zh-CN"/>
                <w14:textFill>
                  <w14:solidFill>
                    <w14:schemeClr w14:val="tx1"/>
                  </w14:solidFill>
                </w14:textFill>
              </w:rPr>
              <w:t>应建立绿色制造体系，完善绿色低碳标准体系。</w:t>
            </w:r>
          </w:p>
        </w:tc>
        <w:tc>
          <w:tcPr>
            <w:tcW w:w="399" w:type="pct"/>
            <w:noWrap w:val="0"/>
            <w:vAlign w:val="center"/>
          </w:tcPr>
          <w:p w14:paraId="17A1647A">
            <w:pPr>
              <w:spacing w:line="360" w:lineRule="exact"/>
              <w:ind w:firstLine="0" w:firstLineChars="0"/>
              <w:jc w:val="center"/>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符合</w:t>
            </w:r>
          </w:p>
        </w:tc>
      </w:tr>
    </w:tbl>
    <w:p w14:paraId="75507682">
      <w:pPr>
        <w:pStyle w:val="41"/>
        <w:spacing w:line="480" w:lineRule="exact"/>
        <w:ind w:firstLine="480"/>
        <w:rPr>
          <w:rFonts w:hint="eastAsia"/>
          <w:color w:val="000000" w:themeColor="text1"/>
          <w:kern w:val="10"/>
          <w:sz w:val="24"/>
          <w:szCs w:val="24"/>
          <w14:textFill>
            <w14:solidFill>
              <w14:schemeClr w14:val="tx1"/>
            </w14:solidFill>
          </w14:textFill>
        </w:rPr>
      </w:pPr>
      <w:r>
        <w:rPr>
          <w:rFonts w:hint="eastAsia"/>
          <w:color w:val="000000" w:themeColor="text1"/>
          <w:lang w:val="en-US" w:eastAsia="zh-CN"/>
          <w14:textFill>
            <w14:solidFill>
              <w14:schemeClr w14:val="tx1"/>
            </w14:solidFill>
          </w14:textFill>
        </w:rPr>
        <w:t>综上，本项目符合</w:t>
      </w:r>
      <w:r>
        <w:rPr>
          <w:rFonts w:hint="eastAsia" w:ascii="Times New Roman" w:hAnsi="Times New Roman" w:eastAsia="宋体"/>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十四五</w:t>
      </w:r>
      <w:r>
        <w:rPr>
          <w:rFonts w:hint="eastAsia"/>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工业绿色发展规划》</w:t>
      </w:r>
      <w:r>
        <w:rPr>
          <w:rFonts w:hint="eastAsia"/>
          <w:color w:val="000000" w:themeColor="text1"/>
          <w:lang w:val="en-US" w:eastAsia="zh-CN"/>
          <w14:textFill>
            <w14:solidFill>
              <w14:schemeClr w14:val="tx1"/>
            </w14:solidFill>
          </w14:textFill>
        </w:rPr>
        <w:t>的相关要求。</w:t>
      </w:r>
    </w:p>
    <w:p w14:paraId="47BFDB89">
      <w:pPr>
        <w:pStyle w:val="5"/>
        <w:spacing w:before="0" w:after="0" w:line="480" w:lineRule="exact"/>
        <w:ind w:firstLine="482"/>
        <w:rPr>
          <w:rFonts w:hint="eastAsia" w:ascii="Times New Roman" w:hAnsi="Times New Roman"/>
          <w:bCs w:val="0"/>
          <w:color w:val="000000" w:themeColor="text1"/>
          <w:kern w:val="2"/>
          <w:szCs w:val="24"/>
          <w:lang w:val="en-US" w:eastAsia="zh-CN"/>
          <w14:textFill>
            <w14:solidFill>
              <w14:schemeClr w14:val="tx1"/>
            </w14:solidFill>
          </w14:textFill>
        </w:rPr>
      </w:pPr>
      <w:r>
        <w:rPr>
          <w:rFonts w:hint="eastAsia"/>
          <w:bCs w:val="0"/>
          <w:color w:val="000000" w:themeColor="text1"/>
          <w:kern w:val="2"/>
          <w:szCs w:val="24"/>
          <w:lang w:val="en-US" w:eastAsia="zh-CN"/>
          <w14:textFill>
            <w14:solidFill>
              <w14:schemeClr w14:val="tx1"/>
            </w14:solidFill>
          </w14:textFill>
        </w:rPr>
        <w:t>1.3.2.2</w:t>
      </w:r>
      <w:r>
        <w:rPr>
          <w:rFonts w:hint="eastAsia" w:ascii="Times New Roman" w:hAnsi="Times New Roman"/>
          <w:bCs w:val="0"/>
          <w:color w:val="000000" w:themeColor="text1"/>
          <w:kern w:val="2"/>
          <w:szCs w:val="24"/>
          <w14:textFill>
            <w14:solidFill>
              <w14:schemeClr w14:val="tx1"/>
            </w14:solidFill>
          </w14:textFill>
        </w:rPr>
        <w:t>与</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新疆生态功能区划</w:t>
      </w:r>
      <w:r>
        <w:rPr>
          <w:color w:val="000000" w:themeColor="text1"/>
          <w14:textFill>
            <w14:solidFill>
              <w14:schemeClr w14:val="tx1"/>
            </w14:solidFill>
          </w14:textFill>
        </w:rPr>
        <w:t>》的符合性分析</w:t>
      </w:r>
    </w:p>
    <w:p w14:paraId="4DB0AE3C">
      <w:pPr>
        <w:pStyle w:val="41"/>
        <w:spacing w:line="480" w:lineRule="exact"/>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根据</w:t>
      </w:r>
      <w:r>
        <w:rPr>
          <w:color w:val="000000" w:themeColor="text1"/>
          <w:sz w:val="24"/>
          <w:szCs w:val="24"/>
          <w14:textFill>
            <w14:solidFill>
              <w14:schemeClr w14:val="tx1"/>
            </w14:solidFill>
          </w14:textFill>
        </w:rPr>
        <w:t>《新疆生态功能区划》</w:t>
      </w:r>
      <w:r>
        <w:rPr>
          <w:rFonts w:hint="eastAsia"/>
          <w:color w:val="000000" w:themeColor="text1"/>
          <w:sz w:val="24"/>
          <w:szCs w:val="24"/>
          <w14:textFill>
            <w14:solidFill>
              <w14:schemeClr w14:val="tx1"/>
            </w14:solidFill>
          </w14:textFill>
        </w:rPr>
        <w:t>，本项目位于Ⅲ天山山地温性草原、森林生态区——Ⅲ</w:t>
      </w:r>
      <w:r>
        <w:rPr>
          <w:rFonts w:hint="eastAsia"/>
          <w:color w:val="000000" w:themeColor="text1"/>
          <w:sz w:val="24"/>
          <w:szCs w:val="24"/>
          <w:vertAlign w:val="subscript"/>
          <w14:textFill>
            <w14:solidFill>
              <w14:schemeClr w14:val="tx1"/>
            </w14:solidFill>
          </w14:textFill>
        </w:rPr>
        <w:t>4</w:t>
      </w:r>
      <w:r>
        <w:rPr>
          <w:rFonts w:hint="eastAsia"/>
          <w:color w:val="000000" w:themeColor="text1"/>
          <w:sz w:val="24"/>
          <w:szCs w:val="24"/>
          <w14:textFill>
            <w14:solidFill>
              <w14:schemeClr w14:val="tx1"/>
            </w14:solidFill>
          </w14:textFill>
        </w:rPr>
        <w:t>天山南坡吐鲁番—哈密盆地戈壁荒漠、绿洲农业生态亚区——5</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嘎顺—南湖戈壁荒漠风蚀敏感生态功能区。</w:t>
      </w:r>
      <w:r>
        <w:rPr>
          <w:rFonts w:hint="eastAsia"/>
          <w:color w:val="000000" w:themeColor="text1"/>
          <w:sz w:val="24"/>
          <w:szCs w:val="24"/>
          <w:highlight w:val="none"/>
          <w14:textFill>
            <w14:solidFill>
              <w14:schemeClr w14:val="tx1"/>
            </w14:solidFill>
          </w14:textFill>
        </w:rPr>
        <w:t>该生态功能区的主要生态服务功能、生态敏感因子、主要生态环境问题和主要保护目标见</w:t>
      </w:r>
      <w:r>
        <w:rPr>
          <w:rFonts w:hint="eastAsia"/>
          <w:color w:val="000000" w:themeColor="text1"/>
          <w:sz w:val="24"/>
          <w:szCs w:val="24"/>
          <w:highlight w:val="none"/>
          <w:lang w:val="en-US" w:eastAsia="zh-CN"/>
          <w14:textFill>
            <w14:solidFill>
              <w14:schemeClr w14:val="tx1"/>
            </w14:solidFill>
          </w14:textFill>
        </w:rPr>
        <w:t>下表。</w:t>
      </w:r>
      <w:r>
        <w:rPr>
          <w:rFonts w:hint="eastAsia"/>
          <w:color w:val="000000" w:themeColor="text1"/>
          <w:sz w:val="24"/>
          <w:szCs w:val="24"/>
          <w:highlight w:val="none"/>
          <w14:textFill>
            <w14:solidFill>
              <w14:schemeClr w14:val="tx1"/>
            </w14:solidFill>
          </w14:textFill>
        </w:rPr>
        <w:t>生态功能区划图见图</w:t>
      </w:r>
      <w:r>
        <w:rPr>
          <w:rFonts w:hint="eastAsia"/>
          <w:color w:val="000000" w:themeColor="text1"/>
          <w:sz w:val="24"/>
          <w:szCs w:val="24"/>
          <w:highlight w:val="none"/>
          <w:lang w:val="en-US" w:eastAsia="zh-CN"/>
          <w14:textFill>
            <w14:solidFill>
              <w14:schemeClr w14:val="tx1"/>
            </w14:solidFill>
          </w14:textFill>
        </w:rPr>
        <w:t>1.3-1。</w:t>
      </w:r>
    </w:p>
    <w:p w14:paraId="0F82E989">
      <w:pPr>
        <w:spacing w:line="480" w:lineRule="exact"/>
        <w:jc w:val="center"/>
        <w:rPr>
          <w:b/>
          <w:color w:val="000000" w:themeColor="text1"/>
          <w:kern w:val="0"/>
          <w:sz w:val="24"/>
          <w:szCs w:val="24"/>
          <w:highlight w:val="none"/>
          <w:lang w:val="zh-CN" w:bidi="ar"/>
          <w14:textFill>
            <w14:solidFill>
              <w14:schemeClr w14:val="tx1"/>
            </w14:solidFill>
          </w14:textFill>
        </w:rPr>
      </w:pPr>
      <w:r>
        <w:rPr>
          <w:b/>
          <w:color w:val="000000" w:themeColor="text1"/>
          <w:kern w:val="0"/>
          <w:sz w:val="24"/>
          <w:szCs w:val="24"/>
          <w:highlight w:val="none"/>
          <w:lang w:val="zh-CN" w:bidi="ar"/>
          <w14:textFill>
            <w14:solidFill>
              <w14:schemeClr w14:val="tx1"/>
            </w14:solidFill>
          </w14:textFill>
        </w:rPr>
        <w:t>表</w:t>
      </w:r>
      <w:r>
        <w:rPr>
          <w:rFonts w:hint="eastAsia"/>
          <w:b/>
          <w:color w:val="000000" w:themeColor="text1"/>
          <w:kern w:val="0"/>
          <w:sz w:val="24"/>
          <w:szCs w:val="24"/>
          <w:highlight w:val="none"/>
          <w:lang w:val="en-US" w:eastAsia="zh-CN" w:bidi="ar"/>
          <w14:textFill>
            <w14:solidFill>
              <w14:schemeClr w14:val="tx1"/>
            </w14:solidFill>
          </w14:textFill>
        </w:rPr>
        <w:t>1.3-15</w:t>
      </w:r>
      <w:r>
        <w:rPr>
          <w:b/>
          <w:color w:val="000000" w:themeColor="text1"/>
          <w:kern w:val="0"/>
          <w:sz w:val="24"/>
          <w:szCs w:val="24"/>
          <w:highlight w:val="none"/>
          <w:lang w:bidi="ar"/>
          <w14:textFill>
            <w14:solidFill>
              <w14:schemeClr w14:val="tx1"/>
            </w14:solidFill>
          </w14:textFill>
        </w:rPr>
        <w:t xml:space="preserve">   </w:t>
      </w:r>
      <w:r>
        <w:rPr>
          <w:b/>
          <w:color w:val="000000" w:themeColor="text1"/>
          <w:kern w:val="0"/>
          <w:sz w:val="24"/>
          <w:szCs w:val="24"/>
          <w:highlight w:val="none"/>
          <w:lang w:val="zh-CN" w:bidi="ar"/>
          <w14:textFill>
            <w14:solidFill>
              <w14:schemeClr w14:val="tx1"/>
            </w14:solidFill>
          </w14:textFill>
        </w:rPr>
        <w:t xml:space="preserve"> 项目所在区域生态功能区划</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0"/>
        <w:gridCol w:w="1739"/>
        <w:gridCol w:w="5621"/>
      </w:tblGrid>
      <w:tr w14:paraId="105B79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restart"/>
            <w:noWrap w:val="0"/>
            <w:vAlign w:val="center"/>
          </w:tcPr>
          <w:p w14:paraId="0C65A086">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生态功能分区单元</w:t>
            </w:r>
          </w:p>
        </w:tc>
        <w:tc>
          <w:tcPr>
            <w:tcW w:w="1739" w:type="dxa"/>
            <w:noWrap w:val="0"/>
            <w:vAlign w:val="center"/>
          </w:tcPr>
          <w:p w14:paraId="49A77DC0">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生态区</w:t>
            </w:r>
          </w:p>
        </w:tc>
        <w:tc>
          <w:tcPr>
            <w:tcW w:w="5621" w:type="dxa"/>
            <w:noWrap w:val="0"/>
            <w:vAlign w:val="center"/>
          </w:tcPr>
          <w:p w14:paraId="13C47401">
            <w:pPr>
              <w:pStyle w:val="45"/>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Ⅲ天山山地温性草原、森林生态区</w:t>
            </w:r>
          </w:p>
        </w:tc>
      </w:tr>
      <w:tr w14:paraId="2B97D4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continue"/>
            <w:noWrap w:val="0"/>
            <w:vAlign w:val="center"/>
          </w:tcPr>
          <w:p w14:paraId="5F5AA758">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p>
        </w:tc>
        <w:tc>
          <w:tcPr>
            <w:tcW w:w="1739" w:type="dxa"/>
            <w:noWrap w:val="0"/>
            <w:vAlign w:val="center"/>
          </w:tcPr>
          <w:p w14:paraId="352B35A3">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生态亚区</w:t>
            </w:r>
          </w:p>
        </w:tc>
        <w:tc>
          <w:tcPr>
            <w:tcW w:w="5621" w:type="dxa"/>
            <w:noWrap w:val="0"/>
            <w:vAlign w:val="center"/>
          </w:tcPr>
          <w:p w14:paraId="4C62C9ED">
            <w:pPr>
              <w:pStyle w:val="45"/>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Ⅲ4天山南坡吐鲁番—哈密盆地戈壁荒漠、绿洲农业生态亚区</w:t>
            </w:r>
          </w:p>
        </w:tc>
      </w:tr>
      <w:tr w14:paraId="7C9DC7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continue"/>
            <w:noWrap w:val="0"/>
            <w:vAlign w:val="center"/>
          </w:tcPr>
          <w:p w14:paraId="7D106D8B">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p>
        </w:tc>
        <w:tc>
          <w:tcPr>
            <w:tcW w:w="1739" w:type="dxa"/>
            <w:noWrap w:val="0"/>
            <w:vAlign w:val="center"/>
          </w:tcPr>
          <w:p w14:paraId="30F714CB">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生态功能区</w:t>
            </w:r>
          </w:p>
        </w:tc>
        <w:tc>
          <w:tcPr>
            <w:tcW w:w="5621" w:type="dxa"/>
            <w:noWrap w:val="0"/>
            <w:vAlign w:val="center"/>
          </w:tcPr>
          <w:p w14:paraId="2250A7E6">
            <w:pPr>
              <w:pStyle w:val="45"/>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53.嘎顺—南湖戈壁荒漠风蚀敏感生态功能区</w:t>
            </w:r>
          </w:p>
        </w:tc>
      </w:tr>
      <w:tr w14:paraId="794790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4856D85D">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隶属行政区</w:t>
            </w:r>
          </w:p>
        </w:tc>
        <w:tc>
          <w:tcPr>
            <w:tcW w:w="5621" w:type="dxa"/>
            <w:noWrap w:val="0"/>
            <w:vAlign w:val="center"/>
          </w:tcPr>
          <w:p w14:paraId="5A52B655">
            <w:pPr>
              <w:pStyle w:val="45"/>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哈密市</w:t>
            </w:r>
          </w:p>
        </w:tc>
      </w:tr>
      <w:tr w14:paraId="177FD6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243BFC5D">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主要生态服务功能</w:t>
            </w:r>
          </w:p>
        </w:tc>
        <w:tc>
          <w:tcPr>
            <w:tcW w:w="5621" w:type="dxa"/>
            <w:noWrap w:val="0"/>
            <w:vAlign w:val="center"/>
          </w:tcPr>
          <w:p w14:paraId="32AA31AA">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荒漠化控制、生物多样性维护、矿产资源开发</w:t>
            </w:r>
          </w:p>
        </w:tc>
      </w:tr>
      <w:tr w14:paraId="6C9E5A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62496C1E">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主要生态环境问题</w:t>
            </w:r>
          </w:p>
        </w:tc>
        <w:tc>
          <w:tcPr>
            <w:tcW w:w="5621" w:type="dxa"/>
            <w:noWrap w:val="0"/>
            <w:vAlign w:val="center"/>
          </w:tcPr>
          <w:p w14:paraId="6DFC073B">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风沙危害铁路公路、地表形态破坏</w:t>
            </w:r>
          </w:p>
        </w:tc>
      </w:tr>
      <w:tr w14:paraId="376B13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71F535C1">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主要生态敏感因子、敏感程度</w:t>
            </w:r>
          </w:p>
        </w:tc>
        <w:tc>
          <w:tcPr>
            <w:tcW w:w="5621" w:type="dxa"/>
            <w:noWrap w:val="0"/>
            <w:vAlign w:val="center"/>
          </w:tcPr>
          <w:p w14:paraId="20AA5807">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生物多样性及其生境高度敏感，土壤侵蚀极度敏感，土地沙漠化轻度敏感</w:t>
            </w:r>
          </w:p>
        </w:tc>
      </w:tr>
      <w:tr w14:paraId="5051CA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2354B9DC">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主要保护目标</w:t>
            </w:r>
          </w:p>
        </w:tc>
        <w:tc>
          <w:tcPr>
            <w:tcW w:w="5621" w:type="dxa"/>
            <w:noWrap w:val="0"/>
            <w:vAlign w:val="center"/>
          </w:tcPr>
          <w:p w14:paraId="34DEBDF4">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保护砾幕、保护野生动植物、保护铁路公路、保护戈壁泉眼</w:t>
            </w:r>
          </w:p>
        </w:tc>
      </w:tr>
      <w:tr w14:paraId="765D1C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15ABFBB1">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主要保护措施</w:t>
            </w:r>
          </w:p>
        </w:tc>
        <w:tc>
          <w:tcPr>
            <w:tcW w:w="5621" w:type="dxa"/>
            <w:noWrap w:val="0"/>
            <w:vAlign w:val="center"/>
          </w:tcPr>
          <w:p w14:paraId="5D35BAEB">
            <w:pPr>
              <w:pStyle w:val="45"/>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减少公路管道工程破坏地表植被、保护矿区生态、铁路公路沿线防风固沙</w:t>
            </w:r>
          </w:p>
        </w:tc>
      </w:tr>
      <w:tr w14:paraId="0A30EA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0A16EC1C">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适宜发展方向</w:t>
            </w:r>
          </w:p>
        </w:tc>
        <w:tc>
          <w:tcPr>
            <w:tcW w:w="5621" w:type="dxa"/>
            <w:noWrap w:val="0"/>
            <w:vAlign w:val="center"/>
          </w:tcPr>
          <w:p w14:paraId="49AC7708">
            <w:pPr>
              <w:pStyle w:val="45"/>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保护荒漠自然景观，维护生态平衡</w:t>
            </w:r>
          </w:p>
        </w:tc>
      </w:tr>
    </w:tbl>
    <w:p w14:paraId="4C976184">
      <w:pPr>
        <w:pStyle w:val="41"/>
        <w:spacing w:line="480" w:lineRule="exact"/>
        <w:ind w:firstLine="480"/>
        <w:rPr>
          <w:rFonts w:hint="eastAsia" w:eastAsia="宋体"/>
          <w:color w:val="000000" w:themeColor="text1"/>
          <w:kern w:val="10"/>
          <w:sz w:val="24"/>
          <w:szCs w:val="24"/>
          <w:lang w:val="en-US" w:eastAsia="zh-CN"/>
          <w14:textFill>
            <w14:solidFill>
              <w14:schemeClr w14:val="tx1"/>
            </w14:solidFill>
          </w14:textFill>
        </w:rPr>
      </w:pPr>
      <w:r>
        <w:rPr>
          <w:rFonts w:hint="eastAsia"/>
          <w:color w:val="000000" w:themeColor="text1"/>
          <w14:textFill>
            <w14:solidFill>
              <w14:schemeClr w14:val="tx1"/>
            </w14:solidFill>
          </w14:textFill>
        </w:rPr>
        <w:t>为保护区域生态环境，本次评价提出：</w:t>
      </w:r>
      <w:r>
        <w:rPr>
          <w:color w:val="000000" w:themeColor="text1"/>
          <w14:textFill>
            <w14:solidFill>
              <w14:schemeClr w14:val="tx1"/>
            </w14:solidFill>
          </w14:textFill>
        </w:rPr>
        <w:t>利用场内外现有道路，定期进行道路修筑与养护，不得另外建设便道，不得占用其他临时占地</w:t>
      </w:r>
      <w:r>
        <w:rPr>
          <w:rFonts w:hint="eastAsia"/>
          <w:color w:val="000000" w:themeColor="text1"/>
          <w14:textFill>
            <w14:solidFill>
              <w14:schemeClr w14:val="tx1"/>
            </w14:solidFill>
          </w14:textFill>
        </w:rPr>
        <w:t>；加强尾矿库及应急设施的建设及管理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在采取各项生态保护措施的前提下，项目建设不会超出生态承载力，对区域生态影响可接受，生态环境保护目标与保护措施与</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新疆生态功能区划</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相协调。</w:t>
      </w:r>
      <w:r>
        <w:rPr>
          <w:rFonts w:hint="eastAsia" w:cs="Times New Roman"/>
          <w:color w:val="000000" w:themeColor="text1"/>
          <w:szCs w:val="24"/>
          <w14:textFill>
            <w14:solidFill>
              <w14:schemeClr w14:val="tx1"/>
            </w14:solidFill>
          </w14:textFill>
        </w:rPr>
        <w:t>综上所述，本项目符合</w:t>
      </w:r>
      <w:r>
        <w:rPr>
          <w:rFonts w:cs="Times New Roman"/>
          <w:color w:val="000000" w:themeColor="text1"/>
          <w:szCs w:val="24"/>
          <w14:textFill>
            <w14:solidFill>
              <w14:schemeClr w14:val="tx1"/>
            </w14:solidFill>
          </w14:textFill>
        </w:rPr>
        <w:t>《新疆生态功能区划》</w:t>
      </w:r>
      <w:r>
        <w:rPr>
          <w:rFonts w:hint="eastAsia" w:cs="Times New Roman"/>
          <w:color w:val="000000" w:themeColor="text1"/>
          <w:szCs w:val="24"/>
          <w14:textFill>
            <w14:solidFill>
              <w14:schemeClr w14:val="tx1"/>
            </w14:solidFill>
          </w14:textFill>
        </w:rPr>
        <w:t>相关内容</w:t>
      </w:r>
      <w:r>
        <w:rPr>
          <w:rFonts w:hint="eastAsia" w:cs="Times New Roman"/>
          <w:color w:val="000000" w:themeColor="text1"/>
          <w:szCs w:val="24"/>
          <w:lang w:eastAsia="zh-CN"/>
          <w14:textFill>
            <w14:solidFill>
              <w14:schemeClr w14:val="tx1"/>
            </w14:solidFill>
          </w14:textFill>
        </w:rPr>
        <w:t>。</w:t>
      </w:r>
    </w:p>
    <w:p w14:paraId="7F0EB0CC">
      <w:pPr>
        <w:pStyle w:val="5"/>
        <w:ind w:firstLine="482"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与《新疆维吾尔自治区国民经济和社会发展第十五个五年规划纲要》的符合性</w:t>
      </w:r>
    </w:p>
    <w:p w14:paraId="09DA5EF1">
      <w:pPr>
        <w:pStyle w:val="41"/>
        <w:spacing w:line="480" w:lineRule="exact"/>
        <w:ind w:firstLine="480"/>
        <w:rPr>
          <w:rFonts w:hint="default" w:eastAsia="宋体"/>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2026年3月25日，</w:t>
      </w:r>
      <w:r>
        <w:rPr>
          <w:rFonts w:hint="eastAsia"/>
          <w:color w:val="000000" w:themeColor="text1"/>
          <w14:textFill>
            <w14:solidFill>
              <w14:schemeClr w14:val="tx1"/>
            </w14:solidFill>
          </w14:textFill>
        </w:rPr>
        <w:t>新疆维吾尔自治区</w:t>
      </w:r>
      <w:r>
        <w:rPr>
          <w:rFonts w:hint="eastAsia"/>
          <w:color w:val="000000" w:themeColor="text1"/>
          <w:lang w:val="en-US" w:eastAsia="zh-CN"/>
          <w14:textFill>
            <w14:solidFill>
              <w14:schemeClr w14:val="tx1"/>
            </w14:solidFill>
          </w14:textFill>
        </w:rPr>
        <w:t>人民政府发布了</w:t>
      </w:r>
      <w:r>
        <w:rPr>
          <w:rFonts w:hint="eastAsia"/>
          <w:color w:val="000000" w:themeColor="text1"/>
          <w14:textFill>
            <w14:solidFill>
              <w14:schemeClr w14:val="tx1"/>
            </w14:solidFill>
          </w14:textFill>
        </w:rPr>
        <w:t>《新疆维吾尔自治区国民经济和社会发展第十五个五年规划纲要》</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根据该纲要第二篇第六章 加快建设绿色矿业及加工产业集群，“统筹矿产资源勘查、开发与保护，逐步形成涵盖矿产资源全生命周期的绿色矿业全产业链。</w:t>
      </w:r>
      <w:r>
        <w:rPr>
          <w:rFonts w:hint="eastAsia"/>
          <w:b/>
          <w:bCs/>
          <w:color w:val="000000" w:themeColor="text1"/>
          <w:lang w:val="en-US" w:eastAsia="zh-CN"/>
          <w14:textFill>
            <w14:solidFill>
              <w14:schemeClr w14:val="tx1"/>
            </w14:solidFill>
          </w14:textFill>
        </w:rPr>
        <w:t>加强矿产资源勘查。</w:t>
      </w:r>
      <w:r>
        <w:rPr>
          <w:rFonts w:hint="eastAsia"/>
          <w:color w:val="000000" w:themeColor="text1"/>
          <w:lang w:val="en-US" w:eastAsia="zh-CN"/>
          <w14:textFill>
            <w14:solidFill>
              <w14:schemeClr w14:val="tx1"/>
            </w14:solidFill>
          </w14:textFill>
        </w:rPr>
        <w:t>实施新一轮找矿突破战略行动，围绕阿尔泰、东—西准噶尔、东—西—西南天山、昆仑—阿尔金等重点成矿区带，开展重要矿产资源调查评价和勘探开发。尽快形成一批战略性矿产和优势矿产勘查后备区、战略接续区，新发现一批找矿靶区和矿产地。持续整治‘圈而不探’行为，加快矿产资源‘探转采’步伐。完善多元化地质勘查投入模式，推动国有资本、鼓励社会资本加大勘查投入。</w:t>
      </w:r>
      <w:r>
        <w:rPr>
          <w:rFonts w:hint="eastAsia"/>
          <w:b/>
          <w:bCs/>
          <w:color w:val="000000" w:themeColor="text1"/>
          <w:lang w:val="en-US" w:eastAsia="zh-CN"/>
          <w14:textFill>
            <w14:solidFill>
              <w14:schemeClr w14:val="tx1"/>
            </w14:solidFill>
          </w14:textFill>
        </w:rPr>
        <w:t>有序开发利用矿产资源。</w:t>
      </w:r>
      <w:r>
        <w:rPr>
          <w:rFonts w:hint="eastAsia"/>
          <w:color w:val="000000" w:themeColor="text1"/>
          <w:lang w:val="en-US" w:eastAsia="zh-CN"/>
          <w14:textFill>
            <w14:solidFill>
              <w14:schemeClr w14:val="tx1"/>
            </w14:solidFill>
          </w14:textFill>
        </w:rPr>
        <w:t>以铝、铜、钛、锂、金、铅锌等金属为重点，提升金属冶炼加工水平，推进产业链向下游高价值材料延伸，推动形成‘采—选—冶—精深加工—消费应用’为一体的矿产资源开发产业链。</w:t>
      </w:r>
      <w:r>
        <w:rPr>
          <w:rFonts w:hint="eastAsia"/>
          <w:b/>
          <w:bCs/>
          <w:color w:val="000000" w:themeColor="text1"/>
          <w:lang w:val="en-US" w:eastAsia="zh-CN"/>
          <w14:textFill>
            <w14:solidFill>
              <w14:schemeClr w14:val="tx1"/>
            </w14:solidFill>
          </w14:textFill>
        </w:rPr>
        <w:t>加快矿业绿色智能转型。</w:t>
      </w:r>
      <w:r>
        <w:rPr>
          <w:rFonts w:hint="eastAsia"/>
          <w:color w:val="000000" w:themeColor="text1"/>
          <w:lang w:val="en-US" w:eastAsia="zh-CN"/>
          <w14:textFill>
            <w14:solidFill>
              <w14:schemeClr w14:val="tx1"/>
            </w14:solidFill>
          </w14:textFill>
        </w:rPr>
        <w:t>分类有序推进绿色矿山建设，发展矿业循环经济，新建矿山全部按照绿色矿山标准建设，在产矿山加快绿色低碳技术工艺装备改造升级。压实生产矿山生态修复主体责任，加强矿山生态保护修复。到2030年，90%以上持证在产的大中型矿山达到绿色矿山标准要求。推动矿山智能化建设，建立矿山智能化技术、装备、管理体系，提升矿山本质安全水平。”</w:t>
      </w:r>
    </w:p>
    <w:p w14:paraId="3361A54C">
      <w:pPr>
        <w:pStyle w:val="41"/>
        <w:spacing w:line="480" w:lineRule="exact"/>
        <w:ind w:firstLine="480"/>
        <w:rPr>
          <w:rFonts w:hint="default" w:eastAsia="宋体"/>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本项目选矿厂及尾矿库将按照</w:t>
      </w:r>
      <w:r>
        <w:rPr>
          <w:rFonts w:hint="eastAsia"/>
          <w:color w:val="000000" w:themeColor="text1"/>
          <w:lang w:val="en-US" w:eastAsia="zh-CN"/>
          <w14:textFill>
            <w14:solidFill>
              <w14:schemeClr w14:val="tx1"/>
            </w14:solidFill>
          </w14:textFill>
        </w:rPr>
        <w:t>绿色矿山标准建设并改造升级，加强矿山生态保护修复，建立矿山智能化技术、装备、管理体系，提升矿山本质安全水平。综上，本项目符合</w:t>
      </w:r>
      <w:r>
        <w:rPr>
          <w:rFonts w:hint="eastAsia"/>
          <w:color w:val="000000" w:themeColor="text1"/>
          <w14:textFill>
            <w14:solidFill>
              <w14:schemeClr w14:val="tx1"/>
            </w14:solidFill>
          </w14:textFill>
        </w:rPr>
        <w:t>《新疆维吾尔自治区国民经济和社会发展第十五个五年规划纲要》</w:t>
      </w:r>
      <w:r>
        <w:rPr>
          <w:rFonts w:hint="eastAsia"/>
          <w:color w:val="000000" w:themeColor="text1"/>
          <w:lang w:eastAsia="zh-CN"/>
          <w14:textFill>
            <w14:solidFill>
              <w14:schemeClr w14:val="tx1"/>
            </w14:solidFill>
          </w14:textFill>
        </w:rPr>
        <w:t>的</w:t>
      </w:r>
      <w:r>
        <w:rPr>
          <w:rFonts w:hint="eastAsia"/>
          <w:color w:val="000000" w:themeColor="text1"/>
          <w:lang w:val="en-US" w:eastAsia="zh-CN"/>
          <w14:textFill>
            <w14:solidFill>
              <w14:schemeClr w14:val="tx1"/>
            </w14:solidFill>
          </w14:textFill>
        </w:rPr>
        <w:t>相关要求。</w:t>
      </w:r>
    </w:p>
    <w:p w14:paraId="7857BE4A">
      <w:pPr>
        <w:pStyle w:val="5"/>
        <w:ind w:firstLine="482"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与</w:t>
      </w:r>
      <w:r>
        <w:rPr>
          <w:rFonts w:hint="eastAsia" w:ascii="Times New Roman" w:hAnsi="Times New Roman"/>
          <w:bCs w:val="0"/>
          <w:color w:val="000000" w:themeColor="text1"/>
          <w:kern w:val="2"/>
          <w:szCs w:val="24"/>
          <w:lang w:val="en-US" w:eastAsia="zh-CN"/>
          <w14:textFill>
            <w14:solidFill>
              <w14:schemeClr w14:val="tx1"/>
            </w14:solidFill>
          </w14:textFill>
        </w:rPr>
        <w:t>《新疆维吾尔自治区矿产资源总体规划（2021</w:t>
      </w:r>
      <w:r>
        <w:rPr>
          <w:rFonts w:hint="eastAsia"/>
          <w:bCs w:val="0"/>
          <w:color w:val="000000" w:themeColor="text1"/>
          <w:kern w:val="2"/>
          <w:szCs w:val="24"/>
          <w:lang w:val="en-US" w:eastAsia="zh-CN"/>
          <w14:textFill>
            <w14:solidFill>
              <w14:schemeClr w14:val="tx1"/>
            </w14:solidFill>
          </w14:textFill>
        </w:rPr>
        <w:t>-</w:t>
      </w:r>
      <w:r>
        <w:rPr>
          <w:rFonts w:hint="eastAsia" w:ascii="Times New Roman" w:hAnsi="Times New Roman"/>
          <w:bCs w:val="0"/>
          <w:color w:val="000000" w:themeColor="text1"/>
          <w:kern w:val="2"/>
          <w:szCs w:val="24"/>
          <w:lang w:val="en-US" w:eastAsia="zh-CN"/>
          <w14:textFill>
            <w14:solidFill>
              <w14:schemeClr w14:val="tx1"/>
            </w14:solidFill>
          </w14:textFill>
        </w:rPr>
        <w:t>2025年）》符合性分析</w:t>
      </w:r>
    </w:p>
    <w:p w14:paraId="6BB2C862">
      <w:pPr>
        <w:keepNext w:val="0"/>
        <w:keepLines w:val="0"/>
        <w:pageBreakBefore w:val="0"/>
        <w:kinsoku/>
        <w:wordWrap/>
        <w:overflowPunct w:val="0"/>
        <w:topLinePunct/>
        <w:autoSpaceDE/>
        <w:autoSpaceDN/>
        <w:bidi w:val="0"/>
        <w:adjustRightInd/>
        <w:snapToGrid/>
        <w:ind w:firstLine="480"/>
        <w:jc w:val="both"/>
        <w:textAlignment w:val="auto"/>
        <w:rPr>
          <w:rFonts w:hint="eastAsia"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eastAsia="宋体"/>
          <w:color w:val="000000" w:themeColor="text1"/>
          <w:sz w:val="24"/>
          <w:lang w:val="en-US" w:eastAsia="zh-CN"/>
          <w14:textFill>
            <w14:solidFill>
              <w14:schemeClr w14:val="tx1"/>
            </w14:solidFill>
          </w14:textFill>
        </w:rPr>
        <w:t>根据《新疆维吾尔自治区矿产资源总体规划（2021</w:t>
      </w:r>
      <w:r>
        <w:rPr>
          <w:rFonts w:hint="eastAsia"/>
          <w:color w:val="000000" w:themeColor="text1"/>
          <w:sz w:val="24"/>
          <w:lang w:val="en-US"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2025年）》勘查开发保护区域布局，东天山能源矿产、黑色及有色金属勘查开发区：以油气、煤、铜、镍、铁、金、硅质原料等矿产资源勘查开发为主。加大吐哈盆地的油气、非常规能源勘查，建设具有新疆特色的煤化工、煤电产业。加大吐鲁番、</w:t>
      </w:r>
      <w:r>
        <w:rPr>
          <w:rFonts w:hint="eastAsia" w:ascii="Times New Roman" w:hAnsi="Times New Roman" w:eastAsia="宋体"/>
          <w:b/>
          <w:bCs/>
          <w:color w:val="000000" w:themeColor="text1"/>
          <w:sz w:val="24"/>
          <w:lang w:val="en-US" w:eastAsia="zh-CN"/>
          <w14:textFill>
            <w14:solidFill>
              <w14:schemeClr w14:val="tx1"/>
            </w14:solidFill>
          </w14:textFill>
        </w:rPr>
        <w:t>哈密市铁</w:t>
      </w:r>
      <w:r>
        <w:rPr>
          <w:rFonts w:hint="eastAsia" w:ascii="Times New Roman" w:hAnsi="Times New Roman" w:eastAsia="宋体"/>
          <w:color w:val="000000" w:themeColor="text1"/>
          <w:sz w:val="24"/>
          <w:lang w:val="en-US" w:eastAsia="zh-CN"/>
          <w14:textFill>
            <w14:solidFill>
              <w14:schemeClr w14:val="tx1"/>
            </w14:solidFill>
          </w14:textFill>
        </w:rPr>
        <w:t>、锰、铜、镍、金、银、钒、钛、镁、硅质原料等矿产资源的勘查与开发，新增铁资源量2000万吨、铜60万吨、镍5万吨、金20吨、硅质原料2000万吨。服务</w:t>
      </w:r>
      <w:r>
        <w:rPr>
          <w:rFonts w:hint="eastAsia"/>
          <w:color w:val="000000" w:themeColor="text1"/>
          <w:sz w:val="24"/>
          <w:lang w:val="en-US"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疆电外送</w:t>
      </w:r>
      <w:r>
        <w:rPr>
          <w:rFonts w:hint="eastAsia"/>
          <w:color w:val="000000" w:themeColor="text1"/>
          <w:sz w:val="24"/>
          <w:lang w:val="en-US"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硅基新材料</w:t>
      </w:r>
      <w:r>
        <w:rPr>
          <w:rFonts w:hint="eastAsia"/>
          <w:color w:val="000000" w:themeColor="text1"/>
          <w:sz w:val="24"/>
          <w:lang w:val="en-US"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产业与</w:t>
      </w:r>
      <w:r>
        <w:rPr>
          <w:rFonts w:hint="eastAsia"/>
          <w:color w:val="000000" w:themeColor="text1"/>
          <w:sz w:val="24"/>
          <w:lang w:val="en-US"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钛镁深加工产业园</w:t>
      </w:r>
      <w:r>
        <w:rPr>
          <w:rFonts w:hint="eastAsia"/>
          <w:color w:val="000000" w:themeColor="text1"/>
          <w:sz w:val="24"/>
          <w:lang w:val="en-US"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建设。</w:t>
      </w:r>
    </w:p>
    <w:p w14:paraId="43631658">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本项目为铁矿选矿改建项目，</w:t>
      </w:r>
      <w:r>
        <w:rPr>
          <w:rFonts w:hint="eastAsia" w:eastAsia="宋体"/>
          <w:color w:val="000000" w:themeColor="text1"/>
          <w:sz w:val="24"/>
          <w:lang w:val="en-US" w:eastAsia="zh-CN"/>
          <w14:textFill>
            <w14:solidFill>
              <w14:schemeClr w14:val="tx1"/>
            </w14:solidFill>
          </w14:textFill>
        </w:rPr>
        <w:t>属于</w:t>
      </w:r>
      <w:r>
        <w:rPr>
          <w:rFonts w:hint="eastAsia" w:ascii="Times New Roman" w:hAnsi="Times New Roman" w:eastAsia="宋体"/>
          <w:color w:val="000000" w:themeColor="text1"/>
          <w:sz w:val="24"/>
          <w:lang w:val="en-US" w:eastAsia="zh-CN"/>
          <w14:textFill>
            <w14:solidFill>
              <w14:schemeClr w14:val="tx1"/>
            </w14:solidFill>
          </w14:textFill>
        </w:rPr>
        <w:t>黑色金属矿采选业，符合《新疆维吾尔自治区矿产资源总体规划（2021</w:t>
      </w:r>
      <w:r>
        <w:rPr>
          <w:rFonts w:hint="eastAsia"/>
          <w:color w:val="000000" w:themeColor="text1"/>
          <w:sz w:val="24"/>
          <w:lang w:val="en-US"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2025年）》的相关要求。</w:t>
      </w:r>
    </w:p>
    <w:p w14:paraId="60B53659">
      <w:pPr>
        <w:pStyle w:val="5"/>
        <w:ind w:firstLine="482"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与</w:t>
      </w:r>
      <w:r>
        <w:rPr>
          <w:rFonts w:hint="default" w:ascii="Times New Roman" w:hAnsi="Times New Roman" w:cs="Times New Roman"/>
          <w:b/>
          <w:bCs/>
          <w:color w:val="000000" w:themeColor="text1"/>
          <w14:textFill>
            <w14:solidFill>
              <w14:schemeClr w14:val="tx1"/>
            </w14:solidFill>
          </w14:textFill>
        </w:rPr>
        <w:t>《新疆维吾尔自治区矿产资源总体规划（20</w:t>
      </w:r>
      <w:r>
        <w:rPr>
          <w:rFonts w:hint="eastAsia" w:ascii="Times New Roman" w:hAnsi="Times New Roman" w:cs="Times New Roman"/>
          <w:b/>
          <w:bCs/>
          <w:color w:val="000000" w:themeColor="text1"/>
          <w:lang w:val="en-US" w:eastAsia="zh-CN"/>
          <w14:textFill>
            <w14:solidFill>
              <w14:schemeClr w14:val="tx1"/>
            </w14:solidFill>
          </w14:textFill>
        </w:rPr>
        <w:t>21</w:t>
      </w:r>
      <w:r>
        <w:rPr>
          <w:rFonts w:hint="eastAsia" w:cs="Times New Roman"/>
          <w:b/>
          <w:bCs/>
          <w:color w:val="000000" w:themeColor="text1"/>
          <w:lang w:val="en-US"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20</w:t>
      </w:r>
      <w:r>
        <w:rPr>
          <w:rFonts w:hint="eastAsia" w:ascii="Times New Roman" w:hAnsi="Times New Roman" w:cs="Times New Roman"/>
          <w:b/>
          <w:bCs/>
          <w:color w:val="000000" w:themeColor="text1"/>
          <w:lang w:val="en-US" w:eastAsia="zh-CN"/>
          <w14:textFill>
            <w14:solidFill>
              <w14:schemeClr w14:val="tx1"/>
            </w14:solidFill>
          </w14:textFill>
        </w:rPr>
        <w:t>25</w:t>
      </w:r>
      <w:r>
        <w:rPr>
          <w:rFonts w:hint="default" w:ascii="Times New Roman" w:hAnsi="Times New Roman" w:cs="Times New Roman"/>
          <w:b/>
          <w:bCs/>
          <w:color w:val="000000" w:themeColor="text1"/>
          <w14:textFill>
            <w14:solidFill>
              <w14:schemeClr w14:val="tx1"/>
            </w14:solidFill>
          </w14:textFill>
        </w:rPr>
        <w:t>年）</w:t>
      </w:r>
      <w:r>
        <w:rPr>
          <w:rFonts w:hint="eastAsia" w:cs="Times New Roman"/>
          <w:b/>
          <w:bCs/>
          <w:color w:val="000000" w:themeColor="text1"/>
          <w:lang w:val="en-US" w:eastAsia="zh-CN"/>
          <w14:textFill>
            <w14:solidFill>
              <w14:schemeClr w14:val="tx1"/>
            </w14:solidFill>
          </w14:textFill>
        </w:rPr>
        <w:t>环境影响报告书</w:t>
      </w:r>
      <w:r>
        <w:rPr>
          <w:rFonts w:hint="default" w:ascii="Times New Roman" w:hAnsi="Times New Roman"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及其审查意见符合性分析</w:t>
      </w:r>
    </w:p>
    <w:p w14:paraId="1D70E04B">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《新疆维吾尔自治区矿产资源总体规划（2021-2025年）环境影响报告书》于2021年9月编制完成，2022年8月取得生态环境部出具的该规划的审查意见（环审〔2022〕124号）。</w:t>
      </w:r>
    </w:p>
    <w:p w14:paraId="67CF006E">
      <w:pPr>
        <w:pStyle w:val="41"/>
        <w:spacing w:line="480" w:lineRule="exact"/>
        <w:ind w:firstLine="480"/>
        <w:rPr>
          <w:rFonts w:hint="eastAsia"/>
          <w:color w:val="000000" w:themeColor="text1"/>
          <w:kern w:val="0"/>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本项目</w:t>
      </w:r>
      <w:r>
        <w:rPr>
          <w:rFonts w:hint="eastAsia"/>
          <w:color w:val="000000" w:themeColor="text1"/>
          <w:kern w:val="0"/>
          <w:highlight w:val="none"/>
          <w:lang w:val="en-US" w:eastAsia="zh-CN"/>
          <w14:textFill>
            <w14:solidFill>
              <w14:schemeClr w14:val="tx1"/>
            </w14:solidFill>
          </w14:textFill>
        </w:rPr>
        <w:t>与《新疆维</w:t>
      </w:r>
      <w:r>
        <w:rPr>
          <w:rFonts w:hint="eastAsia"/>
          <w:color w:val="000000" w:themeColor="text1"/>
          <w:kern w:val="0"/>
          <w:lang w:val="en-US" w:eastAsia="zh-CN"/>
          <w14:textFill>
            <w14:solidFill>
              <w14:schemeClr w14:val="tx1"/>
            </w14:solidFill>
          </w14:textFill>
        </w:rPr>
        <w:t>吾尔自治区矿产资源总体规划（2021-2025年）环境影响报告书》的相符性见下表。</w:t>
      </w:r>
    </w:p>
    <w:p w14:paraId="27D2708F">
      <w:pPr>
        <w:pStyle w:val="41"/>
        <w:spacing w:line="480" w:lineRule="exact"/>
        <w:ind w:left="0" w:leftChars="0" w:firstLine="0" w:firstLineChars="0"/>
        <w:jc w:val="center"/>
        <w:rPr>
          <w:rFonts w:hint="default"/>
          <w:b/>
          <w:bCs/>
          <w:color w:val="000000" w:themeColor="text1"/>
          <w:kern w:val="10"/>
          <w:sz w:val="24"/>
          <w:szCs w:val="24"/>
          <w:lang w:val="en-US" w:eastAsia="zh-CN"/>
          <w14:textFill>
            <w14:solidFill>
              <w14:schemeClr w14:val="tx1"/>
            </w14:solidFill>
          </w14:textFill>
        </w:rPr>
      </w:pPr>
      <w:r>
        <w:rPr>
          <w:rFonts w:hint="eastAsia"/>
          <w:b/>
          <w:bCs/>
          <w:color w:val="000000" w:themeColor="text1"/>
          <w:kern w:val="0"/>
          <w:lang w:val="en-US" w:eastAsia="zh-CN"/>
          <w14:textFill>
            <w14:solidFill>
              <w14:schemeClr w14:val="tx1"/>
            </w14:solidFill>
          </w14:textFill>
        </w:rPr>
        <w:t xml:space="preserve">表1.3-16    </w:t>
      </w:r>
      <w:r>
        <w:rPr>
          <w:rFonts w:hint="eastAsia"/>
          <w:b/>
          <w:bCs/>
          <w:color w:val="000000" w:themeColor="text1"/>
          <w:kern w:val="10"/>
          <w:sz w:val="24"/>
          <w:szCs w:val="24"/>
          <w:lang w:val="en-US" w:eastAsia="zh-CN"/>
          <w14:textFill>
            <w14:solidFill>
              <w14:schemeClr w14:val="tx1"/>
            </w14:solidFill>
          </w14:textFill>
        </w:rPr>
        <w:t>本项目</w:t>
      </w:r>
      <w:r>
        <w:rPr>
          <w:rFonts w:hint="eastAsia"/>
          <w:b/>
          <w:bCs/>
          <w:color w:val="000000" w:themeColor="text1"/>
          <w:kern w:val="0"/>
          <w:highlight w:val="none"/>
          <w:lang w:val="en-US" w:eastAsia="zh-CN"/>
          <w14:textFill>
            <w14:solidFill>
              <w14:schemeClr w14:val="tx1"/>
            </w14:solidFill>
          </w14:textFill>
        </w:rPr>
        <w:t>与《新疆维</w:t>
      </w:r>
      <w:r>
        <w:rPr>
          <w:rFonts w:hint="eastAsia"/>
          <w:b/>
          <w:bCs/>
          <w:color w:val="000000" w:themeColor="text1"/>
          <w:kern w:val="0"/>
          <w:lang w:val="en-US" w:eastAsia="zh-CN"/>
          <w14:textFill>
            <w14:solidFill>
              <w14:schemeClr w14:val="tx1"/>
            </w14:solidFill>
          </w14:textFill>
        </w:rPr>
        <w:t>吾尔自治区矿产资源总体规划（2021-2025年）环境影响报告书》的相符性一览表</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46"/>
        <w:gridCol w:w="2596"/>
        <w:gridCol w:w="680"/>
      </w:tblGrid>
      <w:tr w14:paraId="5BE6E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77" w:type="pct"/>
            <w:noWrap w:val="0"/>
            <w:vAlign w:val="center"/>
          </w:tcPr>
          <w:p w14:paraId="14D256C7">
            <w:pPr>
              <w:spacing w:line="360" w:lineRule="exact"/>
              <w:ind w:firstLine="0" w:firstLineChars="0"/>
              <w:jc w:val="center"/>
              <w:rPr>
                <w:rFonts w:hint="eastAsia" w:eastAsia="宋体"/>
                <w:b/>
                <w:bCs/>
                <w:color w:val="000000" w:themeColor="text1"/>
                <w:sz w:val="21"/>
                <w:lang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相关内容</w:t>
            </w:r>
          </w:p>
        </w:tc>
        <w:tc>
          <w:tcPr>
            <w:tcW w:w="1523" w:type="pct"/>
            <w:noWrap w:val="0"/>
            <w:vAlign w:val="center"/>
          </w:tcPr>
          <w:p w14:paraId="69520092">
            <w:pPr>
              <w:spacing w:line="360" w:lineRule="exact"/>
              <w:ind w:firstLine="0" w:firstLineChars="0"/>
              <w:jc w:val="center"/>
              <w:rPr>
                <w:rFonts w:hint="eastAsia" w:eastAsia="宋体"/>
                <w:b/>
                <w:bCs/>
                <w:color w:val="000000" w:themeColor="text1"/>
                <w:sz w:val="21"/>
                <w:lang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项目情况</w:t>
            </w:r>
          </w:p>
        </w:tc>
        <w:tc>
          <w:tcPr>
            <w:tcW w:w="399" w:type="pct"/>
            <w:noWrap w:val="0"/>
            <w:vAlign w:val="center"/>
          </w:tcPr>
          <w:p w14:paraId="28FD449D">
            <w:pPr>
              <w:spacing w:line="360" w:lineRule="exact"/>
              <w:ind w:firstLine="0" w:firstLineChars="0"/>
              <w:jc w:val="center"/>
              <w:rPr>
                <w:rFonts w:hint="default"/>
                <w:b/>
                <w:bCs/>
                <w:color w:val="000000" w:themeColor="text1"/>
                <w:sz w:val="21"/>
                <w:lang w:val="en-US" w:eastAsia="zh-CN"/>
                <w14:textFill>
                  <w14:solidFill>
                    <w14:schemeClr w14:val="tx1"/>
                  </w14:solidFill>
                </w14:textFill>
              </w:rPr>
            </w:pPr>
            <w:r>
              <w:rPr>
                <w:rFonts w:hint="eastAsia"/>
                <w:b/>
                <w:bCs/>
                <w:color w:val="000000" w:themeColor="text1"/>
                <w:sz w:val="21"/>
                <w:lang w:val="en-US" w:eastAsia="zh-CN"/>
                <w14:textFill>
                  <w14:solidFill>
                    <w14:schemeClr w14:val="tx1"/>
                  </w14:solidFill>
                </w14:textFill>
              </w:rPr>
              <w:t>结论</w:t>
            </w:r>
          </w:p>
        </w:tc>
      </w:tr>
      <w:tr w14:paraId="24B14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77" w:type="pct"/>
            <w:noWrap w:val="0"/>
            <w:vAlign w:val="center"/>
          </w:tcPr>
          <w:p w14:paraId="34B10D04">
            <w:pPr>
              <w:spacing w:line="360" w:lineRule="exact"/>
              <w:ind w:firstLine="0" w:firstLineChars="0"/>
              <w:jc w:val="center"/>
              <w:rPr>
                <w:rFonts w:hint="default" w:eastAsia="宋体"/>
                <w:color w:val="000000" w:themeColor="text1"/>
                <w:sz w:val="21"/>
                <w:lang w:val="en-US" w:eastAsia="zh-CN"/>
                <w14:textFill>
                  <w14:solidFill>
                    <w14:schemeClr w14:val="tx1"/>
                  </w14:solidFill>
                </w14:textFill>
              </w:rPr>
            </w:pPr>
            <w:r>
              <w:rPr>
                <w:rFonts w:hint="default" w:eastAsia="宋体"/>
                <w:color w:val="000000" w:themeColor="text1"/>
                <w:sz w:val="21"/>
                <w:lang w:val="en-US" w:eastAsia="zh-CN"/>
                <w14:textFill>
                  <w14:solidFill>
                    <w14:schemeClr w14:val="tx1"/>
                  </w14:solidFill>
                </w14:textFill>
              </w:rPr>
              <w:t>排土场及尾矿库产生的扬尘可根据当地的风速、矿渣进行估算。根据相关资料类比调查，当风速大于6.2m/s时，尾矿干滩在风力的作用下开始起尘。同时排土场及尾矿库采用覆土植被、圈围和表面固定后，产生的扬尘量将大大降低。</w:t>
            </w:r>
          </w:p>
        </w:tc>
        <w:tc>
          <w:tcPr>
            <w:tcW w:w="1523" w:type="pct"/>
            <w:noWrap w:val="0"/>
            <w:vAlign w:val="center"/>
          </w:tcPr>
          <w:p w14:paraId="388C176B">
            <w:pPr>
              <w:spacing w:line="360" w:lineRule="exact"/>
              <w:ind w:firstLine="0" w:firstLine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本次评价提出了对尾矿库采取洒水降尘的措施。</w:t>
            </w:r>
          </w:p>
        </w:tc>
        <w:tc>
          <w:tcPr>
            <w:tcW w:w="399" w:type="pct"/>
            <w:noWrap w:val="0"/>
            <w:vAlign w:val="center"/>
          </w:tcPr>
          <w:p w14:paraId="46E50F4C">
            <w:pPr>
              <w:spacing w:line="360" w:lineRule="exact"/>
              <w:ind w:firstLine="0" w:firstLine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符合</w:t>
            </w:r>
          </w:p>
        </w:tc>
      </w:tr>
      <w:tr w14:paraId="52ADA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77" w:type="pct"/>
            <w:noWrap w:val="0"/>
            <w:vAlign w:val="center"/>
          </w:tcPr>
          <w:p w14:paraId="1780738A">
            <w:pPr>
              <w:spacing w:line="360" w:lineRule="exact"/>
              <w:ind w:firstLine="0" w:firstLineChars="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规划实施过程中，对地下水环境产生影响主要为矿产资源开发。在采矿阶段产生的污水主要来自矿井废水、选矿废水、生活废水、尾矿受雨水淋洗后的渗滤液等。根据矿区水文地质条件判别地下水环境容易受到污染的程度，分析污染物迁移穿过包气带进入含水层的能力，分析深层地下水含水组上覆地层的防污性能和有无与浅层地下水的水力联系。尾矿库、回用水池、各类事故池等在修建时采取严格的防渗措施。一般废水经过污水处理后循环使用，不外排，但部分矿区可能有外排的情况，在排水管道做好严格的防渗措施后，渗入地下水的污水会很少。</w:t>
            </w:r>
          </w:p>
        </w:tc>
        <w:tc>
          <w:tcPr>
            <w:tcW w:w="1523" w:type="pct"/>
            <w:noWrap w:val="0"/>
            <w:vAlign w:val="center"/>
          </w:tcPr>
          <w:p w14:paraId="274C33BD">
            <w:pPr>
              <w:spacing w:line="360" w:lineRule="exact"/>
              <w:ind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本项目尾矿库、集水池、事故池、回水管涵将按要求采取严格的防渗措施，选矿废水闭路循环用于选矿，不外排。</w:t>
            </w:r>
          </w:p>
        </w:tc>
        <w:tc>
          <w:tcPr>
            <w:tcW w:w="399" w:type="pct"/>
            <w:noWrap w:val="0"/>
            <w:vAlign w:val="center"/>
          </w:tcPr>
          <w:p w14:paraId="28B27396">
            <w:pPr>
              <w:spacing w:line="360" w:lineRule="exact"/>
              <w:ind w:firstLine="0" w:firstLineChars="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符合</w:t>
            </w:r>
          </w:p>
        </w:tc>
      </w:tr>
      <w:tr w14:paraId="126D0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77" w:type="pct"/>
            <w:noWrap w:val="0"/>
            <w:vAlign w:val="center"/>
          </w:tcPr>
          <w:p w14:paraId="70577086">
            <w:pPr>
              <w:spacing w:line="360" w:lineRule="exact"/>
              <w:ind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大多数矿种的开采会产生尾矿或废石。对尾矿、废石按《危险废物鉴别标准－浸出毒性鉴别》（GB5085.3-2007）进行评价，对浸出液分析指标浓度对比《污水综合排放标准》（GB8978-1996）最高允许排放浓度，若没有超标则确定尾矿、废石性质为一般工业固体废物。若超标则为危险废物。</w:t>
            </w:r>
          </w:p>
        </w:tc>
        <w:tc>
          <w:tcPr>
            <w:tcW w:w="1523" w:type="pct"/>
            <w:noWrap w:val="0"/>
            <w:vAlign w:val="center"/>
          </w:tcPr>
          <w:p w14:paraId="0AE24970">
            <w:pPr>
              <w:numPr>
                <w:ilvl w:val="0"/>
                <w:numId w:val="0"/>
              </w:numPr>
              <w:spacing w:line="360" w:lineRule="exact"/>
              <w:ind w:leftChars="0"/>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eastAsia="宋体" w:cs="Times New Roman"/>
                <w:color w:val="000000" w:themeColor="text1"/>
                <w:sz w:val="21"/>
                <w:highlight w:val="none"/>
                <w:lang w:val="en-US" w:eastAsia="zh-CN"/>
                <w14:textFill>
                  <w14:solidFill>
                    <w14:schemeClr w14:val="tx1"/>
                  </w14:solidFill>
                </w14:textFill>
              </w:rPr>
              <w:t>已</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对尾矿</w:t>
            </w:r>
            <w:r>
              <w:rPr>
                <w:rFonts w:hint="eastAsia" w:eastAsia="宋体" w:cs="Times New Roman"/>
                <w:color w:val="000000" w:themeColor="text1"/>
                <w:sz w:val="21"/>
                <w:highlight w:val="none"/>
                <w:lang w:val="en-US" w:eastAsia="zh-CN"/>
                <w14:textFill>
                  <w14:solidFill>
                    <w14:schemeClr w14:val="tx1"/>
                  </w14:solidFill>
                </w14:textFill>
              </w:rPr>
              <w:t>进行</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浸出试验检测，经</w:t>
            </w:r>
            <w:r>
              <w:rPr>
                <w:rFonts w:hint="eastAsia" w:cs="Times New Roman"/>
                <w:color w:val="000000" w:themeColor="text1"/>
                <w:sz w:val="21"/>
                <w:highlight w:val="none"/>
                <w:lang w:val="en-US" w:eastAsia="zh-CN"/>
                <w14:textFill>
                  <w14:solidFill>
                    <w14:schemeClr w14:val="tx1"/>
                  </w14:solidFill>
                </w14:textFill>
              </w:rPr>
              <w:t>检测及指标浓度对比，本项目</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尾矿属于第I类工业固体废物。</w:t>
            </w:r>
          </w:p>
        </w:tc>
        <w:tc>
          <w:tcPr>
            <w:tcW w:w="399" w:type="pct"/>
            <w:noWrap w:val="0"/>
            <w:vAlign w:val="center"/>
          </w:tcPr>
          <w:p w14:paraId="41E4A305">
            <w:pPr>
              <w:spacing w:line="360" w:lineRule="exact"/>
              <w:ind w:firstLine="0" w:firstLineChars="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符合</w:t>
            </w:r>
          </w:p>
        </w:tc>
      </w:tr>
      <w:tr w14:paraId="2DF45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77" w:type="pct"/>
            <w:noWrap w:val="0"/>
            <w:vAlign w:val="center"/>
          </w:tcPr>
          <w:p w14:paraId="653CF0D3">
            <w:pPr>
              <w:spacing w:line="360" w:lineRule="exact"/>
              <w:ind w:firstLine="0" w:firstLineChars="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尾矿可能以尾矿浆形式进入尾矿库，导流渠道及回水设施保证尾矿水及时回收，返回工艺；要求尾矿库的建设达到</w:t>
            </w:r>
            <w:r>
              <w:rPr>
                <w:rFonts w:hint="eastAsia"/>
                <w:color w:val="000000" w:themeColor="text1"/>
                <w:sz w:val="21"/>
                <w:lang w:eastAsia="zh-CN"/>
                <w14:textFill>
                  <w14:solidFill>
                    <w14:schemeClr w14:val="tx1"/>
                  </w14:solidFill>
                </w14:textFill>
              </w:rPr>
              <w:t>《一般工业固体废物贮存和填埋</w:t>
            </w:r>
            <w:r>
              <w:rPr>
                <w:rFonts w:hint="eastAsia"/>
                <w:color w:val="000000" w:themeColor="text1"/>
                <w:sz w:val="21"/>
                <w:lang w:val="en-US" w:eastAsia="zh-CN"/>
                <w14:textFill>
                  <w14:solidFill>
                    <w14:schemeClr w14:val="tx1"/>
                  </w14:solidFill>
                </w14:textFill>
              </w:rPr>
              <w:t>污染控制标准》（GB18599-2020）</w:t>
            </w:r>
            <w:r>
              <w:rPr>
                <w:rFonts w:hint="eastAsia"/>
                <w:color w:val="000000" w:themeColor="text1"/>
                <w:sz w:val="21"/>
                <w14:textFill>
                  <w14:solidFill>
                    <w14:schemeClr w14:val="tx1"/>
                  </w14:solidFill>
                </w14:textFill>
              </w:rPr>
              <w:t>的要求。尾矿库内尾矿沿坝坡均匀分散排放堆积，保持其表面的含水率，防止产生干坡面。</w:t>
            </w:r>
          </w:p>
        </w:tc>
        <w:tc>
          <w:tcPr>
            <w:tcW w:w="1523" w:type="pct"/>
            <w:noWrap w:val="0"/>
            <w:vAlign w:val="center"/>
          </w:tcPr>
          <w:p w14:paraId="4D8F9C8F">
            <w:pPr>
              <w:spacing w:line="360" w:lineRule="exact"/>
              <w:ind w:firstLine="0" w:firstLine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本项目尾矿库建设满足</w:t>
            </w:r>
            <w:r>
              <w:rPr>
                <w:rFonts w:hint="eastAsia"/>
                <w:color w:val="000000" w:themeColor="text1"/>
                <w:sz w:val="21"/>
                <w:lang w:eastAsia="zh-CN"/>
                <w14:textFill>
                  <w14:solidFill>
                    <w14:schemeClr w14:val="tx1"/>
                  </w14:solidFill>
                </w14:textFill>
              </w:rPr>
              <w:t>《一般工业固体废物贮存和填埋</w:t>
            </w:r>
            <w:r>
              <w:rPr>
                <w:rFonts w:hint="eastAsia"/>
                <w:color w:val="000000" w:themeColor="text1"/>
                <w:sz w:val="21"/>
                <w:lang w:val="en-US" w:eastAsia="zh-CN"/>
                <w14:textFill>
                  <w14:solidFill>
                    <w14:schemeClr w14:val="tx1"/>
                  </w14:solidFill>
                </w14:textFill>
              </w:rPr>
              <w:t>污染控制标准》（GB18599-2020）</w:t>
            </w:r>
            <w:r>
              <w:rPr>
                <w:rFonts w:hint="eastAsia"/>
                <w:color w:val="000000" w:themeColor="text1"/>
                <w:sz w:val="21"/>
                <w14:textFill>
                  <w14:solidFill>
                    <w14:schemeClr w14:val="tx1"/>
                  </w14:solidFill>
                </w14:textFill>
              </w:rPr>
              <w:t>的要求</w:t>
            </w:r>
            <w:r>
              <w:rPr>
                <w:rFonts w:hint="eastAsia"/>
                <w:color w:val="000000" w:themeColor="text1"/>
                <w:sz w:val="21"/>
                <w:lang w:eastAsia="zh-CN"/>
                <w14:textFill>
                  <w14:solidFill>
                    <w14:schemeClr w14:val="tx1"/>
                  </w14:solidFill>
                </w14:textFill>
              </w:rPr>
              <w:t>。</w:t>
            </w:r>
            <w:r>
              <w:rPr>
                <w:rFonts w:hint="eastAsia"/>
                <w:color w:val="000000" w:themeColor="text1"/>
                <w:sz w:val="21"/>
                <w14:textFill>
                  <w14:solidFill>
                    <w14:schemeClr w14:val="tx1"/>
                  </w14:solidFill>
                </w14:textFill>
              </w:rPr>
              <w:t>尾矿库内尾矿沿坝坡均匀分散排放堆积，保持其表面的含水率，防止产生干坡面。</w:t>
            </w:r>
          </w:p>
        </w:tc>
        <w:tc>
          <w:tcPr>
            <w:tcW w:w="399" w:type="pct"/>
            <w:noWrap w:val="0"/>
            <w:vAlign w:val="center"/>
          </w:tcPr>
          <w:p w14:paraId="52E23B07">
            <w:pPr>
              <w:spacing w:line="360" w:lineRule="exact"/>
              <w:ind w:firstLine="0" w:firstLineChars="0"/>
              <w:jc w:val="center"/>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符合</w:t>
            </w:r>
          </w:p>
        </w:tc>
      </w:tr>
      <w:tr w14:paraId="131E2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77" w:type="pct"/>
            <w:noWrap w:val="0"/>
            <w:vAlign w:val="center"/>
          </w:tcPr>
          <w:p w14:paraId="5BE37DFF">
            <w:pPr>
              <w:spacing w:line="360" w:lineRule="exact"/>
              <w:ind w:firstLine="0" w:firstLineChars="0"/>
              <w:jc w:val="center"/>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按照国家环境保护政策要求，必须建设合格的尾矿库进行安全贮存。尾矿库要求能够防渗、防漏、防洪等，并配有尾矿渗滤液收集和处理装置。</w:t>
            </w:r>
          </w:p>
        </w:tc>
        <w:tc>
          <w:tcPr>
            <w:tcW w:w="1523" w:type="pct"/>
            <w:noWrap w:val="0"/>
            <w:vAlign w:val="center"/>
          </w:tcPr>
          <w:p w14:paraId="4D8F89DD">
            <w:pPr>
              <w:spacing w:line="360" w:lineRule="exact"/>
              <w:ind w:firstLine="0" w:firstLine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本项目</w:t>
            </w:r>
            <w:r>
              <w:rPr>
                <w:rFonts w:hint="eastAsia"/>
                <w:color w:val="000000" w:themeColor="text1"/>
                <w:sz w:val="21"/>
                <w14:textFill>
                  <w14:solidFill>
                    <w14:schemeClr w14:val="tx1"/>
                  </w14:solidFill>
                </w14:textFill>
              </w:rPr>
              <w:t>尾矿库</w:t>
            </w:r>
            <w:r>
              <w:rPr>
                <w:rFonts w:hint="eastAsia"/>
                <w:color w:val="000000" w:themeColor="text1"/>
                <w:sz w:val="21"/>
                <w:lang w:val="en-US" w:eastAsia="zh-CN"/>
                <w14:textFill>
                  <w14:solidFill>
                    <w14:schemeClr w14:val="tx1"/>
                  </w14:solidFill>
                </w14:textFill>
              </w:rPr>
              <w:t>设计规范，尾矿能够</w:t>
            </w:r>
            <w:r>
              <w:rPr>
                <w:rFonts w:hint="eastAsia"/>
                <w:color w:val="000000" w:themeColor="text1"/>
                <w:sz w:val="21"/>
                <w14:textFill>
                  <w14:solidFill>
                    <w14:schemeClr w14:val="tx1"/>
                  </w14:solidFill>
                </w14:textFill>
              </w:rPr>
              <w:t>安全贮存</w:t>
            </w:r>
            <w:r>
              <w:rPr>
                <w:rFonts w:hint="eastAsia"/>
                <w:color w:val="000000" w:themeColor="text1"/>
                <w:sz w:val="21"/>
                <w:lang w:eastAsia="zh-CN"/>
                <w14:textFill>
                  <w14:solidFill>
                    <w14:schemeClr w14:val="tx1"/>
                  </w14:solidFill>
                </w14:textFill>
              </w:rPr>
              <w:t>，</w:t>
            </w:r>
            <w:r>
              <w:rPr>
                <w:rFonts w:hint="eastAsia"/>
                <w:color w:val="000000" w:themeColor="text1"/>
                <w:sz w:val="21"/>
                <w:lang w:val="en-US" w:eastAsia="zh-CN"/>
                <w14:textFill>
                  <w14:solidFill>
                    <w14:schemeClr w14:val="tx1"/>
                  </w14:solidFill>
                </w14:textFill>
              </w:rPr>
              <w:t>并设计有</w:t>
            </w:r>
            <w:r>
              <w:rPr>
                <w:rFonts w:hint="eastAsia"/>
                <w:color w:val="000000" w:themeColor="text1"/>
                <w:sz w:val="21"/>
                <w14:textFill>
                  <w14:solidFill>
                    <w14:schemeClr w14:val="tx1"/>
                  </w14:solidFill>
                </w14:textFill>
              </w:rPr>
              <w:t>防渗、防漏、防洪等</w:t>
            </w:r>
            <w:r>
              <w:rPr>
                <w:rFonts w:hint="eastAsia"/>
                <w:color w:val="000000" w:themeColor="text1"/>
                <w:sz w:val="21"/>
                <w:lang w:val="en-US" w:eastAsia="zh-CN"/>
                <w14:textFill>
                  <w14:solidFill>
                    <w14:schemeClr w14:val="tx1"/>
                  </w14:solidFill>
                </w14:textFill>
              </w:rPr>
              <w:t>配套设施。</w:t>
            </w:r>
          </w:p>
        </w:tc>
        <w:tc>
          <w:tcPr>
            <w:tcW w:w="399" w:type="pct"/>
            <w:noWrap w:val="0"/>
            <w:vAlign w:val="center"/>
          </w:tcPr>
          <w:p w14:paraId="3C92F314">
            <w:pPr>
              <w:spacing w:line="360" w:lineRule="exact"/>
              <w:ind w:firstLine="0" w:firstLineChars="0"/>
              <w:jc w:val="center"/>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符合</w:t>
            </w:r>
          </w:p>
        </w:tc>
      </w:tr>
    </w:tbl>
    <w:p w14:paraId="61DAA838">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综上，本项目符合《新疆维吾尔自治区矿产资源总体规划（2021-2025年）环境影响报告书》的相关要求。</w:t>
      </w:r>
    </w:p>
    <w:p w14:paraId="75B0CB84">
      <w:pPr>
        <w:pStyle w:val="5"/>
        <w:ind w:firstLine="482"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与</w:t>
      </w:r>
      <w:r>
        <w:rPr>
          <w:rFonts w:ascii="Times New Roman" w:hAnsi="Times New Roman"/>
          <w:bCs w:val="0"/>
          <w:color w:val="000000" w:themeColor="text1"/>
          <w:kern w:val="2"/>
          <w:szCs w:val="24"/>
          <w14:textFill>
            <w14:solidFill>
              <w14:schemeClr w14:val="tx1"/>
            </w14:solidFill>
          </w14:textFill>
        </w:rPr>
        <w:t>《新疆生态环境保护</w:t>
      </w:r>
      <w:r>
        <w:rPr>
          <w:rFonts w:hint="eastAsia"/>
          <w:bCs w:val="0"/>
          <w:color w:val="000000" w:themeColor="text1"/>
          <w:kern w:val="2"/>
          <w:szCs w:val="24"/>
          <w:lang w:eastAsia="zh-CN"/>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十四五</w:t>
      </w:r>
      <w:r>
        <w:rPr>
          <w:rFonts w:hint="eastAsia"/>
          <w:bCs w:val="0"/>
          <w:color w:val="000000" w:themeColor="text1"/>
          <w:kern w:val="2"/>
          <w:szCs w:val="24"/>
          <w:lang w:eastAsia="zh-CN"/>
          <w14:textFill>
            <w14:solidFill>
              <w14:schemeClr w14:val="tx1"/>
            </w14:solidFill>
          </w14:textFill>
        </w:rPr>
        <w:t>”</w:t>
      </w:r>
      <w:r>
        <w:rPr>
          <w:rFonts w:ascii="Times New Roman" w:hAnsi="Times New Roman"/>
          <w:bCs w:val="0"/>
          <w:color w:val="000000" w:themeColor="text1"/>
          <w:kern w:val="2"/>
          <w:szCs w:val="24"/>
          <w14:textFill>
            <w14:solidFill>
              <w14:schemeClr w14:val="tx1"/>
            </w14:solidFill>
          </w14:textFill>
        </w:rPr>
        <w:t>规划》</w:t>
      </w:r>
      <w:r>
        <w:rPr>
          <w:rFonts w:hint="eastAsia"/>
          <w:bCs w:val="0"/>
          <w:color w:val="000000" w:themeColor="text1"/>
          <w:kern w:val="2"/>
          <w:szCs w:val="24"/>
          <w:lang w:eastAsia="zh-CN"/>
          <w14:textFill>
            <w14:solidFill>
              <w14:schemeClr w14:val="tx1"/>
            </w14:solidFill>
          </w14:textFill>
        </w:rPr>
        <w:t>的</w:t>
      </w:r>
      <w:r>
        <w:rPr>
          <w:rFonts w:hint="eastAsia" w:cs="Times New Roman"/>
          <w:b/>
          <w:bCs/>
          <w:color w:val="000000" w:themeColor="text1"/>
          <w:lang w:val="en-US" w:eastAsia="zh-CN"/>
          <w14:textFill>
            <w14:solidFill>
              <w14:schemeClr w14:val="tx1"/>
            </w14:solidFill>
          </w14:textFill>
        </w:rPr>
        <w:t>符合性分析</w:t>
      </w:r>
    </w:p>
    <w:p w14:paraId="74B3F2E5">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根据2021年12月24日自治区党委、自治区人民政府印发《新疆生态环境保护“十四五”规划》，《规划》指出：“展望2035年，生态环境质量持续改善，广泛形成绿色生产生活方式，美丽新疆建设目标基本实现。”</w:t>
      </w:r>
    </w:p>
    <w:p w14:paraId="082B2A2B">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（1）生产生活方式绿色转型成效显著。国土空间开发保护格局得到优化，能源开发利用效率大幅提升，能耗和水资源消耗、建设用地、碳排放强度得到有效控制，简约适度、绿色低碳的生活方式加快形成。</w:t>
      </w:r>
    </w:p>
    <w:p w14:paraId="25F3620D">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（2）生态环境质量持续改善。主要污染物排放总量持续减少，空气质量稳步改善，重污染天气明显减少，水环境质量保持总体优良，水资源合理开发利用，巩固城市黑臭水体治理成效，城乡人居环境明显改善。</w:t>
      </w:r>
    </w:p>
    <w:p w14:paraId="775355AF">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（3）生态系统质量稳步提升。生态安全屏障更加牢固，生物多样性得到有效保护，生物安全管理水平显著提高，生态系统服务功能不断增强。</w:t>
      </w:r>
    </w:p>
    <w:p w14:paraId="5E001D6D">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（4）环境安全得到有效保障。土壤污染风险管控和安全利用水平巩固提升，固体废物与化学物质环境风险防控能力明显增强，核安全监管持续加强，环境风险得到有效管控。</w:t>
      </w:r>
    </w:p>
    <w:p w14:paraId="554BBD14">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（5）现代环境治理体系进一步健全。生态文明制度改革深入推进，生态环境治理能力突出短板加快补齐，生态环境治理效能得到新提升。</w:t>
      </w:r>
    </w:p>
    <w:p w14:paraId="03AAACC3">
      <w:pPr>
        <w:pStyle w:val="41"/>
        <w:spacing w:line="480" w:lineRule="exact"/>
        <w:ind w:firstLine="480"/>
        <w:rPr>
          <w:rFonts w:hint="default"/>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本项目</w:t>
      </w:r>
      <w:r>
        <w:rPr>
          <w:rFonts w:hint="eastAsia"/>
          <w:color w:val="000000" w:themeColor="text1"/>
          <w:lang w:eastAsia="zh-CN"/>
          <w14:textFill>
            <w14:solidFill>
              <w14:schemeClr w14:val="tx1"/>
            </w14:solidFill>
          </w14:textFill>
        </w:rPr>
        <w:t>区主要大气污染物经采取有效措施处理后达标排放；水资源合理利用，尾矿回水回用于选矿生产，综合利用不外排；在项目区及周边种植适宜植被，增加绿化面积及加强生态治理，尾矿库采取相应的防渗措施后对周边土壤及地下水环境影响较小。因此，本</w:t>
      </w:r>
      <w:r>
        <w:rPr>
          <w:rFonts w:hint="eastAsia"/>
          <w:color w:val="000000" w:themeColor="text1"/>
          <w:lang w:val="en-US" w:eastAsia="zh-CN"/>
          <w14:textFill>
            <w14:solidFill>
              <w14:schemeClr w14:val="tx1"/>
            </w14:solidFill>
          </w14:textFill>
        </w:rPr>
        <w:t>项目</w:t>
      </w:r>
      <w:r>
        <w:rPr>
          <w:rFonts w:hint="eastAsia"/>
          <w:color w:val="000000" w:themeColor="text1"/>
          <w:lang w:eastAsia="zh-CN"/>
          <w14:textFill>
            <w14:solidFill>
              <w14:schemeClr w14:val="tx1"/>
            </w14:solidFill>
          </w14:textFill>
        </w:rPr>
        <w:t>建设符合《新疆生态环境保护“十四五”规划》。</w:t>
      </w:r>
    </w:p>
    <w:p w14:paraId="3FBF1EA2">
      <w:pPr>
        <w:pStyle w:val="5"/>
        <w:ind w:firstLine="482"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与</w:t>
      </w:r>
      <w:r>
        <w:rPr>
          <w:rFonts w:hint="eastAsia" w:ascii="Times New Roman" w:hAnsi="Times New Roman"/>
          <w:bCs w:val="0"/>
          <w:color w:val="000000" w:themeColor="text1"/>
          <w:kern w:val="2"/>
          <w:szCs w:val="24"/>
          <w14:textFill>
            <w14:solidFill>
              <w14:schemeClr w14:val="tx1"/>
            </w14:solidFill>
          </w14:textFill>
        </w:rPr>
        <w:t>《新疆维吾尔自治区主体功能区规划》</w:t>
      </w:r>
      <w:r>
        <w:rPr>
          <w:rFonts w:hint="eastAsia"/>
          <w:bCs w:val="0"/>
          <w:color w:val="000000" w:themeColor="text1"/>
          <w:kern w:val="2"/>
          <w:szCs w:val="24"/>
          <w:lang w:eastAsia="zh-CN"/>
          <w14:textFill>
            <w14:solidFill>
              <w14:schemeClr w14:val="tx1"/>
            </w14:solidFill>
          </w14:textFill>
        </w:rPr>
        <w:t>的</w:t>
      </w:r>
      <w:r>
        <w:rPr>
          <w:rFonts w:hint="eastAsia" w:cs="Times New Roman"/>
          <w:b/>
          <w:bCs/>
          <w:color w:val="000000" w:themeColor="text1"/>
          <w:lang w:val="en-US" w:eastAsia="zh-CN"/>
          <w14:textFill>
            <w14:solidFill>
              <w14:schemeClr w14:val="tx1"/>
            </w14:solidFill>
          </w14:textFill>
        </w:rPr>
        <w:t>符合性分析</w:t>
      </w:r>
    </w:p>
    <w:p w14:paraId="7E65C3AA">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新疆维吾尔自治区主体功能区规划》：限制开发区域是指关系国家农产品供给安全和生态安全，不应该或不适宜进行大规模、高强度工业化城镇化开发的农产品主产区和重点生态功能区。限制开发区域分为两类：一类是农产品主产区，即耕地较多、农业发展条件较好，尽管也适宜工业化城镇化开发，但从保障国家农产品安全以及国家永续发展的需要出发，必须把增强农业综合生产能力作为发展的首要任务，从而应该限制大规模高强度工业化城镇化开发的地区；一类是重点生态功能区，即生态系统脆弱或生态功能重要，资源环境承载能力较低，不具备大规模高强度工业化城镇化开发的条件，必须把增强生态产品生产能力作为首要任务，从而应该限制进行大规模高强度工业化城镇化开发的地区。</w:t>
      </w:r>
    </w:p>
    <w:p w14:paraId="4068F988">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疆维吾尔自治区主体功能区规划》同时也提出：主体功能区与能源和矿产资源开发的关系。一些能源和矿产资源富集的区域往往同时是生态脆弱或生态重要的区域，被划分为限制进行大规模高强度工业化城镇化开发的重点生态功能区或农产品主产区，并不是限制能源和矿产资源的开发，这类区域中的能源和矿产资源，仍然可以依法开发，资源开采的地点仍然可以定义为能源或矿产资源的重点开发基地，但应该按照该区域的主体功能定位实行</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点上开发、面上保护</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w:t>
      </w:r>
    </w:p>
    <w:p w14:paraId="67B64C7A">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形成资源点状开发，生态面上保护的空间结构。针对阿尔泰山、塔里木盆地、准噶尔盆地等地的矿产资源富集区域的开发，要在科学规划的基础上，以点状开发方式有序进行，其开发强度控制在规划目标之内，尽可能减少对生态环境的扰动和破坏，同时加强对矿产开发区迹地的生态修复。</w:t>
      </w:r>
    </w:p>
    <w:p w14:paraId="784B8230">
      <w:pPr>
        <w:spacing w:line="480" w:lineRule="exact"/>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实行更加严格的行业准入制度，严格把握项目准入。在不损害生态系统功能的前提下，以国家级新疆棉花产业带及国家商品粮基地县建设为重点，发展农林牧产品生产和加工；在阿尔泰山、天山南坡及塔里木盆地适度发展金属矿产、煤、石油和天然气资源开采。</w:t>
      </w:r>
    </w:p>
    <w:p w14:paraId="4EA202FE">
      <w:pPr>
        <w:pStyle w:val="41"/>
        <w:spacing w:line="480" w:lineRule="exact"/>
        <w:ind w:firstLine="480"/>
        <w:rPr>
          <w:rFonts w:hint="eastAsia" w:eastAsia="宋体"/>
          <w:color w:val="000000" w:themeColor="text1"/>
          <w:kern w:val="10"/>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根据《新疆维吾尔自治区主体功能区规划》附件《新疆重点生态功能区范围》《新疆禁止开发区域名录》，</w:t>
      </w:r>
      <w:r>
        <w:rPr>
          <w:rFonts w:hint="eastAsia"/>
          <w:color w:val="000000" w:themeColor="text1"/>
          <w:sz w:val="24"/>
          <w:szCs w:val="24"/>
          <w:lang w:val="en-US" w:eastAsia="zh-CN"/>
          <w14:textFill>
            <w14:solidFill>
              <w14:schemeClr w14:val="tx1"/>
            </w14:solidFill>
          </w14:textFill>
        </w:rPr>
        <w:t>本项目</w:t>
      </w:r>
      <w:r>
        <w:rPr>
          <w:rFonts w:hint="eastAsia"/>
          <w:color w:val="000000" w:themeColor="text1"/>
          <w:sz w:val="24"/>
          <w:szCs w:val="24"/>
          <w14:textFill>
            <w14:solidFill>
              <w14:schemeClr w14:val="tx1"/>
            </w14:solidFill>
          </w14:textFill>
        </w:rPr>
        <w:t>远离水源地，不涉及国家级及自治区级重要生态功能区、各级各类自然文化资源保护区域、重要水源地、重要湿地、湿地公园、水产种质资源保护区。</w:t>
      </w:r>
    </w:p>
    <w:p w14:paraId="757F9450">
      <w:pPr>
        <w:pStyle w:val="41"/>
        <w:spacing w:line="480" w:lineRule="exact"/>
        <w:ind w:firstLine="480"/>
        <w:rPr>
          <w:rFonts w:hint="default" w:eastAsia="宋体"/>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本项目</w:t>
      </w:r>
      <w:r>
        <w:rPr>
          <w:rFonts w:hint="eastAsia"/>
          <w:color w:val="000000" w:themeColor="text1"/>
          <w:sz w:val="24"/>
          <w:szCs w:val="24"/>
          <w14:textFill>
            <w14:solidFill>
              <w14:schemeClr w14:val="tx1"/>
            </w14:solidFill>
          </w14:textFill>
        </w:rPr>
        <w:t>位于哈密市伊州区，项目所属区域属于限制开发区。该区域的主体功能定位</w:t>
      </w:r>
      <w:r>
        <w:rPr>
          <w:rFonts w:hint="eastAsia"/>
          <w:color w:val="000000" w:themeColor="text1"/>
          <w:sz w:val="24"/>
          <w:szCs w:val="24"/>
          <w:lang w:val="en-US" w:eastAsia="zh-CN"/>
          <w14:textFill>
            <w14:solidFill>
              <w14:schemeClr w14:val="tx1"/>
            </w14:solidFill>
          </w14:textFill>
        </w:rPr>
        <w:t>为</w:t>
      </w:r>
      <w:r>
        <w:rPr>
          <w:rFonts w:hint="eastAsia"/>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保障农牧产品供给安全的重要区域，农牧民安居乐业的美好家园，社会主义新农村建设的示范区</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本项目属于</w:t>
      </w:r>
      <w:r>
        <w:rPr>
          <w:rFonts w:hint="eastAsia" w:ascii="Times New Roman" w:hAnsi="Times New Roman" w:eastAsia="宋体"/>
          <w:color w:val="000000" w:themeColor="text1"/>
          <w:sz w:val="24"/>
          <w:lang w:val="en-US" w:eastAsia="zh-CN"/>
          <w14:textFill>
            <w14:solidFill>
              <w14:schemeClr w14:val="tx1"/>
            </w14:solidFill>
          </w14:textFill>
        </w:rPr>
        <w:t>黑色金属矿采选业</w:t>
      </w:r>
      <w:r>
        <w:rPr>
          <w:rFonts w:hint="eastAsia" w:eastAsia="宋体"/>
          <w:color w:val="000000" w:themeColor="text1"/>
          <w:sz w:val="24"/>
          <w:lang w:val="en-US" w:eastAsia="zh-CN"/>
          <w14:textFill>
            <w14:solidFill>
              <w14:schemeClr w14:val="tx1"/>
            </w14:solidFill>
          </w14:textFill>
        </w:rPr>
        <w:t>，不</w:t>
      </w:r>
      <w:r>
        <w:rPr>
          <w:rFonts w:hint="eastAsia"/>
          <w:color w:val="000000" w:themeColor="text1"/>
          <w:sz w:val="24"/>
          <w:szCs w:val="24"/>
          <w:lang w:val="en-US" w:eastAsia="zh-CN"/>
          <w14:textFill>
            <w14:solidFill>
              <w14:schemeClr w14:val="tx1"/>
            </w14:solidFill>
          </w14:textFill>
        </w:rPr>
        <w:t>涉及</w:t>
      </w:r>
      <w:r>
        <w:rPr>
          <w:rFonts w:ascii="宋体" w:hAnsi="宋体" w:eastAsia="宋体" w:cs="宋体"/>
          <w:color w:val="000000" w:themeColor="text1"/>
          <w:sz w:val="24"/>
          <w:szCs w:val="24"/>
          <w14:textFill>
            <w14:solidFill>
              <w14:schemeClr w14:val="tx1"/>
            </w14:solidFill>
          </w14:textFill>
        </w:rPr>
        <w:t>农牧</w:t>
      </w:r>
      <w:r>
        <w:rPr>
          <w:rFonts w:hint="eastAsia" w:ascii="宋体" w:hAnsi="宋体" w:eastAsia="宋体" w:cs="宋体"/>
          <w:color w:val="000000" w:themeColor="text1"/>
          <w:sz w:val="24"/>
          <w:szCs w:val="24"/>
          <w:lang w:val="en-US" w:eastAsia="zh-CN"/>
          <w14:textFill>
            <w14:solidFill>
              <w14:schemeClr w14:val="tx1"/>
            </w14:solidFill>
          </w14:textFill>
        </w:rPr>
        <w:t>业，生产及建设过程中不涉及天然牧草地及农牧民居住地，不会破坏</w:t>
      </w:r>
      <w:r>
        <w:rPr>
          <w:rFonts w:ascii="宋体" w:hAnsi="宋体" w:eastAsia="宋体" w:cs="宋体"/>
          <w:color w:val="000000" w:themeColor="text1"/>
          <w:sz w:val="24"/>
          <w:szCs w:val="24"/>
          <w14:textFill>
            <w14:solidFill>
              <w14:schemeClr w14:val="tx1"/>
            </w14:solidFill>
          </w14:textFill>
        </w:rPr>
        <w:t>农牧民安居乐业的美好家园</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因此</w:t>
      </w:r>
      <w:r>
        <w:rPr>
          <w:rFonts w:hint="eastAsia"/>
          <w:color w:val="000000" w:themeColor="text1"/>
          <w:sz w:val="24"/>
          <w:szCs w:val="24"/>
          <w14:textFill>
            <w14:solidFill>
              <w14:schemeClr w14:val="tx1"/>
            </w14:solidFill>
          </w14:textFill>
        </w:rPr>
        <w:t>项目建设符合《新疆维吾尔自治区主体功能区规划》的相关要求。</w:t>
      </w:r>
    </w:p>
    <w:p w14:paraId="30F9BD99">
      <w:pPr>
        <w:pStyle w:val="5"/>
        <w:ind w:firstLine="482"/>
        <w:rPr>
          <w:color w:val="000000" w:themeColor="text1"/>
          <w:highlight w:val="yellow"/>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1.3.2.8</w:t>
      </w:r>
      <w:r>
        <w:rPr>
          <w:rFonts w:hint="eastAsia"/>
          <w:color w:val="000000" w:themeColor="text1"/>
          <w:highlight w:val="none"/>
          <w14:textFill>
            <w14:solidFill>
              <w14:schemeClr w14:val="tx1"/>
            </w14:solidFill>
          </w14:textFill>
        </w:rPr>
        <w:t>与</w:t>
      </w:r>
      <w:r>
        <w:rPr>
          <w:rFonts w:hint="eastAsia" w:ascii="Times New Roman" w:hAnsi="Times New Roman"/>
          <w:bCs w:val="0"/>
          <w:color w:val="000000" w:themeColor="text1"/>
          <w:kern w:val="2"/>
          <w:szCs w:val="24"/>
          <w:highlight w:val="none"/>
          <w14:textFill>
            <w14:solidFill>
              <w14:schemeClr w14:val="tx1"/>
            </w14:solidFill>
          </w14:textFill>
        </w:rPr>
        <w:t>《哈密市国民经济和社会发展第十四个五年规划和2035年远景目标纲要</w:t>
      </w:r>
      <w:r>
        <w:rPr>
          <w:rFonts w:hint="eastAsia" w:ascii="Times New Roman" w:hAnsi="Times New Roman"/>
          <w:bCs w:val="0"/>
          <w:color w:val="000000" w:themeColor="text1"/>
          <w:kern w:val="2"/>
          <w:szCs w:val="24"/>
          <w14:textFill>
            <w14:solidFill>
              <w14:schemeClr w14:val="tx1"/>
            </w14:solidFill>
          </w14:textFill>
        </w:rPr>
        <w:t>》的符合性分析</w:t>
      </w:r>
    </w:p>
    <w:p w14:paraId="02E4E15B">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哈密市人民政府发布的《哈密市国民经济和社会发展第十四个五年规划和2035年远景目标纲要》（2021年1月27日哈密市第一届人民代表大会第六次会议通过）：不断提高现有矿山采矿、选矿技术水平，加快矿产资源开发和深加工，推动矿山企业与冶炼企业深度联合，构建较为全面的黑色、有色金属系冶炼体系。做强黑色金属采选加工业，加快低品位钒钛磁铁矿综合开发利用。利用国外优质低价铁矿和哈密优质铁矿资源，提高铁精粉加工能力，延伸黑色金属加工产业链，大力发展还原铁生产。做精有色金属采选加工业，深挖有色金属资源优势，鼓励开展金属钼勘探开发。利用国家东天山成矿带资源勘探成果，吸引企业开发有色资源，构建采、选、冶、加工一体化发展格局。</w:t>
      </w:r>
    </w:p>
    <w:p w14:paraId="00A326AF">
      <w:pPr>
        <w:pStyle w:val="41"/>
        <w:spacing w:line="480" w:lineRule="exact"/>
        <w:ind w:firstLine="480"/>
        <w:rPr>
          <w:rFonts w:hint="default"/>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本项目为选矿厂改建项目，配套新建尾矿库，项目建设</w:t>
      </w:r>
      <w:r>
        <w:rPr>
          <w:rFonts w:hint="eastAsia"/>
          <w:color w:val="000000" w:themeColor="text1"/>
          <w:sz w:val="24"/>
          <w:szCs w:val="24"/>
          <w:lang w:val="en-US" w:eastAsia="zh-CN"/>
          <w14:textFill>
            <w14:solidFill>
              <w14:schemeClr w14:val="tx1"/>
            </w14:solidFill>
          </w14:textFill>
        </w:rPr>
        <w:t>符合纲要中提出的“构建采、选、冶、加工一体化发展格局”。</w:t>
      </w:r>
    </w:p>
    <w:p w14:paraId="31EC544A">
      <w:pPr>
        <w:pStyle w:val="5"/>
        <w:ind w:firstLine="48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1.3.2.9与《新疆维吾尔自治区哈密市矿产资源总体规划（2021-2025年）》的符合性分析</w:t>
      </w:r>
    </w:p>
    <w:p w14:paraId="5FC58E1E">
      <w:pPr>
        <w:pStyle w:val="41"/>
        <w:spacing w:line="480" w:lineRule="exact"/>
        <w:ind w:firstLine="480"/>
        <w:rPr>
          <w:rFonts w:hint="eastAsia"/>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根据《新疆维吾尔自治区哈密市矿产资源总体规划（2021-2025年）》，重点勘查开采矿种：煤炭、煤层气、页岩气等能源矿产，铁、铜、镍、铅锌、金、钒、钛等金属矿产，以及硅质原料、花岗岩等非金属矿产。本项目为铁矿开采项目属于重点勘查开采矿种。根据规划要求大力开发重要优势矿产：黑色金属矿产资源开发，以哈密天湖铁矿重点开采区、</w:t>
      </w:r>
      <w:r>
        <w:rPr>
          <w:rFonts w:hint="eastAsia"/>
          <w:b/>
          <w:bCs/>
          <w:color w:val="000000" w:themeColor="text1"/>
          <w:kern w:val="0"/>
          <w:lang w:val="en-US" w:eastAsia="zh-CN"/>
          <w14:textFill>
            <w14:solidFill>
              <w14:schemeClr w14:val="tx1"/>
            </w14:solidFill>
          </w14:textFill>
        </w:rPr>
        <w:t>M1033一带铁矿</w:t>
      </w:r>
      <w:r>
        <w:rPr>
          <w:rFonts w:hint="eastAsia"/>
          <w:color w:val="000000" w:themeColor="text1"/>
          <w:kern w:val="0"/>
          <w:lang w:val="en-US" w:eastAsia="zh-CN"/>
          <w14:textFill>
            <w14:solidFill>
              <w14:schemeClr w14:val="tx1"/>
            </w14:solidFill>
          </w14:textFill>
        </w:rPr>
        <w:t>重点开采区为基础，整合尾亚等区域小型的铁矿矿山，加大铁矿、钛铁矿的开发力度，发展壮大东南部黑色及有色金属加工区。加强科技研发，推进低品位钒钛磁铁矿的综合开发利用。</w:t>
      </w:r>
    </w:p>
    <w:p w14:paraId="79202BA4">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本项目为M1033一带铁矿选矿改建项目，符合《新疆维吾尔自治区哈密市矿产资源总体规划（2021-2025年）》的相关要求。</w:t>
      </w:r>
    </w:p>
    <w:p w14:paraId="5FA22FA7">
      <w:pPr>
        <w:pStyle w:val="5"/>
        <w:ind w:firstLine="48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1.3.2.10与《哈密市伊州区矿产资源总体规划（2021-2025年）》的符合性分析</w:t>
      </w:r>
    </w:p>
    <w:p w14:paraId="7D501541">
      <w:pPr>
        <w:pStyle w:val="41"/>
        <w:spacing w:line="480" w:lineRule="exact"/>
        <w:ind w:firstLine="480"/>
        <w:rPr>
          <w:rFonts w:hint="default"/>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哈密市伊州区矿产资源总体规划（2021-2025年）》提到，“矿产资源供应能力持续增加。发挥矿产资源优势，将资源优势转化为经济优势。矿产资源开发利用布局进一步优化，矿山规模化集约化程度明显提高。到2025年，伊州区矿山总数控制在150家以内，全伊州区固体矿产开发总量在8000万吨/年左右，矿产资源持续供应能力进一步增强，矿业经济对伊州区发展的支撑作用进一步增强。”</w:t>
      </w:r>
    </w:p>
    <w:p w14:paraId="2C8C5910">
      <w:pPr>
        <w:pStyle w:val="41"/>
        <w:spacing w:line="480" w:lineRule="exact"/>
        <w:ind w:firstLine="480"/>
        <w:rPr>
          <w:rFonts w:hint="default"/>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本项目位于</w:t>
      </w:r>
      <w:r>
        <w:rPr>
          <w:rFonts w:hint="eastAsia"/>
          <w:color w:val="000000" w:themeColor="text1"/>
          <w:sz w:val="24"/>
          <w:szCs w:val="24"/>
          <w14:textFill>
            <w14:solidFill>
              <w14:schemeClr w14:val="tx1"/>
            </w14:solidFill>
          </w14:textFill>
        </w:rPr>
        <w:t>哈密市伊州区雅满苏镇以南约7</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km处</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属于</w:t>
      </w:r>
      <w:r>
        <w:rPr>
          <w:rFonts w:hint="eastAsia"/>
          <w:color w:val="000000" w:themeColor="text1"/>
          <w:kern w:val="10"/>
          <w:sz w:val="24"/>
          <w:szCs w:val="24"/>
          <w:lang w:val="en-US" w:eastAsia="zh-CN"/>
          <w14:textFill>
            <w14:solidFill>
              <w14:schemeClr w14:val="tx1"/>
            </w14:solidFill>
          </w14:textFill>
        </w:rPr>
        <w:t>铁矿选矿改建项目，本项目建设将增强伊州区矿产资源持续供应能力，对伊州区发展的支撑作用进一步增强，符合</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《哈密市伊州区矿产资源总体规划（2021-2025年）》的相关要求。</w:t>
      </w:r>
    </w:p>
    <w:p w14:paraId="59479F30">
      <w:pPr>
        <w:pStyle w:val="5"/>
        <w:ind w:firstLine="48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1.3.2.11与《哈密市生态环境保护“十四五”规划》的符合性分析</w:t>
      </w:r>
    </w:p>
    <w:p w14:paraId="4954B45B">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《哈密市生态环境保护“十四五”规划》</w:t>
      </w:r>
      <w:r>
        <w:rPr>
          <w:rFonts w:hint="eastAsia"/>
          <w:color w:val="000000" w:themeColor="text1"/>
          <w:lang w:val="en-US" w:eastAsia="zh-CN"/>
          <w14:textFill>
            <w14:solidFill>
              <w14:schemeClr w14:val="tx1"/>
            </w14:solidFill>
          </w14:textFill>
        </w:rPr>
        <w:t>第二节 推进矿山企业循环发展提高资源利用效率。</w:t>
      </w:r>
    </w:p>
    <w:p w14:paraId="10D327B2">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稳步推进金属尾矿有价组分高效提取及整体利用，提升煤矿、</w:t>
      </w:r>
      <w:r>
        <w:rPr>
          <w:rFonts w:hint="eastAsia"/>
          <w:b/>
          <w:bCs/>
          <w:color w:val="000000" w:themeColor="text1"/>
          <w:lang w:val="en-US" w:eastAsia="zh-CN"/>
          <w14:textFill>
            <w14:solidFill>
              <w14:schemeClr w14:val="tx1"/>
            </w14:solidFill>
          </w14:textFill>
        </w:rPr>
        <w:t>铁矿</w:t>
      </w:r>
      <w:r>
        <w:rPr>
          <w:rFonts w:hint="eastAsia"/>
          <w:color w:val="000000" w:themeColor="text1"/>
          <w:lang w:val="en-US" w:eastAsia="zh-CN"/>
          <w14:textFill>
            <w14:solidFill>
              <w14:schemeClr w14:val="tx1"/>
            </w14:solidFill>
          </w14:textFill>
        </w:rPr>
        <w:t>、铜矿、金矿、镍矿等重点矿山资源利用效率。加强对低品位矿、共伴生矿、难选冶矿、尾矿、煤矸石等综合利用，推进有价组分高效提取利用。推动有价金属提取后剩余废渣的规模化利用。提升矿井水、污水处理设施技术水平，优先用于企业生产和绿化，提高矿山企业水资源利用效率。创新资源利用模式。鼓励矿山企业采用充填采矿法并优先采用尾矿充填采矿法，解决辖区尾矿堆存处置问题；在矿山行业建立“梯级回收+生态修复+封存保护”体系，推动绿色矿山建设；针对退役光伏组件、风电机组叶片等新兴产业的固体废物，探索规范回收以及可循环、高值化的再生利用途径。鼓励多产业协同利用，推进大宗固体废物综合利用产业与上游煤电、黑色、有色化工等产业协同发展，与下游建筑、建材、市政、交通、环境治理等产品应用领域深度融合，打通部门、行业间堵点和痛点。</w:t>
      </w:r>
    </w:p>
    <w:p w14:paraId="4C98D1B3">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第三节 推动绿色发展。</w:t>
      </w:r>
    </w:p>
    <w:p w14:paraId="064C3E70">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聚焦绿化恢复治理，推进绿色矿山建设，深入推进矿山企业贯彻绿色发展理念。加强清洁生产审核，持续开展尾矿减量化工作。强化矿山固体废物综合利用全流程管理，严格落实全过程环境污染防治责任。推行绿色运输，鼓励使用专用运输设备和车辆，加强运输过程管理。加强固体废物贮存及处置管理，强化主体责任，推动建设符合相关国家标准的贮存设施，实现安全分类存放，杜绝混排混堆现象。统筹兼顾固体废物增量消纳和存量治理，健全环保长效监督管理制度。防范尾矿库环境风险。严格新（改、扩）建尾矿库环境准入，结合我市国民经济和社会发展规划、土地利用、安全生产、水土保持和环境保护等要求，除紧缺和战略性矿产资源项目、自治区重点建设和已批复立项项目外，严格审批尾矿库建设项目，实行总量控制。坚持“一矿一策”，因地制宜推进重点尾矿库污染治理。建立尾矿库分级分类环境管理制度，加强尾矿库环境风险隐患排查治理。到2025年，尾矿综合利用率较2020年显著提高。</w:t>
      </w:r>
    </w:p>
    <w:p w14:paraId="60AEC4B6">
      <w:pPr>
        <w:pStyle w:val="41"/>
        <w:spacing w:line="480" w:lineRule="exact"/>
        <w:ind w:firstLine="480"/>
        <w:rPr>
          <w:rFonts w:hint="default"/>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本项目要求建设单位</w:t>
      </w:r>
      <w:r>
        <w:rPr>
          <w:rFonts w:hint="eastAsia"/>
          <w:color w:val="000000" w:themeColor="text1"/>
          <w:lang w:val="en-US" w:eastAsia="zh-CN"/>
          <w14:textFill>
            <w14:solidFill>
              <w14:schemeClr w14:val="tx1"/>
            </w14:solidFill>
          </w14:textFill>
        </w:rPr>
        <w:t>，加强固体废物贮存及处置管理，对存在的环境风险进行识别后制定环境风险防范措施，加强风险管控；环评要求建设单位建立严格的环境管理制度，加大隐患排查力度，对存在的尾矿库环境风险进行排查治理；符合《哈密市生态环境保护“十四五”规划》的要求。</w:t>
      </w:r>
    </w:p>
    <w:p w14:paraId="4E798D30">
      <w:pPr>
        <w:pStyle w:val="4"/>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1.3.3与相关规范、条例符合性分析</w:t>
      </w:r>
    </w:p>
    <w:p w14:paraId="6105BE4A">
      <w:pPr>
        <w:pStyle w:val="5"/>
        <w:ind w:firstLine="482"/>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1.3.3.1与《新疆维吾尔自治区大气污染防治条例》的符合性分析</w:t>
      </w:r>
    </w:p>
    <w:p w14:paraId="4E93B8F1">
      <w:pPr>
        <w:pStyle w:val="41"/>
        <w:spacing w:line="480" w:lineRule="exact"/>
        <w:ind w:firstLine="480"/>
        <w:rPr>
          <w:rFonts w:hint="default"/>
          <w:color w:val="000000" w:themeColor="text1"/>
          <w:kern w:val="10"/>
          <w:sz w:val="24"/>
          <w:szCs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rFonts w:hint="eastAsia" w:ascii="Times New Roman" w:hAnsi="Times New Roman"/>
          <w:bCs w:val="0"/>
          <w:color w:val="000000" w:themeColor="text1"/>
          <w:kern w:val="2"/>
          <w:szCs w:val="24"/>
          <w14:textFill>
            <w14:solidFill>
              <w14:schemeClr w14:val="tx1"/>
            </w14:solidFill>
          </w14:textFill>
        </w:rPr>
        <w:t>与《新疆维吾尔自治区大气污染防治条例》</w:t>
      </w:r>
      <w:r>
        <w:rPr>
          <w:rFonts w:hint="eastAsia"/>
          <w:color w:val="000000" w:themeColor="text1"/>
          <w:lang w:val="en-US" w:eastAsia="zh-CN"/>
          <w14:textFill>
            <w14:solidFill>
              <w14:schemeClr w14:val="tx1"/>
            </w14:solidFill>
          </w14:textFill>
        </w:rPr>
        <w:t>的</w:t>
      </w:r>
      <w:r>
        <w:rPr>
          <w:rFonts w:hint="eastAsia" w:ascii="Times New Roman" w:hAnsi="Times New Roman"/>
          <w:bCs w:val="0"/>
          <w:color w:val="000000" w:themeColor="text1"/>
          <w:kern w:val="2"/>
          <w:szCs w:val="24"/>
          <w14:textFill>
            <w14:solidFill>
              <w14:schemeClr w14:val="tx1"/>
            </w14:solidFill>
          </w14:textFill>
        </w:rPr>
        <w:t>符合性分析</w:t>
      </w:r>
      <w:r>
        <w:rPr>
          <w:rFonts w:hint="eastAsia"/>
          <w:bCs w:val="0"/>
          <w:color w:val="000000" w:themeColor="text1"/>
          <w:kern w:val="2"/>
          <w:szCs w:val="24"/>
          <w:lang w:val="en-US" w:eastAsia="zh-CN"/>
          <w14:textFill>
            <w14:solidFill>
              <w14:schemeClr w14:val="tx1"/>
            </w14:solidFill>
          </w14:textFill>
        </w:rPr>
        <w:t>见下表。</w:t>
      </w:r>
    </w:p>
    <w:p w14:paraId="540909A8">
      <w:pPr>
        <w:ind w:firstLine="0" w:firstLineChars="0"/>
        <w:jc w:val="center"/>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表</w:t>
      </w:r>
      <w:r>
        <w:rPr>
          <w:rFonts w:hint="eastAsia" w:cs="Times New Roman"/>
          <w:b/>
          <w:bCs/>
          <w:color w:val="000000" w:themeColor="text1"/>
          <w:highlight w:val="none"/>
          <w:lang w:val="en-US" w:eastAsia="zh-CN"/>
          <w14:textFill>
            <w14:solidFill>
              <w14:schemeClr w14:val="tx1"/>
            </w14:solidFill>
          </w14:textFill>
        </w:rPr>
        <w:t>1.3-17</w:t>
      </w:r>
      <w:r>
        <w:rPr>
          <w:rFonts w:hint="eastAsia" w:ascii="Times New Roman" w:hAnsi="Times New Roman" w:cs="Times New Roman"/>
          <w:b/>
          <w:bCs/>
          <w:color w:val="000000" w:themeColor="text1"/>
          <w:highlight w:val="none"/>
          <w:lang w:val="en-US" w:eastAsia="zh-CN"/>
          <w14:textFill>
            <w14:solidFill>
              <w14:schemeClr w14:val="tx1"/>
            </w14:solidFill>
          </w14:textFill>
        </w:rPr>
        <w:t xml:space="preserve">    与《新疆维吾尔自治区大气污染防治条例》的符合性分析</w:t>
      </w:r>
      <w:r>
        <w:rPr>
          <w:rFonts w:hint="eastAsia" w:cs="Times New Roman"/>
          <w:b/>
          <w:bCs/>
          <w:color w:val="000000" w:themeColor="text1"/>
          <w:highlight w:val="none"/>
          <w:lang w:val="en-US" w:eastAsia="zh-CN"/>
          <w14:textFill>
            <w14:solidFill>
              <w14:schemeClr w14:val="tx1"/>
            </w14:solidFill>
          </w14:textFill>
        </w:rPr>
        <w:t>一览表</w:t>
      </w:r>
    </w:p>
    <w:tbl>
      <w:tblPr>
        <w:tblStyle w:val="33"/>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35"/>
        <w:gridCol w:w="3305"/>
        <w:gridCol w:w="680"/>
      </w:tblGrid>
      <w:tr w14:paraId="764FB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61" w:type="pct"/>
            <w:noWrap w:val="0"/>
            <w:vAlign w:val="center"/>
          </w:tcPr>
          <w:p w14:paraId="225F2535">
            <w:pPr>
              <w:keepNext w:val="0"/>
              <w:keepLines w:val="0"/>
              <w:pageBreakBefore w:val="0"/>
              <w:widowControl w:val="0"/>
              <w:kinsoku/>
              <w:wordWrap/>
              <w:overflowPunct w:val="0"/>
              <w:topLinePunct/>
              <w:autoSpaceDE/>
              <w:autoSpaceDN/>
              <w:bidi w:val="0"/>
              <w:adjustRightInd/>
              <w:snapToGrid/>
              <w:spacing w:line="360" w:lineRule="exact"/>
              <w:ind w:firstLine="0" w:firstLineChars="0"/>
              <w:jc w:val="center"/>
              <w:textAlignment w:val="auto"/>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有关规定</w:t>
            </w:r>
          </w:p>
        </w:tc>
        <w:tc>
          <w:tcPr>
            <w:tcW w:w="1939" w:type="pct"/>
            <w:noWrap w:val="0"/>
            <w:vAlign w:val="center"/>
          </w:tcPr>
          <w:p w14:paraId="25FF65BA">
            <w:pPr>
              <w:keepNext w:val="0"/>
              <w:keepLines w:val="0"/>
              <w:pageBreakBefore w:val="0"/>
              <w:widowControl w:val="0"/>
              <w:kinsoku/>
              <w:wordWrap/>
              <w:overflowPunct w:val="0"/>
              <w:topLinePunct/>
              <w:autoSpaceDE/>
              <w:autoSpaceDN/>
              <w:bidi w:val="0"/>
              <w:adjustRightInd/>
              <w:snapToGrid/>
              <w:spacing w:line="360" w:lineRule="exact"/>
              <w:ind w:firstLine="0" w:firstLineChars="0"/>
              <w:jc w:val="center"/>
              <w:textAlignment w:val="auto"/>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项目情况</w:t>
            </w:r>
          </w:p>
        </w:tc>
        <w:tc>
          <w:tcPr>
            <w:tcW w:w="399" w:type="pct"/>
            <w:noWrap w:val="0"/>
            <w:vAlign w:val="center"/>
          </w:tcPr>
          <w:p w14:paraId="59706344">
            <w:pPr>
              <w:keepNext w:val="0"/>
              <w:keepLines w:val="0"/>
              <w:pageBreakBefore w:val="0"/>
              <w:widowControl w:val="0"/>
              <w:kinsoku/>
              <w:wordWrap/>
              <w:overflowPunct w:val="0"/>
              <w:topLinePunct/>
              <w:autoSpaceDE/>
              <w:autoSpaceDN/>
              <w:bidi w:val="0"/>
              <w:adjustRightInd/>
              <w:snapToGrid/>
              <w:spacing w:line="360" w:lineRule="exact"/>
              <w:ind w:firstLine="0" w:firstLineChars="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结论</w:t>
            </w:r>
          </w:p>
        </w:tc>
      </w:tr>
      <w:tr w14:paraId="065B4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61" w:type="pct"/>
            <w:noWrap w:val="0"/>
            <w:vAlign w:val="center"/>
          </w:tcPr>
          <w:p w14:paraId="3DBAA2AC">
            <w:pPr>
              <w:keepNext w:val="0"/>
              <w:keepLines w:val="0"/>
              <w:pageBreakBefore w:val="0"/>
              <w:widowControl w:val="0"/>
              <w:kinsoku/>
              <w:wordWrap/>
              <w:overflowPunct w:val="0"/>
              <w:topLinePunct/>
              <w:autoSpaceDE/>
              <w:autoSpaceDN/>
              <w:bidi w:val="0"/>
              <w:adjustRightInd/>
              <w:snapToGrid/>
              <w:spacing w:line="360" w:lineRule="exact"/>
              <w:ind w:firstLine="420" w:firstLineChars="20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第三十七条</w:t>
            </w:r>
            <w:r>
              <w:rPr>
                <w:rFonts w:hint="eastAsia"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各级人民政府应当加强对建设施工、矿产资源开采、物料运输的扬尘和沙尘污染的治理，保持道路清洁、控制料堆和渣土堆放，科学合理扩大绿地、水面、湿地、地面铺装和防风固沙绿化面积，防治扬尘污染。</w:t>
            </w:r>
          </w:p>
        </w:tc>
        <w:tc>
          <w:tcPr>
            <w:tcW w:w="1939" w:type="pct"/>
            <w:vMerge w:val="restart"/>
            <w:noWrap w:val="0"/>
            <w:vAlign w:val="center"/>
          </w:tcPr>
          <w:p w14:paraId="13AF14DC">
            <w:pPr>
              <w:keepNext w:val="0"/>
              <w:keepLines w:val="0"/>
              <w:pageBreakBefore w:val="0"/>
              <w:widowControl w:val="0"/>
              <w:numPr>
                <w:ilvl w:val="0"/>
                <w:numId w:val="0"/>
              </w:numPr>
              <w:kinsoku/>
              <w:wordWrap/>
              <w:overflowPunct w:val="0"/>
              <w:topLinePunct/>
              <w:autoSpaceDE/>
              <w:autoSpaceDN/>
              <w:bidi w:val="0"/>
              <w:adjustRightInd/>
              <w:snapToGrid/>
              <w:spacing w:line="360" w:lineRule="exact"/>
              <w:ind w:leftChars="0" w:firstLine="420" w:firstLineChars="200"/>
              <w:jc w:val="both"/>
              <w:textAlignment w:val="auto"/>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本项目选矿厂各车间采用全封闭设计，集中布置，并在主要产尘环节设置了袋式除尘、喷淋等降尘措施，减少了污染物无组织逸散。本项目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尾矿库采取均匀排矿，尾矿库扬尘采取洒水降尘</w:t>
            </w:r>
            <w:r>
              <w:rPr>
                <w:rFonts w:hint="eastAsia" w:cs="Times New Roman"/>
                <w:color w:val="000000" w:themeColor="text1"/>
                <w:sz w:val="21"/>
                <w:szCs w:val="21"/>
                <w:lang w:val="en-US" w:eastAsia="zh-CN"/>
                <w14:textFill>
                  <w14:solidFill>
                    <w14:schemeClr w14:val="tx1"/>
                  </w14:solidFill>
                </w14:textFill>
              </w:rPr>
              <w:t>、喷洒抑尘剂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措施，减少了粉尘无组织逸散。</w:t>
            </w:r>
          </w:p>
        </w:tc>
        <w:tc>
          <w:tcPr>
            <w:tcW w:w="399" w:type="pct"/>
            <w:noWrap w:val="0"/>
            <w:vAlign w:val="center"/>
          </w:tcPr>
          <w:p w14:paraId="2B346EDD">
            <w:pPr>
              <w:keepNext w:val="0"/>
              <w:keepLines w:val="0"/>
              <w:pageBreakBefore w:val="0"/>
              <w:widowControl w:val="0"/>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14:paraId="6C9C4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61" w:type="pct"/>
            <w:noWrap w:val="0"/>
            <w:vAlign w:val="center"/>
          </w:tcPr>
          <w:p w14:paraId="76F23B64">
            <w:pPr>
              <w:keepNext w:val="0"/>
              <w:keepLines w:val="0"/>
              <w:pageBreakBefore w:val="0"/>
              <w:widowControl w:val="0"/>
              <w:kinsoku/>
              <w:wordWrap/>
              <w:overflowPunct w:val="0"/>
              <w:topLinePunct/>
              <w:autoSpaceDE/>
              <w:autoSpaceDN/>
              <w:bidi w:val="0"/>
              <w:adjustRightInd/>
              <w:snapToGrid/>
              <w:spacing w:line="360" w:lineRule="exact"/>
              <w:ind w:firstLine="420" w:firstLineChars="200"/>
              <w:jc w:val="both"/>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第四十三条贮存易产生扬尘的煤炭、煤矸石、煤渣、煤灰、水泥、石灰、石膏、砂土等物料的堆场应当密闭；不能密闭的，贮存单位或者个人应当采取下列防尘措施：（一）堆场的场坪、路面应当进行硬化处理，并保持路面整洁；（二）堆场周边应当配备高于堆存物料的围挡、防风抑尘网等设施；（三）按照物料类别采取相应的覆盖、喷淋和围挡等防风抑尘措施。</w:t>
            </w:r>
          </w:p>
          <w:p w14:paraId="2C6EEEC5">
            <w:pPr>
              <w:keepNext w:val="0"/>
              <w:keepLines w:val="0"/>
              <w:pageBreakBefore w:val="0"/>
              <w:widowControl w:val="0"/>
              <w:kinsoku/>
              <w:wordWrap/>
              <w:overflowPunct w:val="0"/>
              <w:topLinePunct/>
              <w:autoSpaceDE/>
              <w:autoSpaceDN/>
              <w:bidi w:val="0"/>
              <w:adjustRightInd/>
              <w:snapToGrid/>
              <w:spacing w:line="360" w:lineRule="exact"/>
              <w:ind w:firstLine="420" w:firstLineChars="200"/>
              <w:jc w:val="both"/>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露天装卸物料应当采取密闭或者喷淋等抑尘措施；输送的物料应当在装料、卸料处配备吸尘、喷淋等防尘设施。</w:t>
            </w:r>
          </w:p>
        </w:tc>
        <w:tc>
          <w:tcPr>
            <w:tcW w:w="1939" w:type="pct"/>
            <w:vMerge w:val="continue"/>
            <w:noWrap w:val="0"/>
            <w:vAlign w:val="center"/>
          </w:tcPr>
          <w:p w14:paraId="254EF249">
            <w:pPr>
              <w:keepNext w:val="0"/>
              <w:keepLines w:val="0"/>
              <w:pageBreakBefore w:val="0"/>
              <w:widowControl w:val="0"/>
              <w:kinsoku/>
              <w:wordWrap/>
              <w:overflowPunct w:val="0"/>
              <w:topLinePunct/>
              <w:autoSpaceDE/>
              <w:autoSpaceDN/>
              <w:bidi w:val="0"/>
              <w:adjustRightInd/>
              <w:snapToGrid/>
              <w:spacing w:line="360" w:lineRule="exact"/>
              <w:ind w:firstLine="420" w:firstLineChars="200"/>
              <w:jc w:val="both"/>
              <w:textAlignment w:val="auto"/>
              <w:rPr>
                <w:rFonts w:hint="default" w:eastAsia="宋体"/>
                <w:color w:val="000000" w:themeColor="text1"/>
                <w:sz w:val="21"/>
                <w:szCs w:val="21"/>
                <w:lang w:val="en-US" w:eastAsia="zh-CN"/>
                <w14:textFill>
                  <w14:solidFill>
                    <w14:schemeClr w14:val="tx1"/>
                  </w14:solidFill>
                </w14:textFill>
              </w:rPr>
            </w:pPr>
          </w:p>
        </w:tc>
        <w:tc>
          <w:tcPr>
            <w:tcW w:w="399" w:type="pct"/>
            <w:noWrap w:val="0"/>
            <w:vAlign w:val="center"/>
          </w:tcPr>
          <w:p w14:paraId="3037165F">
            <w:pPr>
              <w:keepNext w:val="0"/>
              <w:keepLines w:val="0"/>
              <w:pageBreakBefore w:val="0"/>
              <w:widowControl w:val="0"/>
              <w:kinsoku/>
              <w:wordWrap/>
              <w:overflowPunct w:val="0"/>
              <w:topLinePunct/>
              <w:autoSpaceDE/>
              <w:autoSpaceDN/>
              <w:bidi w:val="0"/>
              <w:adjustRightInd/>
              <w:snapToGrid/>
              <w:spacing w:line="360" w:lineRule="exact"/>
              <w:ind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bl>
    <w:p w14:paraId="53D76327">
      <w:pPr>
        <w:pStyle w:val="5"/>
        <w:ind w:firstLine="482"/>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1.3.3.2与</w:t>
      </w:r>
      <w:r>
        <w:rPr>
          <w:rFonts w:hint="eastAsia" w:ascii="Times New Roman" w:hAnsi="Times New Roman"/>
          <w:bCs w:val="0"/>
          <w:color w:val="000000" w:themeColor="text1"/>
          <w:kern w:val="2"/>
          <w:szCs w:val="24"/>
          <w14:textFill>
            <w14:solidFill>
              <w14:schemeClr w14:val="tx1"/>
            </w14:solidFill>
          </w14:textFill>
        </w:rPr>
        <w:t>《新疆维吾尔自治区矿产资源管理条例》</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的符合性分析</w:t>
      </w:r>
    </w:p>
    <w:p w14:paraId="771F823A">
      <w:pPr>
        <w:bidi w:val="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根据《新疆维吾尔自治区矿产资源管理条例》中第三十六条指出：</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自治区实行矿山企业矿产开发监督管理年度检查制度。矿产开发监督管理年度检查，按自治区有关规定执行。矿山企业开采回采率、采矿贫化率和选矿回收率应当达到设计要求，并应建立健全年度考核制度，不断提高资源利用率。</w:t>
      </w:r>
      <w:r>
        <w:rPr>
          <w:rFonts w:hint="eastAsia"/>
          <w:color w:val="000000" w:themeColor="text1"/>
          <w:lang w:eastAsia="zh-CN"/>
          <w14:textFill>
            <w14:solidFill>
              <w14:schemeClr w14:val="tx1"/>
            </w14:solidFill>
          </w14:textFill>
        </w:rPr>
        <w:t>”</w:t>
      </w:r>
    </w:p>
    <w:p w14:paraId="2B1B97D4">
      <w:pPr>
        <w:pStyle w:val="41"/>
        <w:spacing w:line="480" w:lineRule="exact"/>
        <w:ind w:firstLine="480"/>
        <w:rPr>
          <w:rFonts w:hint="default"/>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评价要求建设单位</w:t>
      </w:r>
      <w:r>
        <w:rPr>
          <w:rFonts w:hint="eastAsia"/>
          <w:color w:val="000000" w:themeColor="text1"/>
          <w14:textFill>
            <w14:solidFill>
              <w14:schemeClr w14:val="tx1"/>
            </w14:solidFill>
          </w14:textFill>
        </w:rPr>
        <w:t>建立健全年度考核制度，对选矿回收率进行</w:t>
      </w:r>
      <w:r>
        <w:rPr>
          <w:rFonts w:hint="eastAsia"/>
          <w:color w:val="000000" w:themeColor="text1"/>
          <w:lang w:val="en-US" w:eastAsia="zh-CN"/>
          <w14:textFill>
            <w14:solidFill>
              <w14:schemeClr w14:val="tx1"/>
            </w14:solidFill>
          </w14:textFill>
        </w:rPr>
        <w:t>了</w:t>
      </w:r>
      <w:r>
        <w:rPr>
          <w:rFonts w:hint="eastAsia"/>
          <w:color w:val="000000" w:themeColor="text1"/>
          <w14:textFill>
            <w14:solidFill>
              <w14:schemeClr w14:val="tx1"/>
            </w14:solidFill>
          </w14:textFill>
        </w:rPr>
        <w:t>定期核查，对生产中出现的问题要及时采取相应的措施予以解决，达到设计要求并不断提高资源利用率。因此，</w:t>
      </w:r>
      <w:r>
        <w:rPr>
          <w:rFonts w:hint="eastAsia"/>
          <w:color w:val="000000" w:themeColor="text1"/>
          <w:lang w:eastAsia="zh-CN"/>
          <w14:textFill>
            <w14:solidFill>
              <w14:schemeClr w14:val="tx1"/>
            </w14:solidFill>
          </w14:textFill>
        </w:rPr>
        <w:t>本项目</w:t>
      </w:r>
      <w:r>
        <w:rPr>
          <w:rFonts w:hint="eastAsia"/>
          <w:color w:val="000000" w:themeColor="text1"/>
          <w14:textFill>
            <w14:solidFill>
              <w14:schemeClr w14:val="tx1"/>
            </w14:solidFill>
          </w14:textFill>
        </w:rPr>
        <w:t>建设符合《新疆维吾尔自治区矿产资源管理条例》的要求。</w:t>
      </w:r>
    </w:p>
    <w:p w14:paraId="199FFC87">
      <w:pPr>
        <w:pStyle w:val="5"/>
        <w:ind w:firstLine="48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1.3.3.3与</w:t>
      </w:r>
      <w:r>
        <w:rPr>
          <w:rFonts w:hint="default" w:ascii="Times New Roman" w:hAnsi="Times New Roman" w:eastAsia="宋体" w:cs="Times New Roman"/>
          <w:color w:val="000000" w:themeColor="text1"/>
          <w:highlight w:val="none"/>
          <w:lang w:val="en-US" w:eastAsia="zh-CN"/>
          <w14:textFill>
            <w14:solidFill>
              <w14:schemeClr w14:val="tx1"/>
            </w14:solidFill>
          </w14:textFill>
        </w:rPr>
        <w:t>《新疆维吾尔自治区环境保护条例》</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highlight w:val="none"/>
          <w:lang w:val="en-US" w:eastAsia="zh-CN"/>
          <w14:textFill>
            <w14:solidFill>
              <w14:schemeClr w14:val="tx1"/>
            </w14:solidFill>
          </w14:textFill>
        </w:rPr>
        <w:t>符合性分析</w:t>
      </w:r>
    </w:p>
    <w:p w14:paraId="7635ECCD">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default" w:ascii="Times New Roman" w:hAnsi="Times New Roman" w:cs="Times New Roman"/>
          <w:color w:val="000000" w:themeColor="text1"/>
          <w:szCs w:val="24"/>
          <w:lang w:bidi="ar"/>
          <w14:textFill>
            <w14:solidFill>
              <w14:schemeClr w14:val="tx1"/>
            </w14:solidFill>
          </w14:textFill>
        </w:rPr>
        <w:t>《新疆维吾尔自治区环境保护条例》第三十条规定</w:t>
      </w:r>
      <w:r>
        <w:rPr>
          <w:rFonts w:hint="eastAsia" w:cs="Times New Roman"/>
          <w:color w:val="000000" w:themeColor="text1"/>
          <w:szCs w:val="24"/>
          <w:lang w:eastAsia="zh-CN" w:bidi="ar"/>
          <w14:textFill>
            <w14:solidFill>
              <w14:schemeClr w14:val="tx1"/>
            </w14:solidFill>
          </w14:textFill>
        </w:rPr>
        <w:t>“</w:t>
      </w:r>
      <w:r>
        <w:rPr>
          <w:rFonts w:hint="default" w:ascii="Times New Roman" w:hAnsi="Times New Roman" w:cs="Times New Roman"/>
          <w:color w:val="000000" w:themeColor="text1"/>
          <w:szCs w:val="24"/>
          <w:lang w:bidi="ar"/>
          <w14:textFill>
            <w14:solidFill>
              <w14:schemeClr w14:val="tx1"/>
            </w14:solidFill>
          </w14:textFill>
        </w:rPr>
        <w:t>任何单位和个人不得在水源涵养区、饮用水水源保护区内和河流、湖泊、水库周围建设重化工、涉重金属等工业污染项目；对已建成的工业污染项目，当地人民政府应当组织限期搬迁。</w:t>
      </w:r>
      <w:r>
        <w:rPr>
          <w:rFonts w:hint="eastAsia" w:cs="Times New Roman"/>
          <w:color w:val="000000" w:themeColor="text1"/>
          <w:szCs w:val="24"/>
          <w:lang w:eastAsia="zh-CN" w:bidi="ar"/>
          <w14:textFill>
            <w14:solidFill>
              <w14:schemeClr w14:val="tx1"/>
            </w14:solidFill>
          </w14:textFill>
        </w:rPr>
        <w:t>”</w:t>
      </w:r>
    </w:p>
    <w:p w14:paraId="1C3733FE">
      <w:pPr>
        <w:pStyle w:val="41"/>
        <w:spacing w:line="480" w:lineRule="exact"/>
        <w:ind w:firstLine="480"/>
        <w:rPr>
          <w:rFonts w:hint="default"/>
          <w:color w:val="000000" w:themeColor="text1"/>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本项目位于</w:t>
      </w:r>
      <w:r>
        <w:rPr>
          <w:rFonts w:hint="eastAsia"/>
          <w:color w:val="000000" w:themeColor="text1"/>
          <w:sz w:val="24"/>
          <w:szCs w:val="24"/>
          <w14:textFill>
            <w14:solidFill>
              <w14:schemeClr w14:val="tx1"/>
            </w14:solidFill>
          </w14:textFill>
        </w:rPr>
        <w:t>哈密市伊州区雅满苏镇以南约7</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km处</w:t>
      </w:r>
      <w:r>
        <w:rPr>
          <w:rFonts w:hint="eastAsia"/>
          <w:color w:val="000000" w:themeColor="text1"/>
          <w:sz w:val="24"/>
          <w:szCs w:val="24"/>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行政区划隶属</w:t>
      </w:r>
      <w:r>
        <w:rPr>
          <w:rFonts w:hint="eastAsia"/>
          <w:color w:val="000000" w:themeColor="text1"/>
          <w:lang w:val="en-US" w:eastAsia="zh-CN"/>
          <w14:textFill>
            <w14:solidFill>
              <w14:schemeClr w14:val="tx1"/>
            </w14:solidFill>
          </w14:textFill>
        </w:rPr>
        <w:t>哈密市伊州区</w:t>
      </w:r>
      <w:r>
        <w:rPr>
          <w:rFonts w:hint="eastAsia"/>
          <w:color w:val="000000" w:themeColor="text1"/>
          <w:lang w:eastAsia="zh-CN"/>
          <w14:textFill>
            <w14:solidFill>
              <w14:schemeClr w14:val="tx1"/>
            </w14:solidFill>
          </w14:textFill>
        </w:rPr>
        <w:t>管辖，</w:t>
      </w:r>
      <w:r>
        <w:rPr>
          <w:rFonts w:hint="default"/>
          <w:color w:val="000000" w:themeColor="text1"/>
          <w14:textFill>
            <w14:solidFill>
              <w14:schemeClr w14:val="tx1"/>
            </w14:solidFill>
          </w14:textFill>
        </w:rPr>
        <w:t>不在水源涵养区、饮用水水源保护区内，符合《新疆维吾尔自治区环境保护条例》的相关要求。</w:t>
      </w:r>
    </w:p>
    <w:p w14:paraId="7D81C639">
      <w:pPr>
        <w:pStyle w:val="5"/>
        <w:ind w:firstLine="482"/>
        <w:rPr>
          <w:rFonts w:ascii="Times New Roman" w:hAnsi="Times New Roman"/>
          <w:color w:val="000000" w:themeColor="text1"/>
          <w:highlight w:val="none"/>
          <w:lang w:eastAsia="zh-Han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1.3.3.4</w:t>
      </w:r>
      <w:r>
        <w:rPr>
          <w:rFonts w:ascii="Times New Roman" w:hAnsi="Times New Roman"/>
          <w:color w:val="000000" w:themeColor="text1"/>
          <w:highlight w:val="none"/>
          <w:lang w:eastAsia="zh-Hans"/>
          <w14:textFill>
            <w14:solidFill>
              <w14:schemeClr w14:val="tx1"/>
            </w14:solidFill>
          </w14:textFill>
        </w:rPr>
        <w:t>与《</w:t>
      </w:r>
      <w:r>
        <w:rPr>
          <w:rFonts w:hint="eastAsia" w:ascii="Times New Roman" w:hAnsi="Times New Roman"/>
          <w:color w:val="000000" w:themeColor="text1"/>
          <w:highlight w:val="none"/>
          <w:lang w:eastAsia="zh-Hans"/>
          <w14:textFill>
            <w14:solidFill>
              <w14:schemeClr w14:val="tx1"/>
            </w14:solidFill>
          </w14:textFill>
        </w:rPr>
        <w:t>哈密市戈壁生态环境保护条例</w:t>
      </w:r>
      <w:r>
        <w:rPr>
          <w:rFonts w:ascii="Times New Roman" w:hAnsi="Times New Roman"/>
          <w:color w:val="000000" w:themeColor="text1"/>
          <w:highlight w:val="none"/>
          <w:lang w:eastAsia="zh-Hans"/>
          <w14:textFill>
            <w14:solidFill>
              <w14:schemeClr w14:val="tx1"/>
            </w14:solidFill>
          </w14:textFill>
        </w:rPr>
        <w:t>》的符合性分析</w:t>
      </w:r>
    </w:p>
    <w:p w14:paraId="1982C0B4">
      <w:pPr>
        <w:spacing w:line="480" w:lineRule="exact"/>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lang w:val="de-DE"/>
          <w14:textFill>
            <w14:solidFill>
              <w14:schemeClr w14:val="tx1"/>
            </w14:solidFill>
          </w14:textFill>
        </w:rPr>
        <w:t>根据</w:t>
      </w:r>
      <w:r>
        <w:rPr>
          <w:rFonts w:hint="eastAsia"/>
          <w:color w:val="000000" w:themeColor="text1"/>
          <w:sz w:val="24"/>
          <w:lang w:val="de-DE"/>
          <w14:textFill>
            <w14:solidFill>
              <w14:schemeClr w14:val="tx1"/>
            </w14:solidFill>
          </w14:textFill>
        </w:rPr>
        <w:t>《哈密市戈壁生态环境保护条例》第十六条</w:t>
      </w:r>
      <w:r>
        <w:rPr>
          <w:rFonts w:hint="eastAsia"/>
          <w:color w:val="000000" w:themeColor="text1"/>
          <w:sz w:val="24"/>
          <w:lang w:val="de-DE" w:eastAsia="zh-CN"/>
          <w14:textFill>
            <w14:solidFill>
              <w14:schemeClr w14:val="tx1"/>
            </w14:solidFill>
          </w14:textFill>
        </w:rPr>
        <w:t>，“</w:t>
      </w:r>
      <w:r>
        <w:rPr>
          <w:rFonts w:hint="eastAsia"/>
          <w:color w:val="000000" w:themeColor="text1"/>
          <w:sz w:val="24"/>
          <w:lang w:val="de-DE"/>
          <w14:textFill>
            <w14:solidFill>
              <w14:schemeClr w14:val="tx1"/>
            </w14:solidFill>
          </w14:textFill>
        </w:rPr>
        <w:t>因能源、交通、水利、通信等基础设施建设和地质勘探等其他生产建设活动临时占用戈壁，造成戈壁生态功能破坏的，建设单位应当依法履行修复责任。</w:t>
      </w:r>
      <w:r>
        <w:rPr>
          <w:rFonts w:hint="eastAsia"/>
          <w:color w:val="000000" w:themeColor="text1"/>
          <w:sz w:val="24"/>
          <w:lang w:val="de-DE" w:eastAsia="zh-CN"/>
          <w14:textFill>
            <w14:solidFill>
              <w14:schemeClr w14:val="tx1"/>
            </w14:solidFill>
          </w14:textFill>
        </w:rPr>
        <w:t>”</w:t>
      </w:r>
    </w:p>
    <w:p w14:paraId="19CF82E2">
      <w:pPr>
        <w:spacing w:line="480" w:lineRule="exact"/>
        <w:ind w:firstLine="480" w:firstLineChars="200"/>
        <w:rPr>
          <w:rFonts w:hint="default"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本项目</w:t>
      </w:r>
      <w:r>
        <w:rPr>
          <w:rFonts w:hint="eastAsia" w:ascii="Times New Roman" w:hAnsi="Times New Roman" w:eastAsia="宋体"/>
          <w:color w:val="000000" w:themeColor="text1"/>
          <w:sz w:val="24"/>
          <w:highlight w:val="none"/>
          <w14:textFill>
            <w14:solidFill>
              <w14:schemeClr w14:val="tx1"/>
            </w14:solidFill>
          </w14:textFill>
        </w:rPr>
        <w:t>土地利用现状为戈壁、裸岩石砾地</w:t>
      </w:r>
      <w:r>
        <w:rPr>
          <w:rFonts w:hint="eastAsia" w:ascii="Times New Roman" w:hAnsi="Times New Roman" w:eastAsia="宋体"/>
          <w:color w:val="000000" w:themeColor="text1"/>
          <w:sz w:val="24"/>
          <w:highlight w:val="none"/>
          <w:lang w:eastAsia="zh-CN"/>
          <w14:textFill>
            <w14:solidFill>
              <w14:schemeClr w14:val="tx1"/>
            </w14:solidFill>
          </w14:textFill>
        </w:rPr>
        <w:t>，</w:t>
      </w:r>
      <w:r>
        <w:rPr>
          <w:rFonts w:hint="eastAsia" w:ascii="Times New Roman" w:hAnsi="Times New Roman" w:eastAsia="宋体"/>
          <w:color w:val="000000" w:themeColor="text1"/>
          <w:sz w:val="24"/>
          <w:highlight w:val="none"/>
          <w:lang w:val="en-US" w:eastAsia="zh-CN"/>
          <w14:textFill>
            <w14:solidFill>
              <w14:schemeClr w14:val="tx1"/>
            </w14:solidFill>
          </w14:textFill>
        </w:rPr>
        <w:t>项目建设势必造成</w:t>
      </w:r>
      <w:r>
        <w:rPr>
          <w:rFonts w:hint="eastAsia" w:ascii="Times New Roman" w:hAnsi="Times New Roman" w:eastAsia="宋体"/>
          <w:color w:val="000000" w:themeColor="text1"/>
          <w:sz w:val="24"/>
          <w:highlight w:val="none"/>
          <w:lang w:val="de-DE"/>
          <w14:textFill>
            <w14:solidFill>
              <w14:schemeClr w14:val="tx1"/>
            </w14:solidFill>
          </w14:textFill>
        </w:rPr>
        <w:t>戈壁生态功能破坏</w:t>
      </w:r>
      <w:r>
        <w:rPr>
          <w:rFonts w:hint="eastAsia" w:ascii="Times New Roman" w:hAnsi="Times New Roman" w:eastAsia="宋体"/>
          <w:color w:val="000000" w:themeColor="text1"/>
          <w:sz w:val="24"/>
          <w:highlight w:val="none"/>
          <w:lang w:val="de-DE" w:eastAsia="zh-CN"/>
          <w14:textFill>
            <w14:solidFill>
              <w14:schemeClr w14:val="tx1"/>
            </w14:solidFill>
          </w14:textFill>
        </w:rPr>
        <w:t>。</w:t>
      </w:r>
      <w:r>
        <w:rPr>
          <w:rFonts w:hint="eastAsia" w:ascii="Times New Roman" w:hAnsi="Times New Roman" w:eastAsia="宋体"/>
          <w:color w:val="000000" w:themeColor="text1"/>
          <w:sz w:val="24"/>
          <w:highlight w:val="none"/>
          <w:lang w:val="en-US" w:eastAsia="zh-CN"/>
          <w14:textFill>
            <w14:solidFill>
              <w14:schemeClr w14:val="tx1"/>
            </w14:solidFill>
          </w14:textFill>
        </w:rPr>
        <w:t>本次评价提出，</w:t>
      </w:r>
      <w:r>
        <w:rPr>
          <w:rFonts w:ascii="Times New Roman" w:hAnsi="Times New Roman" w:eastAsia="宋体" w:cs="宋体"/>
          <w:color w:val="000000" w:themeColor="text1"/>
          <w:sz w:val="24"/>
          <w:szCs w:val="24"/>
          <w:highlight w:val="none"/>
          <w14:textFill>
            <w14:solidFill>
              <w14:schemeClr w14:val="tx1"/>
            </w14:solidFill>
          </w14:textFill>
        </w:rPr>
        <w:t>划定临时施工</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作业范围，减少对戈壁的压占，将表层砾石和结皮整体剥离（厚度≥10cm），转移至临时堆放区并苫盖，待</w:t>
      </w:r>
      <w:r>
        <w:rPr>
          <w:rFonts w:hint="eastAsia" w:cs="宋体"/>
          <w:color w:val="000000" w:themeColor="text1"/>
          <w:sz w:val="24"/>
          <w:szCs w:val="24"/>
          <w:highlight w:val="none"/>
          <w:lang w:val="en-US" w:eastAsia="zh-CN"/>
          <w14:textFill>
            <w14:solidFill>
              <w14:schemeClr w14:val="tx1"/>
            </w14:solidFill>
          </w14:textFill>
        </w:rPr>
        <w:t>尾矿库服务期满后</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及时进行生态恢复，利用剥离的表层砾石和结皮，辅以黏土与细砂（比例1:3），压实后喷水固化，将</w:t>
      </w:r>
      <w:r>
        <w:rPr>
          <w:rFonts w:hint="eastAsia"/>
          <w:color w:val="000000" w:themeColor="text1"/>
          <w:sz w:val="24"/>
          <w:highlight w:val="none"/>
          <w:lang w:val="en-US" w:eastAsia="zh-CN"/>
          <w14:textFill>
            <w14:solidFill>
              <w14:schemeClr w14:val="tx1"/>
            </w14:solidFill>
          </w14:textFill>
        </w:rPr>
        <w:t>尾矿库、选矿厂</w:t>
      </w:r>
      <w:r>
        <w:rPr>
          <w:rFonts w:hint="eastAsia" w:ascii="Times New Roman" w:hAnsi="Times New Roman" w:eastAsia="宋体"/>
          <w:color w:val="000000" w:themeColor="text1"/>
          <w:sz w:val="24"/>
          <w:highlight w:val="none"/>
          <w:lang w:val="en-US" w:eastAsia="zh-CN"/>
          <w14:textFill>
            <w14:solidFill>
              <w14:schemeClr w14:val="tx1"/>
            </w14:solidFill>
          </w14:textFill>
        </w:rPr>
        <w:t>均恢复为戈壁地貌。</w:t>
      </w:r>
    </w:p>
    <w:p w14:paraId="1A64F509">
      <w:pPr>
        <w:spacing w:line="48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在采取本次评价提出的戈壁生态保护措施的前提下，本项目符合《哈密市戈壁生态环境保护条例》的相关要求。</w:t>
      </w:r>
    </w:p>
    <w:p w14:paraId="787E6EF9">
      <w:pPr>
        <w:pStyle w:val="4"/>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1.3.4与生态环境分区管控的符合性分析</w:t>
      </w:r>
    </w:p>
    <w:p w14:paraId="652B15A1">
      <w:pPr>
        <w:pStyle w:val="41"/>
        <w:spacing w:line="480" w:lineRule="exact"/>
        <w:ind w:firstLine="480"/>
        <w:rPr>
          <w:rFonts w:hint="default" w:eastAsia="宋体"/>
          <w:color w:val="000000" w:themeColor="text1"/>
          <w:kern w:val="1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关于印发〈</w:t>
      </w:r>
      <w:r>
        <w:rPr>
          <w:rFonts w:hint="default" w:ascii="Times New Roman" w:hAnsi="Times New Roman" w:cs="Times New Roman"/>
          <w:color w:val="000000" w:themeColor="text1"/>
          <w:sz w:val="24"/>
          <w:highlight w:val="none"/>
          <w:lang w:val="en-US" w:eastAsia="zh-CN"/>
          <w14:textFill>
            <w14:solidFill>
              <w14:schemeClr w14:val="tx1"/>
            </w14:solidFill>
          </w14:textFill>
        </w:rPr>
        <w:t>新疆维吾尔自治区生态环境分区管控动态更新成果</w:t>
      </w:r>
      <w:r>
        <w:rPr>
          <w:rFonts w:hint="eastAsia" w:ascii="Times New Roman" w:hAnsi="Times New Roman" w:cs="Times New Roman"/>
          <w:color w:val="000000" w:themeColor="text1"/>
          <w:sz w:val="24"/>
          <w:highlight w:val="none"/>
          <w:lang w:val="en-US" w:eastAsia="zh-CN"/>
          <w14:textFill>
            <w14:solidFill>
              <w14:schemeClr w14:val="tx1"/>
            </w14:solidFill>
          </w14:textFill>
        </w:rPr>
        <w:t>〉的通知</w:t>
      </w:r>
      <w:r>
        <w:rPr>
          <w:rFonts w:hint="default" w:ascii="Times New Roman" w:hAnsi="Times New Roman" w:cs="Times New Roman"/>
          <w:color w:val="000000" w:themeColor="text1"/>
          <w:sz w:val="24"/>
          <w:highlight w:val="none"/>
          <w:lang w:val="en-US" w:eastAsia="zh-CN"/>
          <w14:textFill>
            <w14:solidFill>
              <w14:schemeClr w14:val="tx1"/>
            </w14:solidFill>
          </w14:textFill>
        </w:rPr>
        <w:t>》（新环环评发</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〔2024〕157号</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color w:val="000000" w:themeColor="text1"/>
          <w:kern w:val="10"/>
          <w:sz w:val="24"/>
          <w:szCs w:val="24"/>
          <w14:textFill>
            <w14:solidFill>
              <w14:schemeClr w14:val="tx1"/>
            </w14:solidFill>
          </w14:textFill>
        </w:rPr>
        <w:t>及《</w:t>
      </w:r>
      <w:r>
        <w:rPr>
          <w:rFonts w:hint="eastAsia" w:ascii="Times New Roman" w:hAnsi="Times New Roman" w:cs="Times New Roman"/>
          <w:color w:val="000000" w:themeColor="text1"/>
          <w:lang w:eastAsia="zh-CN"/>
          <w14:textFill>
            <w14:solidFill>
              <w14:schemeClr w14:val="tx1"/>
            </w14:solidFill>
          </w14:textFill>
        </w:rPr>
        <w:t>哈密市生态环境准入清单</w:t>
      </w:r>
      <w:r>
        <w:rPr>
          <w:color w:val="000000" w:themeColor="text1"/>
          <w:kern w:val="10"/>
          <w:sz w:val="24"/>
          <w:szCs w:val="24"/>
          <w14:textFill>
            <w14:solidFill>
              <w14:schemeClr w14:val="tx1"/>
            </w14:solidFill>
          </w14:textFill>
        </w:rPr>
        <w:t>》</w:t>
      </w:r>
      <w:r>
        <w:rPr>
          <w:rFonts w:hint="eastAsia"/>
          <w:color w:val="000000" w:themeColor="text1"/>
          <w:kern w:val="10"/>
          <w:sz w:val="24"/>
          <w:szCs w:val="24"/>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与生态环境分区管控的符合性分析具体如下：</w:t>
      </w:r>
    </w:p>
    <w:p w14:paraId="6EE6400D">
      <w:pPr>
        <w:pStyle w:val="41"/>
        <w:spacing w:line="480" w:lineRule="exact"/>
        <w:ind w:firstLine="480"/>
        <w:rPr>
          <w:rFonts w:hint="eastAsia"/>
          <w:color w:val="000000" w:themeColor="text1"/>
          <w:kern w:val="10"/>
          <w:sz w:val="24"/>
          <w:szCs w:val="24"/>
          <w14:textFill>
            <w14:solidFill>
              <w14:schemeClr w14:val="tx1"/>
            </w14:solidFill>
          </w14:textFill>
        </w:rPr>
      </w:pPr>
      <w:r>
        <w:rPr>
          <w:rFonts w:hint="eastAsia"/>
          <w:color w:val="000000" w:themeColor="text1"/>
          <w14:textFill>
            <w14:solidFill>
              <w14:schemeClr w14:val="tx1"/>
            </w14:solidFill>
          </w14:textFill>
        </w:rPr>
        <w:t>为实现生态环境精细化管理，建立国土空间全覆盖的生态环境保护制度，将全市行政区域从生态环境保护角度划分为优先保护、重点管控和一般管控三类环境管控单元，在一张图上落实空间布局、污染排放、资源利用和环境风险4个维度的管控要求，按照环境管控单元编制生态环境准入清单，构建生态环境分区管控体系。</w:t>
      </w:r>
    </w:p>
    <w:p w14:paraId="41E29031">
      <w:pPr>
        <w:pStyle w:val="5"/>
        <w:ind w:firstLine="482"/>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1.3.4.1生态保护红线</w:t>
      </w:r>
    </w:p>
    <w:p w14:paraId="0334C753">
      <w:pPr>
        <w:spacing w:line="480" w:lineRule="exact"/>
        <w:ind w:firstLine="480" w:firstLineChars="200"/>
        <w:rPr>
          <w:rFonts w:hint="eastAsia"/>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按照</w:t>
      </w:r>
      <w:r>
        <w:rPr>
          <w:rFonts w:hint="eastAsia"/>
          <w:color w:val="000000" w:themeColor="text1"/>
          <w:kern w:val="10"/>
          <w:sz w:val="24"/>
          <w:szCs w:val="24"/>
          <w:lang w:eastAsia="zh-CN"/>
          <w14:textFill>
            <w14:solidFill>
              <w14:schemeClr w14:val="tx1"/>
            </w14:solidFill>
          </w14:textFill>
        </w:rPr>
        <w:t>“</w:t>
      </w:r>
      <w:r>
        <w:rPr>
          <w:color w:val="000000" w:themeColor="text1"/>
          <w:kern w:val="10"/>
          <w:sz w:val="24"/>
          <w:szCs w:val="24"/>
          <w14:textFill>
            <w14:solidFill>
              <w14:schemeClr w14:val="tx1"/>
            </w14:solidFill>
          </w14:textFill>
        </w:rPr>
        <w:t>生态功能不降低、面积不减少、性质不改变</w:t>
      </w:r>
      <w:r>
        <w:rPr>
          <w:rFonts w:hint="eastAsia"/>
          <w:color w:val="000000" w:themeColor="text1"/>
          <w:kern w:val="10"/>
          <w:sz w:val="24"/>
          <w:szCs w:val="24"/>
          <w:lang w:eastAsia="zh-CN"/>
          <w14:textFill>
            <w14:solidFill>
              <w14:schemeClr w14:val="tx1"/>
            </w14:solidFill>
          </w14:textFill>
        </w:rPr>
        <w:t>”</w:t>
      </w:r>
      <w:r>
        <w:rPr>
          <w:color w:val="000000" w:themeColor="text1"/>
          <w:kern w:val="10"/>
          <w:sz w:val="24"/>
          <w:szCs w:val="24"/>
          <w14:textFill>
            <w14:solidFill>
              <w14:schemeClr w14:val="tx1"/>
            </w14:solidFill>
          </w14:textFill>
        </w:rPr>
        <w:t>的基本要求，对规定的生态保护红线实施严格管控，保障和维护国家生态安全的底线和生命线，根据自治区划定的环境管控单元，</w:t>
      </w:r>
      <w:r>
        <w:rPr>
          <w:rFonts w:hint="eastAsia"/>
          <w:color w:val="000000" w:themeColor="text1"/>
          <w:kern w:val="10"/>
          <w:sz w:val="24"/>
          <w:szCs w:val="24"/>
          <w:lang w:val="en-US" w:eastAsia="zh-CN"/>
          <w14:textFill>
            <w14:solidFill>
              <w14:schemeClr w14:val="tx1"/>
            </w14:solidFill>
          </w14:textFill>
        </w:rPr>
        <w:t>哈密市</w:t>
      </w:r>
      <w:r>
        <w:rPr>
          <w:color w:val="000000" w:themeColor="text1"/>
          <w:kern w:val="10"/>
          <w:sz w:val="24"/>
          <w:szCs w:val="24"/>
          <w14:textFill>
            <w14:solidFill>
              <w14:schemeClr w14:val="tx1"/>
            </w14:solidFill>
          </w14:textFill>
        </w:rPr>
        <w:t>共划定</w:t>
      </w:r>
      <w:r>
        <w:rPr>
          <w:rFonts w:hint="eastAsia"/>
          <w:color w:val="000000" w:themeColor="text1"/>
          <w:kern w:val="10"/>
          <w:sz w:val="24"/>
          <w:szCs w:val="24"/>
          <w:lang w:val="en-US" w:eastAsia="zh-CN"/>
          <w14:textFill>
            <w14:solidFill>
              <w14:schemeClr w14:val="tx1"/>
            </w14:solidFill>
          </w14:textFill>
        </w:rPr>
        <w:t>231</w:t>
      </w:r>
      <w:r>
        <w:rPr>
          <w:color w:val="000000" w:themeColor="text1"/>
          <w:kern w:val="10"/>
          <w:sz w:val="24"/>
          <w:szCs w:val="24"/>
          <w14:textFill>
            <w14:solidFill>
              <w14:schemeClr w14:val="tx1"/>
            </w14:solidFill>
          </w14:textFill>
        </w:rPr>
        <w:t>个环境管控单元，分为优先保护单元、重点管控单元和一般管控单元三类，实施分类管控</w:t>
      </w:r>
      <w:r>
        <w:rPr>
          <w:rFonts w:hint="eastAsia"/>
          <w:color w:val="000000" w:themeColor="text1"/>
          <w:kern w:val="10"/>
          <w:sz w:val="24"/>
          <w:szCs w:val="24"/>
          <w14:textFill>
            <w14:solidFill>
              <w14:schemeClr w14:val="tx1"/>
            </w14:solidFill>
          </w14:textFill>
        </w:rPr>
        <w:t>，其中优先保护单元</w:t>
      </w:r>
      <w:r>
        <w:rPr>
          <w:rFonts w:hint="eastAsia"/>
          <w:color w:val="000000" w:themeColor="text1"/>
          <w:kern w:val="10"/>
          <w:sz w:val="24"/>
          <w:szCs w:val="24"/>
          <w:lang w:val="en-US" w:eastAsia="zh-CN"/>
          <w14:textFill>
            <w14:solidFill>
              <w14:schemeClr w14:val="tx1"/>
            </w14:solidFill>
          </w14:textFill>
        </w:rPr>
        <w:t>129</w:t>
      </w:r>
      <w:r>
        <w:rPr>
          <w:rFonts w:hint="eastAsia"/>
          <w:color w:val="000000" w:themeColor="text1"/>
          <w:kern w:val="10"/>
          <w:sz w:val="24"/>
          <w:szCs w:val="24"/>
          <w14:textFill>
            <w14:solidFill>
              <w14:schemeClr w14:val="tx1"/>
            </w14:solidFill>
          </w14:textFill>
        </w:rPr>
        <w:t>个，</w:t>
      </w:r>
      <w:r>
        <w:rPr>
          <w:color w:val="000000" w:themeColor="text1"/>
          <w:kern w:val="10"/>
          <w:sz w:val="24"/>
          <w:szCs w:val="24"/>
          <w14:textFill>
            <w14:solidFill>
              <w14:schemeClr w14:val="tx1"/>
            </w14:solidFill>
          </w14:textFill>
        </w:rPr>
        <w:t>重点管控单元</w:t>
      </w:r>
      <w:r>
        <w:rPr>
          <w:rFonts w:hint="eastAsia"/>
          <w:color w:val="000000" w:themeColor="text1"/>
          <w:kern w:val="10"/>
          <w:sz w:val="24"/>
          <w:szCs w:val="24"/>
          <w:lang w:val="en-US" w:eastAsia="zh-CN"/>
          <w14:textFill>
            <w14:solidFill>
              <w14:schemeClr w14:val="tx1"/>
            </w14:solidFill>
          </w14:textFill>
        </w:rPr>
        <w:t>67</w:t>
      </w:r>
      <w:r>
        <w:rPr>
          <w:color w:val="000000" w:themeColor="text1"/>
          <w:kern w:val="10"/>
          <w:sz w:val="24"/>
          <w:szCs w:val="24"/>
          <w14:textFill>
            <w14:solidFill>
              <w14:schemeClr w14:val="tx1"/>
            </w14:solidFill>
          </w14:textFill>
        </w:rPr>
        <w:t>个，一般管控单元</w:t>
      </w:r>
      <w:r>
        <w:rPr>
          <w:rFonts w:hint="eastAsia"/>
          <w:color w:val="000000" w:themeColor="text1"/>
          <w:kern w:val="10"/>
          <w:sz w:val="24"/>
          <w:szCs w:val="24"/>
          <w:lang w:val="en-US" w:eastAsia="zh-CN"/>
          <w14:textFill>
            <w14:solidFill>
              <w14:schemeClr w14:val="tx1"/>
            </w14:solidFill>
          </w14:textFill>
        </w:rPr>
        <w:t>35</w:t>
      </w:r>
      <w:r>
        <w:rPr>
          <w:color w:val="000000" w:themeColor="text1"/>
          <w:kern w:val="10"/>
          <w:sz w:val="24"/>
          <w:szCs w:val="24"/>
          <w14:textFill>
            <w14:solidFill>
              <w14:schemeClr w14:val="tx1"/>
            </w14:solidFill>
          </w14:textFill>
        </w:rPr>
        <w:t>个。</w:t>
      </w:r>
    </w:p>
    <w:p w14:paraId="57D9ED20">
      <w:pPr>
        <w:spacing w:line="480" w:lineRule="exact"/>
        <w:ind w:firstLine="480" w:firstLineChars="200"/>
        <w:rPr>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优先保护单元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环境保护优先为原则，开发建设活动应严格执行相关</w:t>
      </w:r>
      <w:r>
        <w:rPr>
          <w:rFonts w:hint="eastAsia"/>
          <w:color w:val="000000" w:themeColor="text1"/>
          <w:kern w:val="10"/>
          <w:sz w:val="24"/>
          <w:szCs w:val="24"/>
          <w:lang w:eastAsia="zh-CN"/>
          <w14:textFill>
            <w14:solidFill>
              <w14:schemeClr w14:val="tx1"/>
            </w14:solidFill>
          </w14:textFill>
        </w:rPr>
        <w:t>法律法规</w:t>
      </w:r>
      <w:r>
        <w:rPr>
          <w:color w:val="000000" w:themeColor="text1"/>
          <w:kern w:val="10"/>
          <w:sz w:val="24"/>
          <w:szCs w:val="24"/>
          <w14:textFill>
            <w14:solidFill>
              <w14:schemeClr w14:val="tx1"/>
            </w14:solidFill>
          </w14:textFill>
        </w:rPr>
        <w:t>要求，严守生态环境质量底线，确保生态功能不降低。</w:t>
      </w:r>
    </w:p>
    <w:p w14:paraId="26957F43">
      <w:pPr>
        <w:spacing w:line="480" w:lineRule="exact"/>
        <w:ind w:firstLine="480" w:firstLineChars="200"/>
        <w:rPr>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重点管控单元主要包括城镇建成区、工业园区和开发强度大、污染物排放强度高的工业聚集区等。要着力优化空间布局，不断提升资源利用效率，有针对性地加强污染物排放管控和环境风险防控，解决生态环境质量不达标、生态环境风险高等问题。</w:t>
      </w:r>
    </w:p>
    <w:p w14:paraId="2986381F">
      <w:pPr>
        <w:pStyle w:val="41"/>
        <w:spacing w:line="480" w:lineRule="exact"/>
        <w:ind w:firstLine="480"/>
        <w:rPr>
          <w:rFonts w:hint="eastAsia"/>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一般管控单元主要包括优先保护单元和重点管控单元之外的其他区域。一般管控单元以沙漠、荒漠、戈壁、一般农业生产等为主的管控单元，主要落实生态环境保护基本要求，推动区域环境质量持续改善。</w:t>
      </w:r>
    </w:p>
    <w:p w14:paraId="1BF1C5C3">
      <w:pPr>
        <w:pStyle w:val="41"/>
        <w:spacing w:line="480" w:lineRule="exact"/>
        <w:ind w:firstLine="480"/>
        <w:rPr>
          <w:rFonts w:hint="eastAsia"/>
          <w:color w:val="000000" w:themeColor="text1"/>
          <w:kern w:val="10"/>
          <w:sz w:val="24"/>
          <w:szCs w:val="24"/>
          <w14:textFill>
            <w14:solidFill>
              <w14:schemeClr w14:val="tx1"/>
            </w14:solidFill>
          </w14:textFill>
        </w:rPr>
      </w:pPr>
      <w:r>
        <w:rPr>
          <w:rFonts w:hint="eastAsia"/>
          <w:color w:val="000000" w:themeColor="text1"/>
          <w:kern w:val="10"/>
          <w:sz w:val="24"/>
          <w:szCs w:val="24"/>
          <w14:textFill>
            <w14:solidFill>
              <w14:schemeClr w14:val="tx1"/>
            </w14:solidFill>
          </w14:textFill>
        </w:rPr>
        <w:t>本项目位于</w:t>
      </w:r>
      <w:r>
        <w:rPr>
          <w:rFonts w:hint="eastAsia"/>
          <w:color w:val="000000" w:themeColor="text1"/>
          <w:sz w:val="24"/>
          <w:szCs w:val="24"/>
          <w14:textFill>
            <w14:solidFill>
              <w14:schemeClr w14:val="tx1"/>
            </w14:solidFill>
          </w14:textFill>
        </w:rPr>
        <w:t>新疆维吾尔自治区哈密市168</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方位，哈密市伊州区雅满苏镇以南约7</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km处，</w:t>
      </w:r>
      <w:r>
        <w:rPr>
          <w:rFonts w:hint="eastAsia"/>
          <w:color w:val="000000" w:themeColor="text1"/>
          <w:kern w:val="10"/>
          <w:sz w:val="24"/>
          <w:szCs w:val="24"/>
          <w14:textFill>
            <w14:solidFill>
              <w14:schemeClr w14:val="tx1"/>
            </w14:solidFill>
          </w14:textFill>
        </w:rPr>
        <w:t>项目用地不涉及</w:t>
      </w:r>
      <w:r>
        <w:rPr>
          <w:rFonts w:hint="eastAsia"/>
          <w:color w:val="000000" w:themeColor="text1"/>
          <w:kern w:val="10"/>
          <w:sz w:val="24"/>
          <w:szCs w:val="24"/>
          <w:lang w:val="en-US" w:eastAsia="zh-CN"/>
          <w14:textFill>
            <w14:solidFill>
              <w14:schemeClr w14:val="tx1"/>
            </w14:solidFill>
          </w14:textFill>
        </w:rPr>
        <w:t>生态保护红线</w:t>
      </w:r>
      <w:r>
        <w:rPr>
          <w:rFonts w:hint="eastAsia"/>
          <w:color w:val="000000" w:themeColor="text1"/>
          <w:kern w:val="10"/>
          <w:sz w:val="24"/>
          <w:szCs w:val="24"/>
          <w14:textFill>
            <w14:solidFill>
              <w14:schemeClr w14:val="tx1"/>
            </w14:solidFill>
          </w14:textFill>
        </w:rPr>
        <w:t>区域，</w:t>
      </w:r>
      <w:r>
        <w:rPr>
          <w:rFonts w:hint="eastAsia"/>
          <w:color w:val="000000" w:themeColor="text1"/>
          <w:kern w:val="10"/>
          <w:sz w:val="24"/>
          <w:szCs w:val="24"/>
          <w:lang w:val="en-US" w:eastAsia="zh-CN"/>
          <w14:textFill>
            <w14:solidFill>
              <w14:schemeClr w14:val="tx1"/>
            </w14:solidFill>
          </w14:textFill>
        </w:rPr>
        <w:t>项目区</w:t>
      </w:r>
      <w:r>
        <w:rPr>
          <w:rFonts w:hint="eastAsia"/>
          <w:color w:val="000000" w:themeColor="text1"/>
          <w:kern w:val="10"/>
          <w:sz w:val="24"/>
          <w:szCs w:val="24"/>
          <w14:textFill>
            <w14:solidFill>
              <w14:schemeClr w14:val="tx1"/>
            </w14:solidFill>
          </w14:textFill>
        </w:rPr>
        <w:t>西侧距库木塔格生物多样性维护、防风固沙生态保护红线区的最近距离约</w:t>
      </w:r>
      <w:r>
        <w:rPr>
          <w:color w:val="000000" w:themeColor="text1"/>
          <w:kern w:val="10"/>
          <w:sz w:val="24"/>
          <w:szCs w:val="24"/>
          <w14:textFill>
            <w14:solidFill>
              <w14:schemeClr w14:val="tx1"/>
            </w14:solidFill>
          </w14:textFill>
        </w:rPr>
        <w:t>37.7</w:t>
      </w:r>
      <w:r>
        <w:rPr>
          <w:rFonts w:hint="eastAsia"/>
          <w:color w:val="000000" w:themeColor="text1"/>
          <w:kern w:val="10"/>
          <w:sz w:val="24"/>
          <w:szCs w:val="24"/>
          <w14:textFill>
            <w14:solidFill>
              <w14:schemeClr w14:val="tx1"/>
            </w14:solidFill>
          </w14:textFill>
        </w:rPr>
        <w:t>km。</w:t>
      </w:r>
      <w:r>
        <w:rPr>
          <w:color w:val="000000" w:themeColor="text1"/>
          <w:kern w:val="10"/>
          <w:sz w:val="24"/>
          <w:szCs w:val="24"/>
          <w14:textFill>
            <w14:solidFill>
              <w14:schemeClr w14:val="tx1"/>
            </w14:solidFill>
          </w14:textFill>
        </w:rPr>
        <w:t>不会影响所在区域内生态服务功能</w:t>
      </w:r>
      <w:r>
        <w:rPr>
          <w:rFonts w:hint="eastAsia"/>
          <w:color w:val="000000" w:themeColor="text1"/>
          <w:kern w:val="10"/>
          <w:sz w:val="24"/>
          <w:szCs w:val="24"/>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符合生态保护红线要求。</w:t>
      </w:r>
      <w:r>
        <w:rPr>
          <w:rFonts w:hint="eastAsia"/>
          <w:color w:val="000000" w:themeColor="text1"/>
          <w:kern w:val="10"/>
          <w:sz w:val="24"/>
          <w:szCs w:val="24"/>
          <w:lang w:eastAsia="zh-CN"/>
          <w14:textFill>
            <w14:solidFill>
              <w14:schemeClr w14:val="tx1"/>
            </w14:solidFill>
          </w14:textFill>
        </w:rPr>
        <w:t>本</w:t>
      </w:r>
      <w:r>
        <w:rPr>
          <w:rFonts w:hint="eastAsia"/>
          <w:color w:val="000000" w:themeColor="text1"/>
          <w:kern w:val="10"/>
          <w:sz w:val="24"/>
          <w:szCs w:val="24"/>
          <w:lang w:val="en-US" w:eastAsia="zh-CN"/>
          <w14:textFill>
            <w14:solidFill>
              <w14:schemeClr w14:val="tx1"/>
            </w14:solidFill>
          </w14:textFill>
        </w:rPr>
        <w:t>项目</w:t>
      </w:r>
      <w:r>
        <w:rPr>
          <w:color w:val="000000" w:themeColor="text1"/>
          <w:kern w:val="10"/>
          <w:sz w:val="24"/>
          <w:szCs w:val="24"/>
          <w14:textFill>
            <w14:solidFill>
              <w14:schemeClr w14:val="tx1"/>
            </w14:solidFill>
          </w14:textFill>
        </w:rPr>
        <w:t>与生态保护红线的位置关系见图</w:t>
      </w:r>
      <w:r>
        <w:rPr>
          <w:rFonts w:hint="eastAsia"/>
          <w:color w:val="000000" w:themeColor="text1"/>
          <w:kern w:val="10"/>
          <w:sz w:val="24"/>
          <w:szCs w:val="24"/>
          <w:lang w:val="en-US" w:eastAsia="zh-CN"/>
          <w14:textFill>
            <w14:solidFill>
              <w14:schemeClr w14:val="tx1"/>
            </w14:solidFill>
          </w14:textFill>
        </w:rPr>
        <w:t>1.3-2</w:t>
      </w:r>
      <w:r>
        <w:rPr>
          <w:rFonts w:hint="eastAsia"/>
          <w:color w:val="000000" w:themeColor="text1"/>
          <w:kern w:val="10"/>
          <w:sz w:val="24"/>
          <w:szCs w:val="24"/>
          <w:lang w:eastAsia="zh-CN"/>
          <w14:textFill>
            <w14:solidFill>
              <w14:schemeClr w14:val="tx1"/>
            </w14:solidFill>
          </w14:textFill>
        </w:rPr>
        <w:t>。</w:t>
      </w:r>
    </w:p>
    <w:p w14:paraId="4E59701D">
      <w:pPr>
        <w:pStyle w:val="5"/>
        <w:ind w:firstLine="48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1.3.4.2环境质量底线</w:t>
      </w:r>
    </w:p>
    <w:p w14:paraId="75313C1C">
      <w:pPr>
        <w:pStyle w:val="41"/>
        <w:spacing w:line="480" w:lineRule="exact"/>
        <w:ind w:firstLine="480"/>
        <w:rPr>
          <w:rFonts w:hint="eastAsia"/>
          <w:color w:val="000000" w:themeColor="text1"/>
          <w:kern w:val="10"/>
          <w:sz w:val="24"/>
          <w:szCs w:val="24"/>
          <w14:textFill>
            <w14:solidFill>
              <w14:schemeClr w14:val="tx1"/>
            </w14:solidFill>
          </w14:textFill>
        </w:rPr>
      </w:pPr>
      <w:r>
        <w:rPr>
          <w:color w:val="000000" w:themeColor="text1"/>
          <w:kern w:val="10"/>
          <w:sz w:val="24"/>
          <w:szCs w:val="24"/>
          <w14:textFill>
            <w14:solidFill>
              <w14:schemeClr w14:val="tx1"/>
            </w14:solidFill>
          </w14:textFill>
        </w:rPr>
        <w:t>环境质量底线就是只能改善不能恶化。大气环境质量底线就是在符合大气环境区域功能区划和大气环境管理的基础上，确保大气污染物排放不对区域功能区划造成影响，污染物排放总量低于大气环境容量。</w:t>
      </w:r>
    </w:p>
    <w:p w14:paraId="471BAE8A">
      <w:pPr>
        <w:pStyle w:val="41"/>
        <w:spacing w:line="480" w:lineRule="exact"/>
        <w:ind w:firstLine="480"/>
        <w:rPr>
          <w:rFonts w:hint="eastAsia"/>
          <w:color w:val="000000" w:themeColor="text1"/>
          <w:kern w:val="1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在运营期大气污染物全部实现达标排放，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大气污染物最大落地浓度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满足相应标准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的建设不会对区域环境质量造成大的影响。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选矿生产废水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回用于</w:t>
      </w:r>
      <w:r>
        <w:rPr>
          <w:rFonts w:hint="eastAsia" w:cs="Times New Roman"/>
          <w:color w:val="000000" w:themeColor="text1"/>
          <w:sz w:val="24"/>
          <w:szCs w:val="24"/>
          <w:highlight w:val="none"/>
          <w:lang w:val="en-US" w:eastAsia="zh-CN"/>
          <w14:textFill>
            <w14:solidFill>
              <w14:schemeClr w14:val="tx1"/>
            </w14:solidFill>
          </w14:textFill>
        </w:rPr>
        <w:t>选矿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生产</w:t>
      </w:r>
      <w:r>
        <w:rPr>
          <w:rFonts w:hint="eastAsia" w:cs="Times New Roman"/>
          <w:color w:val="000000" w:themeColor="text1"/>
          <w:sz w:val="24"/>
          <w:szCs w:val="24"/>
          <w:highlight w:val="none"/>
          <w:lang w:val="en-US" w:eastAsia="zh-CN"/>
          <w14:textFill>
            <w14:solidFill>
              <w14:schemeClr w14:val="tx1"/>
            </w14:solidFill>
          </w14:textFill>
        </w:rPr>
        <w:t>工艺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，生活污水</w:t>
      </w:r>
      <w:r>
        <w:rPr>
          <w:rFonts w:hint="eastAsia" w:cs="Times New Roman"/>
          <w:color w:val="000000" w:themeColor="text1"/>
          <w:sz w:val="24"/>
          <w:szCs w:val="24"/>
          <w:highlight w:val="none"/>
          <w:lang w:val="en-US" w:eastAsia="zh-CN"/>
          <w14:textFill>
            <w14:solidFill>
              <w14:schemeClr w14:val="tx1"/>
            </w14:solidFill>
          </w14:textFill>
        </w:rPr>
        <w:t>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地埋式一体化设施处理后综合利用；不直接排入外环境水体，</w:t>
      </w:r>
      <w:r>
        <w:rPr>
          <w:rFonts w:hint="eastAsia"/>
          <w:color w:val="000000" w:themeColor="text1"/>
          <w:kern w:val="10"/>
          <w:sz w:val="24"/>
          <w:szCs w:val="24"/>
          <w14:textFill>
            <w14:solidFill>
              <w14:schemeClr w14:val="tx1"/>
            </w14:solidFill>
          </w14:textFill>
        </w:rPr>
        <w:t>尾矿</w:t>
      </w:r>
      <w:r>
        <w:rPr>
          <w:rFonts w:hint="eastAsia"/>
          <w:color w:val="000000" w:themeColor="text1"/>
          <w:kern w:val="10"/>
          <w:sz w:val="24"/>
          <w:szCs w:val="24"/>
          <w:highlight w:val="none"/>
          <w14:textFill>
            <w14:solidFill>
              <w14:schemeClr w14:val="tx1"/>
            </w14:solidFill>
          </w14:textFill>
        </w:rPr>
        <w:t>库</w:t>
      </w:r>
      <w:r>
        <w:rPr>
          <w:rFonts w:hint="eastAsia"/>
          <w:color w:val="000000" w:themeColor="text1"/>
          <w:kern w:val="10"/>
          <w:sz w:val="24"/>
          <w:szCs w:val="24"/>
          <w:highlight w:val="none"/>
          <w:lang w:val="en-US" w:eastAsia="zh-CN"/>
          <w14:textFill>
            <w14:solidFill>
              <w14:schemeClr w14:val="tx1"/>
            </w14:solidFill>
          </w14:textFill>
        </w:rPr>
        <w:t>天然防渗层渗透系数满足标准要求，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区域水环境质量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影响较小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本项目运营期产生的各项固体废物均妥善处置，对区域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环境质量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影响较小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kern w:val="10"/>
          <w:sz w:val="24"/>
          <w:szCs w:val="24"/>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cs="Times New Roman"/>
          <w:color w:val="000000" w:themeColor="text1"/>
          <w:kern w:val="0"/>
          <w:sz w:val="24"/>
          <w:szCs w:val="24"/>
          <w:highlight w:val="none"/>
          <w:lang w:val="en-US" w:eastAsia="zh-CN" w:bidi="ar"/>
          <w14:textFill>
            <w14:solidFill>
              <w14:schemeClr w14:val="tx1"/>
            </w14:solidFill>
          </w14:textFill>
        </w:rPr>
        <w:t>新疆第六次沙化土地监测报告</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eastAsia="宋体"/>
          <w:color w:val="000000" w:themeColor="text1"/>
          <w:kern w:val="10"/>
          <w:sz w:val="24"/>
          <w:szCs w:val="24"/>
          <w:lang w:val="en-US" w:eastAsia="zh-CN"/>
          <w14:textFill>
            <w14:solidFill>
              <w14:schemeClr w14:val="tx1"/>
            </w14:solidFill>
          </w14:textFill>
        </w:rPr>
        <w:t>可知</w:t>
      </w:r>
      <w:r>
        <w:rPr>
          <w:rFonts w:hint="eastAsia"/>
          <w:color w:val="000000" w:themeColor="text1"/>
          <w:kern w:val="10"/>
          <w:sz w:val="24"/>
          <w:szCs w:val="24"/>
          <w14:textFill>
            <w14:solidFill>
              <w14:schemeClr w14:val="tx1"/>
            </w14:solidFill>
          </w14:textFill>
        </w:rPr>
        <w:t>，项目区属于非沙化土地，</w:t>
      </w:r>
      <w:r>
        <w:rPr>
          <w:rFonts w:hint="eastAsia"/>
          <w:color w:val="000000" w:themeColor="text1"/>
          <w:kern w:val="10"/>
          <w:sz w:val="24"/>
          <w:szCs w:val="24"/>
          <w:lang w:eastAsia="zh-CN"/>
          <w14:textFill>
            <w14:solidFill>
              <w14:schemeClr w14:val="tx1"/>
            </w14:solidFill>
          </w14:textFill>
        </w:rPr>
        <w:t>本项目</w:t>
      </w:r>
      <w:r>
        <w:rPr>
          <w:rFonts w:hint="eastAsia"/>
          <w:color w:val="000000" w:themeColor="text1"/>
          <w:kern w:val="10"/>
          <w:sz w:val="24"/>
          <w:szCs w:val="24"/>
          <w14:textFill>
            <w14:solidFill>
              <w14:schemeClr w14:val="tx1"/>
            </w14:solidFill>
          </w14:textFill>
        </w:rPr>
        <w:t>对周边生态环境采取生态恢复措施；项目区从源头控制及过程控制采取一定防渗措施后可以减少对区域土壤环境</w:t>
      </w:r>
      <w:r>
        <w:rPr>
          <w:rFonts w:hint="eastAsia"/>
          <w:color w:val="000000" w:themeColor="text1"/>
          <w:kern w:val="10"/>
          <w:sz w:val="24"/>
          <w:szCs w:val="24"/>
          <w:lang w:eastAsia="zh-CN"/>
          <w14:textFill>
            <w14:solidFill>
              <w14:schemeClr w14:val="tx1"/>
            </w14:solidFill>
          </w14:textFill>
        </w:rPr>
        <w:t>风险</w:t>
      </w:r>
      <w:r>
        <w:rPr>
          <w:rFonts w:hint="eastAsia"/>
          <w:color w:val="000000" w:themeColor="text1"/>
          <w:kern w:val="10"/>
          <w:sz w:val="24"/>
          <w:szCs w:val="24"/>
          <w14:textFill>
            <w14:solidFill>
              <w14:schemeClr w14:val="tx1"/>
            </w14:solidFill>
          </w14:textFill>
        </w:rPr>
        <w:t>影响较小。</w:t>
      </w:r>
      <w:r>
        <w:rPr>
          <w:rFonts w:hint="eastAsia"/>
          <w:color w:val="000000" w:themeColor="text1"/>
          <w:kern w:val="10"/>
          <w:sz w:val="24"/>
          <w:szCs w:val="24"/>
          <w:lang w:val="en-US" w:eastAsia="zh-CN"/>
          <w14:textFill>
            <w14:solidFill>
              <w14:schemeClr w14:val="tx1"/>
            </w14:solidFill>
          </w14:textFill>
        </w:rPr>
        <w:t>尾矿库退役后将进行土地复垦，项目的实施不会明显改变区域土壤环境质量。</w:t>
      </w:r>
    </w:p>
    <w:p w14:paraId="321D97A8">
      <w:pPr>
        <w:pStyle w:val="41"/>
        <w:spacing w:line="480" w:lineRule="exact"/>
        <w:ind w:firstLine="480"/>
        <w:rPr>
          <w:rFonts w:hint="default"/>
          <w:color w:val="000000" w:themeColor="text1"/>
          <w:kern w:val="10"/>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上述措施能确保</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项目污染物对环境质量的影响降到最小，不突破所在区域环境质量底线。</w:t>
      </w:r>
    </w:p>
    <w:p w14:paraId="30FE13AD">
      <w:pPr>
        <w:pStyle w:val="5"/>
        <w:ind w:firstLine="48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1.3.4.3</w:t>
      </w:r>
      <w:r>
        <w:rPr>
          <w:rFonts w:hint="eastAsia"/>
          <w:color w:val="000000" w:themeColor="text1"/>
          <w:lang w:val="en-US" w:eastAsia="zh-CN"/>
          <w14:textFill>
            <w14:solidFill>
              <w14:schemeClr w14:val="tx1"/>
            </w14:solidFill>
          </w14:textFill>
        </w:rPr>
        <w:t>资源利用上线</w:t>
      </w:r>
    </w:p>
    <w:p w14:paraId="4C34B4F5">
      <w:pPr>
        <w:pStyle w:val="41"/>
        <w:spacing w:line="480" w:lineRule="exact"/>
        <w:ind w:firstLine="480"/>
        <w:rPr>
          <w:rFonts w:hint="eastAsia"/>
          <w:color w:val="000000" w:themeColor="text1"/>
          <w:kern w:val="10"/>
          <w:sz w:val="24"/>
          <w:szCs w:val="24"/>
          <w14:textFill>
            <w14:solidFill>
              <w14:schemeClr w14:val="tx1"/>
            </w14:solidFill>
          </w14:textFill>
        </w:rPr>
      </w:pPr>
      <w:r>
        <w:rPr>
          <w:rFonts w:hint="eastAsia"/>
          <w:color w:val="000000" w:themeColor="text1"/>
          <w:kern w:val="10"/>
          <w:sz w:val="24"/>
          <w:szCs w:val="24"/>
          <w14:textFill>
            <w14:solidFill>
              <w14:schemeClr w14:val="tx1"/>
            </w14:solidFill>
          </w14:textFill>
        </w:rPr>
        <w:t>强化节约集约利用，持续提升资源能源利用效率，水资源、土地资源、能源消耗等达到国家、自治区下达的总量和强度控制目标。加快区域低碳发展，完成自治区下达的碳减排任务。</w:t>
      </w:r>
    </w:p>
    <w:p w14:paraId="0A17BF95">
      <w:pPr>
        <w:pStyle w:val="41"/>
        <w:spacing w:line="480" w:lineRule="exact"/>
        <w:ind w:firstLine="480"/>
        <w:rPr>
          <w:rFonts w:hint="eastAsia"/>
          <w:color w:val="000000" w:themeColor="text1"/>
          <w:kern w:val="10"/>
          <w:sz w:val="24"/>
          <w:szCs w:val="24"/>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铁矿</w:t>
      </w:r>
      <w:r>
        <w:rPr>
          <w:rFonts w:hint="eastAsia" w:cs="Times New Roman"/>
          <w:color w:val="000000" w:themeColor="text1"/>
          <w:sz w:val="24"/>
          <w:szCs w:val="24"/>
          <w:highlight w:val="none"/>
          <w:lang w:val="en-US" w:eastAsia="zh-CN"/>
          <w14:textFill>
            <w14:solidFill>
              <w14:schemeClr w14:val="tx1"/>
            </w14:solidFill>
          </w14:textFill>
        </w:rPr>
        <w:t>选矿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项目，在开发时严格按</w:t>
      </w:r>
      <w:r>
        <w:rPr>
          <w:rFonts w:hint="eastAsia" w:cs="Times New Roman"/>
          <w:color w:val="000000" w:themeColor="text1"/>
          <w:sz w:val="24"/>
          <w:szCs w:val="24"/>
          <w:highlight w:val="none"/>
          <w:lang w:val="en-US" w:eastAsia="zh-CN"/>
          <w14:textFill>
            <w14:solidFill>
              <w14:schemeClr w14:val="tx1"/>
            </w14:solidFill>
          </w14:textFill>
        </w:rPr>
        <w:t>生态恢复治理方案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及可研</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设计进行</w:t>
      </w:r>
      <w:r>
        <w:rPr>
          <w:rFonts w:hint="eastAsia" w:cs="Times New Roman"/>
          <w:color w:val="000000" w:themeColor="text1"/>
          <w:sz w:val="24"/>
          <w:szCs w:val="24"/>
          <w:highlight w:val="none"/>
          <w:lang w:val="en-US" w:eastAsia="zh-CN"/>
          <w14:textFill>
            <w14:solidFill>
              <w14:schemeClr w14:val="tx1"/>
            </w14:solidFill>
          </w14:textFill>
        </w:rPr>
        <w:t>选矿生产活动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提高金属回收率，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不过度</w:t>
      </w:r>
      <w:r>
        <w:rPr>
          <w:rFonts w:hint="eastAsia" w:cs="Times New Roman"/>
          <w:color w:val="000000" w:themeColor="text1"/>
          <w:sz w:val="24"/>
          <w:szCs w:val="24"/>
          <w:highlight w:val="none"/>
          <w:lang w:val="en-US" w:eastAsia="zh-CN"/>
          <w14:textFill>
            <w14:solidFill>
              <w14:schemeClr w14:val="tx1"/>
            </w14:solidFill>
          </w14:textFill>
        </w:rPr>
        <w:t>使用电能、水资源</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，不对资源的过度开发，符合资源利用的政策导向。</w:t>
      </w:r>
    </w:p>
    <w:p w14:paraId="120D3B2F">
      <w:pPr>
        <w:pStyle w:val="5"/>
        <w:ind w:firstLine="482"/>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1.3.4.3</w:t>
      </w:r>
      <w:r>
        <w:rPr>
          <w:rFonts w:hint="eastAsia"/>
          <w:color w:val="000000" w:themeColor="text1"/>
          <w:lang w:val="en-US" w:eastAsia="zh-CN"/>
          <w14:textFill>
            <w14:solidFill>
              <w14:schemeClr w14:val="tx1"/>
            </w14:solidFill>
          </w14:textFill>
        </w:rPr>
        <w:t>环境准入清单</w:t>
      </w:r>
    </w:p>
    <w:p w14:paraId="5A3A08F6">
      <w:pPr>
        <w:overflowPunct w:val="0"/>
        <w:topLinePunct/>
        <w:ind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（1）与</w:t>
      </w:r>
      <w:r>
        <w:rPr>
          <w:rFonts w:hint="default" w:ascii="Times New Roman" w:hAnsi="Times New Roman" w:cs="Times New Roman"/>
          <w:color w:val="000000" w:themeColor="text1"/>
          <w14:textFill>
            <w14:solidFill>
              <w14:schemeClr w14:val="tx1"/>
            </w14:solidFill>
          </w14:textFill>
        </w:rPr>
        <w:t>《新疆维吾尔自治区生态环境分区管控动态更新成果》</w:t>
      </w:r>
      <w:r>
        <w:rPr>
          <w:rFonts w:hint="default" w:ascii="Times New Roman" w:hAnsi="Times New Roman" w:cs="Times New Roman"/>
          <w:color w:val="000000" w:themeColor="text1"/>
          <w:lang w:eastAsia="zh-CN"/>
          <w14:textFill>
            <w14:solidFill>
              <w14:schemeClr w14:val="tx1"/>
            </w14:solidFill>
          </w14:textFill>
        </w:rPr>
        <w:t>符合性</w:t>
      </w:r>
    </w:p>
    <w:p w14:paraId="552FA5B1">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000000" w:themeColor="text1"/>
          <w:kern w:val="1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202</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年</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月</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日，新疆维吾尔自治区人民政府以新</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环环评</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发</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〔2024〕157号</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文印发了关于《新疆维吾尔自治区生态环境分区管控动态更新成果的通知》，</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根据《通知》，新疆维吾尔自治区按照管控要求，划定优先保护单元、重点管控单元、一般管控单元三类，实施分类管控。优先保护单元共925个，重点管控单元共713个，一般管控单元共139个。</w:t>
      </w:r>
    </w:p>
    <w:p w14:paraId="46B4B166">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000000" w:themeColor="text1"/>
          <w:kern w:val="1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10"/>
          <w:sz w:val="24"/>
          <w:szCs w:val="24"/>
          <w:highlight w:val="none"/>
          <w:lang w:val="en-US" w:eastAsia="zh-CN"/>
          <w14:textFill>
            <w14:solidFill>
              <w14:schemeClr w14:val="tx1"/>
            </w14:solidFill>
          </w14:textFill>
        </w:rPr>
        <w:t>优先保护单元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环境保护优先为原则，开发建设活动应严格执行相关</w:t>
      </w:r>
      <w:r>
        <w:rPr>
          <w:rFonts w:hint="eastAsia" w:cs="Times New Roman"/>
          <w:color w:val="000000" w:themeColor="text1"/>
          <w:kern w:val="10"/>
          <w:sz w:val="24"/>
          <w:szCs w:val="24"/>
          <w:highlight w:val="none"/>
          <w:lang w:val="en-US" w:eastAsia="zh-CN"/>
          <w14:textFill>
            <w14:solidFill>
              <w14:schemeClr w14:val="tx1"/>
            </w14:solidFill>
          </w14:textFill>
        </w:rPr>
        <w:t>法律法规</w:t>
      </w:r>
      <w:r>
        <w:rPr>
          <w:rFonts w:hint="default" w:ascii="Times New Roman" w:hAnsi="Times New Roman" w:eastAsia="宋体" w:cs="Times New Roman"/>
          <w:color w:val="000000" w:themeColor="text1"/>
          <w:kern w:val="10"/>
          <w:sz w:val="24"/>
          <w:szCs w:val="24"/>
          <w:highlight w:val="none"/>
          <w:lang w:val="en-US" w:eastAsia="zh-CN"/>
          <w14:textFill>
            <w14:solidFill>
              <w14:schemeClr w14:val="tx1"/>
            </w14:solidFill>
          </w14:textFill>
        </w:rPr>
        <w:t>要求，严守生态环境质量底线，确保生态功能不降低。</w:t>
      </w:r>
    </w:p>
    <w:p w14:paraId="58CB86DD">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000000" w:themeColor="text1"/>
          <w:kern w:val="1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10"/>
          <w:sz w:val="24"/>
          <w:szCs w:val="24"/>
          <w:highlight w:val="none"/>
          <w:lang w:val="en-US" w:eastAsia="zh-CN"/>
          <w14:textFill>
            <w14:solidFill>
              <w14:schemeClr w14:val="tx1"/>
            </w14:solidFill>
          </w14:textFill>
        </w:rPr>
        <w:t>重点管控单元主要包括城镇建成区、工业园区和开发强度大、污染物排放强度高的工业聚集区等。要着力优化空间布局，不断提升资源利用效率，有针对性地加强污染物排放管控和环境风险防控，解决生态环境质量不达标、生态环境风险高等问题。</w:t>
      </w:r>
    </w:p>
    <w:p w14:paraId="2970EF41">
      <w:pPr>
        <w:pStyle w:val="41"/>
        <w:spacing w:line="480" w:lineRule="exact"/>
        <w:ind w:firstLine="480"/>
        <w:rPr>
          <w:rFonts w:hint="eastAsia"/>
          <w:color w:val="000000" w:themeColor="text1"/>
          <w:kern w:val="10"/>
          <w:sz w:val="24"/>
          <w:szCs w:val="24"/>
          <w14:textFill>
            <w14:solidFill>
              <w14:schemeClr w14:val="tx1"/>
            </w14:solidFill>
          </w14:textFill>
        </w:rPr>
      </w:pPr>
      <w:r>
        <w:rPr>
          <w:rFonts w:hint="default" w:ascii="Times New Roman" w:hAnsi="Times New Roman" w:eastAsia="宋体" w:cs="Times New Roman"/>
          <w:color w:val="000000" w:themeColor="text1"/>
          <w:kern w:val="10"/>
          <w:sz w:val="24"/>
          <w:szCs w:val="24"/>
          <w:highlight w:val="none"/>
          <w:lang w:val="en-US" w:eastAsia="zh-CN"/>
          <w14:textFill>
            <w14:solidFill>
              <w14:schemeClr w14:val="tx1"/>
            </w14:solidFill>
          </w14:textFill>
        </w:rPr>
        <w:t>一般管控单元主要包括优先保护单元和重点管控单元之外的其他区域。一般管控单元以沙漠、荒漠、戈壁、一般农业生产等为主的管控单元，主要落实生态环境保护基本要求，推动区域环境质量持续改善。</w:t>
      </w:r>
    </w:p>
    <w:p w14:paraId="0DC63FB0">
      <w:pPr>
        <w:pStyle w:val="41"/>
        <w:spacing w:line="480" w:lineRule="exact"/>
        <w:ind w:firstLine="480"/>
        <w:rPr>
          <w:rFonts w:hint="default" w:eastAsia="宋体"/>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本项目与《新疆维吾尔自治区生态环境分区管控动态更新成果》的符合性分析见下表。</w:t>
      </w:r>
    </w:p>
    <w:p w14:paraId="50F8CCEA">
      <w:pPr>
        <w:ind w:firstLine="0" w:firstLineChars="0"/>
        <w:jc w:val="center"/>
        <w:rPr>
          <w:rFonts w:hint="default" w:ascii="Times New Roman" w:hAnsi="Times New Roman" w:cs="Times New Roman"/>
          <w:b/>
          <w:bCs/>
          <w:color w:val="000000" w:themeColor="text1"/>
          <w:lang w:eastAsia="zh-CN"/>
          <w14:textFill>
            <w14:solidFill>
              <w14:schemeClr w14:val="tx1"/>
            </w14:solidFill>
          </w14:textFill>
        </w:rPr>
      </w:pPr>
      <w:bookmarkStart w:id="41" w:name="_Toc25204_WPSOffice_Level2"/>
      <w:r>
        <w:rPr>
          <w:rFonts w:hint="default" w:ascii="Times New Roman" w:hAnsi="Times New Roman" w:cs="Times New Roman"/>
          <w:b/>
          <w:bCs/>
          <w:color w:val="000000" w:themeColor="text1"/>
          <w14:textFill>
            <w14:solidFill>
              <w14:schemeClr w14:val="tx1"/>
            </w14:solidFill>
          </w14:textFill>
        </w:rPr>
        <w:t>表</w:t>
      </w:r>
      <w:r>
        <w:rPr>
          <w:rFonts w:hint="eastAsia" w:cs="Times New Roman"/>
          <w:b/>
          <w:bCs/>
          <w:color w:val="000000" w:themeColor="text1"/>
          <w:lang w:val="en-US" w:eastAsia="zh-CN"/>
          <w14:textFill>
            <w14:solidFill>
              <w14:schemeClr w14:val="tx1"/>
            </w14:solidFill>
          </w14:textFill>
        </w:rPr>
        <w:t>1.3</w:t>
      </w:r>
      <w:r>
        <w:rPr>
          <w:rFonts w:hint="default" w:ascii="Times New Roman" w:hAnsi="Times New Roman" w:cs="Times New Roman"/>
          <w:b/>
          <w:bCs/>
          <w:color w:val="000000" w:themeColor="text1"/>
          <w14:textFill>
            <w14:solidFill>
              <w14:schemeClr w14:val="tx1"/>
            </w14:solidFill>
          </w14:textFill>
        </w:rPr>
        <w:t>-</w:t>
      </w:r>
      <w:r>
        <w:rPr>
          <w:rFonts w:hint="eastAsia" w:ascii="Times New Roman" w:hAnsi="Times New Roman" w:cs="Times New Roman"/>
          <w:b/>
          <w:bCs/>
          <w:color w:val="000000" w:themeColor="text1"/>
          <w:lang w:val="en-US" w:eastAsia="zh-CN"/>
          <w14:textFill>
            <w14:solidFill>
              <w14:schemeClr w14:val="tx1"/>
            </w14:solidFill>
          </w14:textFill>
        </w:rPr>
        <w:t>1</w:t>
      </w:r>
      <w:r>
        <w:rPr>
          <w:rFonts w:hint="eastAsia" w:cs="Times New Roman"/>
          <w:b/>
          <w:bCs/>
          <w:color w:val="000000" w:themeColor="text1"/>
          <w:lang w:val="en-US" w:eastAsia="zh-CN"/>
          <w14:textFill>
            <w14:solidFill>
              <w14:schemeClr w14:val="tx1"/>
            </w14:solidFill>
          </w14:textFill>
        </w:rPr>
        <w:t>8</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lang w:eastAsia="zh-CN"/>
          <w14:textFill>
            <w14:solidFill>
              <w14:schemeClr w14:val="tx1"/>
            </w14:solidFill>
          </w14:textFill>
        </w:rPr>
        <w:t>与《新疆维吾尔自治区生态环境分区管控动态更新成果》符合性分析</w:t>
      </w:r>
      <w:bookmarkEnd w:id="41"/>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843"/>
        <w:gridCol w:w="6001"/>
        <w:gridCol w:w="1008"/>
      </w:tblGrid>
      <w:tr w14:paraId="448A1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91" w:type="pct"/>
            <w:gridSpan w:val="2"/>
            <w:noWrap w:val="0"/>
            <w:vAlign w:val="center"/>
          </w:tcPr>
          <w:p w14:paraId="0A6B87A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000000" w:themeColor="text1"/>
                <w:spacing w:val="-15"/>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管控维度</w:t>
            </w:r>
          </w:p>
        </w:tc>
        <w:tc>
          <w:tcPr>
            <w:tcW w:w="3517" w:type="pct"/>
            <w:noWrap w:val="0"/>
            <w:vAlign w:val="center"/>
          </w:tcPr>
          <w:p w14:paraId="6251975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000000" w:themeColor="text1"/>
                <w:spacing w:val="-15"/>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spacing w:val="-6"/>
                <w:sz w:val="21"/>
                <w:szCs w:val="21"/>
                <w14:textFill>
                  <w14:solidFill>
                    <w14:schemeClr w14:val="tx1"/>
                  </w14:solidFill>
                </w14:textFill>
              </w:rPr>
              <w:t>管控要求</w:t>
            </w:r>
          </w:p>
        </w:tc>
        <w:tc>
          <w:tcPr>
            <w:tcW w:w="591" w:type="pct"/>
            <w:noWrap w:val="0"/>
            <w:vAlign w:val="center"/>
          </w:tcPr>
          <w:p w14:paraId="5F912A0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000000" w:themeColor="text1"/>
                <w:spacing w:val="-15"/>
                <w:sz w:val="21"/>
                <w:szCs w:val="21"/>
                <w:vertAlign w:val="baseline"/>
                <w14:textFill>
                  <w14:solidFill>
                    <w14:schemeClr w14:val="tx1"/>
                  </w14:solidFill>
                </w14:textFill>
              </w:rPr>
            </w:pPr>
            <w:r>
              <w:rPr>
                <w:rFonts w:hint="eastAsia" w:cs="Times New Roman"/>
                <w:b/>
                <w:bCs/>
                <w:color w:val="000000" w:themeColor="text1"/>
                <w:spacing w:val="-6"/>
                <w:sz w:val="21"/>
                <w:szCs w:val="21"/>
                <w:lang w:val="en-US" w:eastAsia="zh-CN"/>
                <w14:textFill>
                  <w14:solidFill>
                    <w14:schemeClr w14:val="tx1"/>
                  </w14:solidFill>
                </w14:textFill>
              </w:rPr>
              <w:t>本项目</w:t>
            </w:r>
          </w:p>
        </w:tc>
      </w:tr>
      <w:tr w14:paraId="2CB3E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restart"/>
            <w:noWrap w:val="0"/>
            <w:vAlign w:val="center"/>
          </w:tcPr>
          <w:p w14:paraId="1E401B31">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A1</w:t>
            </w:r>
          </w:p>
          <w:p w14:paraId="474FE1D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空</w:t>
            </w:r>
            <w:r>
              <w:rPr>
                <w:rFonts w:hint="default" w:ascii="Times New Roman" w:hAnsi="Times New Roman" w:eastAsia="宋体" w:cs="Times New Roman"/>
                <w:b w:val="0"/>
                <w:bCs w:val="0"/>
                <w:color w:val="000000" w:themeColor="text1"/>
                <w:spacing w:val="6"/>
                <w:sz w:val="21"/>
                <w:szCs w:val="21"/>
                <w14:textFill>
                  <w14:solidFill>
                    <w14:schemeClr w14:val="tx1"/>
                  </w14:solidFill>
                </w14:textFill>
              </w:rPr>
              <w:t>间布</w:t>
            </w:r>
            <w:r>
              <w:rPr>
                <w:rFonts w:hint="default" w:ascii="Times New Roman" w:hAnsi="Times New Roman" w:eastAsia="宋体" w:cs="Times New Roman"/>
                <w:b w:val="0"/>
                <w:bCs w:val="0"/>
                <w:color w:val="000000" w:themeColor="text1"/>
                <w:spacing w:val="10"/>
                <w:sz w:val="21"/>
                <w:szCs w:val="21"/>
                <w14:textFill>
                  <w14:solidFill>
                    <w14:schemeClr w14:val="tx1"/>
                  </w14:solidFill>
                </w14:textFill>
              </w:rPr>
              <w:t>局约</w:t>
            </w:r>
            <w:r>
              <w:rPr>
                <w:rFonts w:hint="default" w:ascii="Times New Roman" w:hAnsi="Times New Roman" w:eastAsia="宋体" w:cs="Times New Roman"/>
                <w:b w:val="0"/>
                <w:bCs w:val="0"/>
                <w:color w:val="000000" w:themeColor="text1"/>
                <w:sz w:val="21"/>
                <w:szCs w:val="21"/>
                <w14:textFill>
                  <w14:solidFill>
                    <w14:schemeClr w14:val="tx1"/>
                  </w14:solidFill>
                </w14:textFill>
              </w:rPr>
              <w:t>束</w:t>
            </w:r>
          </w:p>
        </w:tc>
        <w:tc>
          <w:tcPr>
            <w:tcW w:w="494" w:type="pct"/>
            <w:vMerge w:val="restart"/>
            <w:noWrap w:val="0"/>
            <w:vAlign w:val="center"/>
          </w:tcPr>
          <w:p w14:paraId="6200ABD0">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3"/>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A1.1</w:t>
            </w:r>
          </w:p>
          <w:p w14:paraId="45C69F3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禁止开发</w:t>
            </w:r>
            <w:r>
              <w:rPr>
                <w:rFonts w:hint="default" w:ascii="Times New Roman" w:hAnsi="Times New Roman" w:eastAsia="宋体" w:cs="Times New Roman"/>
                <w:b w:val="0"/>
                <w:bCs w:val="0"/>
                <w:color w:val="000000" w:themeColor="text1"/>
                <w:spacing w:val="6"/>
                <w:sz w:val="21"/>
                <w:szCs w:val="21"/>
                <w14:textFill>
                  <w14:solidFill>
                    <w14:schemeClr w14:val="tx1"/>
                  </w14:solidFill>
                </w14:textFill>
              </w:rPr>
              <w:t>建设的</w:t>
            </w:r>
            <w:r>
              <w:rPr>
                <w:rFonts w:hint="default" w:ascii="Times New Roman" w:hAnsi="Times New Roman" w:eastAsia="宋体" w:cs="Times New Roman"/>
                <w:b w:val="0"/>
                <w:bCs w:val="0"/>
                <w:color w:val="000000" w:themeColor="text1"/>
                <w:spacing w:val="8"/>
                <w:sz w:val="21"/>
                <w:szCs w:val="21"/>
                <w14:textFill>
                  <w14:solidFill>
                    <w14:schemeClr w14:val="tx1"/>
                  </w14:solidFill>
                </w14:textFill>
              </w:rPr>
              <w:t>活动</w:t>
            </w:r>
          </w:p>
        </w:tc>
        <w:tc>
          <w:tcPr>
            <w:tcW w:w="3517" w:type="pct"/>
            <w:noWrap w:val="0"/>
            <w:vAlign w:val="center"/>
          </w:tcPr>
          <w:p w14:paraId="7C7ABC32">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〔A1.1-1〕禁止新建、扩建《产业结构调整指导目录</w:t>
            </w:r>
            <w:r>
              <w:rPr>
                <w:rFonts w:hint="default" w:ascii="Times New Roman" w:hAnsi="Times New Roman" w:cs="Times New Roman"/>
                <w:b w:val="0"/>
                <w:bCs w:val="0"/>
                <w:color w:val="000000" w:themeColor="text1"/>
                <w:spacing w:val="3"/>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2024年本</w:t>
            </w:r>
            <w:r>
              <w:rPr>
                <w:rFonts w:hint="default" w:ascii="Times New Roman" w:hAnsi="Times New Roman" w:cs="Times New Roman"/>
                <w:b w:val="0"/>
                <w:bCs w:val="0"/>
                <w:color w:val="000000" w:themeColor="text1"/>
                <w:spacing w:val="3"/>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中淘汰类项目。禁止引入《市场准入负面清单</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2022年版</w:t>
            </w:r>
            <w:r>
              <w:rPr>
                <w:rFonts w:hint="default"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》禁止准</w:t>
            </w:r>
            <w:r>
              <w:rPr>
                <w:rFonts w:hint="default" w:ascii="Times New Roman" w:hAnsi="Times New Roman" w:eastAsia="宋体" w:cs="Times New Roman"/>
                <w:b w:val="0"/>
                <w:bCs w:val="0"/>
                <w:color w:val="000000" w:themeColor="text1"/>
                <w:spacing w:val="17"/>
                <w:sz w:val="21"/>
                <w:szCs w:val="21"/>
                <w14:textFill>
                  <w14:solidFill>
                    <w14:schemeClr w14:val="tx1"/>
                  </w14:solidFill>
                </w14:textFill>
              </w:rPr>
              <w:t>入类事项</w:t>
            </w:r>
          </w:p>
        </w:tc>
        <w:tc>
          <w:tcPr>
            <w:tcW w:w="591" w:type="pct"/>
            <w:vMerge w:val="restart"/>
            <w:noWrap w:val="0"/>
            <w:vAlign w:val="center"/>
          </w:tcPr>
          <w:p w14:paraId="6260F9A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eastAsia" w:cs="Times New Roman"/>
                <w:b w:val="0"/>
                <w:bCs w:val="0"/>
                <w:color w:val="000000" w:themeColor="text1"/>
                <w:spacing w:val="-6"/>
                <w:sz w:val="21"/>
                <w:szCs w:val="21"/>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符合国家产业政策；</w:t>
            </w:r>
          </w:p>
          <w:p w14:paraId="74B642F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项目选址于</w:t>
            </w:r>
            <w:r>
              <w:rPr>
                <w:rFonts w:hint="eastAsia" w:ascii="Times New Roman" w:hAnsi="Times New Roman" w:cs="Times New Roman"/>
                <w:b w:val="0"/>
                <w:bCs w:val="0"/>
                <w:color w:val="000000" w:themeColor="text1"/>
                <w:spacing w:val="-6"/>
                <w:sz w:val="21"/>
                <w:szCs w:val="21"/>
                <w:lang w:val="en-US" w:eastAsia="zh-CN"/>
                <w14:textFill>
                  <w14:solidFill>
                    <w14:schemeClr w14:val="tx1"/>
                  </w14:solidFill>
                </w14:textFill>
              </w:rPr>
              <w:t>哈密市伊州区</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，不</w:t>
            </w:r>
            <w:r>
              <w:rPr>
                <w:rFonts w:hint="default" w:ascii="Times New Roman" w:hAnsi="Times New Roman" w:cs="Times New Roman"/>
                <w:b w:val="0"/>
                <w:bCs w:val="0"/>
                <w:color w:val="000000" w:themeColor="text1"/>
                <w:spacing w:val="-6"/>
                <w:sz w:val="21"/>
                <w:szCs w:val="21"/>
                <w:lang w:val="en-US" w:eastAsia="zh-CN"/>
                <w14:textFill>
                  <w14:solidFill>
                    <w14:schemeClr w14:val="tx1"/>
                  </w14:solidFill>
                </w14:textFill>
              </w:rPr>
              <w:t>在</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禁止建设区域内</w:t>
            </w:r>
            <w:r>
              <w:rPr>
                <w:rFonts w:hint="eastAsia" w:eastAsia="宋体" w:cs="Times New Roman"/>
                <w:b w:val="0"/>
                <w:bCs w:val="0"/>
                <w:color w:val="000000" w:themeColor="text1"/>
                <w:spacing w:val="-6"/>
                <w:sz w:val="21"/>
                <w:szCs w:val="21"/>
                <w:lang w:val="en-US" w:eastAsia="zh-CN"/>
                <w14:textFill>
                  <w14:solidFill>
                    <w14:schemeClr w14:val="tx1"/>
                  </w14:solidFill>
                </w14:textFill>
              </w:rPr>
              <w:t>。</w:t>
            </w:r>
          </w:p>
        </w:tc>
      </w:tr>
      <w:tr w14:paraId="15610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4BDE5FE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026C628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7377BF78">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〔A1.1-2〕禁止建设不符合国家和自治区环境保护标</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准的项目</w:t>
            </w:r>
          </w:p>
        </w:tc>
        <w:tc>
          <w:tcPr>
            <w:tcW w:w="591" w:type="pct"/>
            <w:vMerge w:val="continue"/>
            <w:noWrap w:val="0"/>
            <w:vAlign w:val="center"/>
          </w:tcPr>
          <w:p w14:paraId="0D99280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799F2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397" w:type="pct"/>
            <w:vMerge w:val="continue"/>
            <w:noWrap w:val="0"/>
            <w:vAlign w:val="center"/>
          </w:tcPr>
          <w:p w14:paraId="177FB48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1C5AA8E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71699E59">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〔A1.1-3〕禁止在饮用水水源保护区、风景名胜区、自然保护区的</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核心区和缓冲区、城镇居民区、文化教育科</w:t>
            </w:r>
            <w:r>
              <w:rPr>
                <w:rFonts w:hint="default" w:ascii="Times New Roman" w:hAnsi="Times New Roman" w:eastAsia="宋体" w:cs="Times New Roman"/>
                <w:b w:val="0"/>
                <w:bCs w:val="0"/>
                <w:color w:val="000000" w:themeColor="text1"/>
                <w:sz w:val="21"/>
                <w:szCs w:val="21"/>
                <w14:textFill>
                  <w14:solidFill>
                    <w14:schemeClr w14:val="tx1"/>
                  </w14:solidFill>
                </w14:textFill>
              </w:rPr>
              <w:t>学研究区等人口集中区</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域以及法律、法规规定的其他禁止养殖区域建设畜禽养殖场、养殖小区</w:t>
            </w:r>
          </w:p>
        </w:tc>
        <w:tc>
          <w:tcPr>
            <w:tcW w:w="591" w:type="pct"/>
            <w:vMerge w:val="continue"/>
            <w:noWrap w:val="0"/>
            <w:vAlign w:val="center"/>
          </w:tcPr>
          <w:p w14:paraId="24DB055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63A1A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43A68E4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4A14413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37E062BF">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〔A1.1-4〕禁止在水源涵养区、地下水源、饮用水源、自然</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保护区、</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风景名胜区、森林公园、重要湿地及人群密集区等生态敏感区域内</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进行煤炭、石油、天然气开发</w:t>
            </w:r>
          </w:p>
        </w:tc>
        <w:tc>
          <w:tcPr>
            <w:tcW w:w="591" w:type="pct"/>
            <w:vMerge w:val="continue"/>
            <w:noWrap w:val="0"/>
            <w:vAlign w:val="center"/>
          </w:tcPr>
          <w:p w14:paraId="63B1E46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4CFE2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45DA3E71">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4EAA181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32B96AF6">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〔A1.1-5〕禁止下列破坏湿地及其生态功能的行为：</w:t>
            </w:r>
          </w:p>
          <w:p w14:paraId="7574BA97">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一</w:t>
            </w:r>
            <w:r>
              <w:rPr>
                <w:rFonts w:hint="default" w:ascii="Times New Roman" w:hAnsi="Times New Roman" w:eastAsia="宋体" w:cs="Times New Roman"/>
                <w:b w:val="0"/>
                <w:bCs w:val="0"/>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开</w:t>
            </w:r>
            <w:r>
              <w:rPr>
                <w:rFonts w:hint="default" w:ascii="Times New Roman" w:hAnsi="Times New Roman" w:eastAsia="宋体" w:cs="Times New Roman"/>
                <w:b w:val="0"/>
                <w:bCs w:val="0"/>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围</w:t>
            </w:r>
            <w:r>
              <w:rPr>
                <w:rFonts w:hint="default" w:ascii="Times New Roman" w:hAnsi="Times New Roman" w:eastAsia="宋体" w:cs="Times New Roman"/>
                <w:b w:val="0"/>
                <w:bCs w:val="0"/>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垦、排干自然湿地，永久性截断自然湿地水源；</w:t>
            </w:r>
            <w:r>
              <w:rPr>
                <w:rFonts w:hint="default" w:ascii="Times New Roman" w:hAnsi="Times New Roman" w:eastAsia="宋体" w:cs="Times New Roman"/>
                <w:b w:val="0"/>
                <w:bCs w:val="0"/>
                <w:color w:val="000000" w:themeColor="text1"/>
                <w:spacing w:val="5"/>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二</w:t>
            </w:r>
            <w:r>
              <w:rPr>
                <w:rFonts w:hint="default" w:ascii="Times New Roman" w:hAnsi="Times New Roman" w:eastAsia="宋体" w:cs="Times New Roman"/>
                <w:b w:val="0"/>
                <w:bCs w:val="0"/>
                <w:color w:val="000000" w:themeColor="text1"/>
                <w:spacing w:val="5"/>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擅自填埋自然湿地，擅自采砂、采矿、取土；</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三</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排放不符合水污染物排放标准的工业废水、生活污水及其他</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污染湿地的废水、污水，倾倒、堆放、丢弃、遗撒固体废物；</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四</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过度放牧或者滥采野生植物，过度捕捞或者灭绝式捕捞，过</w:t>
            </w: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度施肥、投药、投放饵料等污染湿地的种植养殖行</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为；</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五</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其他破坏湿地及其生态功能的行为</w:t>
            </w:r>
          </w:p>
        </w:tc>
        <w:tc>
          <w:tcPr>
            <w:tcW w:w="591" w:type="pct"/>
            <w:vMerge w:val="continue"/>
            <w:noWrap w:val="0"/>
            <w:vAlign w:val="center"/>
          </w:tcPr>
          <w:p w14:paraId="15912D4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64F09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77E74A0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58895BA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0508BD5A">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〔A1.1-6〕禁止在自治区行政区域内引进能</w:t>
            </w:r>
            <w:r>
              <w:rPr>
                <w:rFonts w:hint="default" w:ascii="Times New Roman" w:hAnsi="Times New Roman" w:eastAsia="宋体" w:cs="Times New Roman"/>
                <w:b w:val="0"/>
                <w:bCs w:val="0"/>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水</w:t>
            </w:r>
            <w:r>
              <w:rPr>
                <w:rFonts w:hint="default" w:ascii="Times New Roman" w:hAnsi="Times New Roman" w:eastAsia="宋体" w:cs="Times New Roman"/>
                <w:b w:val="0"/>
                <w:bCs w:val="0"/>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耗不符合相关国</w:t>
            </w:r>
            <w:r>
              <w:rPr>
                <w:rFonts w:hint="default" w:ascii="Times New Roman" w:hAnsi="Times New Roman" w:eastAsia="宋体" w:cs="Times New Roman"/>
                <w:b w:val="0"/>
                <w:bCs w:val="0"/>
                <w:color w:val="000000" w:themeColor="text1"/>
                <w:sz w:val="21"/>
                <w:szCs w:val="21"/>
                <w14:textFill>
                  <w14:solidFill>
                    <w14:schemeClr w14:val="tx1"/>
                  </w14:solidFill>
                </w14:textFill>
              </w:rPr>
              <w:t>家标准中准入值要求且污染物排放和环境风险防控不符合国家</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地方</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标准及有关产业准入条件的高污染</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排放</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、高能</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水</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耗、高</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环境风险的工业项目</w:t>
            </w:r>
          </w:p>
        </w:tc>
        <w:tc>
          <w:tcPr>
            <w:tcW w:w="591" w:type="pct"/>
            <w:vMerge w:val="continue"/>
            <w:noWrap w:val="0"/>
            <w:vAlign w:val="center"/>
          </w:tcPr>
          <w:p w14:paraId="57F2552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6BADC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4706602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1C84982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23EB6132">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〔A1.1-7〕①坚决遏制高耗能高排放低水平项目盲目发展。严把高</w:t>
            </w:r>
            <w:r>
              <w:rPr>
                <w:rFonts w:hint="default" w:ascii="Times New Roman" w:hAnsi="Times New Roman" w:eastAsia="宋体" w:cs="Times New Roman"/>
                <w:b w:val="0"/>
                <w:bCs w:val="0"/>
                <w:color w:val="000000" w:themeColor="text1"/>
                <w:sz w:val="21"/>
                <w:szCs w:val="21"/>
                <w14:textFill>
                  <w14:solidFill>
                    <w14:schemeClr w14:val="tx1"/>
                  </w14:solidFill>
                </w14:textFill>
              </w:rPr>
              <w:t>耗能高排放低水平项目准入关口，严格落实污染物排放区域削减要求，对不符合规定的项目坚决停批停建。依法依规淘汰落后产能和</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化解过剩产能。②重点行业企业纳入重污染天气绩效分级，制定</w:t>
            </w:r>
            <w:r>
              <w:rPr>
                <w:rFonts w:hint="eastAsia" w:ascii="Times New Roman" w:hAnsi="Times New Roman" w:cs="Times New Roman"/>
                <w:b w:val="0"/>
                <w:bCs w:val="0"/>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一</w:t>
            </w:r>
            <w:r>
              <w:rPr>
                <w:rFonts w:hint="default" w:ascii="Times New Roman" w:hAnsi="Times New Roman" w:eastAsia="宋体" w:cs="Times New Roman"/>
                <w:b w:val="0"/>
                <w:bCs w:val="0"/>
                <w:color w:val="000000" w:themeColor="text1"/>
                <w:sz w:val="21"/>
                <w:szCs w:val="21"/>
                <w14:textFill>
                  <w14:solidFill>
                    <w14:schemeClr w14:val="tx1"/>
                  </w14:solidFill>
                </w14:textFill>
              </w:rPr>
              <w:t>厂一策</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应急减排清单，实现应纳尽纳；引导重点企业在秋冬季安</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排停产检修计划，减少冬季和采暖期排放。推进重点行业深度治理，</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实施全工况脱硫脱硝提标改造，加大无组织排放治理</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力度，深度开</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展工业炉窑综合整治，全面提升电解铝、活性炭、硅冶炼、纯碱、</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电石、聚氯乙烯、石化等行业污染治理水平</w:t>
            </w:r>
          </w:p>
        </w:tc>
        <w:tc>
          <w:tcPr>
            <w:tcW w:w="591" w:type="pct"/>
            <w:vMerge w:val="continue"/>
            <w:noWrap w:val="0"/>
            <w:vAlign w:val="center"/>
          </w:tcPr>
          <w:p w14:paraId="092340D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62F99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452BB10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31EC20E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0ABEED9B">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000000" w:themeColor="text1"/>
                <w:spacing w:val="-11"/>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〔A1.1-8〕严格执行危险化学品</w:t>
            </w:r>
            <w:r>
              <w:rPr>
                <w:rFonts w:hint="eastAsia"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禁限控</w:t>
            </w:r>
            <w:r>
              <w:rPr>
                <w:rFonts w:hint="eastAsia"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目录，新建危险化学品</w:t>
            </w:r>
            <w:r>
              <w:rPr>
                <w:rFonts w:hint="default" w:ascii="Times New Roman" w:hAnsi="Times New Roman" w:eastAsia="宋体" w:cs="Times New Roman"/>
                <w:color w:val="000000" w:themeColor="text1"/>
                <w:spacing w:val="-1"/>
                <w:sz w:val="21"/>
                <w:szCs w:val="21"/>
                <w14:textFill>
                  <w14:solidFill>
                    <w14:schemeClr w14:val="tx1"/>
                  </w14:solidFill>
                </w14:textFill>
              </w:rPr>
              <w:t>生产项目必须进入一般或较低安全风险的化工园区</w:t>
            </w:r>
            <w:r>
              <w:rPr>
                <w:rFonts w:hint="default" w:ascii="Times New Roman" w:hAnsi="Times New Roman" w:eastAsia="宋体"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与其他</w:t>
            </w:r>
            <w:r>
              <w:rPr>
                <w:rFonts w:hint="default" w:ascii="Times New Roman" w:hAnsi="Times New Roman" w:eastAsia="宋体" w:cs="Times New Roman"/>
                <w:color w:val="000000" w:themeColor="text1"/>
                <w:spacing w:val="-2"/>
                <w:sz w:val="21"/>
                <w:szCs w:val="21"/>
                <w14:textFill>
                  <w14:solidFill>
                    <w14:schemeClr w14:val="tx1"/>
                  </w14:solidFill>
                </w14:textFill>
              </w:rPr>
              <w:t>行业生</w:t>
            </w:r>
            <w:r>
              <w:rPr>
                <w:rFonts w:hint="default" w:ascii="Times New Roman" w:hAnsi="Times New Roman" w:eastAsia="宋体" w:cs="Times New Roman"/>
                <w:color w:val="000000" w:themeColor="text1"/>
                <w:spacing w:val="-11"/>
                <w:sz w:val="21"/>
                <w:szCs w:val="21"/>
                <w14:textFill>
                  <w14:solidFill>
                    <w14:schemeClr w14:val="tx1"/>
                  </w14:solidFill>
                </w14:textFill>
              </w:rPr>
              <w:t>产装置配套建设的项目除外</w:t>
            </w:r>
            <w:r>
              <w:rPr>
                <w:rFonts w:hint="default" w:ascii="Times New Roman" w:hAnsi="Times New Roman" w:eastAsia="宋体"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1"/>
                <w:sz w:val="21"/>
                <w:szCs w:val="21"/>
                <w14:textFill>
                  <w14:solidFill>
                    <w14:schemeClr w14:val="tx1"/>
                  </w14:solidFill>
                </w14:textFill>
              </w:rPr>
              <w:t>引导其他石化化工项目在化工园区发展</w:t>
            </w:r>
          </w:p>
        </w:tc>
        <w:tc>
          <w:tcPr>
            <w:tcW w:w="591" w:type="pct"/>
            <w:vMerge w:val="continue"/>
            <w:noWrap w:val="0"/>
            <w:vAlign w:val="center"/>
          </w:tcPr>
          <w:p w14:paraId="310D5AE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791E6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7453CF5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23B036D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05F8FC0B">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〔A1.1-9〕严禁新建自治区《禁止、控制和限</w:t>
            </w:r>
            <w:r>
              <w:rPr>
                <w:rFonts w:hint="default" w:ascii="Times New Roman" w:hAnsi="Times New Roman" w:eastAsia="宋体" w:cs="Times New Roman"/>
                <w:color w:val="000000" w:themeColor="text1"/>
                <w:spacing w:val="3"/>
                <w:sz w:val="21"/>
                <w:szCs w:val="21"/>
                <w14:textFill>
                  <w14:solidFill>
                    <w14:schemeClr w14:val="tx1"/>
                  </w14:solidFill>
                </w14:textFill>
              </w:rPr>
              <w:t>制危险化学品目录》</w:t>
            </w:r>
            <w:r>
              <w:rPr>
                <w:rFonts w:hint="default" w:ascii="Times New Roman" w:hAnsi="Times New Roman" w:eastAsia="宋体" w:cs="Times New Roman"/>
                <w:color w:val="000000" w:themeColor="text1"/>
                <w:spacing w:val="4"/>
                <w:sz w:val="21"/>
                <w:szCs w:val="21"/>
                <w14:textFill>
                  <w14:solidFill>
                    <w14:schemeClr w14:val="tx1"/>
                  </w14:solidFill>
                </w14:textFill>
              </w:rPr>
              <w:t>中淘汰类、禁止类危险化学品化工项目。严格执行生态保护红线、</w:t>
            </w:r>
            <w:r>
              <w:rPr>
                <w:rFonts w:hint="default" w:ascii="Times New Roman" w:hAnsi="Times New Roman" w:eastAsia="宋体" w:cs="Times New Roman"/>
                <w:color w:val="000000" w:themeColor="text1"/>
                <w:spacing w:val="1"/>
                <w:sz w:val="21"/>
                <w:szCs w:val="21"/>
                <w14:textFill>
                  <w14:solidFill>
                    <w14:schemeClr w14:val="tx1"/>
                  </w14:solidFill>
                </w14:textFill>
              </w:rPr>
              <w:t>永久基本农田管控要求，禁止新</w:t>
            </w:r>
            <w:r>
              <w:rPr>
                <w:rFonts w:hint="default" w:ascii="Times New Roman" w:hAnsi="Times New Roman" w:eastAsia="宋体"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改、扩</w:t>
            </w:r>
            <w:r>
              <w:rPr>
                <w:rFonts w:hint="default" w:ascii="Times New Roman" w:hAnsi="Times New Roman" w:eastAsia="宋体"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建化工项目违规占用</w:t>
            </w:r>
            <w:r>
              <w:rPr>
                <w:rFonts w:hint="default" w:ascii="Times New Roman" w:hAnsi="Times New Roman" w:eastAsia="宋体" w:cs="Times New Roman"/>
                <w:color w:val="000000" w:themeColor="text1"/>
                <w:sz w:val="21"/>
                <w:szCs w:val="21"/>
                <w14:textFill>
                  <w14:solidFill>
                    <w14:schemeClr w14:val="tx1"/>
                  </w14:solidFill>
                </w14:textFill>
              </w:rPr>
              <w:t>生态保护红线和永久基本农田。在塔里木河、伊犁河、额尔齐斯河</w:t>
            </w:r>
            <w:r>
              <w:rPr>
                <w:rFonts w:hint="default" w:ascii="Times New Roman" w:hAnsi="Times New Roman" w:eastAsia="宋体" w:cs="Times New Roman"/>
                <w:color w:val="000000" w:themeColor="text1"/>
                <w:spacing w:val="3"/>
                <w:sz w:val="21"/>
                <w:szCs w:val="21"/>
                <w14:textFill>
                  <w14:solidFill>
                    <w14:schemeClr w14:val="tx1"/>
                  </w14:solidFill>
                </w14:textFill>
              </w:rPr>
              <w:t>干流及主要支流岸线1公里范围内，除提升安全、环</w:t>
            </w:r>
            <w:r>
              <w:rPr>
                <w:rFonts w:hint="default" w:ascii="Times New Roman" w:hAnsi="Times New Roman" w:eastAsia="宋体" w:cs="Times New Roman"/>
                <w:color w:val="000000" w:themeColor="text1"/>
                <w:spacing w:val="2"/>
                <w:sz w:val="21"/>
                <w:szCs w:val="21"/>
                <w14:textFill>
                  <w14:solidFill>
                    <w14:schemeClr w14:val="tx1"/>
                  </w14:solidFill>
                </w14:textFill>
              </w:rPr>
              <w:t>保、节能、智</w:t>
            </w:r>
            <w:r>
              <w:rPr>
                <w:rFonts w:hint="default" w:ascii="Times New Roman" w:hAnsi="Times New Roman" w:eastAsia="宋体" w:cs="Times New Roman"/>
                <w:color w:val="000000" w:themeColor="text1"/>
                <w:sz w:val="21"/>
                <w:szCs w:val="21"/>
                <w14:textFill>
                  <w14:solidFill>
                    <w14:schemeClr w14:val="tx1"/>
                  </w14:solidFill>
                </w14:textFill>
              </w:rPr>
              <w:t>能化、产品质量水平的技术改造项目外，严格禁止新建、扩建化工项目，不得布局新的化工园区</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含化工集中区</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591" w:type="pct"/>
            <w:vMerge w:val="continue"/>
            <w:noWrap w:val="0"/>
            <w:vAlign w:val="center"/>
          </w:tcPr>
          <w:p w14:paraId="6CE57D6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090F5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1EFFFEA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50C752A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62F4316A">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〔A1.1-10〕推动涉重金属产业集中优化发展，禁止新建用汞的电石</w:t>
            </w:r>
            <w:r>
              <w:rPr>
                <w:rFonts w:hint="default" w:ascii="Times New Roman" w:hAnsi="Times New Roman" w:eastAsia="宋体" w:cs="Times New Roman"/>
                <w:color w:val="000000" w:themeColor="text1"/>
                <w:spacing w:val="4"/>
                <w:sz w:val="21"/>
                <w:szCs w:val="21"/>
                <w14:textFill>
                  <w14:solidFill>
                    <w14:schemeClr w14:val="tx1"/>
                  </w14:solidFill>
                </w14:textFill>
              </w:rPr>
              <w:t>法</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4"/>
                <w:sz w:val="21"/>
                <w:szCs w:val="21"/>
                <w14:textFill>
                  <w14:solidFill>
                    <w14:schemeClr w14:val="tx1"/>
                  </w14:solidFill>
                </w14:textFill>
              </w:rPr>
              <w:t>聚</w:t>
            </w:r>
            <w:r>
              <w:rPr>
                <w:rFonts w:hint="default" w:ascii="Times New Roman" w:hAnsi="Times New Roman" w:eastAsia="宋体" w:cs="Times New Roman"/>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4"/>
                <w:sz w:val="21"/>
                <w:szCs w:val="21"/>
                <w14:textFill>
                  <w14:solidFill>
                    <w14:schemeClr w14:val="tx1"/>
                  </w14:solidFill>
                </w14:textFill>
              </w:rPr>
              <w:t>氯乙烯生产工艺，新建、扩建的重有色金属冶炼、电镀、</w:t>
            </w:r>
            <w:r>
              <w:rPr>
                <w:rFonts w:hint="default" w:ascii="Times New Roman" w:hAnsi="Times New Roman" w:eastAsia="宋体" w:cs="Times New Roman"/>
                <w:color w:val="000000" w:themeColor="text1"/>
                <w:spacing w:val="-1"/>
                <w:sz w:val="21"/>
                <w:szCs w:val="21"/>
                <w14:textFill>
                  <w14:solidFill>
                    <w14:schemeClr w14:val="tx1"/>
                  </w14:solidFill>
                </w14:textFill>
              </w:rPr>
              <w:t>制革企业优先选择布设在依法合规设立并依法开展规划环境影响评价的产业园区</w:t>
            </w:r>
          </w:p>
        </w:tc>
        <w:tc>
          <w:tcPr>
            <w:tcW w:w="591" w:type="pct"/>
            <w:vMerge w:val="continue"/>
            <w:noWrap w:val="0"/>
            <w:vAlign w:val="center"/>
          </w:tcPr>
          <w:p w14:paraId="3F82B02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68C6E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706B9B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6E634E3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051FCDE4">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〔A1.1-11〕国务院有关部门和青藏高原县级以上地方人民政府应当</w:t>
            </w:r>
            <w:r>
              <w:rPr>
                <w:rFonts w:hint="default" w:ascii="Times New Roman" w:hAnsi="Times New Roman" w:eastAsia="宋体" w:cs="Times New Roman"/>
                <w:color w:val="000000" w:themeColor="text1"/>
                <w:spacing w:val="-3"/>
                <w:sz w:val="21"/>
                <w:szCs w:val="21"/>
                <w14:textFill>
                  <w14:solidFill>
                    <w14:schemeClr w14:val="tx1"/>
                  </w14:solidFill>
                </w14:textFill>
              </w:rPr>
              <w:t>建立健全青藏高原雪山冰川冻土保护制度，加强对雪山冰川冻土的</w:t>
            </w:r>
            <w:r>
              <w:rPr>
                <w:rFonts w:hint="default" w:ascii="Times New Roman" w:hAnsi="Times New Roman" w:eastAsia="宋体" w:cs="Times New Roman"/>
                <w:color w:val="000000" w:themeColor="text1"/>
                <w:spacing w:val="1"/>
                <w:sz w:val="21"/>
                <w:szCs w:val="21"/>
                <w14:textFill>
                  <w14:solidFill>
                    <w14:schemeClr w14:val="tx1"/>
                  </w14:solidFill>
                </w14:textFill>
              </w:rPr>
              <w:t>监测预警和系统保护。青藏高原省级人民政府</w:t>
            </w:r>
            <w:r>
              <w:rPr>
                <w:rFonts w:hint="default" w:ascii="Times New Roman" w:hAnsi="Times New Roman" w:eastAsia="宋体" w:cs="Times New Roman"/>
                <w:color w:val="000000" w:themeColor="text1"/>
                <w:sz w:val="21"/>
                <w:szCs w:val="21"/>
                <w14:textFill>
                  <w14:solidFill>
                    <w14:schemeClr w14:val="tx1"/>
                  </w14:solidFill>
                </w14:textFill>
              </w:rPr>
              <w:t>应当将大型冰帽冰川、</w:t>
            </w:r>
            <w:r>
              <w:rPr>
                <w:rFonts w:hint="default" w:ascii="Times New Roman" w:hAnsi="Times New Roman" w:eastAsia="宋体" w:cs="Times New Roman"/>
                <w:color w:val="000000" w:themeColor="text1"/>
                <w:spacing w:val="-1"/>
                <w:sz w:val="21"/>
                <w:szCs w:val="21"/>
                <w14:textFill>
                  <w14:solidFill>
                    <w14:schemeClr w14:val="tx1"/>
                  </w14:solidFill>
                </w14:textFill>
              </w:rPr>
              <w:t>小规模冰川群等划入生态保护红线，对重要雪山冰川实</w:t>
            </w:r>
            <w:r>
              <w:rPr>
                <w:rFonts w:hint="default" w:ascii="Times New Roman" w:hAnsi="Times New Roman" w:eastAsia="宋体" w:cs="Times New Roman"/>
                <w:color w:val="000000" w:themeColor="text1"/>
                <w:spacing w:val="-2"/>
                <w:sz w:val="21"/>
                <w:szCs w:val="21"/>
                <w14:textFill>
                  <w14:solidFill>
                    <w14:schemeClr w14:val="tx1"/>
                  </w14:solidFill>
                </w14:textFill>
              </w:rPr>
              <w:t>施封禁保护，</w:t>
            </w:r>
            <w:r>
              <w:rPr>
                <w:rFonts w:hint="default" w:ascii="Times New Roman" w:hAnsi="Times New Roman" w:eastAsia="宋体" w:cs="Times New Roman"/>
                <w:color w:val="000000" w:themeColor="text1"/>
                <w:sz w:val="21"/>
                <w:szCs w:val="21"/>
                <w14:textFill>
                  <w14:solidFill>
                    <w14:schemeClr w14:val="tx1"/>
                  </w14:solidFill>
                </w14:textFill>
              </w:rPr>
              <w:t>采取有效措施，严格控制人为扰动。青藏高原省级人民政府应当划</w:t>
            </w:r>
            <w:r>
              <w:rPr>
                <w:rFonts w:hint="default" w:ascii="Times New Roman" w:hAnsi="Times New Roman" w:eastAsia="宋体" w:cs="Times New Roman"/>
                <w:color w:val="000000" w:themeColor="text1"/>
                <w:spacing w:val="2"/>
                <w:sz w:val="21"/>
                <w:szCs w:val="21"/>
                <w14:textFill>
                  <w14:solidFill>
                    <w14:schemeClr w14:val="tx1"/>
                  </w14:solidFill>
                </w14:textFill>
              </w:rPr>
              <w:t>定冻土区保护范围，加强对多年冻土区和中深季节冻土区的保护，</w:t>
            </w:r>
            <w:r>
              <w:rPr>
                <w:rFonts w:hint="default" w:ascii="Times New Roman" w:hAnsi="Times New Roman" w:eastAsia="宋体" w:cs="Times New Roman"/>
                <w:color w:val="000000" w:themeColor="text1"/>
                <w:sz w:val="21"/>
                <w:szCs w:val="21"/>
                <w14:textFill>
                  <w14:solidFill>
                    <w14:schemeClr w14:val="tx1"/>
                  </w14:solidFill>
                </w14:textFill>
              </w:rPr>
              <w:t>严格控制多年冻土区资源开发，严格审批多年冻土区城镇规划和交</w:t>
            </w:r>
            <w:r>
              <w:rPr>
                <w:rFonts w:hint="default" w:ascii="Times New Roman" w:hAnsi="Times New Roman" w:eastAsia="宋体" w:cs="Times New Roman"/>
                <w:color w:val="000000" w:themeColor="text1"/>
                <w:spacing w:val="-1"/>
                <w:sz w:val="21"/>
                <w:szCs w:val="21"/>
                <w14:textFill>
                  <w14:solidFill>
                    <w14:schemeClr w14:val="tx1"/>
                  </w14:solidFill>
                </w14:textFill>
              </w:rPr>
              <w:t>通、管线、输变电等重大工程项目。青藏高原省级人民政府应当开</w:t>
            </w:r>
            <w:r>
              <w:rPr>
                <w:rFonts w:hint="default" w:ascii="Times New Roman" w:hAnsi="Times New Roman" w:eastAsia="宋体" w:cs="Times New Roman"/>
                <w:color w:val="000000" w:themeColor="text1"/>
                <w:spacing w:val="1"/>
                <w:sz w:val="21"/>
                <w:szCs w:val="21"/>
                <w14:textFill>
                  <w14:solidFill>
                    <w14:schemeClr w14:val="tx1"/>
                  </w14:solidFill>
                </w14:textFill>
              </w:rPr>
              <w:t>展雪山冰川冻土与周边生态系统的协同保护，维持有利于雪</w:t>
            </w:r>
            <w:r>
              <w:rPr>
                <w:rFonts w:hint="default" w:ascii="Times New Roman" w:hAnsi="Times New Roman" w:eastAsia="宋体" w:cs="Times New Roman"/>
                <w:color w:val="000000" w:themeColor="text1"/>
                <w:sz w:val="21"/>
                <w:szCs w:val="21"/>
                <w14:textFill>
                  <w14:solidFill>
                    <w14:schemeClr w14:val="tx1"/>
                  </w14:solidFill>
                </w14:textFill>
              </w:rPr>
              <w:t>山冰川冻土保护的自然生态环境</w:t>
            </w:r>
          </w:p>
        </w:tc>
        <w:tc>
          <w:tcPr>
            <w:tcW w:w="591" w:type="pct"/>
            <w:vMerge w:val="continue"/>
            <w:noWrap w:val="0"/>
            <w:vAlign w:val="center"/>
          </w:tcPr>
          <w:p w14:paraId="40C3CB0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156A0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3844CC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restart"/>
            <w:noWrap w:val="0"/>
            <w:vAlign w:val="center"/>
          </w:tcPr>
          <w:p w14:paraId="53FB9EC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A1.2限</w:t>
            </w:r>
            <w:r>
              <w:rPr>
                <w:rFonts w:hint="default" w:ascii="Times New Roman" w:hAnsi="Times New Roman" w:eastAsia="宋体" w:cs="Times New Roman"/>
                <w:color w:val="000000" w:themeColor="text1"/>
                <w:spacing w:val="3"/>
                <w:sz w:val="21"/>
                <w:szCs w:val="21"/>
                <w14:textFill>
                  <w14:solidFill>
                    <w14:schemeClr w14:val="tx1"/>
                  </w14:solidFill>
                </w14:textFill>
              </w:rPr>
              <w:t>制开发</w:t>
            </w:r>
            <w:r>
              <w:rPr>
                <w:rFonts w:hint="default" w:ascii="Times New Roman" w:hAnsi="Times New Roman" w:eastAsia="宋体" w:cs="Times New Roman"/>
                <w:color w:val="000000" w:themeColor="text1"/>
                <w:spacing w:val="6"/>
                <w:sz w:val="21"/>
                <w:szCs w:val="21"/>
                <w14:textFill>
                  <w14:solidFill>
                    <w14:schemeClr w14:val="tx1"/>
                  </w14:solidFill>
                </w14:textFill>
              </w:rPr>
              <w:t>建设的</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活动</w:t>
            </w:r>
          </w:p>
        </w:tc>
        <w:tc>
          <w:tcPr>
            <w:tcW w:w="3517" w:type="pct"/>
            <w:noWrap w:val="0"/>
            <w:vAlign w:val="center"/>
          </w:tcPr>
          <w:p w14:paraId="716FC89E">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〔A1.2-1〕严格控制缺水地区、水污染严重区域和敏</w:t>
            </w:r>
            <w:r>
              <w:rPr>
                <w:rFonts w:hint="default" w:ascii="Times New Roman" w:hAnsi="Times New Roman" w:eastAsia="宋体" w:cs="Times New Roman"/>
                <w:color w:val="000000" w:themeColor="text1"/>
                <w:spacing w:val="-2"/>
                <w:sz w:val="21"/>
                <w:szCs w:val="21"/>
                <w14:textFill>
                  <w14:solidFill>
                    <w14:schemeClr w14:val="tx1"/>
                  </w14:solidFill>
                </w14:textFill>
              </w:rPr>
              <w:t>感区域高耗水、</w:t>
            </w:r>
            <w:r>
              <w:rPr>
                <w:rFonts w:hint="default" w:ascii="Times New Roman" w:hAnsi="Times New Roman" w:eastAsia="宋体" w:cs="Times New Roman"/>
                <w:color w:val="000000" w:themeColor="text1"/>
                <w:spacing w:val="-3"/>
                <w:sz w:val="21"/>
                <w:szCs w:val="21"/>
                <w14:textFill>
                  <w14:solidFill>
                    <w14:schemeClr w14:val="tx1"/>
                  </w14:solidFill>
                </w14:textFill>
              </w:rPr>
              <w:t>高污染行业发展</w:t>
            </w:r>
          </w:p>
        </w:tc>
        <w:tc>
          <w:tcPr>
            <w:tcW w:w="591" w:type="pct"/>
            <w:vMerge w:val="restart"/>
            <w:noWrap w:val="0"/>
            <w:vAlign w:val="center"/>
          </w:tcPr>
          <w:p w14:paraId="6BC2ABC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eastAsia" w:cs="Times New Roman"/>
                <w:b w:val="0"/>
                <w:bCs w:val="0"/>
                <w:color w:val="000000" w:themeColor="text1"/>
                <w:spacing w:val="-6"/>
                <w:sz w:val="21"/>
                <w:szCs w:val="21"/>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符合国家产业政策，不属于限制开发行业</w:t>
            </w:r>
            <w:r>
              <w:rPr>
                <w:rFonts w:hint="eastAsia" w:eastAsia="宋体" w:cs="Times New Roman"/>
                <w:b w:val="0"/>
                <w:bCs w:val="0"/>
                <w:color w:val="000000" w:themeColor="text1"/>
                <w:spacing w:val="-6"/>
                <w:sz w:val="21"/>
                <w:szCs w:val="21"/>
                <w:lang w:val="en-US" w:eastAsia="zh-CN"/>
                <w14:textFill>
                  <w14:solidFill>
                    <w14:schemeClr w14:val="tx1"/>
                  </w14:solidFill>
                </w14:textFill>
              </w:rPr>
              <w:t>。</w:t>
            </w:r>
          </w:p>
        </w:tc>
      </w:tr>
      <w:tr w14:paraId="000A1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4A7A078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10E3405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6EC98F5E">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〔A1.2-2〕建设项目用地原则上不得</w:t>
            </w:r>
            <w:r>
              <w:rPr>
                <w:rFonts w:hint="default" w:ascii="Times New Roman" w:hAnsi="Times New Roman" w:eastAsia="宋体" w:cs="Times New Roman"/>
                <w:color w:val="000000" w:themeColor="text1"/>
                <w:spacing w:val="4"/>
                <w:sz w:val="21"/>
                <w:szCs w:val="21"/>
                <w14:textFill>
                  <w14:solidFill>
                    <w14:schemeClr w14:val="tx1"/>
                  </w14:solidFill>
                </w14:textFill>
              </w:rPr>
              <w:t>占用永久基本农田，确需占用</w:t>
            </w:r>
            <w:r>
              <w:rPr>
                <w:rFonts w:hint="default" w:ascii="Times New Roman" w:hAnsi="Times New Roman" w:eastAsia="宋体" w:cs="Times New Roman"/>
                <w:color w:val="000000" w:themeColor="text1"/>
                <w:sz w:val="21"/>
                <w:szCs w:val="21"/>
                <w14:textFill>
                  <w14:solidFill>
                    <w14:schemeClr w14:val="tx1"/>
                  </w14:solidFill>
                </w14:textFill>
              </w:rPr>
              <w:t>永久基本农田的建设项目须符合《中华人民共和国基本农田保护条</w:t>
            </w:r>
            <w:r>
              <w:rPr>
                <w:rFonts w:hint="default" w:ascii="Times New Roman" w:hAnsi="Times New Roman" w:eastAsia="宋体" w:cs="Times New Roman"/>
                <w:color w:val="000000" w:themeColor="text1"/>
                <w:spacing w:val="4"/>
                <w:sz w:val="21"/>
                <w:szCs w:val="21"/>
                <w14:textFill>
                  <w14:solidFill>
                    <w14:schemeClr w14:val="tx1"/>
                  </w14:solidFill>
                </w14:textFill>
              </w:rPr>
              <w:t>例》中相关要求，占用耕地、林地或草地的建设项目须按照国家、</w:t>
            </w:r>
            <w:r>
              <w:rPr>
                <w:rFonts w:hint="default" w:ascii="Times New Roman" w:hAnsi="Times New Roman" w:eastAsia="宋体" w:cs="Times New Roman"/>
                <w:color w:val="000000" w:themeColor="text1"/>
                <w:spacing w:val="-1"/>
                <w:sz w:val="21"/>
                <w:szCs w:val="21"/>
                <w14:textFill>
                  <w14:solidFill>
                    <w14:schemeClr w14:val="tx1"/>
                  </w14:solidFill>
                </w14:textFill>
              </w:rPr>
              <w:t>自治区相关补偿要求进行补偿</w:t>
            </w:r>
          </w:p>
        </w:tc>
        <w:tc>
          <w:tcPr>
            <w:tcW w:w="591" w:type="pct"/>
            <w:vMerge w:val="continue"/>
            <w:noWrap w:val="0"/>
            <w:vAlign w:val="center"/>
          </w:tcPr>
          <w:p w14:paraId="03BDA64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68A66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103CF40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74CCA86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554ABD8D">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〔A1.2-3〕以用途变更为住宅、公共管理与公共服务用地的地块为</w:t>
            </w:r>
            <w:r>
              <w:rPr>
                <w:rFonts w:hint="default" w:ascii="Times New Roman" w:hAnsi="Times New Roman" w:eastAsia="宋体" w:cs="Times New Roman"/>
                <w:color w:val="000000" w:themeColor="text1"/>
                <w:spacing w:val="1"/>
                <w:sz w:val="21"/>
                <w:szCs w:val="21"/>
                <w14:textFill>
                  <w14:solidFill>
                    <w14:schemeClr w14:val="tx1"/>
                  </w14:solidFill>
                </w14:textFill>
              </w:rPr>
              <w:t>重点，严格建设用地准入管理和风险管控，未依法完成土壤污染状况调查或风险评估的地块，不得开工建设与风险管控和修复无关的</w:t>
            </w:r>
            <w:r>
              <w:rPr>
                <w:rFonts w:hint="default" w:ascii="Times New Roman" w:hAnsi="Times New Roman" w:eastAsia="宋体" w:cs="Times New Roman"/>
                <w:color w:val="000000" w:themeColor="text1"/>
                <w:spacing w:val="-1"/>
                <w:sz w:val="21"/>
                <w:szCs w:val="21"/>
                <w14:textFill>
                  <w14:solidFill>
                    <w14:schemeClr w14:val="tx1"/>
                  </w14:solidFill>
                </w14:textFill>
              </w:rPr>
              <w:t>项目</w:t>
            </w:r>
          </w:p>
        </w:tc>
        <w:tc>
          <w:tcPr>
            <w:tcW w:w="591" w:type="pct"/>
            <w:vMerge w:val="continue"/>
            <w:noWrap w:val="0"/>
            <w:vAlign w:val="center"/>
          </w:tcPr>
          <w:p w14:paraId="67F3CA6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6F0E8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62F879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447998E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7AEF6201">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〔A1.2-4〕严格控制建设项目占用湿地。因国家和自治区重</w:t>
            </w:r>
            <w:r>
              <w:rPr>
                <w:rFonts w:hint="default" w:ascii="Times New Roman" w:hAnsi="Times New Roman" w:eastAsia="宋体" w:cs="Times New Roman"/>
                <w:color w:val="000000" w:themeColor="text1"/>
                <w:spacing w:val="2"/>
                <w:sz w:val="21"/>
                <w:szCs w:val="21"/>
                <w14:textFill>
                  <w14:solidFill>
                    <w14:schemeClr w14:val="tx1"/>
                  </w14:solidFill>
                </w14:textFill>
              </w:rPr>
              <w:t>点建设</w:t>
            </w:r>
            <w:r>
              <w:rPr>
                <w:rFonts w:hint="default" w:ascii="Times New Roman" w:hAnsi="Times New Roman" w:eastAsia="宋体" w:cs="Times New Roman"/>
                <w:color w:val="000000" w:themeColor="text1"/>
                <w:spacing w:val="-1"/>
                <w:sz w:val="21"/>
                <w:szCs w:val="21"/>
                <w14:textFill>
                  <w14:solidFill>
                    <w14:schemeClr w14:val="tx1"/>
                  </w14:solidFill>
                </w14:textFill>
              </w:rPr>
              <w:t>工程、基础设施建设，以及重点公益性项目建设</w:t>
            </w:r>
            <w:r>
              <w:rPr>
                <w:rFonts w:hint="default" w:ascii="Times New Roman" w:hAnsi="Times New Roman" w:eastAsia="宋体" w:cs="Times New Roman"/>
                <w:color w:val="000000" w:themeColor="text1"/>
                <w:spacing w:val="-2"/>
                <w:sz w:val="21"/>
                <w:szCs w:val="21"/>
                <w14:textFill>
                  <w14:solidFill>
                    <w14:schemeClr w14:val="tx1"/>
                  </w14:solidFill>
                </w14:textFill>
              </w:rPr>
              <w:t>，确需占用湿地的，</w:t>
            </w:r>
            <w:r>
              <w:rPr>
                <w:rFonts w:hint="default" w:ascii="Times New Roman" w:hAnsi="Times New Roman" w:eastAsia="宋体" w:cs="Times New Roman"/>
                <w:color w:val="000000" w:themeColor="text1"/>
                <w:spacing w:val="1"/>
                <w:sz w:val="21"/>
                <w:szCs w:val="21"/>
                <w14:textFill>
                  <w14:solidFill>
                    <w14:schemeClr w14:val="tx1"/>
                  </w14:solidFill>
                </w14:textFill>
              </w:rPr>
              <w:t>应当按照有关法律、法规规定的权限和程序办理批准</w:t>
            </w:r>
          </w:p>
          <w:p w14:paraId="0FC3A243">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手续</w:t>
            </w:r>
          </w:p>
        </w:tc>
        <w:tc>
          <w:tcPr>
            <w:tcW w:w="591" w:type="pct"/>
            <w:vMerge w:val="continue"/>
            <w:noWrap w:val="0"/>
            <w:vAlign w:val="center"/>
          </w:tcPr>
          <w:p w14:paraId="2CD8B7F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3FED7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A5A1FE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1B719CF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47B7308F">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〔A1.2-5〕严格管控自然保护地范围内非生态活动，稳妥推进核心</w:t>
            </w:r>
            <w:r>
              <w:rPr>
                <w:rFonts w:hint="default" w:ascii="Times New Roman" w:hAnsi="Times New Roman" w:eastAsia="宋体" w:cs="Times New Roman"/>
                <w:b w:val="0"/>
                <w:bCs w:val="0"/>
                <w:color w:val="000000" w:themeColor="text1"/>
                <w:sz w:val="21"/>
                <w:szCs w:val="21"/>
                <w14:textFill>
                  <w14:solidFill>
                    <w14:schemeClr w14:val="tx1"/>
                  </w14:solidFill>
                </w14:textFill>
              </w:rPr>
              <w:t>区内居民、耕地有序退出，矿权依法依规退出</w:t>
            </w:r>
          </w:p>
        </w:tc>
        <w:tc>
          <w:tcPr>
            <w:tcW w:w="591" w:type="pct"/>
            <w:vMerge w:val="continue"/>
            <w:noWrap w:val="0"/>
            <w:vAlign w:val="center"/>
          </w:tcPr>
          <w:p w14:paraId="01910EC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76AE0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F41864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restart"/>
            <w:noWrap w:val="0"/>
            <w:vAlign w:val="center"/>
          </w:tcPr>
          <w:p w14:paraId="20E2619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A1.3不</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符合空</w:t>
            </w:r>
            <w:r>
              <w:rPr>
                <w:rFonts w:hint="default" w:ascii="Times New Roman" w:hAnsi="Times New Roman" w:eastAsia="宋体" w:cs="Times New Roman"/>
                <w:b w:val="0"/>
                <w:bCs w:val="0"/>
                <w:color w:val="000000" w:themeColor="text1"/>
                <w:spacing w:val="7"/>
                <w:sz w:val="21"/>
                <w:szCs w:val="21"/>
                <w14:textFill>
                  <w14:solidFill>
                    <w14:schemeClr w14:val="tx1"/>
                  </w14:solidFill>
                </w14:textFill>
              </w:rPr>
              <w:t>间布局</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要求活动的退</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出</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要求</w:t>
            </w:r>
          </w:p>
        </w:tc>
        <w:tc>
          <w:tcPr>
            <w:tcW w:w="3517" w:type="pct"/>
            <w:noWrap w:val="0"/>
            <w:vAlign w:val="center"/>
          </w:tcPr>
          <w:p w14:paraId="3A7FC646">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〔A1.3-1〕任何单位和个人不得在水源涵养区、饮用水水源保护区</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内和河流、湖泊、水库周围建设重化工、涉重</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金属等工业污染项目；</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对已建成的工业污染项目，当地人民政府应当组织</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限期搬迁</w:t>
            </w:r>
          </w:p>
        </w:tc>
        <w:tc>
          <w:tcPr>
            <w:tcW w:w="591" w:type="pct"/>
            <w:vMerge w:val="restart"/>
            <w:noWrap w:val="0"/>
            <w:vAlign w:val="center"/>
          </w:tcPr>
          <w:p w14:paraId="74E8367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根据《产业结构调整指导目录（2024年本）》，</w:t>
            </w:r>
            <w:r>
              <w:rPr>
                <w:rFonts w:hint="eastAsia" w:cs="Times New Roman"/>
                <w:b w:val="0"/>
                <w:bCs w:val="0"/>
                <w:color w:val="000000" w:themeColor="text1"/>
                <w:spacing w:val="-6"/>
                <w:sz w:val="21"/>
                <w:szCs w:val="21"/>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属于</w:t>
            </w:r>
            <w:r>
              <w:rPr>
                <w:rFonts w:hint="eastAsia"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铁矿采选业</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w:t>
            </w:r>
            <w:r>
              <w:rPr>
                <w:rFonts w:hint="eastAsia" w:eastAsia="宋体" w:cs="Times New Roman"/>
                <w:b w:val="0"/>
                <w:bCs w:val="0"/>
                <w:color w:val="000000" w:themeColor="text1"/>
                <w:spacing w:val="-6"/>
                <w:sz w:val="21"/>
                <w:szCs w:val="21"/>
                <w:lang w:val="en-US" w:eastAsia="zh-CN"/>
                <w14:textFill>
                  <w14:solidFill>
                    <w14:schemeClr w14:val="tx1"/>
                  </w14:solidFill>
                </w14:textFill>
              </w:rPr>
              <w:t>属于鼓励类</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，项目的建设符合国家产业政策。</w:t>
            </w:r>
          </w:p>
        </w:tc>
      </w:tr>
      <w:tr w14:paraId="2A875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0A8998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40881AD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3B5BA5D0">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〔A1.3-2〕对不符合国家产业政策、严重污染水环境的生产项目全</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部予以取缔</w:t>
            </w:r>
          </w:p>
        </w:tc>
        <w:tc>
          <w:tcPr>
            <w:tcW w:w="591" w:type="pct"/>
            <w:vMerge w:val="continue"/>
            <w:noWrap w:val="0"/>
            <w:vAlign w:val="center"/>
          </w:tcPr>
          <w:p w14:paraId="722C58D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2944B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5B3F40A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07E7EC3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0621AACF">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〔A1.3-3〕根据《产业结构调整指导目录》《限期淘汰产生严重污染</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环境的工业固体废物的落后生产工艺设备名录》等要求，配合有关</w:t>
            </w:r>
            <w:r>
              <w:rPr>
                <w:rFonts w:hint="default" w:ascii="Times New Roman" w:hAnsi="Times New Roman" w:eastAsia="宋体" w:cs="Times New Roman"/>
                <w:b w:val="0"/>
                <w:bCs w:val="0"/>
                <w:color w:val="000000" w:themeColor="text1"/>
                <w:sz w:val="21"/>
                <w:szCs w:val="21"/>
                <w14:textFill>
                  <w14:solidFill>
                    <w14:schemeClr w14:val="tx1"/>
                  </w14:solidFill>
                </w14:textFill>
              </w:rPr>
              <w:t>部门依法淘汰烧结</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鼓风炉5炼铅工艺炼铅等涉重金属落后产能和化</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解过剩产能。严格执行生态环境保护等相关法规</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标准，推动经整改</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仍达不到要求的产能依法依规关闭退出</w:t>
            </w:r>
          </w:p>
        </w:tc>
        <w:tc>
          <w:tcPr>
            <w:tcW w:w="591" w:type="pct"/>
            <w:vMerge w:val="continue"/>
            <w:noWrap w:val="0"/>
            <w:vAlign w:val="center"/>
          </w:tcPr>
          <w:p w14:paraId="3C089CB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19A0A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1A1FC8B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41C183E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6FD0806D">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〔A1.3-4〕城市建成区、重点流域内已建成投产化工企业和危险化</w:t>
            </w:r>
            <w:r>
              <w:rPr>
                <w:rFonts w:hint="default" w:ascii="Times New Roman" w:hAnsi="Times New Roman" w:eastAsia="宋体" w:cs="Times New Roman"/>
                <w:b w:val="0"/>
                <w:bCs w:val="0"/>
                <w:color w:val="000000" w:themeColor="text1"/>
                <w:sz w:val="21"/>
                <w:szCs w:val="21"/>
                <w14:textFill>
                  <w14:solidFill>
                    <w14:schemeClr w14:val="tx1"/>
                  </w14:solidFill>
                </w14:textFill>
              </w:rPr>
              <w:t>学品生产企业应加快退城入园，搬入化工园区前企业不应实施改扩建工程扩大生产规模</w:t>
            </w:r>
          </w:p>
        </w:tc>
        <w:tc>
          <w:tcPr>
            <w:tcW w:w="591" w:type="pct"/>
            <w:vMerge w:val="continue"/>
            <w:noWrap w:val="0"/>
            <w:vAlign w:val="center"/>
          </w:tcPr>
          <w:p w14:paraId="35562C5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39E15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5A873F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restart"/>
            <w:noWrap w:val="0"/>
            <w:vAlign w:val="center"/>
          </w:tcPr>
          <w:p w14:paraId="4761116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A1.4其</w:t>
            </w:r>
            <w:r>
              <w:rPr>
                <w:rFonts w:hint="default" w:ascii="Times New Roman" w:hAnsi="Times New Roman" w:eastAsia="宋体" w:cs="Times New Roman"/>
                <w:b w:val="0"/>
                <w:bCs w:val="0"/>
                <w:color w:val="000000" w:themeColor="text1"/>
                <w:spacing w:val="7"/>
                <w:sz w:val="21"/>
                <w:szCs w:val="21"/>
                <w14:textFill>
                  <w14:solidFill>
                    <w14:schemeClr w14:val="tx1"/>
                  </w14:solidFill>
                </w14:textFill>
              </w:rPr>
              <w:t>它布局</w:t>
            </w: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要求</w:t>
            </w:r>
          </w:p>
        </w:tc>
        <w:tc>
          <w:tcPr>
            <w:tcW w:w="3517" w:type="pct"/>
            <w:noWrap w:val="0"/>
            <w:vAlign w:val="center"/>
          </w:tcPr>
          <w:p w14:paraId="18B8C0D0">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〔A1.4-1〕一切开发建设活动应符合</w:t>
            </w:r>
            <w:r>
              <w:rPr>
                <w:rFonts w:hint="default" w:ascii="Times New Roman" w:hAnsi="Times New Roman" w:eastAsia="宋体" w:cs="Times New Roman"/>
                <w:b w:val="0"/>
                <w:bCs w:val="0"/>
                <w:color w:val="000000" w:themeColor="text1"/>
                <w:sz w:val="21"/>
                <w:szCs w:val="21"/>
                <w14:textFill>
                  <w14:solidFill>
                    <w14:schemeClr w14:val="tx1"/>
                  </w14:solidFill>
                </w14:textFill>
              </w:rPr>
              <w:t>国家、自治区主体功能区规划</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自治区和各地颁布实施的生态环境功能区划、国民经</w:t>
            </w:r>
            <w:r>
              <w:rPr>
                <w:rFonts w:hint="default" w:ascii="Times New Roman" w:hAnsi="Times New Roman" w:eastAsia="宋体" w:cs="Times New Roman"/>
                <w:b w:val="0"/>
                <w:bCs w:val="0"/>
                <w:color w:val="000000" w:themeColor="text1"/>
                <w:sz w:val="21"/>
                <w:szCs w:val="21"/>
                <w14:textFill>
                  <w14:solidFill>
                    <w14:schemeClr w14:val="tx1"/>
                  </w14:solidFill>
                </w14:textFill>
              </w:rPr>
              <w:t>济发展规划、</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产业发展规划、国土空间规划等相关规划及重点生态功能区负面清</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单要求，符合区域或产业规划环评要求。</w:t>
            </w:r>
          </w:p>
        </w:tc>
        <w:tc>
          <w:tcPr>
            <w:tcW w:w="591" w:type="pct"/>
            <w:vMerge w:val="restart"/>
            <w:noWrap w:val="0"/>
            <w:vAlign w:val="center"/>
          </w:tcPr>
          <w:p w14:paraId="50B7EB3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项目选址于</w:t>
            </w:r>
            <w:r>
              <w:rPr>
                <w:rFonts w:hint="eastAsia" w:ascii="Times New Roman" w:hAnsi="Times New Roman" w:cs="Times New Roman"/>
                <w:b w:val="0"/>
                <w:bCs w:val="0"/>
                <w:color w:val="000000" w:themeColor="text1"/>
                <w:spacing w:val="-6"/>
                <w:sz w:val="21"/>
                <w:szCs w:val="21"/>
                <w:lang w:val="en-US" w:eastAsia="zh-CN"/>
                <w14:textFill>
                  <w14:solidFill>
                    <w14:schemeClr w14:val="tx1"/>
                  </w14:solidFill>
                </w14:textFill>
              </w:rPr>
              <w:t>哈密市伊州区</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，属于</w:t>
            </w:r>
            <w:r>
              <w:rPr>
                <w:rFonts w:hint="eastAsia"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铁</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矿采选行业，不涉及</w:t>
            </w:r>
            <w:r>
              <w:rPr>
                <w:rFonts w:hint="eastAsia"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要求中的行业</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，选址符合政策要求。</w:t>
            </w:r>
          </w:p>
        </w:tc>
      </w:tr>
      <w:tr w14:paraId="68825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7293C64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2CF1BF6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38EDA84A">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〔A1.4-2〕新建、扩建石化、化工、焦化、有色金属冶炼、平板玻</w:t>
            </w:r>
            <w:r>
              <w:rPr>
                <w:rFonts w:hint="default" w:ascii="Times New Roman" w:hAnsi="Times New Roman" w:eastAsia="宋体" w:cs="Times New Roman"/>
                <w:b w:val="0"/>
                <w:bCs w:val="0"/>
                <w:color w:val="000000" w:themeColor="text1"/>
                <w:sz w:val="21"/>
                <w:szCs w:val="21"/>
                <w14:textFill>
                  <w14:solidFill>
                    <w14:schemeClr w14:val="tx1"/>
                  </w14:solidFill>
                </w14:textFill>
              </w:rPr>
              <w:t>璃项目应布设在依法合规设立并经规划环评的产业园区。</w:t>
            </w:r>
          </w:p>
        </w:tc>
        <w:tc>
          <w:tcPr>
            <w:tcW w:w="591" w:type="pct"/>
            <w:vMerge w:val="continue"/>
            <w:noWrap w:val="0"/>
            <w:vAlign w:val="center"/>
          </w:tcPr>
          <w:p w14:paraId="6629CC5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741A9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1F358F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12D11FC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2F3BAAD9">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〔A1.4-3〕危险化学品生产企业搬迁改造及新建化工项目必须进入</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国家及自治区各级人民政府正式批准设立，规</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划环评通过审查，规划通过审批且环保基础设施完善的工业园区，并符合国土空间规划、</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产业发展规划和生态红线管控要求。</w:t>
            </w:r>
          </w:p>
        </w:tc>
        <w:tc>
          <w:tcPr>
            <w:tcW w:w="591" w:type="pct"/>
            <w:vMerge w:val="continue"/>
            <w:noWrap w:val="0"/>
            <w:vAlign w:val="center"/>
          </w:tcPr>
          <w:p w14:paraId="186E261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3E34B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restart"/>
            <w:noWrap w:val="0"/>
            <w:vAlign w:val="center"/>
          </w:tcPr>
          <w:p w14:paraId="66FF6B3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A2污</w:t>
            </w:r>
            <w:r>
              <w:rPr>
                <w:rFonts w:hint="default" w:ascii="Times New Roman" w:hAnsi="Times New Roman" w:eastAsia="宋体" w:cs="Times New Roman"/>
                <w:b w:val="0"/>
                <w:bCs w:val="0"/>
                <w:color w:val="000000" w:themeColor="text1"/>
                <w:spacing w:val="6"/>
                <w:sz w:val="21"/>
                <w:szCs w:val="21"/>
                <w14:textFill>
                  <w14:solidFill>
                    <w14:schemeClr w14:val="tx1"/>
                  </w14:solidFill>
                </w14:textFill>
              </w:rPr>
              <w:t>染物</w:t>
            </w: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排放</w:t>
            </w: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管控</w:t>
            </w:r>
          </w:p>
        </w:tc>
        <w:tc>
          <w:tcPr>
            <w:tcW w:w="494" w:type="pct"/>
            <w:vMerge w:val="restart"/>
            <w:noWrap w:val="0"/>
            <w:vAlign w:val="center"/>
          </w:tcPr>
          <w:p w14:paraId="781F1F01">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A2.1污</w:t>
            </w:r>
            <w:r>
              <w:rPr>
                <w:rFonts w:hint="default" w:ascii="Times New Roman" w:hAnsi="Times New Roman" w:eastAsia="宋体" w:cs="Times New Roman"/>
                <w:b w:val="0"/>
                <w:bCs w:val="0"/>
                <w:color w:val="000000" w:themeColor="text1"/>
                <w:spacing w:val="7"/>
                <w:sz w:val="21"/>
                <w:szCs w:val="21"/>
                <w14:textFill>
                  <w14:solidFill>
                    <w14:schemeClr w14:val="tx1"/>
                  </w14:solidFill>
                </w14:textFill>
              </w:rPr>
              <w:t>染物削</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减/替代</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要求</w:t>
            </w:r>
          </w:p>
        </w:tc>
        <w:tc>
          <w:tcPr>
            <w:tcW w:w="3517" w:type="pct"/>
            <w:noWrap w:val="0"/>
            <w:vAlign w:val="center"/>
          </w:tcPr>
          <w:p w14:paraId="0CAA61CA">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〔A2.1-1〕新、改、扩建重点行业建设项目应符合</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三线一单</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、产</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业政策、区域环评、规划环评和行业环境准入管控要求。重点区域</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的新、改、扩建重点行业建设项目应遵循重</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点重金属污染物排放</w:t>
            </w:r>
            <w:r>
              <w:rPr>
                <w:rFonts w:hint="eastAsia" w:ascii="Times New Roman" w:hAnsi="Times New Roman" w:cs="Times New Roman"/>
                <w:b w:val="0"/>
                <w:bCs w:val="0"/>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减</w:t>
            </w:r>
            <w:r>
              <w:rPr>
                <w:rFonts w:hint="default" w:ascii="Times New Roman" w:hAnsi="Times New Roman" w:eastAsia="宋体" w:cs="Times New Roman"/>
                <w:b w:val="0"/>
                <w:bCs w:val="0"/>
                <w:color w:val="000000" w:themeColor="text1"/>
                <w:spacing w:val="8"/>
                <w:sz w:val="21"/>
                <w:szCs w:val="21"/>
                <w14:textFill>
                  <w14:solidFill>
                    <w14:schemeClr w14:val="tx1"/>
                  </w14:solidFill>
                </w14:textFill>
              </w:rPr>
              <w:t>量替代</w:t>
            </w:r>
            <w:r>
              <w:rPr>
                <w:rFonts w:hint="eastAsia" w:ascii="Times New Roman" w:hAnsi="Times New Roman" w:cs="Times New Roman"/>
                <w:b w:val="0"/>
                <w:bCs w:val="0"/>
                <w:color w:val="000000" w:themeColor="text1"/>
                <w:spacing w:val="8"/>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8"/>
                <w:sz w:val="21"/>
                <w:szCs w:val="21"/>
                <w14:textFill>
                  <w14:solidFill>
                    <w14:schemeClr w14:val="tx1"/>
                  </w14:solidFill>
                </w14:textFill>
              </w:rPr>
              <w:t>原则。</w:t>
            </w:r>
          </w:p>
        </w:tc>
        <w:tc>
          <w:tcPr>
            <w:tcW w:w="591" w:type="pct"/>
            <w:vMerge w:val="restart"/>
            <w:noWrap w:val="0"/>
            <w:vAlign w:val="center"/>
          </w:tcPr>
          <w:p w14:paraId="133041A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eastAsia"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本项目不涉及石化、化工、涂装、医药、包装印刷、油品储运销、</w:t>
            </w:r>
            <w:r>
              <w:rPr>
                <w:rFonts w:hint="default" w:ascii="Times New Roman" w:hAnsi="Times New Roman" w:eastAsia="宋体" w:cs="Times New Roman"/>
                <w:color w:val="000000" w:themeColor="text1"/>
                <w:spacing w:val="7"/>
                <w:sz w:val="21"/>
                <w:szCs w:val="21"/>
                <w14:textFill>
                  <w14:solidFill>
                    <w14:schemeClr w14:val="tx1"/>
                  </w14:solidFill>
                </w14:textFill>
              </w:rPr>
              <w:t>建材、铸造、冶炼</w:t>
            </w:r>
            <w:r>
              <w:rPr>
                <w:rFonts w:hint="eastAsia" w:ascii="Times New Roman" w:hAnsi="Times New Roman" w:eastAsia="宋体" w:cs="Times New Roman"/>
                <w:color w:val="000000" w:themeColor="text1"/>
                <w:spacing w:val="7"/>
                <w:sz w:val="21"/>
                <w:szCs w:val="21"/>
                <w:lang w:eastAsia="zh-CN"/>
                <w14:textFill>
                  <w14:solidFill>
                    <w14:schemeClr w14:val="tx1"/>
                  </w14:solidFill>
                </w14:textFill>
              </w:rPr>
              <w:t>、</w:t>
            </w:r>
            <w:r>
              <w:rPr>
                <w:rFonts w:hint="eastAsia" w:ascii="Times New Roman" w:hAnsi="Times New Roman" w:eastAsia="宋体" w:cs="Times New Roman"/>
                <w:color w:val="000000" w:themeColor="text1"/>
                <w:spacing w:val="7"/>
                <w:sz w:val="21"/>
                <w:szCs w:val="21"/>
                <w:lang w:val="en-US" w:eastAsia="zh-CN"/>
                <w14:textFill>
                  <w14:solidFill>
                    <w14:schemeClr w14:val="tx1"/>
                  </w14:solidFill>
                </w14:textFill>
              </w:rPr>
              <w:t>能源、钢铁、有色、电力</w:t>
            </w:r>
            <w:r>
              <w:rPr>
                <w:rFonts w:hint="default" w:ascii="Times New Roman" w:hAnsi="Times New Roman" w:eastAsia="宋体" w:cs="Times New Roman"/>
                <w:color w:val="000000" w:themeColor="text1"/>
                <w:spacing w:val="7"/>
                <w:sz w:val="21"/>
                <w:szCs w:val="21"/>
                <w14:textFill>
                  <w14:solidFill>
                    <w14:schemeClr w14:val="tx1"/>
                  </w14:solidFill>
                </w14:textFill>
              </w:rPr>
              <w:t>等行业</w:t>
            </w:r>
            <w:r>
              <w:rPr>
                <w:rFonts w:hint="eastAsia" w:ascii="Times New Roman" w:hAnsi="Times New Roman" w:eastAsia="宋体" w:cs="Times New Roman"/>
                <w:color w:val="000000" w:themeColor="text1"/>
                <w:spacing w:val="7"/>
                <w:sz w:val="21"/>
                <w:szCs w:val="21"/>
                <w:lang w:eastAsia="zh-CN"/>
                <w14:textFill>
                  <w14:solidFill>
                    <w14:schemeClr w14:val="tx1"/>
                  </w14:solidFill>
                </w14:textFill>
              </w:rPr>
              <w:t>。</w:t>
            </w:r>
          </w:p>
        </w:tc>
      </w:tr>
      <w:tr w14:paraId="04390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51AA58B1">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19B764F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2D8CEABB">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〔A2.1-2〕以石化、化工、涂装、医药、包装印刷、油品储运销等</w:t>
            </w:r>
            <w:r>
              <w:rPr>
                <w:rFonts w:hint="default" w:ascii="Times New Roman" w:hAnsi="Times New Roman" w:eastAsia="宋体" w:cs="Times New Roman"/>
                <w:b w:val="0"/>
                <w:bCs w:val="0"/>
                <w:color w:val="000000" w:themeColor="text1"/>
                <w:sz w:val="21"/>
                <w:szCs w:val="21"/>
                <w14:textFill>
                  <w14:solidFill>
                    <w14:schemeClr w14:val="tx1"/>
                  </w14:solidFill>
                </w14:textFill>
              </w:rPr>
              <w:t>行业领域为重点，安全高效推进挥发性有机物综合治理，实施原辅材料和产品源头替代工程。</w:t>
            </w:r>
          </w:p>
        </w:tc>
        <w:tc>
          <w:tcPr>
            <w:tcW w:w="591" w:type="pct"/>
            <w:vMerge w:val="continue"/>
            <w:noWrap w:val="0"/>
            <w:vAlign w:val="center"/>
          </w:tcPr>
          <w:p w14:paraId="1A10C99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7457C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5353D04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434FA4E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3A72AC8B">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〔A2.1-3〕促进大气污染物与温室气体协同控制。实施污染物和温</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室气体协同控制，实现减污降碳协同效应。开展工业、农业</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温室气</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体和污染减排协同控制研究，减少温室气体和污染物</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排放。强化污</w:t>
            </w: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水、垃圾等集中处置设施环境管理，协同控制氢氟碳化物、甲烷、</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氧化亚氮等温室气体。加强节约能源与大气污染防治协同有效衔接，</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促进大气污染防治协同增效。</w:t>
            </w:r>
          </w:p>
        </w:tc>
        <w:tc>
          <w:tcPr>
            <w:tcW w:w="591" w:type="pct"/>
            <w:vMerge w:val="continue"/>
            <w:noWrap w:val="0"/>
            <w:vAlign w:val="center"/>
          </w:tcPr>
          <w:p w14:paraId="6DE245F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33FE3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3D2A77A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64F9FCD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08FCDA4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〔A2.1-4〕严控建材、铸造、冶炼等行业无组织排放，推进石化、</w:t>
            </w:r>
            <w:r>
              <w:rPr>
                <w:rFonts w:hint="default" w:ascii="Times New Roman" w:hAnsi="Times New Roman" w:eastAsia="宋体" w:cs="Times New Roman"/>
                <w:color w:val="000000" w:themeColor="text1"/>
                <w:sz w:val="21"/>
                <w:szCs w:val="21"/>
                <w14:textFill>
                  <w14:solidFill>
                    <w14:schemeClr w14:val="tx1"/>
                  </w14:solidFill>
                </w14:textFill>
              </w:rPr>
              <w:t>化工、涂装、医药、包装印刷、油品储运销等行业项目挥发性</w:t>
            </w:r>
            <w:r>
              <w:rPr>
                <w:rFonts w:hint="default" w:ascii="Times New Roman" w:hAnsi="Times New Roman" w:eastAsia="宋体" w:cs="Times New Roman"/>
                <w:color w:val="000000" w:themeColor="text1"/>
                <w:spacing w:val="-1"/>
                <w:sz w:val="21"/>
                <w:szCs w:val="21"/>
                <w14:textFill>
                  <w14:solidFill>
                    <w14:schemeClr w14:val="tx1"/>
                  </w14:solidFill>
                </w14:textFill>
              </w:rPr>
              <w:t>有机</w:t>
            </w:r>
            <w:r>
              <w:rPr>
                <w:rFonts w:hint="default" w:ascii="Times New Roman" w:hAnsi="Times New Roman" w:eastAsia="宋体" w:cs="Times New Roman"/>
                <w:color w:val="000000" w:themeColor="text1"/>
                <w:sz w:val="21"/>
                <w:szCs w:val="21"/>
                <w14:textFill>
                  <w14:solidFill>
                    <w14:schemeClr w14:val="tx1"/>
                  </w14:solidFill>
                </w14:textFill>
              </w:rPr>
              <w:t>物</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VOCs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防治。严格有色金属冶炼、石油加工、化工、焦化等行业项目的土壤、地下水污染防治措施要求。</w:t>
            </w:r>
            <w:r>
              <w:rPr>
                <w:rFonts w:hint="default" w:ascii="Times New Roman" w:hAnsi="Times New Roman" w:eastAsia="宋体" w:cs="Times New Roman"/>
                <w:color w:val="000000" w:themeColor="text1"/>
                <w:spacing w:val="-1"/>
                <w:sz w:val="21"/>
                <w:szCs w:val="21"/>
                <w14:textFill>
                  <w14:solidFill>
                    <w14:schemeClr w14:val="tx1"/>
                  </w14:solidFill>
                </w14:textFill>
              </w:rPr>
              <w:t>推进工业园区和企业集</w:t>
            </w:r>
            <w:r>
              <w:rPr>
                <w:rFonts w:hint="default" w:ascii="Times New Roman" w:hAnsi="Times New Roman" w:eastAsia="宋体" w:cs="Times New Roman"/>
                <w:color w:val="000000" w:themeColor="text1"/>
                <w:sz w:val="21"/>
                <w:szCs w:val="21"/>
                <w14:textFill>
                  <w14:solidFill>
                    <w14:schemeClr w14:val="tx1"/>
                  </w14:solidFill>
                </w14:textFill>
              </w:rPr>
              <w:t>群建设涉VOCs</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绿岛</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项目，统筹规划建设一批集中涂装中心、活性炭集中处理中心、溶剂回收中心等，实现VOCs集中高效处理。</w:t>
            </w:r>
          </w:p>
        </w:tc>
        <w:tc>
          <w:tcPr>
            <w:tcW w:w="591" w:type="pct"/>
            <w:vMerge w:val="continue"/>
            <w:noWrap w:val="0"/>
            <w:vAlign w:val="center"/>
          </w:tcPr>
          <w:p w14:paraId="2308E08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74C8E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1D61E1F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restart"/>
            <w:noWrap w:val="0"/>
            <w:vAlign w:val="center"/>
          </w:tcPr>
          <w:p w14:paraId="183403E8">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A2.2污</w:t>
            </w:r>
            <w:r>
              <w:rPr>
                <w:rFonts w:hint="default" w:ascii="Times New Roman" w:hAnsi="Times New Roman" w:eastAsia="宋体" w:cs="Times New Roman"/>
                <w:color w:val="000000" w:themeColor="text1"/>
                <w:spacing w:val="6"/>
                <w:sz w:val="21"/>
                <w:szCs w:val="21"/>
                <w14:textFill>
                  <w14:solidFill>
                    <w14:schemeClr w14:val="tx1"/>
                  </w14:solidFill>
                </w14:textFill>
              </w:rPr>
              <w:t>染控制</w:t>
            </w:r>
            <w:r>
              <w:rPr>
                <w:rFonts w:hint="default" w:ascii="Times New Roman" w:hAnsi="Times New Roman" w:eastAsia="宋体" w:cs="Times New Roman"/>
                <w:color w:val="000000" w:themeColor="text1"/>
                <w:spacing w:val="4"/>
                <w:sz w:val="21"/>
                <w:szCs w:val="21"/>
                <w14:textFill>
                  <w14:solidFill>
                    <w14:schemeClr w14:val="tx1"/>
                  </w14:solidFill>
                </w14:textFill>
              </w:rPr>
              <w:t>措施要</w:t>
            </w:r>
            <w:r>
              <w:rPr>
                <w:rFonts w:hint="default" w:ascii="Times New Roman" w:hAnsi="Times New Roman" w:eastAsia="宋体" w:cs="Times New Roman"/>
                <w:color w:val="000000" w:themeColor="text1"/>
                <w:sz w:val="21"/>
                <w:szCs w:val="21"/>
                <w14:textFill>
                  <w14:solidFill>
                    <w14:schemeClr w14:val="tx1"/>
                  </w14:solidFill>
                </w14:textFill>
              </w:rPr>
              <w:t>求</w:t>
            </w:r>
          </w:p>
        </w:tc>
        <w:tc>
          <w:tcPr>
            <w:tcW w:w="3517" w:type="pct"/>
            <w:noWrap w:val="0"/>
            <w:vAlign w:val="center"/>
          </w:tcPr>
          <w:p w14:paraId="101E2794">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〔A2.2-1〕推动能源、钢铁、建材、有色、电力、化工等重点领域</w:t>
            </w:r>
            <w:r>
              <w:rPr>
                <w:rFonts w:hint="default" w:ascii="Times New Roman" w:hAnsi="Times New Roman" w:eastAsia="宋体" w:cs="Times New Roman"/>
                <w:color w:val="000000" w:themeColor="text1"/>
                <w:spacing w:val="1"/>
                <w:sz w:val="21"/>
                <w:szCs w:val="21"/>
                <w14:textFill>
                  <w14:solidFill>
                    <w14:schemeClr w14:val="tx1"/>
                  </w14:solidFill>
                </w14:textFill>
              </w:rPr>
              <w:t>技术升级，控制工业过程温室气体排放，推动工业领域绿色低碳发展。积极鼓励发展二氧化碳捕集利用与封存等低碳技术。促进大气污染物与温室气体协同控制。实施污染物和温室气体协同控制，实</w:t>
            </w:r>
            <w:r>
              <w:rPr>
                <w:rFonts w:hint="default" w:ascii="Times New Roman" w:hAnsi="Times New Roman" w:eastAsia="宋体" w:cs="Times New Roman"/>
                <w:color w:val="000000" w:themeColor="text1"/>
                <w:spacing w:val="3"/>
                <w:sz w:val="21"/>
                <w:szCs w:val="21"/>
                <w14:textFill>
                  <w14:solidFill>
                    <w14:schemeClr w14:val="tx1"/>
                  </w14:solidFill>
                </w14:textFill>
              </w:rPr>
              <w:t>现减污降碳协同效应。强化污水、垃圾等集中处</w:t>
            </w:r>
            <w:r>
              <w:rPr>
                <w:rFonts w:hint="default" w:ascii="Times New Roman" w:hAnsi="Times New Roman" w:eastAsia="宋体" w:cs="Times New Roman"/>
                <w:color w:val="000000" w:themeColor="text1"/>
                <w:spacing w:val="2"/>
                <w:sz w:val="21"/>
                <w:szCs w:val="21"/>
                <w14:textFill>
                  <w14:solidFill>
                    <w14:schemeClr w14:val="tx1"/>
                  </w14:solidFill>
                </w14:textFill>
              </w:rPr>
              <w:t>置设施环境管理</w:t>
            </w:r>
            <w:r>
              <w:rPr>
                <w:rFonts w:hint="default" w:ascii="Times New Roman" w:hAnsi="Times New Roman" w:eastAsia="宋体" w:cs="Times New Roman"/>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协同控制氢氟碳化物、甲烷、氧化亚氮等温室气体。加强节约能源</w:t>
            </w:r>
            <w:r>
              <w:rPr>
                <w:rFonts w:hint="default" w:ascii="Times New Roman" w:hAnsi="Times New Roman" w:eastAsia="宋体" w:cs="Times New Roman"/>
                <w:color w:val="000000" w:themeColor="text1"/>
                <w:sz w:val="21"/>
                <w:szCs w:val="21"/>
                <w14:textFill>
                  <w14:solidFill>
                    <w14:schemeClr w14:val="tx1"/>
                  </w14:solidFill>
                </w14:textFill>
              </w:rPr>
              <w:t>与大气污染防治协同有效衔接，促进大气污染防治协同增</w:t>
            </w:r>
            <w:r>
              <w:rPr>
                <w:rFonts w:hint="default" w:ascii="Times New Roman" w:hAnsi="Times New Roman" w:eastAsia="宋体" w:cs="Times New Roman"/>
                <w:color w:val="000000" w:themeColor="text1"/>
                <w:spacing w:val="-1"/>
                <w:sz w:val="21"/>
                <w:szCs w:val="21"/>
                <w14:textFill>
                  <w14:solidFill>
                    <w14:schemeClr w14:val="tx1"/>
                  </w14:solidFill>
                </w14:textFill>
              </w:rPr>
              <w:t>效。</w:t>
            </w:r>
          </w:p>
        </w:tc>
        <w:tc>
          <w:tcPr>
            <w:tcW w:w="591" w:type="pct"/>
            <w:vMerge w:val="restart"/>
            <w:noWrap w:val="0"/>
            <w:vAlign w:val="center"/>
          </w:tcPr>
          <w:p w14:paraId="2936C02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eastAsia" w:cs="Times New Roman"/>
                <w:b w:val="0"/>
                <w:bCs w:val="0"/>
                <w:color w:val="000000" w:themeColor="text1"/>
                <w:spacing w:val="-6"/>
                <w:sz w:val="21"/>
                <w:szCs w:val="21"/>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采取洒水降尘、喷洒抑尘剂等措施，</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可以有效减少无组织废气排放</w:t>
            </w:r>
            <w:r>
              <w:rPr>
                <w:rFonts w:hint="eastAsia" w:eastAsia="宋体" w:cs="Times New Roman"/>
                <w:b w:val="0"/>
                <w:bCs w:val="0"/>
                <w:color w:val="000000" w:themeColor="text1"/>
                <w:spacing w:val="-6"/>
                <w:sz w:val="21"/>
                <w:szCs w:val="21"/>
                <w:lang w:val="en-US" w:eastAsia="zh-CN"/>
                <w14:textFill>
                  <w14:solidFill>
                    <w14:schemeClr w14:val="tx1"/>
                  </w14:solidFill>
                </w14:textFill>
              </w:rPr>
              <w:t>。</w:t>
            </w:r>
          </w:p>
        </w:tc>
      </w:tr>
      <w:tr w14:paraId="1C929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7B64279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56424DD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3510026E">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〔A2.2-2〕实施重点行业氮氧化物等污染物深度治理。持续推进钢</w:t>
            </w:r>
            <w:r>
              <w:rPr>
                <w:rFonts w:hint="default" w:ascii="Times New Roman" w:hAnsi="Times New Roman" w:eastAsia="宋体" w:cs="Times New Roman"/>
                <w:color w:val="000000" w:themeColor="text1"/>
                <w:sz w:val="21"/>
                <w:szCs w:val="21"/>
                <w14:textFill>
                  <w14:solidFill>
                    <w14:schemeClr w14:val="tx1"/>
                  </w14:solidFill>
                </w14:textFill>
              </w:rPr>
              <w:t>铁、水泥、焦化行业超低排放改造。推进玻</w:t>
            </w:r>
            <w:r>
              <w:rPr>
                <w:rFonts w:hint="default" w:ascii="Times New Roman" w:hAnsi="Times New Roman" w:eastAsia="宋体" w:cs="Times New Roman"/>
                <w:color w:val="000000" w:themeColor="text1"/>
                <w:spacing w:val="-1"/>
                <w:sz w:val="21"/>
                <w:szCs w:val="21"/>
                <w14:textFill>
                  <w14:solidFill>
                    <w14:schemeClr w14:val="tx1"/>
                  </w14:solidFill>
                </w14:textFill>
              </w:rPr>
              <w:t>璃、陶瓷、铸造、铁合金、有色、煤化和石化等行业采取清洁生产、提标改造、深度治理</w:t>
            </w:r>
            <w:r>
              <w:rPr>
                <w:rFonts w:hint="default" w:ascii="Times New Roman" w:hAnsi="Times New Roman" w:eastAsia="宋体" w:cs="Times New Roman"/>
                <w:color w:val="000000" w:themeColor="text1"/>
                <w:sz w:val="21"/>
                <w:szCs w:val="21"/>
                <w14:textFill>
                  <w14:solidFill>
                    <w14:schemeClr w14:val="tx1"/>
                  </w14:solidFill>
                </w14:textFill>
              </w:rPr>
              <w:t>等综合措施。加强自备燃煤机组污染治理设施运行管控，确保按照超低排放标准运行。针对铸造、铁合金、焦化、水泥、砖瓦、石灰、耐火材料、金属冶炼以及煤化工、石油化工等行业，严格控制物料储存、输送及生产工艺过程无组织排放。重</w:t>
            </w:r>
            <w:r>
              <w:rPr>
                <w:rFonts w:hint="default" w:ascii="Times New Roman" w:hAnsi="Times New Roman" w:eastAsia="宋体" w:cs="Times New Roman"/>
                <w:color w:val="000000" w:themeColor="text1"/>
                <w:spacing w:val="-1"/>
                <w:sz w:val="21"/>
                <w:szCs w:val="21"/>
                <w14:textFill>
                  <w14:solidFill>
                    <w14:schemeClr w14:val="tx1"/>
                  </w14:solidFill>
                </w14:textFill>
              </w:rPr>
              <w:t>点涉气排放企业逐步取</w:t>
            </w:r>
            <w:r>
              <w:rPr>
                <w:rFonts w:hint="default" w:ascii="Times New Roman" w:hAnsi="Times New Roman" w:eastAsia="宋体" w:cs="Times New Roman"/>
                <w:color w:val="000000" w:themeColor="text1"/>
                <w:sz w:val="21"/>
                <w:szCs w:val="21"/>
                <w14:textFill>
                  <w14:solidFill>
                    <w14:schemeClr w14:val="tx1"/>
                  </w14:solidFill>
                </w14:textFill>
              </w:rPr>
              <w:t>消烟气旁路，因安全生产无法取消的，安装在线监控系统。</w:t>
            </w:r>
          </w:p>
        </w:tc>
        <w:tc>
          <w:tcPr>
            <w:tcW w:w="591" w:type="pct"/>
            <w:vMerge w:val="continue"/>
            <w:noWrap w:val="0"/>
            <w:vAlign w:val="center"/>
          </w:tcPr>
          <w:p w14:paraId="0085542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08672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4F9AB10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2740823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331112FB">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〔A2.2-3〕强化重点区域大气污染联防联控，</w:t>
            </w:r>
            <w:r>
              <w:rPr>
                <w:rFonts w:hint="default" w:ascii="Times New Roman" w:hAnsi="Times New Roman" w:eastAsia="宋体" w:cs="Times New Roman"/>
                <w:color w:val="000000" w:themeColor="text1"/>
                <w:spacing w:val="3"/>
                <w:sz w:val="21"/>
                <w:szCs w:val="21"/>
                <w14:textFill>
                  <w14:solidFill>
                    <w14:schemeClr w14:val="tx1"/>
                  </w14:solidFill>
                </w14:textFill>
              </w:rPr>
              <w:t>合理确定产业布局，</w:t>
            </w:r>
            <w:r>
              <w:rPr>
                <w:rFonts w:hint="default" w:ascii="Times New Roman" w:hAnsi="Times New Roman" w:eastAsia="宋体" w:cs="Times New Roman"/>
                <w:color w:val="000000" w:themeColor="text1"/>
                <w:spacing w:val="1"/>
                <w:sz w:val="21"/>
                <w:szCs w:val="21"/>
                <w14:textFill>
                  <w14:solidFill>
                    <w14:schemeClr w14:val="tx1"/>
                  </w14:solidFill>
                </w14:textFill>
              </w:rPr>
              <w:t>推动区域内统一产业准入和排放标准。实施</w:t>
            </w:r>
            <w:r>
              <w:rPr>
                <w:rFonts w:hint="default" w:ascii="Times New Roman" w:hAnsi="Times New Roman" w:eastAsia="宋体" w:cs="Times New Roman"/>
                <w:color w:val="000000" w:themeColor="text1"/>
                <w:sz w:val="21"/>
                <w:szCs w:val="21"/>
                <w14:textFill>
                  <w14:solidFill>
                    <w14:schemeClr w14:val="tx1"/>
                  </w14:solidFill>
                </w14:textFill>
              </w:rPr>
              <w:t>水泥行业错峰生产，推</w:t>
            </w:r>
            <w:r>
              <w:rPr>
                <w:rFonts w:hint="default" w:ascii="Times New Roman" w:hAnsi="Times New Roman" w:eastAsia="宋体" w:cs="Times New Roman"/>
                <w:color w:val="000000" w:themeColor="text1"/>
                <w:spacing w:val="1"/>
                <w:sz w:val="21"/>
                <w:szCs w:val="21"/>
                <w14:textFill>
                  <w14:solidFill>
                    <w14:schemeClr w14:val="tx1"/>
                  </w14:solidFill>
                </w14:textFill>
              </w:rPr>
              <w:t>进散煤整治、挥发性有机污染物综合治理、钢铁</w:t>
            </w:r>
            <w:r>
              <w:rPr>
                <w:rFonts w:hint="default" w:ascii="Times New Roman" w:hAnsi="Times New Roman" w:eastAsia="宋体" w:cs="Times New Roman"/>
                <w:color w:val="000000" w:themeColor="text1"/>
                <w:sz w:val="21"/>
                <w:szCs w:val="21"/>
                <w14:textFill>
                  <w14:solidFill>
                    <w14:schemeClr w14:val="tx1"/>
                  </w14:solidFill>
                </w14:textFill>
              </w:rPr>
              <w:t>、水泥、焦化和燃</w:t>
            </w:r>
            <w:r>
              <w:rPr>
                <w:rFonts w:hint="default" w:ascii="Times New Roman" w:hAnsi="Times New Roman" w:eastAsia="宋体" w:cs="Times New Roman"/>
                <w:color w:val="000000" w:themeColor="text1"/>
                <w:spacing w:val="2"/>
                <w:sz w:val="21"/>
                <w:szCs w:val="21"/>
                <w14:textFill>
                  <w14:solidFill>
                    <w14:schemeClr w14:val="tx1"/>
                  </w14:solidFill>
                </w14:textFill>
              </w:rPr>
              <w:t>煤工业锅炉行业超低排放改造、燃气锅炉低氮</w:t>
            </w:r>
            <w:r>
              <w:rPr>
                <w:rFonts w:hint="default" w:ascii="Times New Roman" w:hAnsi="Times New Roman" w:eastAsia="宋体" w:cs="Times New Roman"/>
                <w:color w:val="000000" w:themeColor="text1"/>
                <w:spacing w:val="1"/>
                <w:sz w:val="21"/>
                <w:szCs w:val="21"/>
                <w14:textFill>
                  <w14:solidFill>
                    <w14:schemeClr w14:val="tx1"/>
                  </w14:solidFill>
                </w14:textFill>
              </w:rPr>
              <w:t>燃烧改造、工业园区内轨道运输</w:t>
            </w:r>
            <w:r>
              <w:rPr>
                <w:rFonts w:hint="default" w:ascii="Times New Roman" w:hAnsi="Times New Roman" w:eastAsia="宋体"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大宗货物</w:t>
            </w:r>
            <w:r>
              <w:rPr>
                <w:rFonts w:hint="eastAsia"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公转铁</w:t>
            </w:r>
            <w:r>
              <w:rPr>
                <w:rFonts w:hint="eastAsia"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、柴油货车治理、锅炉炉窑综合治理等工程项目。全面推行绿色施工，持续推动城市建成区重污染</w:t>
            </w:r>
            <w:r>
              <w:rPr>
                <w:rFonts w:hint="default" w:ascii="Times New Roman" w:hAnsi="Times New Roman" w:eastAsia="宋体" w:cs="Times New Roman"/>
                <w:color w:val="000000" w:themeColor="text1"/>
                <w:spacing w:val="-1"/>
                <w:sz w:val="21"/>
                <w:szCs w:val="21"/>
                <w14:textFill>
                  <w14:solidFill>
                    <w14:schemeClr w14:val="tx1"/>
                  </w14:solidFill>
                </w14:textFill>
              </w:rPr>
              <w:t>企业搬迁或关闭退出。</w:t>
            </w:r>
          </w:p>
        </w:tc>
        <w:tc>
          <w:tcPr>
            <w:tcW w:w="591" w:type="pct"/>
            <w:vMerge w:val="continue"/>
            <w:noWrap w:val="0"/>
            <w:vAlign w:val="center"/>
          </w:tcPr>
          <w:p w14:paraId="771F77C1">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351DC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1FD9745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4996F13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40B7BA90">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〔A2.2-4〕强化用水定额管理。推进地下水超采综合治理。开展河</w:t>
            </w:r>
            <w:r>
              <w:rPr>
                <w:rFonts w:hint="default" w:ascii="Times New Roman" w:hAnsi="Times New Roman" w:eastAsia="宋体" w:cs="Times New Roman"/>
                <w:color w:val="000000" w:themeColor="text1"/>
                <w:sz w:val="21"/>
                <w:szCs w:val="21"/>
                <w14:textFill>
                  <w14:solidFill>
                    <w14:schemeClr w14:val="tx1"/>
                  </w14:solidFill>
                </w14:textFill>
              </w:rPr>
              <w:t>湖生态流量</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水量</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确定工作，强化生态用水保</w:t>
            </w:r>
            <w:r>
              <w:rPr>
                <w:rFonts w:hint="default" w:ascii="Times New Roman" w:hAnsi="Times New Roman" w:eastAsia="宋体" w:cs="Times New Roman"/>
                <w:color w:val="000000" w:themeColor="text1"/>
                <w:spacing w:val="-1"/>
                <w:sz w:val="21"/>
                <w:szCs w:val="21"/>
                <w14:textFill>
                  <w14:solidFill>
                    <w14:schemeClr w14:val="tx1"/>
                  </w14:solidFill>
                </w14:textFill>
              </w:rPr>
              <w:t>障。</w:t>
            </w:r>
          </w:p>
        </w:tc>
        <w:tc>
          <w:tcPr>
            <w:tcW w:w="591" w:type="pct"/>
            <w:vMerge w:val="continue"/>
            <w:noWrap w:val="0"/>
            <w:vAlign w:val="center"/>
          </w:tcPr>
          <w:p w14:paraId="3D33F8F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67698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1FCC971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1081C9B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0D69337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〔A2.2-5〕持续推进伊犁河、额尔齐斯河、额敏河、玛纳斯河、乌</w:t>
            </w:r>
            <w:r>
              <w:rPr>
                <w:rFonts w:hint="default" w:ascii="Times New Roman" w:hAnsi="Times New Roman" w:eastAsia="宋体" w:cs="Times New Roman"/>
                <w:color w:val="000000" w:themeColor="text1"/>
                <w:sz w:val="21"/>
                <w:szCs w:val="21"/>
                <w14:textFill>
                  <w14:solidFill>
                    <w14:schemeClr w14:val="tx1"/>
                  </w14:solidFill>
                </w14:textFill>
              </w:rPr>
              <w:t>伦古湖、博斯腾湖等流域生态治理，加强生态修复。推动重点行业、重点企业绿色发展，严格落实水污染物排放标准。加强农副食品加</w:t>
            </w:r>
            <w:r>
              <w:rPr>
                <w:rFonts w:hint="default" w:ascii="Times New Roman" w:hAnsi="Times New Roman" w:eastAsia="宋体" w:cs="Times New Roman"/>
                <w:color w:val="000000" w:themeColor="text1"/>
                <w:spacing w:val="-2"/>
                <w:sz w:val="21"/>
                <w:szCs w:val="21"/>
                <w14:textFill>
                  <w14:solidFill>
                    <w14:schemeClr w14:val="tx1"/>
                  </w14:solidFill>
                </w14:textFill>
              </w:rPr>
              <w:t>工、化工、印染、棉浆粕、粘胶纤维等企业综合治理和清洁化改造。</w:t>
            </w:r>
          </w:p>
        </w:tc>
        <w:tc>
          <w:tcPr>
            <w:tcW w:w="591" w:type="pct"/>
            <w:vMerge w:val="continue"/>
            <w:noWrap w:val="0"/>
            <w:vAlign w:val="center"/>
          </w:tcPr>
          <w:p w14:paraId="60A5C7AE">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r>
      <w:tr w14:paraId="13FEF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71DB87D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15B0129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5AB030A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〔A2.2-6〕推进地表水与地下水协同防治。以傍河型地下水饮用</w:t>
            </w:r>
            <w:r>
              <w:rPr>
                <w:rFonts w:hint="default" w:ascii="Times New Roman" w:hAnsi="Times New Roman" w:eastAsia="宋体" w:cs="Times New Roman"/>
                <w:color w:val="000000" w:themeColor="text1"/>
                <w:sz w:val="21"/>
                <w:szCs w:val="21"/>
                <w14:textFill>
                  <w14:solidFill>
                    <w14:schemeClr w14:val="tx1"/>
                  </w14:solidFill>
                </w14:textFill>
              </w:rPr>
              <w:t>水源为重点，防范受污染河段侧渗和垂直补给对地下水污染。加强化学品生产企业、工业聚集区、矿山开采区等污染源的地表、地下协同防治与环境风险管控。加强工业污染防治。推动重点行业、重</w:t>
            </w:r>
            <w:r>
              <w:rPr>
                <w:rFonts w:hint="default" w:ascii="Times New Roman" w:hAnsi="Times New Roman" w:eastAsia="宋体" w:cs="Times New Roman"/>
                <w:b w:val="0"/>
                <w:bCs w:val="0"/>
                <w:color w:val="000000" w:themeColor="text1"/>
                <w:sz w:val="21"/>
                <w:szCs w:val="21"/>
                <w14:textFill>
                  <w14:solidFill>
                    <w14:schemeClr w14:val="tx1"/>
                  </w14:solidFill>
                </w14:textFill>
              </w:rPr>
              <w:t>点企业绿色发展，严格落实水污染物排放标准和排污许可制度。加强农副食品加工、化工、印染、棉浆粕、粘胶纤维、制糖等企业综</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合治理和清洁化改造。支持企业积极实施节水技术改造，加强工业</w:t>
            </w:r>
            <w:r>
              <w:rPr>
                <w:rFonts w:hint="default" w:ascii="Times New Roman" w:hAnsi="Times New Roman" w:eastAsia="宋体" w:cs="Times New Roman"/>
                <w:b w:val="0"/>
                <w:bCs w:val="0"/>
                <w:color w:val="000000" w:themeColor="text1"/>
                <w:sz w:val="21"/>
                <w:szCs w:val="21"/>
                <w14:textFill>
                  <w14:solidFill>
                    <w14:schemeClr w14:val="tx1"/>
                  </w14:solidFill>
                </w14:textFill>
              </w:rPr>
              <w:t>园区污水集中处理设施运行管理，加快再生水回用设施建设，提升园区水资源循环利用水平。</w:t>
            </w:r>
          </w:p>
        </w:tc>
        <w:tc>
          <w:tcPr>
            <w:tcW w:w="591" w:type="pct"/>
            <w:vMerge w:val="continue"/>
            <w:noWrap w:val="0"/>
            <w:vAlign w:val="center"/>
          </w:tcPr>
          <w:p w14:paraId="7B9FF34E">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r>
      <w:tr w14:paraId="739B3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EDDE44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73AAEBE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019812B5">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〔A2.2-7〕强化重点区域地下水环境风险管控，对化学品生产企业</w:t>
            </w:r>
            <w:r>
              <w:rPr>
                <w:rFonts w:hint="default" w:ascii="Times New Roman" w:hAnsi="Times New Roman" w:eastAsia="宋体" w:cs="Times New Roman"/>
                <w:b w:val="0"/>
                <w:bCs w:val="0"/>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工业集聚区、尾矿库、矿山开采区、危险废物处置场、</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垃圾填埋场等地下水污染源及周边区域，逐步开展地下水环境状况调查评估，</w:t>
            </w:r>
            <w:r>
              <w:rPr>
                <w:rFonts w:hint="default" w:ascii="Times New Roman" w:hAnsi="Times New Roman" w:eastAsia="宋体" w:cs="Times New Roman"/>
                <w:b w:val="0"/>
                <w:bCs w:val="0"/>
                <w:color w:val="000000" w:themeColor="text1"/>
                <w:sz w:val="21"/>
                <w:szCs w:val="21"/>
                <w14:textFill>
                  <w14:solidFill>
                    <w14:schemeClr w14:val="tx1"/>
                  </w14:solidFill>
                </w14:textFill>
              </w:rPr>
              <w:t>加强风险管控。</w:t>
            </w:r>
          </w:p>
        </w:tc>
        <w:tc>
          <w:tcPr>
            <w:tcW w:w="591" w:type="pct"/>
            <w:vMerge w:val="continue"/>
            <w:noWrap w:val="0"/>
            <w:vAlign w:val="center"/>
          </w:tcPr>
          <w:p w14:paraId="21A661F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06F56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FCC790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4A7CB65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618AACEE">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〔A2.2-8〕严控土壤重金属污染，加强油</w:t>
            </w:r>
            <w:r>
              <w:rPr>
                <w:rFonts w:hint="default" w:ascii="Times New Roman" w:hAnsi="Times New Roman" w:cs="Times New Roman"/>
                <w:b w:val="0"/>
                <w:bCs w:val="0"/>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气</w:t>
            </w:r>
            <w:r>
              <w:rPr>
                <w:rFonts w:hint="default" w:ascii="Times New Roman" w:hAnsi="Times New Roman" w:cs="Times New Roman"/>
                <w:b w:val="0"/>
                <w:bCs w:val="0"/>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田开发土壤污染防</w:t>
            </w:r>
            <w:r>
              <w:rPr>
                <w:rFonts w:hint="default" w:ascii="Times New Roman" w:hAnsi="Times New Roman" w:eastAsia="宋体" w:cs="Times New Roman"/>
                <w:b w:val="0"/>
                <w:bCs w:val="0"/>
                <w:color w:val="000000" w:themeColor="text1"/>
                <w:sz w:val="21"/>
                <w:szCs w:val="21"/>
                <w14:textFill>
                  <w14:solidFill>
                    <w14:schemeClr w14:val="tx1"/>
                  </w14:solidFill>
                </w14:textFill>
              </w:rPr>
              <w:t>治，以历史遗留工业企业污染场地为重点，开展土壤污染风险管控与修复工程。</w:t>
            </w:r>
          </w:p>
        </w:tc>
        <w:tc>
          <w:tcPr>
            <w:tcW w:w="591" w:type="pct"/>
            <w:vMerge w:val="continue"/>
            <w:noWrap w:val="0"/>
            <w:vAlign w:val="center"/>
          </w:tcPr>
          <w:p w14:paraId="6B45599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019F13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D6CD72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3337D851">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7AE5D2E4">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〔A2.2-9〕加强种植业污染防治。深入推进化肥农药减量增效，全</w:t>
            </w:r>
            <w:r>
              <w:rPr>
                <w:rFonts w:hint="default" w:ascii="Times New Roman" w:hAnsi="Times New Roman" w:eastAsia="宋体" w:cs="Times New Roman"/>
                <w:b w:val="0"/>
                <w:bCs w:val="0"/>
                <w:color w:val="000000" w:themeColor="text1"/>
                <w:sz w:val="21"/>
                <w:szCs w:val="21"/>
                <w14:textFill>
                  <w14:solidFill>
                    <w14:schemeClr w14:val="tx1"/>
                  </w14:solidFill>
                </w14:textFill>
              </w:rPr>
              <w:t>面推广测土配方施肥，引导推动有机肥、绿肥替代化肥，集成推广</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化肥减量增效技术模式，加强农药包装废弃物管理。实施农膜回收</w:t>
            </w:r>
            <w:r>
              <w:rPr>
                <w:rFonts w:hint="default" w:ascii="Times New Roman" w:hAnsi="Times New Roman" w:eastAsia="宋体" w:cs="Times New Roman"/>
                <w:b w:val="0"/>
                <w:bCs w:val="0"/>
                <w:color w:val="000000" w:themeColor="text1"/>
                <w:sz w:val="21"/>
                <w:szCs w:val="21"/>
                <w14:textFill>
                  <w14:solidFill>
                    <w14:schemeClr w14:val="tx1"/>
                  </w14:solidFill>
                </w14:textFill>
              </w:rPr>
              <w:t>行动，健全农田废旧地膜回收利用体系，提高废旧地膜回收率。推进农作物秸秆综合利用，不断完善秸秆收储运</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用体系，形成布局合</w:t>
            </w:r>
            <w:r>
              <w:rPr>
                <w:rFonts w:hint="default" w:ascii="Times New Roman" w:hAnsi="Times New Roman" w:eastAsia="宋体" w:cs="Times New Roman"/>
                <w:b w:val="0"/>
                <w:bCs w:val="0"/>
                <w:color w:val="000000" w:themeColor="text1"/>
                <w:sz w:val="21"/>
                <w:szCs w:val="21"/>
                <w14:textFill>
                  <w14:solidFill>
                    <w14:schemeClr w14:val="tx1"/>
                  </w14:solidFill>
                </w14:textFill>
              </w:rPr>
              <w:t>理、多元利用的秸秆综合利用格局。</w:t>
            </w:r>
          </w:p>
        </w:tc>
        <w:tc>
          <w:tcPr>
            <w:tcW w:w="591" w:type="pct"/>
            <w:vMerge w:val="continue"/>
            <w:noWrap w:val="0"/>
            <w:vAlign w:val="center"/>
          </w:tcPr>
          <w:p w14:paraId="33D9C3F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7FB49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restart"/>
            <w:noWrap w:val="0"/>
            <w:vAlign w:val="center"/>
          </w:tcPr>
          <w:p w14:paraId="57B12AF5">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A3环</w:t>
            </w: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境风</w:t>
            </w:r>
            <w:r>
              <w:rPr>
                <w:rFonts w:hint="default" w:ascii="Times New Roman" w:hAnsi="Times New Roman" w:eastAsia="宋体" w:cs="Times New Roman"/>
                <w:b w:val="0"/>
                <w:bCs w:val="0"/>
                <w:color w:val="000000" w:themeColor="text1"/>
                <w:spacing w:val="6"/>
                <w:sz w:val="21"/>
                <w:szCs w:val="21"/>
                <w14:textFill>
                  <w14:solidFill>
                    <w14:schemeClr w14:val="tx1"/>
                  </w14:solidFill>
                </w14:textFill>
              </w:rPr>
              <w:t>险防</w:t>
            </w:r>
            <w:r>
              <w:rPr>
                <w:rFonts w:hint="default" w:ascii="Times New Roman" w:hAnsi="Times New Roman" w:eastAsia="宋体" w:cs="Times New Roman"/>
                <w:b w:val="0"/>
                <w:bCs w:val="0"/>
                <w:color w:val="000000" w:themeColor="text1"/>
                <w:sz w:val="21"/>
                <w:szCs w:val="21"/>
                <w14:textFill>
                  <w14:solidFill>
                    <w14:schemeClr w14:val="tx1"/>
                  </w14:solidFill>
                </w14:textFill>
              </w:rPr>
              <w:t>控</w:t>
            </w:r>
          </w:p>
        </w:tc>
        <w:tc>
          <w:tcPr>
            <w:tcW w:w="494" w:type="pct"/>
            <w:vMerge w:val="restart"/>
            <w:noWrap w:val="0"/>
            <w:vAlign w:val="center"/>
          </w:tcPr>
          <w:p w14:paraId="343898A9">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A3.1人居环境</w:t>
            </w: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要求</w:t>
            </w:r>
          </w:p>
        </w:tc>
        <w:tc>
          <w:tcPr>
            <w:tcW w:w="3517" w:type="pct"/>
            <w:noWrap w:val="0"/>
            <w:vAlign w:val="center"/>
          </w:tcPr>
          <w:p w14:paraId="2E98A005">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〔A3.1-1〕建立和完善重污染天气兵地联合</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应急预案、预报预警应</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急机制和会商联动机制。</w:t>
            </w:r>
            <w:r>
              <w:rPr>
                <w:rFonts w:hint="eastAsia" w:ascii="Times New Roman" w:hAnsi="Times New Roman" w:cs="Times New Roman"/>
                <w:b w:val="0"/>
                <w:bCs w:val="0"/>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乌</w:t>
            </w:r>
            <w:r>
              <w:rPr>
                <w:rFonts w:hint="default" w:ascii="Times New Roman" w:hAnsi="Times New Roman" w:eastAsia="宋体" w:cs="Times New Roman"/>
                <w:b w:val="0"/>
                <w:bCs w:val="0"/>
                <w:color w:val="000000" w:themeColor="text1"/>
                <w:spacing w:val="-2"/>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昌</w:t>
            </w:r>
            <w:r>
              <w:rPr>
                <w:rFonts w:hint="default" w:ascii="Times New Roman" w:hAnsi="Times New Roman" w:eastAsia="宋体" w:cs="Times New Roman"/>
                <w:b w:val="0"/>
                <w:bCs w:val="0"/>
                <w:color w:val="000000" w:themeColor="text1"/>
                <w:spacing w:val="-2"/>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石</w:t>
            </w:r>
            <w:r>
              <w:rPr>
                <w:rFonts w:hint="eastAsia" w:ascii="Times New Roman" w:hAnsi="Times New Roman" w:cs="Times New Roman"/>
                <w:b w:val="0"/>
                <w:bCs w:val="0"/>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区域内可能影响相邻行政区</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域大气环境的项目，兵地间、城市间必须相互征求意见。</w:t>
            </w:r>
          </w:p>
        </w:tc>
        <w:tc>
          <w:tcPr>
            <w:tcW w:w="591" w:type="pct"/>
            <w:vMerge w:val="restart"/>
            <w:noWrap w:val="0"/>
            <w:vAlign w:val="center"/>
          </w:tcPr>
          <w:p w14:paraId="2E75894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项目</w:t>
            </w:r>
            <w:r>
              <w:rPr>
                <w:rFonts w:hint="eastAsia" w:eastAsia="宋体" w:cs="Times New Roman"/>
                <w:b w:val="0"/>
                <w:bCs w:val="0"/>
                <w:color w:val="000000" w:themeColor="text1"/>
                <w:spacing w:val="-6"/>
                <w:sz w:val="21"/>
                <w:szCs w:val="21"/>
                <w:lang w:val="en-US" w:eastAsia="zh-CN"/>
                <w14:textFill>
                  <w14:solidFill>
                    <w14:schemeClr w14:val="tx1"/>
                  </w14:solidFill>
                </w14:textFill>
              </w:rPr>
              <w:t>建成投运前，建设单位应</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及时</w:t>
            </w:r>
            <w:r>
              <w:rPr>
                <w:rFonts w:hint="eastAsia" w:eastAsia="宋体" w:cs="Times New Roman"/>
                <w:b w:val="0"/>
                <w:bCs w:val="0"/>
                <w:color w:val="000000" w:themeColor="text1"/>
                <w:spacing w:val="-6"/>
                <w:sz w:val="21"/>
                <w:szCs w:val="21"/>
                <w:lang w:val="en-US" w:eastAsia="zh-CN"/>
                <w14:textFill>
                  <w14:solidFill>
                    <w14:schemeClr w14:val="tx1"/>
                  </w14:solidFill>
                </w14:textFill>
              </w:rPr>
              <w:t>编制</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建设项目突发环境事件应急预案及尾矿库专项应急预案，并按照要求进行执行</w:t>
            </w:r>
            <w:r>
              <w:rPr>
                <w:rFonts w:hint="eastAsia" w:eastAsia="宋体" w:cs="Times New Roman"/>
                <w:b w:val="0"/>
                <w:bCs w:val="0"/>
                <w:color w:val="000000" w:themeColor="text1"/>
                <w:spacing w:val="-6"/>
                <w:sz w:val="21"/>
                <w:szCs w:val="21"/>
                <w:lang w:val="en-US" w:eastAsia="zh-CN"/>
                <w14:textFill>
                  <w14:solidFill>
                    <w14:schemeClr w14:val="tx1"/>
                  </w14:solidFill>
                </w14:textFill>
              </w:rPr>
              <w:t>。</w:t>
            </w:r>
          </w:p>
        </w:tc>
      </w:tr>
      <w:tr w14:paraId="15007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7EA604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232BC42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269FC13E">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〔A3.1-2〕对跨国境河流、涉及县级及以上集中式饮用水水源地的</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河流、其他重要环境敏感目标的河流，建立健全</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流域上下游突发水</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污染事件联防联动机制，建立流域环境应急基础信息动态更新长效</w:t>
            </w: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机制，绘制全流域</w:t>
            </w:r>
            <w:r>
              <w:rPr>
                <w:rFonts w:hint="eastAsia" w:ascii="Times New Roman" w:hAnsi="Times New Roman" w:cs="Times New Roman"/>
                <w:b w:val="0"/>
                <w:bCs w:val="0"/>
                <w:color w:val="000000" w:themeColor="text1"/>
                <w:spacing w:val="-5"/>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一河一策一图</w:t>
            </w:r>
            <w:r>
              <w:rPr>
                <w:rFonts w:hint="eastAsia" w:ascii="Times New Roman" w:hAnsi="Times New Roman" w:cs="Times New Roman"/>
                <w:b w:val="0"/>
                <w:bCs w:val="0"/>
                <w:color w:val="000000" w:themeColor="text1"/>
                <w:spacing w:val="-5"/>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。建立健全跨部门、跨区域的环</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境应急协调联动处置机制，强化流域上下游、兵地各部门协调，实</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施联合监测、联合执法、应急联动、信息共享，形成</w:t>
            </w:r>
            <w:r>
              <w:rPr>
                <w:rFonts w:hint="eastAsia" w:ascii="Times New Roman" w:hAnsi="Times New Roman" w:cs="Times New Roman"/>
                <w:b w:val="0"/>
                <w:bCs w:val="0"/>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政府引导、</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多元联动、社会参与、专业救援</w:t>
            </w:r>
            <w:r>
              <w:rPr>
                <w:rFonts w:hint="eastAsia" w:ascii="Times New Roman" w:hAnsi="Times New Roman" w:cs="Times New Roman"/>
                <w:b w:val="0"/>
                <w:bCs w:val="0"/>
                <w:color w:val="000000" w:themeColor="text1"/>
                <w:spacing w:val="-3"/>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的环境应急处置机制，持续开展应急综合演练，实现从被动应对到主动防控的</w:t>
            </w: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重大转变。加强流域</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突发水环境事件应急能力建设，提升应急响</w:t>
            </w: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应水平，加强监测预警、</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拦污控污、信息通报、协同处置、基础保障等工作，防范重大生态环境风险，坚决守住生态环境安全底线。</w:t>
            </w:r>
          </w:p>
        </w:tc>
        <w:tc>
          <w:tcPr>
            <w:tcW w:w="591" w:type="pct"/>
            <w:vMerge w:val="continue"/>
            <w:noWrap w:val="0"/>
            <w:vAlign w:val="center"/>
          </w:tcPr>
          <w:p w14:paraId="7F83250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258A8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5DAB699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26C1CA2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43046D35">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〔A3.1-3〕强化重污染天气监测预报预警能力，建立和完善重污染天气兵地联合应急预案、预警应急机制和会商联动机制，加强轻</w:t>
            </w:r>
            <w:r>
              <w:rPr>
                <w:rFonts w:hint="default" w:ascii="Times New Roman" w:hAnsi="Times New Roman" w:eastAsia="宋体" w:cs="Times New Roman"/>
                <w:b w:val="0"/>
                <w:bCs w:val="0"/>
                <w:color w:val="000000" w:themeColor="text1"/>
                <w:spacing w:val="4"/>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中度污染天气管控。</w:t>
            </w:r>
          </w:p>
        </w:tc>
        <w:tc>
          <w:tcPr>
            <w:tcW w:w="591" w:type="pct"/>
            <w:vMerge w:val="continue"/>
            <w:noWrap w:val="0"/>
            <w:vAlign w:val="center"/>
          </w:tcPr>
          <w:p w14:paraId="2307CC2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6D725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5A6EE4B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restart"/>
            <w:noWrap w:val="0"/>
            <w:vAlign w:val="center"/>
          </w:tcPr>
          <w:p w14:paraId="2D323223">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A3.2联</w:t>
            </w: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防联控</w:t>
            </w:r>
            <w:r>
              <w:rPr>
                <w:rFonts w:hint="default" w:ascii="Times New Roman" w:hAnsi="Times New Roman" w:eastAsia="宋体" w:cs="Times New Roman"/>
                <w:b w:val="0"/>
                <w:bCs w:val="0"/>
                <w:color w:val="000000" w:themeColor="text1"/>
                <w:spacing w:val="5"/>
                <w:sz w:val="21"/>
                <w:szCs w:val="21"/>
                <w14:textFill>
                  <w14:solidFill>
                    <w14:schemeClr w14:val="tx1"/>
                  </w14:solidFill>
                </w14:textFill>
              </w:rPr>
              <w:t>要求</w:t>
            </w:r>
          </w:p>
        </w:tc>
        <w:tc>
          <w:tcPr>
            <w:tcW w:w="3517" w:type="pct"/>
            <w:noWrap w:val="0"/>
            <w:vAlign w:val="center"/>
          </w:tcPr>
          <w:p w14:paraId="4F35A797">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pacing w:val="4"/>
                <w:sz w:val="21"/>
                <w:szCs w:val="21"/>
                <w14:textFill>
                  <w14:solidFill>
                    <w14:schemeClr w14:val="tx1"/>
                  </w14:solidFill>
                </w14:textFill>
              </w:rPr>
              <w:t>〔A3.2-1〕提升饮用水安全保障水平。以县级及以上集中式饮用水</w:t>
            </w:r>
            <w:r>
              <w:rPr>
                <w:rFonts w:hint="default" w:ascii="Times New Roman" w:hAnsi="Times New Roman" w:eastAsia="宋体" w:cs="Times New Roman"/>
                <w:b w:val="0"/>
                <w:bCs w:val="0"/>
                <w:color w:val="000000" w:themeColor="text1"/>
                <w:spacing w:val="1"/>
                <w:sz w:val="21"/>
                <w:szCs w:val="21"/>
                <w14:textFill>
                  <w14:solidFill>
                    <w14:schemeClr w14:val="tx1"/>
                  </w14:solidFill>
                </w14:textFill>
              </w:rPr>
              <w:t>水源地为重点，推进饮用水水源保护区规范化建设，统筹推进备用</w:t>
            </w:r>
            <w:r>
              <w:rPr>
                <w:rFonts w:hint="default" w:ascii="Times New Roman" w:hAnsi="Times New Roman" w:eastAsia="宋体" w:cs="Times New Roman"/>
                <w:b w:val="0"/>
                <w:bCs w:val="0"/>
                <w:color w:val="000000" w:themeColor="text1"/>
                <w:sz w:val="21"/>
                <w:szCs w:val="21"/>
                <w14:textFill>
                  <w14:solidFill>
                    <w14:schemeClr w14:val="tx1"/>
                  </w14:solidFill>
                </w14:textFill>
              </w:rPr>
              <w:t>水源或应急水源建设。单一水源供水的重点城市于2025年底前基</w:t>
            </w:r>
            <w:r>
              <w:rPr>
                <w:rFonts w:hint="default" w:ascii="Times New Roman" w:hAnsi="Times New Roman" w:eastAsia="宋体" w:cs="Times New Roman"/>
                <w:color w:val="000000" w:themeColor="text1"/>
                <w:spacing w:val="1"/>
                <w:sz w:val="21"/>
                <w:szCs w:val="21"/>
                <w14:textFill>
                  <w14:solidFill>
                    <w14:schemeClr w14:val="tx1"/>
                  </w14:solidFill>
                </w14:textFill>
              </w:rPr>
              <w:t>本完成备用水源或应急水源建设，有条件的地区开展兵地互为</w:t>
            </w:r>
            <w:r>
              <w:rPr>
                <w:rFonts w:hint="default" w:ascii="Times New Roman" w:hAnsi="Times New Roman" w:eastAsia="宋体" w:cs="Times New Roman"/>
                <w:color w:val="000000" w:themeColor="text1"/>
                <w:sz w:val="21"/>
                <w:szCs w:val="21"/>
                <w14:textFill>
                  <w14:solidFill>
                    <w14:schemeClr w14:val="tx1"/>
                  </w14:solidFill>
                </w14:textFill>
              </w:rPr>
              <w:t>备用</w:t>
            </w:r>
            <w:r>
              <w:rPr>
                <w:rFonts w:hint="default" w:ascii="Times New Roman" w:hAnsi="Times New Roman" w:eastAsia="宋体" w:cs="Times New Roman"/>
                <w:color w:val="000000" w:themeColor="text1"/>
                <w:spacing w:val="-2"/>
                <w:sz w:val="21"/>
                <w:szCs w:val="21"/>
                <w14:textFill>
                  <w14:solidFill>
                    <w14:schemeClr w14:val="tx1"/>
                  </w14:solidFill>
                </w14:textFill>
              </w:rPr>
              <w:t>水源建设。梯次推进农村集中式饮用水水源保护区划定，到2025年，</w:t>
            </w:r>
            <w:r>
              <w:rPr>
                <w:rFonts w:hint="default" w:ascii="Times New Roman" w:hAnsi="Times New Roman" w:eastAsia="宋体" w:cs="Times New Roman"/>
                <w:color w:val="000000" w:themeColor="text1"/>
                <w:sz w:val="21"/>
                <w:szCs w:val="21"/>
                <w14:textFill>
                  <w14:solidFill>
                    <w14:schemeClr w14:val="tx1"/>
                  </w14:solidFill>
                </w14:textFill>
              </w:rPr>
              <w:t>完成乡镇级集中式饮用水水源保护区划定与勘界立标。开展</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千吨万人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农村饮用水水源保护区环境风险排查整治，加强农村水源水</w:t>
            </w:r>
            <w:r>
              <w:rPr>
                <w:rFonts w:hint="default" w:ascii="Times New Roman" w:hAnsi="Times New Roman" w:eastAsia="宋体" w:cs="Times New Roman"/>
                <w:color w:val="000000" w:themeColor="text1"/>
                <w:spacing w:val="-1"/>
                <w:sz w:val="21"/>
                <w:szCs w:val="21"/>
                <w14:textFill>
                  <w14:solidFill>
                    <w14:schemeClr w14:val="tx1"/>
                  </w14:solidFill>
                </w14:textFill>
              </w:rPr>
              <w:t>质监测，依法清理饮用水水源保护区内违法建筑和排污口，实施从</w:t>
            </w:r>
            <w:r>
              <w:rPr>
                <w:rFonts w:hint="default" w:ascii="Times New Roman" w:hAnsi="Times New Roman" w:eastAsia="宋体" w:cs="Times New Roman"/>
                <w:color w:val="000000" w:themeColor="text1"/>
                <w:sz w:val="21"/>
                <w:szCs w:val="21"/>
                <w14:textFill>
                  <w14:solidFill>
                    <w14:schemeClr w14:val="tx1"/>
                  </w14:solidFill>
                </w14:textFill>
              </w:rPr>
              <w:t>水源到水龙头全过程监管。强化饮用水水源保护区环境应急管</w:t>
            </w:r>
            <w:r>
              <w:rPr>
                <w:rFonts w:hint="default" w:ascii="Times New Roman" w:hAnsi="Times New Roman" w:eastAsia="宋体" w:cs="Times New Roman"/>
                <w:color w:val="000000" w:themeColor="text1"/>
                <w:spacing w:val="-1"/>
                <w:sz w:val="21"/>
                <w:szCs w:val="21"/>
                <w14:textFill>
                  <w14:solidFill>
                    <w14:schemeClr w14:val="tx1"/>
                  </w14:solidFill>
                </w14:textFill>
              </w:rPr>
              <w:t>理，</w:t>
            </w:r>
            <w:r>
              <w:rPr>
                <w:rFonts w:hint="default" w:ascii="Times New Roman" w:hAnsi="Times New Roman" w:eastAsia="宋体" w:cs="Times New Roman"/>
                <w:color w:val="000000" w:themeColor="text1"/>
                <w:sz w:val="21"/>
                <w:szCs w:val="21"/>
                <w14:textFill>
                  <w14:solidFill>
                    <w14:schemeClr w14:val="tx1"/>
                  </w14:solidFill>
                </w14:textFill>
              </w:rPr>
              <w:t>完善重大突发环境事件的物资和技术储备。针对汇水区、补给区存</w:t>
            </w:r>
            <w:r>
              <w:rPr>
                <w:rFonts w:hint="default" w:ascii="Times New Roman" w:hAnsi="Times New Roman" w:eastAsia="宋体" w:cs="Times New Roman"/>
                <w:color w:val="000000" w:themeColor="text1"/>
                <w:spacing w:val="1"/>
                <w:sz w:val="21"/>
                <w:szCs w:val="21"/>
                <w14:textFill>
                  <w14:solidFill>
                    <w14:schemeClr w14:val="tx1"/>
                  </w14:solidFill>
                </w14:textFill>
              </w:rPr>
              <w:t>在兵地跨界的，建立统一的饮用水水源应急和执法机制，共享应急</w:t>
            </w:r>
            <w:r>
              <w:rPr>
                <w:rFonts w:hint="default" w:ascii="Times New Roman" w:hAnsi="Times New Roman" w:eastAsia="宋体" w:cs="Times New Roman"/>
                <w:color w:val="000000" w:themeColor="text1"/>
                <w:spacing w:val="-1"/>
                <w:sz w:val="21"/>
                <w:szCs w:val="21"/>
                <w14:textFill>
                  <w14:solidFill>
                    <w14:schemeClr w14:val="tx1"/>
                  </w14:solidFill>
                </w14:textFill>
              </w:rPr>
              <w:t>物资。</w:t>
            </w:r>
          </w:p>
        </w:tc>
        <w:tc>
          <w:tcPr>
            <w:tcW w:w="591" w:type="pct"/>
            <w:vMerge w:val="restart"/>
            <w:noWrap w:val="0"/>
            <w:vAlign w:val="center"/>
          </w:tcPr>
          <w:p w14:paraId="06FB91E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项目</w:t>
            </w:r>
            <w:r>
              <w:rPr>
                <w:rFonts w:hint="eastAsia" w:eastAsia="宋体" w:cs="Times New Roman"/>
                <w:b w:val="0"/>
                <w:bCs w:val="0"/>
                <w:color w:val="000000" w:themeColor="text1"/>
                <w:spacing w:val="-6"/>
                <w:sz w:val="21"/>
                <w:szCs w:val="21"/>
                <w:lang w:val="en-US" w:eastAsia="zh-CN"/>
                <w14:textFill>
                  <w14:solidFill>
                    <w14:schemeClr w14:val="tx1"/>
                  </w14:solidFill>
                </w14:textFill>
              </w:rPr>
              <w:t>建成投运前，建设单位应</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及时</w:t>
            </w:r>
            <w:r>
              <w:rPr>
                <w:rFonts w:hint="eastAsia" w:eastAsia="宋体" w:cs="Times New Roman"/>
                <w:b w:val="0"/>
                <w:bCs w:val="0"/>
                <w:color w:val="000000" w:themeColor="text1"/>
                <w:spacing w:val="-6"/>
                <w:sz w:val="21"/>
                <w:szCs w:val="21"/>
                <w:lang w:val="en-US" w:eastAsia="zh-CN"/>
                <w14:textFill>
                  <w14:solidFill>
                    <w14:schemeClr w14:val="tx1"/>
                  </w14:solidFill>
                </w14:textFill>
              </w:rPr>
              <w:t>编制</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建设项目突发环境事件应急预案，并按照要求进行执行</w:t>
            </w:r>
            <w:r>
              <w:rPr>
                <w:rFonts w:hint="eastAsia"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w:t>
            </w:r>
          </w:p>
        </w:tc>
      </w:tr>
      <w:tr w14:paraId="57BAE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1F884BB2">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2B878C7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59213A33">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〔A3.2-2〕依法推行农用地分类管理制度，强化受污染耕地安全利</w:t>
            </w:r>
            <w:r>
              <w:rPr>
                <w:rFonts w:hint="default" w:ascii="Times New Roman" w:hAnsi="Times New Roman" w:eastAsia="宋体" w:cs="Times New Roman"/>
                <w:color w:val="000000" w:themeColor="text1"/>
                <w:spacing w:val="1"/>
                <w:sz w:val="21"/>
                <w:szCs w:val="21"/>
                <w14:textFill>
                  <w14:solidFill>
                    <w14:schemeClr w14:val="tx1"/>
                  </w14:solidFill>
                </w14:textFill>
              </w:rPr>
              <w:t>用和风险管控。因地制宜制定实施安全利用方案，</w:t>
            </w:r>
            <w:r>
              <w:rPr>
                <w:rFonts w:hint="default" w:ascii="Times New Roman" w:hAnsi="Times New Roman" w:eastAsia="宋体" w:cs="Times New Roman"/>
                <w:color w:val="000000" w:themeColor="text1"/>
                <w:sz w:val="21"/>
                <w:szCs w:val="21"/>
                <w14:textFill>
                  <w14:solidFill>
                    <w14:schemeClr w14:val="tx1"/>
                  </w14:solidFill>
                </w14:textFill>
              </w:rPr>
              <w:t>鼓励采取种植结构调整等措施，确保受污染耕地全部实现安全利用。</w:t>
            </w:r>
          </w:p>
        </w:tc>
        <w:tc>
          <w:tcPr>
            <w:tcW w:w="591" w:type="pct"/>
            <w:vMerge w:val="continue"/>
            <w:noWrap w:val="0"/>
            <w:vAlign w:val="center"/>
          </w:tcPr>
          <w:p w14:paraId="019B464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67460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422A74A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515462E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777A559F">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〔A3.2-3〕加强新污染物多环境介质协同治理。排放重点管控新污</w:t>
            </w:r>
            <w:r>
              <w:rPr>
                <w:rFonts w:hint="default" w:ascii="Times New Roman" w:hAnsi="Times New Roman" w:eastAsia="宋体" w:cs="Times New Roman"/>
                <w:color w:val="000000" w:themeColor="text1"/>
                <w:spacing w:val="2"/>
                <w:sz w:val="21"/>
                <w:szCs w:val="21"/>
                <w14:textFill>
                  <w14:solidFill>
                    <w14:schemeClr w14:val="tx1"/>
                  </w14:solidFill>
                </w14:textFill>
              </w:rPr>
              <w:t>染物的企事业单位应采取污染控制措施，达到相</w:t>
            </w:r>
            <w:r>
              <w:rPr>
                <w:rFonts w:hint="default" w:ascii="Times New Roman" w:hAnsi="Times New Roman" w:eastAsia="宋体" w:cs="Times New Roman"/>
                <w:color w:val="000000" w:themeColor="text1"/>
                <w:spacing w:val="1"/>
                <w:sz w:val="21"/>
                <w:szCs w:val="21"/>
                <w14:textFill>
                  <w14:solidFill>
                    <w14:schemeClr w14:val="tx1"/>
                  </w14:solidFill>
                </w14:textFill>
              </w:rPr>
              <w:t>关污染物排放标准</w:t>
            </w:r>
            <w:r>
              <w:rPr>
                <w:rFonts w:hint="default" w:ascii="Times New Roman" w:hAnsi="Times New Roman" w:eastAsia="宋体" w:cs="Times New Roman"/>
                <w:color w:val="000000" w:themeColor="text1"/>
                <w:spacing w:val="2"/>
                <w:sz w:val="21"/>
                <w:szCs w:val="21"/>
                <w14:textFill>
                  <w14:solidFill>
                    <w14:schemeClr w14:val="tx1"/>
                  </w14:solidFill>
                </w14:textFill>
              </w:rPr>
              <w:t>及环境质量目标要求；按照排污许可管理有关要求</w:t>
            </w:r>
            <w:r>
              <w:rPr>
                <w:rFonts w:hint="default" w:ascii="Times New Roman" w:hAnsi="Times New Roman" w:eastAsia="宋体" w:cs="Times New Roman"/>
                <w:color w:val="000000" w:themeColor="text1"/>
                <w:spacing w:val="1"/>
                <w:sz w:val="21"/>
                <w:szCs w:val="21"/>
                <w14:textFill>
                  <w14:solidFill>
                    <w14:schemeClr w14:val="tx1"/>
                  </w14:solidFill>
                </w14:textFill>
              </w:rPr>
              <w:t>，依法申领排污</w:t>
            </w:r>
            <w:r>
              <w:rPr>
                <w:rFonts w:hint="default" w:ascii="Times New Roman" w:hAnsi="Times New Roman" w:eastAsia="宋体" w:cs="Times New Roman"/>
                <w:color w:val="000000" w:themeColor="text1"/>
                <w:spacing w:val="2"/>
                <w:sz w:val="21"/>
                <w:szCs w:val="21"/>
                <w14:textFill>
                  <w14:solidFill>
                    <w14:schemeClr w14:val="tx1"/>
                  </w14:solidFill>
                </w14:textFill>
              </w:rPr>
              <w:t>许可证或填写排污登记表，并在其中载明执行的</w:t>
            </w:r>
            <w:r>
              <w:rPr>
                <w:rFonts w:hint="default" w:ascii="Times New Roman" w:hAnsi="Times New Roman" w:eastAsia="宋体" w:cs="Times New Roman"/>
                <w:color w:val="000000" w:themeColor="text1"/>
                <w:spacing w:val="1"/>
                <w:sz w:val="21"/>
                <w:szCs w:val="21"/>
                <w14:textFill>
                  <w14:solidFill>
                    <w14:schemeClr w14:val="tx1"/>
                  </w14:solidFill>
                </w14:textFill>
              </w:rPr>
              <w:t>污染控制标准要求及采取的污染控制措施。排放重点管控新污染物的企事业单位和其</w:t>
            </w:r>
            <w:r>
              <w:rPr>
                <w:rFonts w:hint="default" w:ascii="Times New Roman" w:hAnsi="Times New Roman" w:eastAsia="宋体" w:cs="Times New Roman"/>
                <w:color w:val="000000" w:themeColor="text1"/>
                <w:spacing w:val="-1"/>
                <w:sz w:val="21"/>
                <w:szCs w:val="21"/>
                <w14:textFill>
                  <w14:solidFill>
                    <w14:schemeClr w14:val="tx1"/>
                  </w14:solidFill>
                </w14:textFill>
              </w:rPr>
              <w:t>他生产经营者应按照相关法律法规要求，对排放</w:t>
            </w:r>
            <w:r>
              <w:rPr>
                <w:rFonts w:hint="default"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污</w:t>
            </w:r>
            <w:r>
              <w:rPr>
                <w:rFonts w:hint="default"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口及其周边</w:t>
            </w:r>
            <w:r>
              <w:rPr>
                <w:rFonts w:hint="default" w:ascii="Times New Roman" w:hAnsi="Times New Roman" w:eastAsia="宋体" w:cs="Times New Roman"/>
                <w:color w:val="000000" w:themeColor="text1"/>
                <w:sz w:val="21"/>
                <w:szCs w:val="21"/>
                <w14:textFill>
                  <w14:solidFill>
                    <w14:schemeClr w14:val="tx1"/>
                  </w14:solidFill>
                </w14:textFill>
              </w:rPr>
              <w:t>环境定期开展环境监测，评估环境风险，排查整治环境安全隐</w:t>
            </w:r>
            <w:r>
              <w:rPr>
                <w:rFonts w:hint="default" w:ascii="Times New Roman" w:hAnsi="Times New Roman" w:eastAsia="宋体" w:cs="Times New Roman"/>
                <w:color w:val="000000" w:themeColor="text1"/>
                <w:spacing w:val="-1"/>
                <w:sz w:val="21"/>
                <w:szCs w:val="21"/>
                <w14:textFill>
                  <w14:solidFill>
                    <w14:schemeClr w14:val="tx1"/>
                  </w14:solidFill>
                </w14:textFill>
              </w:rPr>
              <w:t>患，依法公开新污染物信息，采取措施防范环境风险。土壤</w:t>
            </w:r>
            <w:r>
              <w:rPr>
                <w:rFonts w:hint="default" w:ascii="Times New Roman" w:hAnsi="Times New Roman" w:eastAsia="宋体" w:cs="Times New Roman"/>
                <w:color w:val="000000" w:themeColor="text1"/>
                <w:spacing w:val="-2"/>
                <w:sz w:val="21"/>
                <w:szCs w:val="21"/>
                <w14:textFill>
                  <w14:solidFill>
                    <w14:schemeClr w14:val="tx1"/>
                  </w14:solidFill>
                </w14:textFill>
              </w:rPr>
              <w:t>污染重点监管单位应严格控制有毒有害物质排放，建立土壤污染隐患排查制度，</w:t>
            </w:r>
            <w:r>
              <w:rPr>
                <w:rFonts w:hint="default" w:ascii="Times New Roman" w:hAnsi="Times New Roman" w:eastAsia="宋体" w:cs="Times New Roman"/>
                <w:color w:val="000000" w:themeColor="text1"/>
                <w:sz w:val="21"/>
                <w:szCs w:val="21"/>
                <w14:textFill>
                  <w14:solidFill>
                    <w14:schemeClr w14:val="tx1"/>
                  </w14:solidFill>
                </w14:textFill>
              </w:rPr>
              <w:t>防止有毒有害物质渗漏、流失、扬散。</w:t>
            </w:r>
          </w:p>
        </w:tc>
        <w:tc>
          <w:tcPr>
            <w:tcW w:w="591" w:type="pct"/>
            <w:vMerge w:val="continue"/>
            <w:noWrap w:val="0"/>
            <w:vAlign w:val="center"/>
          </w:tcPr>
          <w:p w14:paraId="459E89E1">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12F06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2E5EA3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2D5C582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7EE228A0">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〔A3.2-4〕加强环境风险预警防控。加强涉危险废物企业、涉重金</w:t>
            </w:r>
            <w:r>
              <w:rPr>
                <w:rFonts w:hint="default" w:ascii="Times New Roman" w:hAnsi="Times New Roman" w:eastAsia="宋体" w:cs="Times New Roman"/>
                <w:color w:val="000000" w:themeColor="text1"/>
                <w:spacing w:val="1"/>
                <w:sz w:val="21"/>
                <w:szCs w:val="21"/>
                <w14:textFill>
                  <w14:solidFill>
                    <w14:schemeClr w14:val="tx1"/>
                  </w14:solidFill>
                </w14:textFill>
              </w:rPr>
              <w:t>属企业、化工园区、集中式饮用水水源地及重点流域环境风险调查</w:t>
            </w:r>
            <w:r>
              <w:rPr>
                <w:rFonts w:hint="default" w:ascii="Times New Roman" w:hAnsi="Times New Roman" w:eastAsia="宋体" w:cs="Times New Roman"/>
                <w:color w:val="000000" w:themeColor="text1"/>
                <w:sz w:val="21"/>
                <w:szCs w:val="21"/>
                <w14:textFill>
                  <w14:solidFill>
                    <w14:schemeClr w14:val="tx1"/>
                  </w14:solidFill>
                </w14:textFill>
              </w:rPr>
              <w:t>评估，实施分类分级风险管控，协同推进重点区域、流域生态环境</w:t>
            </w:r>
            <w:r>
              <w:rPr>
                <w:rFonts w:hint="default" w:ascii="Times New Roman" w:hAnsi="Times New Roman" w:eastAsia="宋体" w:cs="Times New Roman"/>
                <w:color w:val="000000" w:themeColor="text1"/>
                <w:spacing w:val="-1"/>
                <w:sz w:val="21"/>
                <w:szCs w:val="21"/>
                <w14:textFill>
                  <w14:solidFill>
                    <w14:schemeClr w14:val="tx1"/>
                  </w14:solidFill>
                </w14:textFill>
              </w:rPr>
              <w:t>污染综合防治、风险防控与生态修复。</w:t>
            </w:r>
          </w:p>
        </w:tc>
        <w:tc>
          <w:tcPr>
            <w:tcW w:w="591" w:type="pct"/>
            <w:vMerge w:val="continue"/>
            <w:noWrap w:val="0"/>
            <w:vAlign w:val="center"/>
          </w:tcPr>
          <w:p w14:paraId="330EEE9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0DEC9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C29688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20037BC8">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38C05182">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〔A3.2-5〕强化生态环境应急管理。实施企业突发生态环境应急预</w:t>
            </w:r>
            <w:r>
              <w:rPr>
                <w:rFonts w:hint="default" w:ascii="Times New Roman" w:hAnsi="Times New Roman" w:eastAsia="宋体" w:cs="Times New Roman"/>
                <w:color w:val="000000" w:themeColor="text1"/>
                <w:spacing w:val="1"/>
                <w:sz w:val="21"/>
                <w:szCs w:val="21"/>
                <w14:textFill>
                  <w14:solidFill>
                    <w14:schemeClr w14:val="tx1"/>
                  </w14:solidFill>
                </w14:textFill>
              </w:rPr>
              <w:t>案电子化备案，完成县级以上政府突发环境事件</w:t>
            </w:r>
            <w:r>
              <w:rPr>
                <w:rFonts w:hint="default" w:ascii="Times New Roman" w:hAnsi="Times New Roman" w:eastAsia="宋体" w:cs="Times New Roman"/>
                <w:color w:val="000000" w:themeColor="text1"/>
                <w:sz w:val="21"/>
                <w:szCs w:val="21"/>
                <w14:textFill>
                  <w14:solidFill>
                    <w14:schemeClr w14:val="tx1"/>
                  </w14:solidFill>
                </w14:textFill>
              </w:rPr>
              <w:t>应急预案修编。完</w:t>
            </w:r>
            <w:r>
              <w:rPr>
                <w:rFonts w:hint="default" w:ascii="Times New Roman" w:hAnsi="Times New Roman" w:eastAsia="宋体" w:cs="Times New Roman"/>
                <w:color w:val="000000" w:themeColor="text1"/>
                <w:spacing w:val="1"/>
                <w:sz w:val="21"/>
                <w:szCs w:val="21"/>
                <w14:textFill>
                  <w14:solidFill>
                    <w14:schemeClr w14:val="tx1"/>
                  </w14:solidFill>
                </w14:textFill>
              </w:rPr>
              <w:t>善区域和企业应急处置物资储备系统，结合新疆各地特征污染</w:t>
            </w:r>
            <w:r>
              <w:rPr>
                <w:rFonts w:hint="default" w:ascii="Times New Roman" w:hAnsi="Times New Roman" w:eastAsia="宋体" w:cs="Times New Roman"/>
                <w:color w:val="000000" w:themeColor="text1"/>
                <w:sz w:val="21"/>
                <w:szCs w:val="21"/>
                <w14:textFill>
                  <w14:solidFill>
                    <w14:schemeClr w14:val="tx1"/>
                  </w14:solidFill>
                </w14:textFill>
              </w:rPr>
              <w:t>物的</w:t>
            </w:r>
            <w:r>
              <w:rPr>
                <w:rFonts w:hint="default" w:ascii="Times New Roman" w:hAnsi="Times New Roman" w:eastAsia="宋体" w:cs="Times New Roman"/>
                <w:color w:val="000000" w:themeColor="text1"/>
                <w:spacing w:val="1"/>
                <w:sz w:val="21"/>
                <w:szCs w:val="21"/>
                <w14:textFill>
                  <w14:solidFill>
                    <w14:schemeClr w14:val="tx1"/>
                  </w14:solidFill>
                </w14:textFill>
              </w:rPr>
              <w:t>特性，加强应急物资储备及应急物资信息化建设</w:t>
            </w:r>
            <w:r>
              <w:rPr>
                <w:rFonts w:hint="default" w:ascii="Times New Roman" w:hAnsi="Times New Roman" w:eastAsia="宋体" w:cs="Times New Roman"/>
                <w:color w:val="000000" w:themeColor="text1"/>
                <w:sz w:val="21"/>
                <w:szCs w:val="21"/>
                <w14:textFill>
                  <w14:solidFill>
                    <w14:schemeClr w14:val="tx1"/>
                  </w14:solidFill>
                </w14:textFill>
              </w:rPr>
              <w:t>，掌握社会应急物</w:t>
            </w:r>
            <w:r>
              <w:rPr>
                <w:rFonts w:hint="default" w:ascii="Times New Roman" w:hAnsi="Times New Roman" w:eastAsia="宋体" w:cs="Times New Roman"/>
                <w:color w:val="000000" w:themeColor="text1"/>
                <w:spacing w:val="1"/>
                <w:sz w:val="21"/>
                <w:szCs w:val="21"/>
                <w14:textFill>
                  <w14:solidFill>
                    <w14:schemeClr w14:val="tx1"/>
                  </w14:solidFill>
                </w14:textFill>
              </w:rPr>
              <w:t>资储备动态信息，妥善应对各类突发生态环境事件。加强应急监测</w:t>
            </w:r>
            <w:r>
              <w:rPr>
                <w:rFonts w:hint="default" w:ascii="Times New Roman" w:hAnsi="Times New Roman" w:eastAsia="宋体" w:cs="Times New Roman"/>
                <w:color w:val="000000" w:themeColor="text1"/>
                <w:sz w:val="21"/>
                <w:szCs w:val="21"/>
                <w14:textFill>
                  <w14:solidFill>
                    <w14:schemeClr w14:val="tx1"/>
                  </w14:solidFill>
                </w14:textFill>
              </w:rPr>
              <w:t>装备配置，定期开展应急演练，增强实战能</w:t>
            </w:r>
            <w:r>
              <w:rPr>
                <w:rFonts w:hint="default" w:ascii="Times New Roman" w:hAnsi="Times New Roman" w:eastAsia="宋体" w:cs="Times New Roman"/>
                <w:color w:val="000000" w:themeColor="text1"/>
                <w:spacing w:val="-1"/>
                <w:sz w:val="21"/>
                <w:szCs w:val="21"/>
                <w14:textFill>
                  <w14:solidFill>
                    <w14:schemeClr w14:val="tx1"/>
                  </w14:solidFill>
                </w14:textFill>
              </w:rPr>
              <w:t>力。</w:t>
            </w:r>
          </w:p>
        </w:tc>
        <w:tc>
          <w:tcPr>
            <w:tcW w:w="591" w:type="pct"/>
            <w:vMerge w:val="continue"/>
            <w:noWrap w:val="0"/>
            <w:vAlign w:val="center"/>
          </w:tcPr>
          <w:p w14:paraId="0E353F6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38847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7C59EC23">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25C7C2A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062CC0E9">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〔A3.2-6〕强化兵地联防联控联治，</w:t>
            </w:r>
            <w:r>
              <w:rPr>
                <w:rFonts w:hint="default" w:ascii="Times New Roman" w:hAnsi="Times New Roman" w:eastAsia="宋体" w:cs="Times New Roman"/>
                <w:color w:val="000000" w:themeColor="text1"/>
                <w:spacing w:val="-2"/>
                <w:sz w:val="21"/>
                <w:szCs w:val="21"/>
                <w14:textFill>
                  <w14:solidFill>
                    <w14:schemeClr w14:val="tx1"/>
                  </w14:solidFill>
                </w14:textFill>
              </w:rPr>
              <w:t>落实兵地统一规划、统一政策、</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default" w:ascii="Times New Roman" w:hAnsi="Times New Roman" w:eastAsia="宋体" w:cs="Times New Roman"/>
                <w:color w:val="000000" w:themeColor="text1"/>
                <w:spacing w:val="-3"/>
                <w:sz w:val="21"/>
                <w:szCs w:val="21"/>
                <w14:textFill>
                  <w14:solidFill>
                    <w14:schemeClr w14:val="tx1"/>
                  </w14:solidFill>
                </w14:textFill>
              </w:rPr>
              <w:t>统一标准、统一要求、统一推进的防治管理措施，完善重大项目环境影响评价区域会商、重污染天气兵地联合应急联动机</w:t>
            </w:r>
            <w:r>
              <w:rPr>
                <w:rFonts w:hint="default" w:ascii="Times New Roman" w:hAnsi="Times New Roman" w:eastAsia="宋体" w:cs="Times New Roman"/>
                <w:color w:val="000000" w:themeColor="text1"/>
                <w:spacing w:val="-4"/>
                <w:sz w:val="21"/>
                <w:szCs w:val="21"/>
                <w14:textFill>
                  <w14:solidFill>
                    <w14:schemeClr w14:val="tx1"/>
                  </w14:solidFill>
                </w14:textFill>
              </w:rPr>
              <w:t>制。建立兵地生态环境联合执法和联合监测长效机制。</w:t>
            </w:r>
          </w:p>
        </w:tc>
        <w:tc>
          <w:tcPr>
            <w:tcW w:w="591" w:type="pct"/>
            <w:vMerge w:val="continue"/>
            <w:noWrap w:val="0"/>
            <w:vAlign w:val="center"/>
          </w:tcPr>
          <w:p w14:paraId="60F76E8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4333B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restart"/>
            <w:noWrap w:val="0"/>
            <w:vAlign w:val="center"/>
          </w:tcPr>
          <w:p w14:paraId="0745B7DF">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A4资</w:t>
            </w:r>
            <w:r>
              <w:rPr>
                <w:rFonts w:hint="default" w:ascii="Times New Roman" w:hAnsi="Times New Roman" w:eastAsia="宋体" w:cs="Times New Roman"/>
                <w:color w:val="000000" w:themeColor="text1"/>
                <w:spacing w:val="8"/>
                <w:sz w:val="21"/>
                <w:szCs w:val="21"/>
                <w14:textFill>
                  <w14:solidFill>
                    <w14:schemeClr w14:val="tx1"/>
                  </w14:solidFill>
                </w14:textFill>
              </w:rPr>
              <w:t>源利</w:t>
            </w:r>
            <w:r>
              <w:rPr>
                <w:rFonts w:hint="default" w:ascii="Times New Roman" w:hAnsi="Times New Roman" w:eastAsia="宋体" w:cs="Times New Roman"/>
                <w:color w:val="000000" w:themeColor="text1"/>
                <w:spacing w:val="6"/>
                <w:sz w:val="21"/>
                <w:szCs w:val="21"/>
                <w14:textFill>
                  <w14:solidFill>
                    <w14:schemeClr w14:val="tx1"/>
                  </w14:solidFill>
                </w14:textFill>
              </w:rPr>
              <w:t>用要</w:t>
            </w:r>
            <w:r>
              <w:rPr>
                <w:rFonts w:hint="default" w:ascii="Times New Roman" w:hAnsi="Times New Roman" w:eastAsia="宋体" w:cs="Times New Roman"/>
                <w:color w:val="000000" w:themeColor="text1"/>
                <w:sz w:val="21"/>
                <w:szCs w:val="21"/>
                <w14:textFill>
                  <w14:solidFill>
                    <w14:schemeClr w14:val="tx1"/>
                  </w14:solidFill>
                </w14:textFill>
              </w:rPr>
              <w:t>求</w:t>
            </w:r>
          </w:p>
        </w:tc>
        <w:tc>
          <w:tcPr>
            <w:tcW w:w="494" w:type="pct"/>
            <w:vMerge w:val="restart"/>
            <w:noWrap w:val="0"/>
            <w:vAlign w:val="center"/>
          </w:tcPr>
          <w:p w14:paraId="71A1B547">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A4.1水</w:t>
            </w:r>
          </w:p>
          <w:p w14:paraId="1299B325">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资源</w:t>
            </w:r>
          </w:p>
        </w:tc>
        <w:tc>
          <w:tcPr>
            <w:tcW w:w="3517" w:type="pct"/>
            <w:noWrap w:val="0"/>
            <w:vAlign w:val="center"/>
          </w:tcPr>
          <w:p w14:paraId="41579B22">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〔A4.1-1〕自治区用水总量2025年、2030年控制在国家下达的</w:t>
            </w:r>
            <w:r>
              <w:rPr>
                <w:rFonts w:hint="default" w:ascii="Times New Roman" w:hAnsi="Times New Roman" w:eastAsia="宋体" w:cs="Times New Roman"/>
                <w:color w:val="000000" w:themeColor="text1"/>
                <w:sz w:val="21"/>
                <w:szCs w:val="21"/>
                <w14:textFill>
                  <w14:solidFill>
                    <w14:schemeClr w14:val="tx1"/>
                  </w14:solidFill>
                </w14:textFill>
              </w:rPr>
              <w:t>指标内。</w:t>
            </w:r>
          </w:p>
        </w:tc>
        <w:tc>
          <w:tcPr>
            <w:tcW w:w="591" w:type="pct"/>
            <w:vMerge w:val="restart"/>
            <w:noWrap w:val="0"/>
            <w:vAlign w:val="center"/>
          </w:tcPr>
          <w:p w14:paraId="7D30B9B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项目选址于</w:t>
            </w:r>
            <w:r>
              <w:rPr>
                <w:rFonts w:hint="eastAsia" w:ascii="Times New Roman" w:hAnsi="Times New Roman" w:cs="Times New Roman"/>
                <w:b w:val="0"/>
                <w:bCs w:val="0"/>
                <w:color w:val="000000" w:themeColor="text1"/>
                <w:spacing w:val="-6"/>
                <w:sz w:val="21"/>
                <w:szCs w:val="21"/>
                <w:lang w:val="en-US" w:eastAsia="zh-CN"/>
                <w14:textFill>
                  <w14:solidFill>
                    <w14:schemeClr w14:val="tx1"/>
                  </w14:solidFill>
                </w14:textFill>
              </w:rPr>
              <w:t>哈密市伊州区</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，不涉及上述所列区域</w:t>
            </w:r>
            <w:r>
              <w:rPr>
                <w:rFonts w:hint="eastAsia" w:eastAsia="宋体" w:cs="Times New Roman"/>
                <w:b w:val="0"/>
                <w:bCs w:val="0"/>
                <w:color w:val="000000" w:themeColor="text1"/>
                <w:spacing w:val="-6"/>
                <w:sz w:val="21"/>
                <w:szCs w:val="21"/>
                <w:lang w:val="en-US" w:eastAsia="zh-CN"/>
                <w14:textFill>
                  <w14:solidFill>
                    <w14:schemeClr w14:val="tx1"/>
                  </w14:solidFill>
                </w14:textFill>
              </w:rPr>
              <w:t>。</w:t>
            </w:r>
          </w:p>
        </w:tc>
      </w:tr>
      <w:tr w14:paraId="7F05D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06E348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3BA9AE7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27F1C45E">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〔A4.1-2〕加大城镇污水再生利用工程建设力度，推进区域再生水</w:t>
            </w:r>
            <w:r>
              <w:rPr>
                <w:rFonts w:hint="default" w:ascii="Times New Roman" w:hAnsi="Times New Roman" w:eastAsia="宋体" w:cs="Times New Roman"/>
                <w:color w:val="000000" w:themeColor="text1"/>
                <w:sz w:val="21"/>
                <w:szCs w:val="21"/>
                <w14:textFill>
                  <w14:solidFill>
                    <w14:schemeClr w14:val="tx1"/>
                  </w14:solidFill>
                </w14:textFill>
              </w:rPr>
              <w:t>循环利用，到2025年，城市生活污水再生利用率力争达到60%。</w:t>
            </w:r>
          </w:p>
          <w:p w14:paraId="4B8C08A9">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〔A4.1-3〕加强农村水利基础设施建设，推进农村供水保障工程</w:t>
            </w:r>
            <w:r>
              <w:rPr>
                <w:rFonts w:hint="default" w:ascii="Times New Roman" w:hAnsi="Times New Roman" w:eastAsia="宋体" w:cs="Times New Roman"/>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农村自来水普及率、集中供水率分别达到99.</w:t>
            </w:r>
            <w:r>
              <w:rPr>
                <w:rFonts w:hint="default" w:ascii="Times New Roman" w:hAnsi="Times New Roman" w:eastAsia="宋体" w:cs="Times New Roman"/>
                <w:color w:val="000000" w:themeColor="text1"/>
                <w:spacing w:val="-1"/>
                <w:sz w:val="21"/>
                <w:szCs w:val="21"/>
                <w14:textFill>
                  <w14:solidFill>
                    <w14:schemeClr w14:val="tx1"/>
                  </w14:solidFill>
                </w14:textFill>
              </w:rPr>
              <w:t>3%、99.7%。</w:t>
            </w:r>
          </w:p>
        </w:tc>
        <w:tc>
          <w:tcPr>
            <w:tcW w:w="591" w:type="pct"/>
            <w:vMerge w:val="continue"/>
            <w:noWrap w:val="0"/>
            <w:vAlign w:val="center"/>
          </w:tcPr>
          <w:p w14:paraId="7CA9739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0EE7C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40D601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5B34D91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090CB441">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〔A4.1-4〕地下水资源利用实行总量控制和水位控制。取用地下水</w:t>
            </w:r>
            <w:r>
              <w:rPr>
                <w:rFonts w:hint="default" w:ascii="Times New Roman" w:hAnsi="Times New Roman" w:eastAsia="宋体" w:cs="Times New Roman"/>
                <w:color w:val="000000" w:themeColor="text1"/>
                <w:spacing w:val="1"/>
                <w:sz w:val="21"/>
                <w:szCs w:val="21"/>
                <w14:textFill>
                  <w14:solidFill>
                    <w14:schemeClr w14:val="tx1"/>
                  </w14:solidFill>
                </w14:textFill>
              </w:rPr>
              <w:t>资源，应当按照国家和自治区有关规定申请取水许可。地下水利用</w:t>
            </w:r>
            <w:r>
              <w:rPr>
                <w:rFonts w:hint="default" w:ascii="Times New Roman" w:hAnsi="Times New Roman" w:eastAsia="宋体" w:cs="Times New Roman"/>
                <w:color w:val="000000" w:themeColor="text1"/>
                <w:sz w:val="21"/>
                <w:szCs w:val="21"/>
                <w14:textFill>
                  <w14:solidFill>
                    <w14:schemeClr w14:val="tx1"/>
                  </w14:solidFill>
                </w14:textFill>
              </w:rPr>
              <w:t>应当以浅层地下水为主。</w:t>
            </w:r>
          </w:p>
        </w:tc>
        <w:tc>
          <w:tcPr>
            <w:tcW w:w="591" w:type="pct"/>
            <w:vMerge w:val="continue"/>
            <w:noWrap w:val="0"/>
            <w:vAlign w:val="center"/>
          </w:tcPr>
          <w:p w14:paraId="2D8F48E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69EEA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CAA655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noWrap w:val="0"/>
            <w:vAlign w:val="center"/>
          </w:tcPr>
          <w:p w14:paraId="0BEEF3B6">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A4.2土</w:t>
            </w:r>
            <w:r>
              <w:rPr>
                <w:rFonts w:hint="default" w:ascii="Times New Roman" w:hAnsi="Times New Roman" w:eastAsia="宋体" w:cs="Times New Roman"/>
                <w:color w:val="000000" w:themeColor="text1"/>
                <w:spacing w:val="-3"/>
                <w:sz w:val="21"/>
                <w:szCs w:val="21"/>
                <w14:textFill>
                  <w14:solidFill>
                    <w14:schemeClr w14:val="tx1"/>
                  </w14:solidFill>
                </w14:textFill>
              </w:rPr>
              <w:t>地资源</w:t>
            </w:r>
          </w:p>
        </w:tc>
        <w:tc>
          <w:tcPr>
            <w:tcW w:w="3517" w:type="pct"/>
            <w:noWrap w:val="0"/>
            <w:vAlign w:val="center"/>
          </w:tcPr>
          <w:p w14:paraId="4175C5CE">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〔A4.2-1〕土地资源上线指标控制在最终批复的国土空间规划控制</w:t>
            </w:r>
            <w:r>
              <w:rPr>
                <w:rFonts w:hint="default" w:ascii="Times New Roman" w:hAnsi="Times New Roman" w:eastAsia="宋体" w:cs="Times New Roman"/>
                <w:color w:val="000000" w:themeColor="text1"/>
                <w:sz w:val="21"/>
                <w:szCs w:val="21"/>
                <w14:textFill>
                  <w14:solidFill>
                    <w14:schemeClr w14:val="tx1"/>
                  </w14:solidFill>
                </w14:textFill>
              </w:rPr>
              <w:t>指标内。</w:t>
            </w:r>
          </w:p>
        </w:tc>
        <w:tc>
          <w:tcPr>
            <w:tcW w:w="591" w:type="pct"/>
            <w:noWrap w:val="0"/>
            <w:vAlign w:val="center"/>
          </w:tcPr>
          <w:p w14:paraId="69A33FC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eastAsia" w:eastAsia="宋体" w:cs="Times New Roman"/>
                <w:b w:val="0"/>
                <w:bCs w:val="0"/>
                <w:color w:val="000000" w:themeColor="text1"/>
                <w:spacing w:val="-6"/>
                <w:sz w:val="21"/>
                <w:szCs w:val="21"/>
                <w:lang w:val="en-US" w:eastAsia="zh-CN"/>
                <w14:textFill>
                  <w14:solidFill>
                    <w14:schemeClr w14:val="tx1"/>
                  </w14:solidFill>
                </w14:textFill>
              </w:rPr>
              <w:t>用地符合要求</w:t>
            </w:r>
          </w:p>
        </w:tc>
      </w:tr>
      <w:tr w14:paraId="5264D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66AE799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restart"/>
            <w:noWrap w:val="0"/>
            <w:vAlign w:val="center"/>
          </w:tcPr>
          <w:p w14:paraId="716724FF">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A4.3能</w:t>
            </w:r>
            <w:r>
              <w:rPr>
                <w:rFonts w:hint="default" w:ascii="Times New Roman" w:hAnsi="Times New Roman" w:eastAsia="宋体" w:cs="Times New Roman"/>
                <w:color w:val="000000" w:themeColor="text1"/>
                <w:spacing w:val="9"/>
                <w:sz w:val="21"/>
                <w:szCs w:val="21"/>
                <w14:textFill>
                  <w14:solidFill>
                    <w14:schemeClr w14:val="tx1"/>
                  </w14:solidFill>
                </w14:textFill>
              </w:rPr>
              <w:t>源</w:t>
            </w:r>
            <w:r>
              <w:rPr>
                <w:rFonts w:hint="default" w:ascii="Times New Roman" w:hAnsi="Times New Roman" w:eastAsia="宋体" w:cs="Times New Roman"/>
                <w:color w:val="000000" w:themeColor="text1"/>
                <w:spacing w:val="4"/>
                <w:sz w:val="21"/>
                <w:szCs w:val="21"/>
                <w14:textFill>
                  <w14:solidFill>
                    <w14:schemeClr w14:val="tx1"/>
                  </w14:solidFill>
                </w14:textFill>
              </w:rPr>
              <w:t>利用</w:t>
            </w:r>
          </w:p>
        </w:tc>
        <w:tc>
          <w:tcPr>
            <w:tcW w:w="3517" w:type="pct"/>
            <w:noWrap w:val="0"/>
            <w:vAlign w:val="center"/>
          </w:tcPr>
          <w:p w14:paraId="3ADDBC3A">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〔A4.3-1〕单位地区生产总值二氧化碳排放降低水平完成国家下达</w:t>
            </w:r>
            <w:r>
              <w:rPr>
                <w:rFonts w:hint="default" w:ascii="Times New Roman" w:hAnsi="Times New Roman" w:eastAsia="宋体" w:cs="Times New Roman"/>
                <w:color w:val="000000" w:themeColor="text1"/>
                <w:spacing w:val="-1"/>
                <w:sz w:val="21"/>
                <w:szCs w:val="21"/>
                <w14:textFill>
                  <w14:solidFill>
                    <w14:schemeClr w14:val="tx1"/>
                  </w14:solidFill>
                </w14:textFill>
              </w:rPr>
              <w:t>指标。</w:t>
            </w:r>
          </w:p>
          <w:p w14:paraId="7C0AF3F1">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〔A4.3-2〕到2025年，自治区万元国内生产总值能耗比</w:t>
            </w:r>
            <w:r>
              <w:rPr>
                <w:rFonts w:hint="default" w:ascii="Times New Roman" w:hAnsi="Times New Roman" w:eastAsia="宋体" w:cs="Times New Roman"/>
                <w:color w:val="000000" w:themeColor="text1"/>
                <w:spacing w:val="3"/>
                <w:sz w:val="21"/>
                <w:szCs w:val="21"/>
                <w14:textFill>
                  <w14:solidFill>
                    <w14:schemeClr w14:val="tx1"/>
                  </w14:solidFill>
                </w14:textFill>
              </w:rPr>
              <w:t>2020年下</w:t>
            </w:r>
            <w:r>
              <w:rPr>
                <w:rFonts w:hint="default" w:ascii="Times New Roman" w:hAnsi="Times New Roman" w:eastAsia="宋体" w:cs="Times New Roman"/>
                <w:color w:val="000000" w:themeColor="text1"/>
                <w:spacing w:val="1"/>
                <w:sz w:val="21"/>
                <w:szCs w:val="21"/>
                <w14:textFill>
                  <w14:solidFill>
                    <w14:schemeClr w14:val="tx1"/>
                  </w14:solidFill>
                </w14:textFill>
              </w:rPr>
              <w:t>降14.5%。</w:t>
            </w:r>
          </w:p>
          <w:p w14:paraId="446F4961">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〔A4.3-3〕到2025年，非化石能源占一次能源消费比重达18%以上。</w:t>
            </w:r>
          </w:p>
        </w:tc>
        <w:tc>
          <w:tcPr>
            <w:tcW w:w="591" w:type="pct"/>
            <w:vMerge w:val="restart"/>
            <w:noWrap w:val="0"/>
            <w:vAlign w:val="center"/>
          </w:tcPr>
          <w:p w14:paraId="3EE9F48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eastAsia" w:cs="Times New Roman"/>
                <w:b w:val="0"/>
                <w:bCs w:val="0"/>
                <w:color w:val="000000" w:themeColor="text1"/>
                <w:spacing w:val="-6"/>
                <w:sz w:val="21"/>
                <w:szCs w:val="21"/>
                <w:highlight w:val="no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能源均采用电力，</w:t>
            </w:r>
            <w:r>
              <w:rPr>
                <w:rFonts w:hint="eastAsia" w:cs="Times New Roman"/>
                <w:b w:val="0"/>
                <w:bCs w:val="0"/>
                <w:color w:val="000000" w:themeColor="text1"/>
                <w:spacing w:val="-6"/>
                <w:sz w:val="21"/>
                <w:szCs w:val="21"/>
                <w:highlight w:val="none"/>
                <w:lang w:val="en-US" w:eastAsia="zh-CN"/>
                <w14:textFill>
                  <w14:solidFill>
                    <w14:schemeClr w14:val="tx1"/>
                  </w14:solidFill>
                </w14:textFill>
              </w:rPr>
              <w:t>属清洁能源，不涉及燃煤工序，</w:t>
            </w:r>
            <w:r>
              <w:rPr>
                <w:rFonts w:hint="default"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CO</w:t>
            </w:r>
            <w:r>
              <w:rPr>
                <w:rFonts w:hint="default" w:ascii="Times New Roman" w:hAnsi="Times New Roman" w:eastAsia="宋体" w:cs="Times New Roman"/>
                <w:b w:val="0"/>
                <w:bCs w:val="0"/>
                <w:color w:val="000000" w:themeColor="text1"/>
                <w:spacing w:val="-6"/>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排放</w:t>
            </w:r>
            <w:r>
              <w:rPr>
                <w:rFonts w:hint="eastAsia" w:cs="Times New Roman"/>
                <w:b w:val="0"/>
                <w:bCs w:val="0"/>
                <w:color w:val="000000" w:themeColor="text1"/>
                <w:spacing w:val="-6"/>
                <w:sz w:val="21"/>
                <w:szCs w:val="21"/>
                <w:highlight w:val="none"/>
                <w:lang w:val="en-US" w:eastAsia="zh-CN"/>
                <w14:textFill>
                  <w14:solidFill>
                    <w14:schemeClr w14:val="tx1"/>
                  </w14:solidFill>
                </w14:textFill>
              </w:rPr>
              <w:t>极少</w:t>
            </w:r>
          </w:p>
        </w:tc>
      </w:tr>
      <w:tr w14:paraId="52B97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AC8AE64">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747F76B7">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085B53E3">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〔A4.3-4〕鼓励使用清洁能源或电厂热力、工业余热等替代锅炉、</w:t>
            </w:r>
            <w:r>
              <w:rPr>
                <w:rFonts w:hint="default" w:ascii="Times New Roman" w:hAnsi="Times New Roman" w:eastAsia="宋体" w:cs="Times New Roman"/>
                <w:color w:val="000000" w:themeColor="text1"/>
                <w:spacing w:val="-2"/>
                <w:sz w:val="21"/>
                <w:szCs w:val="21"/>
                <w14:textFill>
                  <w14:solidFill>
                    <w14:schemeClr w14:val="tx1"/>
                  </w14:solidFill>
                </w14:textFill>
              </w:rPr>
              <w:t>炉窑燃料用煤。</w:t>
            </w:r>
          </w:p>
        </w:tc>
        <w:tc>
          <w:tcPr>
            <w:tcW w:w="591" w:type="pct"/>
            <w:vMerge w:val="continue"/>
            <w:noWrap w:val="0"/>
            <w:vAlign w:val="center"/>
          </w:tcPr>
          <w:p w14:paraId="0BF9CB4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2DA75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2A54266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0DB2A83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032DB484">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〔A4.3-5〕以碳达峰碳中和工作为引领，着力提高能源资源利用效</w:t>
            </w:r>
            <w:r>
              <w:rPr>
                <w:rFonts w:hint="default" w:ascii="Times New Roman" w:hAnsi="Times New Roman" w:eastAsia="宋体" w:cs="Times New Roman"/>
                <w:color w:val="000000" w:themeColor="text1"/>
                <w:sz w:val="21"/>
                <w:szCs w:val="21"/>
                <w14:textFill>
                  <w14:solidFill>
                    <w14:schemeClr w14:val="tx1"/>
                  </w14:solidFill>
                </w14:textFill>
              </w:rPr>
              <w:t>率。引导重点行业深入实施清洁生产改造，钢铁、建材、石油化工等重点行业以及其他行业重点用能单位持续开展节能降</w:t>
            </w:r>
            <w:r>
              <w:rPr>
                <w:rFonts w:hint="default" w:ascii="Times New Roman" w:hAnsi="Times New Roman" w:eastAsia="宋体" w:cs="Times New Roman"/>
                <w:color w:val="000000" w:themeColor="text1"/>
                <w:spacing w:val="-1"/>
                <w:sz w:val="21"/>
                <w:szCs w:val="21"/>
                <w14:textFill>
                  <w14:solidFill>
                    <w14:schemeClr w14:val="tx1"/>
                  </w14:solidFill>
                </w14:textFill>
              </w:rPr>
              <w:t>耗。</w:t>
            </w:r>
          </w:p>
        </w:tc>
        <w:tc>
          <w:tcPr>
            <w:tcW w:w="591" w:type="pct"/>
            <w:vMerge w:val="continue"/>
            <w:noWrap w:val="0"/>
            <w:vAlign w:val="center"/>
          </w:tcPr>
          <w:p w14:paraId="6E0E71A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01A7F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7FEE2F3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20B4C8D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37A54E81">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〔A4.3-6〕深入推进碳达峰碳中和行动。推动能源清洁低碳转型，</w:t>
            </w:r>
            <w:r>
              <w:rPr>
                <w:rFonts w:hint="default" w:ascii="Times New Roman" w:hAnsi="Times New Roman" w:eastAsia="宋体" w:cs="Times New Roman"/>
                <w:color w:val="000000" w:themeColor="text1"/>
                <w:spacing w:val="-2"/>
                <w:sz w:val="21"/>
                <w:szCs w:val="21"/>
                <w14:textFill>
                  <w14:solidFill>
                    <w14:schemeClr w14:val="tx1"/>
                  </w14:solidFill>
                </w14:textFill>
              </w:rPr>
              <w:t>加强能耗</w:t>
            </w:r>
            <w:r>
              <w:rPr>
                <w:rFonts w:hint="eastAsia" w:ascii="Times New Roman" w:hAnsi="Times New Roman" w:cs="Times New Roman"/>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2"/>
                <w:sz w:val="21"/>
                <w:szCs w:val="21"/>
                <w14:textFill>
                  <w14:solidFill>
                    <w14:schemeClr w14:val="tx1"/>
                  </w14:solidFill>
                </w14:textFill>
              </w:rPr>
              <w:t>双控</w:t>
            </w:r>
            <w:r>
              <w:rPr>
                <w:rFonts w:hint="eastAsia" w:ascii="Times New Roman" w:hAnsi="Times New Roman" w:cs="Times New Roman"/>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2"/>
                <w:sz w:val="21"/>
                <w:szCs w:val="21"/>
                <w14:textFill>
                  <w14:solidFill>
                    <w14:schemeClr w14:val="tx1"/>
                  </w14:solidFill>
                </w14:textFill>
              </w:rPr>
              <w:t>管理，优化能源消费结构。新增原料用能不纳入能源消费总量控制。持续推进散煤整治。</w:t>
            </w:r>
          </w:p>
        </w:tc>
        <w:tc>
          <w:tcPr>
            <w:tcW w:w="591" w:type="pct"/>
            <w:vMerge w:val="continue"/>
            <w:noWrap w:val="0"/>
            <w:vAlign w:val="center"/>
          </w:tcPr>
          <w:p w14:paraId="04A48A0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53191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30F73816">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noWrap w:val="0"/>
            <w:vAlign w:val="center"/>
          </w:tcPr>
          <w:p w14:paraId="3942F6EC">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A4.4禁</w:t>
            </w:r>
            <w:r>
              <w:rPr>
                <w:rFonts w:hint="default" w:ascii="Times New Roman" w:hAnsi="Times New Roman" w:eastAsia="宋体" w:cs="Times New Roman"/>
                <w:color w:val="000000" w:themeColor="text1"/>
                <w:spacing w:val="4"/>
                <w:sz w:val="21"/>
                <w:szCs w:val="21"/>
                <w14:textFill>
                  <w14:solidFill>
                    <w14:schemeClr w14:val="tx1"/>
                  </w14:solidFill>
                </w14:textFill>
              </w:rPr>
              <w:t>燃区要</w:t>
            </w:r>
            <w:r>
              <w:rPr>
                <w:rFonts w:hint="default" w:ascii="Times New Roman" w:hAnsi="Times New Roman" w:eastAsia="宋体" w:cs="Times New Roman"/>
                <w:color w:val="000000" w:themeColor="text1"/>
                <w:sz w:val="21"/>
                <w:szCs w:val="21"/>
                <w14:textFill>
                  <w14:solidFill>
                    <w14:schemeClr w14:val="tx1"/>
                  </w14:solidFill>
                </w14:textFill>
              </w:rPr>
              <w:t>求</w:t>
            </w:r>
          </w:p>
        </w:tc>
        <w:tc>
          <w:tcPr>
            <w:tcW w:w="3517" w:type="pct"/>
            <w:noWrap w:val="0"/>
            <w:vAlign w:val="center"/>
          </w:tcPr>
          <w:p w14:paraId="483EAD2F">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〔A4.4-1〕在禁燃区内，禁止销售、燃用高污染燃料；禁止新建、</w:t>
            </w:r>
            <w:r>
              <w:rPr>
                <w:rFonts w:hint="default" w:ascii="Times New Roman" w:hAnsi="Times New Roman" w:eastAsia="宋体" w:cs="Times New Roman"/>
                <w:color w:val="000000" w:themeColor="text1"/>
                <w:spacing w:val="-1"/>
                <w:sz w:val="21"/>
                <w:szCs w:val="21"/>
                <w14:textFill>
                  <w14:solidFill>
                    <w14:schemeClr w14:val="tx1"/>
                  </w14:solidFill>
                </w14:textFill>
              </w:rPr>
              <w:t>扩建燃用高污染燃料的设施。已建成的，应当在规定期限内改用清洁能源。</w:t>
            </w:r>
          </w:p>
        </w:tc>
        <w:tc>
          <w:tcPr>
            <w:tcW w:w="591" w:type="pct"/>
            <w:noWrap w:val="0"/>
            <w:vAlign w:val="center"/>
          </w:tcPr>
          <w:p w14:paraId="42CC9BD5">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eastAsia" w:cs="Times New Roman"/>
                <w:b w:val="0"/>
                <w:bCs w:val="0"/>
                <w:color w:val="000000" w:themeColor="text1"/>
                <w:spacing w:val="-6"/>
                <w:sz w:val="21"/>
                <w:szCs w:val="21"/>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采用电力</w:t>
            </w:r>
            <w:r>
              <w:rPr>
                <w:rFonts w:hint="eastAsia" w:eastAsia="宋体" w:cs="Times New Roman"/>
                <w:b w:val="0"/>
                <w:bCs w:val="0"/>
                <w:color w:val="000000" w:themeColor="text1"/>
                <w:spacing w:val="-6"/>
                <w:sz w:val="21"/>
                <w:szCs w:val="21"/>
                <w:lang w:val="en-US" w:eastAsia="zh-CN"/>
                <w14:textFill>
                  <w14:solidFill>
                    <w14:schemeClr w14:val="tx1"/>
                  </w14:solidFill>
                </w14:textFill>
              </w:rPr>
              <w:t>能源，属清洁能源。</w:t>
            </w:r>
          </w:p>
        </w:tc>
      </w:tr>
      <w:tr w14:paraId="072A1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10EE21DE">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restart"/>
            <w:noWrap w:val="0"/>
            <w:vAlign w:val="center"/>
          </w:tcPr>
          <w:p w14:paraId="6B10388D">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A4.5资</w:t>
            </w:r>
            <w:r>
              <w:rPr>
                <w:rFonts w:hint="default" w:ascii="Times New Roman" w:hAnsi="Times New Roman" w:eastAsia="宋体" w:cs="Times New Roman"/>
                <w:color w:val="000000" w:themeColor="text1"/>
                <w:spacing w:val="-2"/>
                <w:sz w:val="21"/>
                <w:szCs w:val="21"/>
                <w14:textFill>
                  <w14:solidFill>
                    <w14:schemeClr w14:val="tx1"/>
                  </w14:solidFill>
                </w14:textFill>
              </w:rPr>
              <w:t>源综合</w:t>
            </w:r>
            <w:r>
              <w:rPr>
                <w:rFonts w:hint="default" w:ascii="Times New Roman" w:hAnsi="Times New Roman" w:eastAsia="宋体" w:cs="Times New Roman"/>
                <w:color w:val="000000" w:themeColor="text1"/>
                <w:spacing w:val="14"/>
                <w:sz w:val="21"/>
                <w:szCs w:val="21"/>
                <w14:textFill>
                  <w14:solidFill>
                    <w14:schemeClr w14:val="tx1"/>
                  </w14:solidFill>
                </w14:textFill>
              </w:rPr>
              <w:t>利用</w:t>
            </w:r>
          </w:p>
        </w:tc>
        <w:tc>
          <w:tcPr>
            <w:tcW w:w="3517" w:type="pct"/>
            <w:noWrap w:val="0"/>
            <w:vAlign w:val="center"/>
          </w:tcPr>
          <w:p w14:paraId="2AD58BAF">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〔A4.5-1〕加强固体废物源头减量、资源化利用和无害化处置，最</w:t>
            </w:r>
            <w:r>
              <w:rPr>
                <w:rFonts w:hint="default" w:ascii="Times New Roman" w:hAnsi="Times New Roman" w:eastAsia="宋体" w:cs="Times New Roman"/>
                <w:color w:val="000000" w:themeColor="text1"/>
                <w:sz w:val="21"/>
                <w:szCs w:val="21"/>
                <w14:textFill>
                  <w14:solidFill>
                    <w14:schemeClr w14:val="tx1"/>
                  </w14:solidFill>
                </w14:textFill>
              </w:rPr>
              <w:t>大限度减少填埋量。推进工业固体废物精细化、名录化环境管</w:t>
            </w:r>
            <w:r>
              <w:rPr>
                <w:rFonts w:hint="default" w:ascii="Times New Roman" w:hAnsi="Times New Roman" w:eastAsia="宋体" w:cs="Times New Roman"/>
                <w:color w:val="000000" w:themeColor="text1"/>
                <w:spacing w:val="-1"/>
                <w:sz w:val="21"/>
                <w:szCs w:val="21"/>
                <w14:textFill>
                  <w14:solidFill>
                    <w14:schemeClr w14:val="tx1"/>
                  </w14:solidFill>
                </w14:textFill>
              </w:rPr>
              <w:t>理，</w:t>
            </w:r>
            <w:r>
              <w:rPr>
                <w:rFonts w:hint="default" w:ascii="Times New Roman" w:hAnsi="Times New Roman" w:eastAsia="宋体" w:cs="Times New Roman"/>
                <w:color w:val="000000" w:themeColor="text1"/>
                <w:spacing w:val="-2"/>
                <w:sz w:val="21"/>
                <w:szCs w:val="21"/>
                <w14:textFill>
                  <w14:solidFill>
                    <w14:schemeClr w14:val="tx1"/>
                  </w14:solidFill>
                </w14:textFill>
              </w:rPr>
              <w:t>促进大宗工业固废综合利用、主要农业废弃物全量利用。加快</w:t>
            </w:r>
            <w:r>
              <w:rPr>
                <w:rFonts w:hint="eastAsia" w:ascii="Times New Roman" w:hAnsi="Times New Roman" w:cs="Times New Roman"/>
                <w:color w:val="000000" w:themeColor="text1"/>
                <w:spacing w:val="-2"/>
                <w:sz w:val="21"/>
                <w:szCs w:val="21"/>
                <w:lang w:eastAsia="zh-CN"/>
                <w14:textFill>
                  <w14:solidFill>
                    <w14:schemeClr w14:val="tx1"/>
                  </w14:solidFill>
                </w14:textFill>
              </w:rPr>
              <w:t>构建</w:t>
            </w:r>
            <w:r>
              <w:rPr>
                <w:rFonts w:hint="default" w:ascii="Times New Roman" w:hAnsi="Times New Roman" w:eastAsia="宋体" w:cs="Times New Roman"/>
                <w:color w:val="000000" w:themeColor="text1"/>
                <w:spacing w:val="-1"/>
                <w:sz w:val="21"/>
                <w:szCs w:val="21"/>
                <w14:textFill>
                  <w14:solidFill>
                    <w14:schemeClr w14:val="tx1"/>
                  </w14:solidFill>
                </w14:textFill>
              </w:rPr>
              <w:t>废旧物资回收和循环利用体系，健全强制报废制度和废旧家电</w:t>
            </w:r>
            <w:r>
              <w:rPr>
                <w:rFonts w:hint="default" w:ascii="Times New Roman" w:hAnsi="Times New Roman" w:eastAsia="宋体" w:cs="Times New Roman"/>
                <w:color w:val="000000" w:themeColor="text1"/>
                <w:spacing w:val="-2"/>
                <w:sz w:val="21"/>
                <w:szCs w:val="21"/>
                <w14:textFill>
                  <w14:solidFill>
                    <w14:schemeClr w14:val="tx1"/>
                  </w14:solidFill>
                </w14:textFill>
              </w:rPr>
              <w:t>、消</w:t>
            </w:r>
            <w:r>
              <w:rPr>
                <w:rFonts w:hint="default" w:ascii="Times New Roman" w:hAnsi="Times New Roman" w:eastAsia="宋体" w:cs="Times New Roman"/>
                <w:color w:val="000000" w:themeColor="text1"/>
                <w:spacing w:val="-1"/>
                <w:sz w:val="21"/>
                <w:szCs w:val="21"/>
                <w14:textFill>
                  <w14:solidFill>
                    <w14:schemeClr w14:val="tx1"/>
                  </w14:solidFill>
                </w14:textFill>
              </w:rPr>
              <w:t>费电子等耐用消费品回收处理体系，推行生产企业</w:t>
            </w:r>
            <w:r>
              <w:rPr>
                <w:rFonts w:hint="eastAsia"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逆向回收</w:t>
            </w:r>
            <w:r>
              <w:rPr>
                <w:rFonts w:hint="eastAsia"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等</w:t>
            </w:r>
            <w:r>
              <w:rPr>
                <w:rFonts w:hint="default" w:ascii="Times New Roman" w:hAnsi="Times New Roman" w:eastAsia="宋体" w:cs="Times New Roman"/>
                <w:color w:val="000000" w:themeColor="text1"/>
                <w:spacing w:val="-2"/>
                <w:sz w:val="21"/>
                <w:szCs w:val="21"/>
                <w14:textFill>
                  <w14:solidFill>
                    <w14:schemeClr w14:val="tx1"/>
                  </w14:solidFill>
                </w14:textFill>
              </w:rPr>
              <w:t>模式。以尾矿和共伴生矿、煤矸石、炉渣、粉煤灰、脱硫石膏、冶炼渣、建筑垃圾等为重点，持续推进固体废物综合利用和环境整治，</w:t>
            </w:r>
            <w:r>
              <w:rPr>
                <w:rFonts w:hint="default" w:ascii="Times New Roman" w:hAnsi="Times New Roman" w:eastAsia="宋体" w:cs="Times New Roman"/>
                <w:color w:val="000000" w:themeColor="text1"/>
                <w:spacing w:val="-1"/>
                <w:sz w:val="21"/>
                <w:szCs w:val="21"/>
                <w14:textFill>
                  <w14:solidFill>
                    <w14:schemeClr w14:val="tx1"/>
                  </w14:solidFill>
                </w14:textFill>
              </w:rPr>
              <w:t>不断提高大宗固体废物资源化利用水平。推行生活</w:t>
            </w:r>
            <w:r>
              <w:rPr>
                <w:rFonts w:hint="default" w:ascii="Times New Roman" w:hAnsi="Times New Roman" w:eastAsia="宋体" w:cs="Times New Roman"/>
                <w:color w:val="000000" w:themeColor="text1"/>
                <w:spacing w:val="-2"/>
                <w:sz w:val="21"/>
                <w:szCs w:val="21"/>
                <w14:textFill>
                  <w14:solidFill>
                    <w14:schemeClr w14:val="tx1"/>
                  </w14:solidFill>
                </w14:textFill>
              </w:rPr>
              <w:t>垃圾分类，加快</w:t>
            </w:r>
            <w:r>
              <w:rPr>
                <w:rFonts w:hint="default" w:ascii="Times New Roman" w:hAnsi="Times New Roman" w:eastAsia="宋体" w:cs="Times New Roman"/>
                <w:color w:val="000000" w:themeColor="text1"/>
                <w:spacing w:val="-1"/>
                <w:sz w:val="21"/>
                <w:szCs w:val="21"/>
                <w14:textFill>
                  <w14:solidFill>
                    <w14:schemeClr w14:val="tx1"/>
                  </w14:solidFill>
                </w14:textFill>
              </w:rPr>
              <w:t>建设县</w:t>
            </w:r>
            <w:r>
              <w:rPr>
                <w:rFonts w:hint="default"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市</w:t>
            </w:r>
            <w:r>
              <w:rPr>
                <w:rFonts w:hint="default"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生活垃圾处理设施，到2025年，全疆城市生活垃圾无</w:t>
            </w:r>
            <w:r>
              <w:rPr>
                <w:rFonts w:hint="default" w:ascii="Times New Roman" w:hAnsi="Times New Roman" w:eastAsia="宋体" w:cs="Times New Roman"/>
                <w:color w:val="000000" w:themeColor="text1"/>
                <w:sz w:val="21"/>
                <w:szCs w:val="21"/>
                <w14:textFill>
                  <w14:solidFill>
                    <w14:schemeClr w14:val="tx1"/>
                  </w14:solidFill>
                </w14:textFill>
              </w:rPr>
              <w:t>害化处理率达到99%以上。</w:t>
            </w:r>
          </w:p>
        </w:tc>
        <w:tc>
          <w:tcPr>
            <w:tcW w:w="591" w:type="pct"/>
            <w:vMerge w:val="restart"/>
            <w:noWrap w:val="0"/>
            <w:vAlign w:val="center"/>
          </w:tcPr>
          <w:p w14:paraId="4D2036D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r>
              <w:rPr>
                <w:rFonts w:hint="eastAsia" w:cs="Times New Roman"/>
                <w:b w:val="0"/>
                <w:bCs w:val="0"/>
                <w:color w:val="000000" w:themeColor="text1"/>
                <w:spacing w:val="-6"/>
                <w:sz w:val="21"/>
                <w:szCs w:val="21"/>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产生的</w:t>
            </w:r>
            <w:r>
              <w:rPr>
                <w:rFonts w:hint="default" w:ascii="Times New Roman" w:hAnsi="Times New Roman" w:eastAsia="宋体" w:cs="Times New Roman"/>
                <w:b w:val="0"/>
                <w:bCs w:val="0"/>
                <w:color w:val="000000" w:themeColor="text1"/>
                <w:spacing w:val="-6"/>
                <w:sz w:val="21"/>
                <w:szCs w:val="21"/>
                <w:highlight w:val="none"/>
                <w:lang w:val="en-US" w:eastAsia="zh-CN"/>
                <w14:textFill>
                  <w14:solidFill>
                    <w14:schemeClr w14:val="tx1"/>
                  </w14:solidFill>
                </w14:textFill>
              </w:rPr>
              <w:t>尾矿堆存至尾矿库</w:t>
            </w:r>
            <w:r>
              <w:rPr>
                <w:rFonts w:hint="eastAsia" w:eastAsia="宋体" w:cs="Times New Roman"/>
                <w:b w:val="0"/>
                <w:bCs w:val="0"/>
                <w:color w:val="000000" w:themeColor="text1"/>
                <w:spacing w:val="-6"/>
                <w:sz w:val="21"/>
                <w:szCs w:val="21"/>
                <w:highlight w:val="none"/>
                <w:lang w:val="en-US" w:eastAsia="zh-CN"/>
                <w14:textFill>
                  <w14:solidFill>
                    <w14:schemeClr w14:val="tx1"/>
                  </w14:solidFill>
                </w14:textFill>
              </w:rPr>
              <w:t>，部分综合利用</w:t>
            </w:r>
            <w:r>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t>；生活垃圾集中收集定期拉运填埋处置</w:t>
            </w:r>
            <w:r>
              <w:rPr>
                <w:rFonts w:hint="eastAsia" w:eastAsia="宋体" w:cs="Times New Roman"/>
                <w:b w:val="0"/>
                <w:bCs w:val="0"/>
                <w:color w:val="000000" w:themeColor="text1"/>
                <w:spacing w:val="-6"/>
                <w:sz w:val="21"/>
                <w:szCs w:val="21"/>
                <w:lang w:val="en-US" w:eastAsia="zh-CN"/>
                <w14:textFill>
                  <w14:solidFill>
                    <w14:schemeClr w14:val="tx1"/>
                  </w14:solidFill>
                </w14:textFill>
              </w:rPr>
              <w:t>。</w:t>
            </w:r>
          </w:p>
        </w:tc>
      </w:tr>
      <w:tr w14:paraId="62C89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01B5AC9B">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1A4779E9">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6E938494">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〔A4.5-2〕推动工业固废按元素价值综合开发利用，加快推进尾矿</w:t>
            </w:r>
            <w:r>
              <w:rPr>
                <w:rFonts w:hint="default" w:ascii="Times New Roman" w:hAnsi="Times New Roman" w:cs="Times New Roman"/>
                <w:color w:val="000000" w:themeColor="text1"/>
                <w:spacing w:val="2"/>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共伴生矿</w:t>
            </w:r>
            <w:r>
              <w:rPr>
                <w:rFonts w:hint="default"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、粉煤灰、煤矸石、冶炼渣、工业副产</w:t>
            </w:r>
            <w:r>
              <w:rPr>
                <w:rFonts w:hint="default" w:ascii="Times New Roman" w:hAnsi="Times New Roman" w:eastAsia="宋体" w:cs="Times New Roman"/>
                <w:color w:val="000000" w:themeColor="text1"/>
                <w:sz w:val="21"/>
                <w:szCs w:val="21"/>
                <w14:textFill>
                  <w14:solidFill>
                    <w14:schemeClr w14:val="tx1"/>
                  </w14:solidFill>
                </w14:textFill>
              </w:rPr>
              <w:t>石膏、赤泥、化</w:t>
            </w:r>
            <w:r>
              <w:rPr>
                <w:rFonts w:hint="default" w:ascii="Times New Roman" w:hAnsi="Times New Roman" w:eastAsia="宋体" w:cs="Times New Roman"/>
                <w:color w:val="000000" w:themeColor="text1"/>
                <w:spacing w:val="1"/>
                <w:sz w:val="21"/>
                <w:szCs w:val="21"/>
                <w14:textFill>
                  <w14:solidFill>
                    <w14:schemeClr w14:val="tx1"/>
                  </w14:solidFill>
                </w14:textFill>
              </w:rPr>
              <w:t>工废渣等工业固废在有价组分提取、建材生产、市</w:t>
            </w:r>
            <w:r>
              <w:rPr>
                <w:rFonts w:hint="default" w:ascii="Times New Roman" w:hAnsi="Times New Roman" w:eastAsia="宋体" w:cs="Times New Roman"/>
                <w:color w:val="000000" w:themeColor="text1"/>
                <w:sz w:val="21"/>
                <w:szCs w:val="21"/>
                <w14:textFill>
                  <w14:solidFill>
                    <w14:schemeClr w14:val="tx1"/>
                  </w14:solidFill>
                </w14:textFill>
              </w:rPr>
              <w:t>政设施建设、井</w:t>
            </w:r>
            <w:r>
              <w:rPr>
                <w:rFonts w:hint="default" w:ascii="Times New Roman" w:hAnsi="Times New Roman" w:eastAsia="宋体" w:cs="Times New Roman"/>
                <w:color w:val="000000" w:themeColor="text1"/>
                <w:spacing w:val="1"/>
                <w:sz w:val="21"/>
                <w:szCs w:val="21"/>
                <w14:textFill>
                  <w14:solidFill>
                    <w14:schemeClr w14:val="tx1"/>
                  </w14:solidFill>
                </w14:textFill>
              </w:rPr>
              <w:t>下充填、生态修复、土壤治理等领域的规模化</w:t>
            </w:r>
            <w:r>
              <w:rPr>
                <w:rFonts w:hint="default" w:ascii="Times New Roman" w:hAnsi="Times New Roman" w:eastAsia="宋体" w:cs="Times New Roman"/>
                <w:color w:val="000000" w:themeColor="text1"/>
                <w:sz w:val="21"/>
                <w:szCs w:val="21"/>
                <w14:textFill>
                  <w14:solidFill>
                    <w14:schemeClr w14:val="tx1"/>
                  </w14:solidFill>
                </w14:textFill>
              </w:rPr>
              <w:t>利用。着力提升工业</w:t>
            </w:r>
            <w:r>
              <w:rPr>
                <w:rFonts w:hint="default" w:ascii="Times New Roman" w:hAnsi="Times New Roman" w:eastAsia="宋体" w:cs="Times New Roman"/>
                <w:color w:val="000000" w:themeColor="text1"/>
                <w:spacing w:val="1"/>
                <w:sz w:val="21"/>
                <w:szCs w:val="21"/>
                <w14:textFill>
                  <w14:solidFill>
                    <w14:schemeClr w14:val="tx1"/>
                  </w14:solidFill>
                </w14:textFill>
              </w:rPr>
              <w:t>固废在生产纤维材料、微晶玻璃、超细化填料、低</w:t>
            </w:r>
            <w:r>
              <w:rPr>
                <w:rFonts w:hint="default" w:ascii="Times New Roman" w:hAnsi="Times New Roman" w:eastAsia="宋体" w:cs="Times New Roman"/>
                <w:color w:val="000000" w:themeColor="text1"/>
                <w:sz w:val="21"/>
                <w:szCs w:val="21"/>
                <w14:textFill>
                  <w14:solidFill>
                    <w14:schemeClr w14:val="tx1"/>
                  </w14:solidFill>
                </w14:textFill>
              </w:rPr>
              <w:t>碳水泥、固废基</w:t>
            </w:r>
            <w:r>
              <w:rPr>
                <w:rFonts w:hint="default" w:ascii="Times New Roman" w:hAnsi="Times New Roman" w:eastAsia="宋体" w:cs="Times New Roman"/>
                <w:color w:val="000000" w:themeColor="text1"/>
                <w:spacing w:val="-2"/>
                <w:sz w:val="21"/>
                <w:szCs w:val="21"/>
                <w14:textFill>
                  <w14:solidFill>
                    <w14:schemeClr w14:val="tx1"/>
                  </w14:solidFill>
                </w14:textFill>
              </w:rPr>
              <w:t>高性能混凝土、预制件、节能型建筑材料等领域的高值化利用水平。</w:t>
            </w:r>
          </w:p>
        </w:tc>
        <w:tc>
          <w:tcPr>
            <w:tcW w:w="591" w:type="pct"/>
            <w:vMerge w:val="continue"/>
            <w:noWrap w:val="0"/>
            <w:vAlign w:val="center"/>
          </w:tcPr>
          <w:p w14:paraId="595A698A">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5DAC6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396F5DB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7385D66D">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0AA1E7A9">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〔A4.5-3〕结合工业领域减污降碳要求，加快探索钢铁、有色、化</w:t>
            </w:r>
            <w:r>
              <w:rPr>
                <w:rFonts w:hint="default" w:ascii="Times New Roman" w:hAnsi="Times New Roman" w:eastAsia="宋体" w:cs="Times New Roman"/>
                <w:color w:val="000000" w:themeColor="text1"/>
                <w:sz w:val="21"/>
                <w:szCs w:val="21"/>
                <w14:textFill>
                  <w14:solidFill>
                    <w14:schemeClr w14:val="tx1"/>
                  </w14:solidFill>
                </w14:textFill>
              </w:rPr>
              <w:t>工、建材等重点行业工业固体废物减量化路径，全面推行清洁生产。</w:t>
            </w:r>
            <w:r>
              <w:rPr>
                <w:rFonts w:hint="default" w:ascii="Times New Roman" w:hAnsi="Times New Roman" w:eastAsia="宋体" w:cs="Times New Roman"/>
                <w:color w:val="000000" w:themeColor="text1"/>
                <w:spacing w:val="-1"/>
                <w:sz w:val="21"/>
                <w:szCs w:val="21"/>
                <w14:textFill>
                  <w14:solidFill>
                    <w14:schemeClr w14:val="tx1"/>
                  </w14:solidFill>
                </w14:textFill>
              </w:rPr>
              <w:t>全面推进绿色矿山、</w:t>
            </w:r>
            <w:r>
              <w:rPr>
                <w:rFonts w:hint="eastAsia"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无废</w:t>
            </w:r>
            <w:r>
              <w:rPr>
                <w:rFonts w:hint="eastAsia" w:ascii="Times New Roman" w:hAnsi="Times New Roman" w:cs="Times New Roman"/>
                <w:color w:val="000000" w:themeColor="text1"/>
                <w:spacing w:val="-1"/>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14:textFill>
                  <w14:solidFill>
                    <w14:schemeClr w14:val="tx1"/>
                  </w14:solidFill>
                </w14:textFill>
              </w:rPr>
              <w:t>矿区建设，推广尾矿等</w:t>
            </w:r>
            <w:r>
              <w:rPr>
                <w:rFonts w:hint="default" w:ascii="Times New Roman" w:hAnsi="Times New Roman" w:eastAsia="宋体" w:cs="Times New Roman"/>
                <w:color w:val="000000" w:themeColor="text1"/>
                <w:spacing w:val="-2"/>
                <w:sz w:val="21"/>
                <w:szCs w:val="21"/>
                <w14:textFill>
                  <w14:solidFill>
                    <w14:schemeClr w14:val="tx1"/>
                  </w14:solidFill>
                </w14:textFill>
              </w:rPr>
              <w:t>大宗工业固体废</w:t>
            </w:r>
            <w:r>
              <w:rPr>
                <w:rFonts w:hint="default" w:ascii="Times New Roman" w:hAnsi="Times New Roman" w:eastAsia="宋体" w:cs="Times New Roman"/>
                <w:color w:val="000000" w:themeColor="text1"/>
                <w:spacing w:val="3"/>
                <w:sz w:val="21"/>
                <w:szCs w:val="21"/>
                <w14:textFill>
                  <w14:solidFill>
                    <w14:schemeClr w14:val="tx1"/>
                  </w14:solidFill>
                </w14:textFill>
              </w:rPr>
              <w:t>物环境友好型井下充填回填，减少尾矿库贮存量。推动大宗工业固</w:t>
            </w:r>
            <w:r>
              <w:rPr>
                <w:rFonts w:hint="default" w:ascii="Times New Roman" w:hAnsi="Times New Roman" w:eastAsia="宋体" w:cs="Times New Roman"/>
                <w:color w:val="000000" w:themeColor="text1"/>
                <w:spacing w:val="2"/>
                <w:sz w:val="21"/>
                <w:szCs w:val="21"/>
                <w14:textFill>
                  <w14:solidFill>
                    <w14:schemeClr w14:val="tx1"/>
                  </w14:solidFill>
                </w14:textFill>
              </w:rPr>
              <w:t>体废物在提取有价组分、生产建材、筑路、生态修复、土壤治理等</w:t>
            </w:r>
            <w:r>
              <w:rPr>
                <w:rFonts w:hint="default" w:ascii="Times New Roman" w:hAnsi="Times New Roman" w:eastAsia="宋体" w:cs="Times New Roman"/>
                <w:color w:val="000000" w:themeColor="text1"/>
                <w:spacing w:val="7"/>
                <w:sz w:val="21"/>
                <w:szCs w:val="21"/>
                <w14:textFill>
                  <w14:solidFill>
                    <w14:schemeClr w14:val="tx1"/>
                  </w14:solidFill>
                </w14:textFill>
              </w:rPr>
              <w:t>领域的规模化利用。</w:t>
            </w:r>
          </w:p>
        </w:tc>
        <w:tc>
          <w:tcPr>
            <w:tcW w:w="591" w:type="pct"/>
            <w:vMerge w:val="continue"/>
            <w:noWrap w:val="0"/>
            <w:vAlign w:val="center"/>
          </w:tcPr>
          <w:p w14:paraId="0918A25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r w14:paraId="0FC22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7" w:type="pct"/>
            <w:vMerge w:val="continue"/>
            <w:noWrap w:val="0"/>
            <w:vAlign w:val="center"/>
          </w:tcPr>
          <w:p w14:paraId="57CC510C">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494" w:type="pct"/>
            <w:vMerge w:val="continue"/>
            <w:noWrap w:val="0"/>
            <w:vAlign w:val="center"/>
          </w:tcPr>
          <w:p w14:paraId="30A103FF">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1"/>
                <w:sz w:val="21"/>
                <w:szCs w:val="21"/>
                <w14:textFill>
                  <w14:solidFill>
                    <w14:schemeClr w14:val="tx1"/>
                  </w14:solidFill>
                </w14:textFill>
              </w:rPr>
            </w:pPr>
          </w:p>
        </w:tc>
        <w:tc>
          <w:tcPr>
            <w:tcW w:w="3517" w:type="pct"/>
            <w:noWrap w:val="0"/>
            <w:vAlign w:val="center"/>
          </w:tcPr>
          <w:p w14:paraId="4AA0E38C">
            <w:pPr>
              <w:pStyle w:val="128"/>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〔A4.5-4〕发展生态种植、生态养殖，建立农业循环经济发展模式，</w:t>
            </w:r>
            <w:r>
              <w:rPr>
                <w:rFonts w:hint="default" w:ascii="Times New Roman" w:hAnsi="Times New Roman" w:eastAsia="宋体" w:cs="Times New Roman"/>
                <w:color w:val="000000" w:themeColor="text1"/>
                <w:spacing w:val="-4"/>
                <w:sz w:val="21"/>
                <w:szCs w:val="21"/>
                <w14:textFill>
                  <w14:solidFill>
                    <w14:schemeClr w14:val="tx1"/>
                  </w14:solidFill>
                </w14:textFill>
              </w:rPr>
              <w:t>促进农业固体废物综合利用。鼓励和引导农民采用增施有机肥秸秆还田、种植绿肥等技术，持续减少化肥农药使用比例。加大畜禽粪</w:t>
            </w:r>
            <w:r>
              <w:rPr>
                <w:rFonts w:hint="default" w:ascii="Times New Roman" w:hAnsi="Times New Roman" w:eastAsia="宋体" w:cs="Times New Roman"/>
                <w:color w:val="000000" w:themeColor="text1"/>
                <w:spacing w:val="-3"/>
                <w:sz w:val="21"/>
                <w:szCs w:val="21"/>
                <w14:textFill>
                  <w14:solidFill>
                    <w14:schemeClr w14:val="tx1"/>
                  </w14:solidFill>
                </w14:textFill>
              </w:rPr>
              <w:t>污和秸秆资源化利用先进技术和新型市场模式的集成推广，推动形成长效运行机制。</w:t>
            </w:r>
          </w:p>
        </w:tc>
        <w:tc>
          <w:tcPr>
            <w:tcW w:w="591" w:type="pct"/>
            <w:vMerge w:val="continue"/>
            <w:noWrap w:val="0"/>
            <w:vAlign w:val="center"/>
          </w:tcPr>
          <w:p w14:paraId="002343B0">
            <w:pPr>
              <w:keepNext w:val="0"/>
              <w:keepLines w:val="0"/>
              <w:pageBreakBefore w:val="0"/>
              <w:widowControl/>
              <w:kinsoku/>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pacing w:val="-6"/>
                <w:sz w:val="21"/>
                <w:szCs w:val="21"/>
                <w:lang w:val="en-US" w:eastAsia="zh-CN"/>
                <w14:textFill>
                  <w14:solidFill>
                    <w14:schemeClr w14:val="tx1"/>
                  </w14:solidFill>
                </w14:textFill>
              </w:rPr>
            </w:pPr>
          </w:p>
        </w:tc>
      </w:tr>
    </w:tbl>
    <w:p w14:paraId="04D1D82B">
      <w:pPr>
        <w:pStyle w:val="41"/>
        <w:spacing w:line="480" w:lineRule="exact"/>
        <w:ind w:firstLine="480"/>
        <w:rPr>
          <w:rFonts w:hint="eastAsia" w:eastAsia="宋体"/>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综上，本项目符合《新疆维吾尔自治区生态环境分区管控动态更新成果》的相关要求。</w:t>
      </w:r>
    </w:p>
    <w:p w14:paraId="516233C2">
      <w:pPr>
        <w:overflowPunct w:val="0"/>
        <w:topLinePunct/>
        <w:ind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与</w:t>
      </w:r>
      <w:r>
        <w:rPr>
          <w:rFonts w:hint="eastAsia"/>
          <w:color w:val="000000" w:themeColor="text1"/>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哈密市生态环境准入清单（2024版）</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的</w:t>
      </w:r>
      <w:r>
        <w:rPr>
          <w:rFonts w:hint="eastAsia" w:ascii="宋体" w:hAnsi="宋体" w:eastAsia="宋体"/>
          <w:color w:val="000000" w:themeColor="text1"/>
          <w:sz w:val="24"/>
          <w:szCs w:val="24"/>
          <w14:textFill>
            <w14:solidFill>
              <w14:schemeClr w14:val="tx1"/>
            </w14:solidFill>
          </w14:textFill>
        </w:rPr>
        <w:t>符合性</w:t>
      </w:r>
    </w:p>
    <w:p w14:paraId="787FACAC">
      <w:pPr>
        <w:pStyle w:val="41"/>
        <w:spacing w:line="480" w:lineRule="exact"/>
        <w:ind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根据</w:t>
      </w:r>
      <w:r>
        <w:rPr>
          <w:rFonts w:hint="eastAsia"/>
          <w:color w:val="000000" w:themeColor="text1"/>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哈密市生态环境准入清单（2024版）</w:t>
      </w:r>
      <w:r>
        <w:rPr>
          <w:rFonts w:hint="eastAsia"/>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，项目位于</w:t>
      </w:r>
      <w:r>
        <w:rPr>
          <w:rFonts w:hint="eastAsia" w:cs="Times New Roman"/>
          <w:color w:val="000000" w:themeColor="text1"/>
          <w:highlight w:val="none"/>
          <w:lang w:val="en-US" w:eastAsia="zh-CN"/>
          <w14:textFill>
            <w14:solidFill>
              <w14:schemeClr w14:val="tx1"/>
            </w14:solidFill>
          </w14:textFill>
        </w:rPr>
        <w:t>哈密市环境管控单元中的</w:t>
      </w:r>
      <w:r>
        <w:rPr>
          <w:rFonts w:hint="eastAsia"/>
          <w:color w:val="000000" w:themeColor="text1"/>
          <w:kern w:val="10"/>
          <w:sz w:val="24"/>
          <w:szCs w:val="24"/>
          <w:highlight w:val="none"/>
          <w:lang w:eastAsia="zh-CN"/>
          <w14:textFill>
            <w14:solidFill>
              <w14:schemeClr w14:val="tx1"/>
            </w14:solidFill>
          </w14:textFill>
        </w:rPr>
        <w:t>一般</w:t>
      </w:r>
      <w:r>
        <w:rPr>
          <w:rFonts w:hint="eastAsia"/>
          <w:color w:val="000000" w:themeColor="text1"/>
          <w:kern w:val="10"/>
          <w:sz w:val="24"/>
          <w:szCs w:val="24"/>
          <w:highlight w:val="none"/>
          <w14:textFill>
            <w14:solidFill>
              <w14:schemeClr w14:val="tx1"/>
            </w14:solidFill>
          </w14:textFill>
        </w:rPr>
        <w:t>管控单元（伊州区雅满苏镇一般管控单元</w:t>
      </w:r>
      <w:r>
        <w:rPr>
          <w:rFonts w:hint="eastAsia"/>
          <w:color w:val="000000" w:themeColor="text1"/>
          <w:kern w:val="10"/>
          <w:sz w:val="24"/>
          <w:szCs w:val="24"/>
          <w:highlight w:val="none"/>
          <w:lang w:eastAsia="zh-CN"/>
          <w14:textFill>
            <w14:solidFill>
              <w14:schemeClr w14:val="tx1"/>
            </w14:solidFill>
          </w14:textFill>
        </w:rPr>
        <w:t>，</w:t>
      </w:r>
      <w:r>
        <w:rPr>
          <w:rFonts w:hint="eastAsia"/>
          <w:color w:val="000000" w:themeColor="text1"/>
          <w:kern w:val="10"/>
          <w:sz w:val="24"/>
          <w:szCs w:val="24"/>
          <w:highlight w:val="none"/>
          <w14:textFill>
            <w14:solidFill>
              <w14:schemeClr w14:val="tx1"/>
            </w14:solidFill>
          </w14:textFill>
        </w:rPr>
        <w:t>环境管控单元编码：</w:t>
      </w:r>
      <w:r>
        <w:rPr>
          <w:rFonts w:hint="eastAsia"/>
          <w:color w:val="000000" w:themeColor="text1"/>
          <w:kern w:val="10"/>
          <w:sz w:val="24"/>
          <w:szCs w:val="24"/>
          <w:highlight w:val="none"/>
          <w:lang w:eastAsia="zh-CN"/>
          <w14:textFill>
            <w14:solidFill>
              <w14:schemeClr w14:val="tx1"/>
            </w14:solidFill>
          </w14:textFill>
        </w:rPr>
        <w:t>ZH6505023001</w:t>
      </w:r>
      <w:r>
        <w:rPr>
          <w:rFonts w:hint="eastAsia"/>
          <w:color w:val="000000" w:themeColor="text1"/>
          <w:kern w:val="10"/>
          <w:sz w:val="24"/>
          <w:szCs w:val="24"/>
          <w:highlight w:val="none"/>
          <w:lang w:val="en-US" w:eastAsia="zh-CN"/>
          <w14:textFill>
            <w14:solidFill>
              <w14:schemeClr w14:val="tx1"/>
            </w14:solidFill>
          </w14:textFill>
        </w:rPr>
        <w:t>2</w:t>
      </w:r>
      <w:r>
        <w:rPr>
          <w:rFonts w:hint="eastAsia"/>
          <w:color w:val="000000" w:themeColor="text1"/>
          <w:kern w:val="10"/>
          <w:sz w:val="24"/>
          <w:szCs w:val="24"/>
          <w:highlight w:val="none"/>
          <w14:textFill>
            <w14:solidFill>
              <w14:schemeClr w14:val="tx1"/>
            </w14:solidFill>
          </w14:textFill>
        </w:rPr>
        <w:t>）</w:t>
      </w:r>
      <w:r>
        <w:rPr>
          <w:rFonts w:hint="eastAsia"/>
          <w:color w:val="000000" w:themeColor="text1"/>
          <w:kern w:val="10"/>
          <w:sz w:val="24"/>
          <w:szCs w:val="24"/>
          <w14:textFill>
            <w14:solidFill>
              <w14:schemeClr w14:val="tx1"/>
            </w14:solidFill>
          </w14:textFill>
        </w:rPr>
        <w:t>。</w:t>
      </w:r>
      <w:r>
        <w:rPr>
          <w:rFonts w:hint="eastAsia"/>
          <w:color w:val="000000" w:themeColor="text1"/>
          <w:kern w:val="10"/>
          <w:sz w:val="24"/>
          <w:szCs w:val="24"/>
          <w:lang w:val="en-US" w:eastAsia="zh-CN"/>
          <w14:textFill>
            <w14:solidFill>
              <w14:schemeClr w14:val="tx1"/>
            </w14:solidFill>
          </w14:textFill>
        </w:rPr>
        <w:t>本项目与</w:t>
      </w:r>
      <w:r>
        <w:rPr>
          <w:rFonts w:hint="eastAsia"/>
          <w:color w:val="000000" w:themeColor="text1"/>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哈密市生态环境准入清单（2024版）</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的</w:t>
      </w:r>
      <w:r>
        <w:rPr>
          <w:rFonts w:hint="eastAsia"/>
          <w:color w:val="000000" w:themeColor="text1"/>
          <w:lang w:val="en-US" w:eastAsia="zh-CN"/>
          <w14:textFill>
            <w14:solidFill>
              <w14:schemeClr w14:val="tx1"/>
            </w14:solidFill>
          </w14:textFill>
        </w:rPr>
        <w:t>符合性分析见下表，</w:t>
      </w:r>
      <w:r>
        <w:rPr>
          <w:rFonts w:hint="eastAsia" w:cs="Times New Roman"/>
          <w:color w:val="000000" w:themeColor="text1"/>
          <w:lang w:val="en-US" w:eastAsia="zh-CN"/>
          <w14:textFill>
            <w14:solidFill>
              <w14:schemeClr w14:val="tx1"/>
            </w14:solidFill>
          </w14:textFill>
        </w:rPr>
        <w:t>与哈密市环境管控单元的关系见图1.3-3。</w:t>
      </w:r>
    </w:p>
    <w:p w14:paraId="4595B910">
      <w:pPr>
        <w:pStyle w:val="41"/>
        <w:spacing w:line="480" w:lineRule="exact"/>
        <w:ind w:firstLine="480"/>
        <w:rPr>
          <w:rFonts w:hint="default" w:cs="Times New Roman"/>
          <w:color w:val="000000" w:themeColor="text1"/>
          <w:lang w:val="en-US" w:eastAsia="zh-CN"/>
          <w14:textFill>
            <w14:solidFill>
              <w14:schemeClr w14:val="tx1"/>
            </w14:solidFill>
          </w14:textFill>
        </w:rPr>
      </w:pPr>
    </w:p>
    <w:p w14:paraId="0C3FDC5B">
      <w:pPr>
        <w:keepNext w:val="0"/>
        <w:keepLines w:val="0"/>
        <w:pageBreakBefore w:val="0"/>
        <w:widowControl w:val="0"/>
        <w:kinsoku/>
        <w:wordWrap/>
        <w:overflowPunct w:val="0"/>
        <w:topLinePunct/>
        <w:autoSpaceDE/>
        <w:autoSpaceDN/>
        <w:bidi w:val="0"/>
        <w:adjustRightInd/>
        <w:snapToGrid/>
        <w:ind w:firstLine="0" w:firstLineChars="0"/>
        <w:jc w:val="center"/>
        <w:textAlignment w:val="auto"/>
        <w:rPr>
          <w:rFonts w:hint="eastAsia" w:eastAsia="宋体" w:cs="Times New Roman"/>
          <w:color w:val="000000" w:themeColor="text1"/>
          <w:lang w:val="en-US" w:eastAsia="zh-CN"/>
          <w14:textFill>
            <w14:solidFill>
              <w14:schemeClr w14:val="tx1"/>
            </w14:solidFill>
          </w14:textFill>
        </w:rPr>
      </w:pPr>
      <w:r>
        <w:rPr>
          <w:b/>
          <w:color w:val="000000" w:themeColor="text1"/>
          <w:kern w:val="0"/>
          <w:sz w:val="24"/>
          <w:szCs w:val="24"/>
          <w:lang w:bidi="ar"/>
          <w14:textFill>
            <w14:solidFill>
              <w14:schemeClr w14:val="tx1"/>
            </w14:solidFill>
          </w14:textFill>
        </w:rPr>
        <w:t>表</w:t>
      </w:r>
      <w:r>
        <w:rPr>
          <w:rFonts w:hint="eastAsia"/>
          <w:b/>
          <w:color w:val="000000" w:themeColor="text1"/>
          <w:kern w:val="0"/>
          <w:sz w:val="24"/>
          <w:szCs w:val="24"/>
          <w:lang w:val="en-US" w:eastAsia="zh-CN" w:bidi="ar"/>
          <w14:textFill>
            <w14:solidFill>
              <w14:schemeClr w14:val="tx1"/>
            </w14:solidFill>
          </w14:textFill>
        </w:rPr>
        <w:t>1.3</w:t>
      </w:r>
      <w:r>
        <w:rPr>
          <w:rFonts w:hint="eastAsia"/>
          <w:b/>
          <w:color w:val="000000" w:themeColor="text1"/>
          <w:kern w:val="0"/>
          <w:sz w:val="24"/>
          <w:szCs w:val="24"/>
          <w:lang w:bidi="ar"/>
          <w14:textFill>
            <w14:solidFill>
              <w14:schemeClr w14:val="tx1"/>
            </w14:solidFill>
          </w14:textFill>
        </w:rPr>
        <w:t>-</w:t>
      </w:r>
      <w:r>
        <w:rPr>
          <w:rFonts w:hint="eastAsia"/>
          <w:b/>
          <w:color w:val="000000" w:themeColor="text1"/>
          <w:kern w:val="0"/>
          <w:sz w:val="24"/>
          <w:szCs w:val="24"/>
          <w:lang w:val="en-US" w:eastAsia="zh-CN" w:bidi="ar"/>
          <w14:textFill>
            <w14:solidFill>
              <w14:schemeClr w14:val="tx1"/>
            </w14:solidFill>
          </w14:textFill>
        </w:rPr>
        <w:t>19</w:t>
      </w:r>
      <w:r>
        <w:rPr>
          <w:b/>
          <w:color w:val="000000" w:themeColor="text1"/>
          <w:kern w:val="0"/>
          <w:sz w:val="24"/>
          <w:szCs w:val="24"/>
          <w:lang w:bidi="ar"/>
          <w14:textFill>
            <w14:solidFill>
              <w14:schemeClr w14:val="tx1"/>
            </w14:solidFill>
          </w14:textFill>
        </w:rPr>
        <w:t xml:space="preserve">    </w:t>
      </w:r>
      <w:r>
        <w:rPr>
          <w:rFonts w:hint="eastAsia"/>
          <w:b/>
          <w:color w:val="000000" w:themeColor="text1"/>
          <w:kern w:val="0"/>
          <w:sz w:val="24"/>
          <w:szCs w:val="24"/>
          <w:lang w:val="en-US" w:eastAsia="zh-CN" w:bidi="ar"/>
          <w14:textFill>
            <w14:solidFill>
              <w14:schemeClr w14:val="tx1"/>
            </w14:solidFill>
          </w14:textFill>
        </w:rPr>
        <w:t>本项目</w:t>
      </w:r>
      <w:r>
        <w:rPr>
          <w:b/>
          <w:color w:val="000000" w:themeColor="text1"/>
          <w:kern w:val="0"/>
          <w:sz w:val="24"/>
          <w:szCs w:val="24"/>
          <w:lang w:bidi="ar"/>
          <w14:textFill>
            <w14:solidFill>
              <w14:schemeClr w14:val="tx1"/>
            </w14:solidFill>
          </w14:textFill>
        </w:rPr>
        <w:t>与</w:t>
      </w:r>
      <w:r>
        <w:rPr>
          <w:rFonts w:hint="eastAsia"/>
          <w:b/>
          <w:color w:val="000000" w:themeColor="text1"/>
          <w:kern w:val="0"/>
          <w:sz w:val="24"/>
          <w:szCs w:val="24"/>
          <w:lang w:bidi="ar"/>
          <w14:textFill>
            <w14:solidFill>
              <w14:schemeClr w14:val="tx1"/>
            </w14:solidFill>
          </w14:textFill>
        </w:rPr>
        <w:t>《</w:t>
      </w:r>
      <w:r>
        <w:rPr>
          <w:rFonts w:hint="eastAsia"/>
          <w:b/>
          <w:color w:val="000000" w:themeColor="text1"/>
          <w:kern w:val="0"/>
          <w:sz w:val="24"/>
          <w:szCs w:val="24"/>
          <w:lang w:val="en-US" w:eastAsia="zh-CN" w:bidi="ar"/>
          <w14:textFill>
            <w14:solidFill>
              <w14:schemeClr w14:val="tx1"/>
            </w14:solidFill>
          </w14:textFill>
        </w:rPr>
        <w:t>哈密市生态环境准入清单（2024版）</w:t>
      </w:r>
      <w:r>
        <w:rPr>
          <w:rFonts w:hint="eastAsia"/>
          <w:b/>
          <w:color w:val="000000" w:themeColor="text1"/>
          <w:kern w:val="0"/>
          <w:sz w:val="24"/>
          <w:szCs w:val="24"/>
          <w:lang w:bidi="ar"/>
          <w14:textFill>
            <w14:solidFill>
              <w14:schemeClr w14:val="tx1"/>
            </w14:solidFill>
          </w14:textFill>
        </w:rPr>
        <w:t>》</w:t>
      </w:r>
      <w:r>
        <w:rPr>
          <w:b/>
          <w:color w:val="000000" w:themeColor="text1"/>
          <w:kern w:val="0"/>
          <w:sz w:val="24"/>
          <w:szCs w:val="24"/>
          <w:lang w:bidi="ar"/>
          <w14:textFill>
            <w14:solidFill>
              <w14:schemeClr w14:val="tx1"/>
            </w14:solidFill>
          </w14:textFill>
        </w:rPr>
        <w:t>的相符性</w:t>
      </w:r>
      <w:r>
        <w:rPr>
          <w:rFonts w:hint="eastAsia"/>
          <w:b/>
          <w:color w:val="000000" w:themeColor="text1"/>
          <w:kern w:val="0"/>
          <w:sz w:val="24"/>
          <w:szCs w:val="24"/>
          <w:lang w:val="en-US" w:eastAsia="zh-CN" w:bidi="ar"/>
          <w14:textFill>
            <w14:solidFill>
              <w14:schemeClr w14:val="tx1"/>
            </w14:solidFill>
          </w14:textFill>
        </w:rPr>
        <w:t>分析</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555"/>
        <w:gridCol w:w="759"/>
        <w:gridCol w:w="3515"/>
        <w:gridCol w:w="2466"/>
      </w:tblGrid>
      <w:tr w14:paraId="4BC00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blHeader/>
          <w:jc w:val="center"/>
        </w:trPr>
        <w:tc>
          <w:tcPr>
            <w:tcW w:w="721" w:type="pct"/>
            <w:tcBorders>
              <w:tl2br w:val="nil"/>
              <w:tr2bl w:val="nil"/>
            </w:tcBorders>
            <w:vAlign w:val="center"/>
          </w:tcPr>
          <w:p w14:paraId="2A3FD059">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环境管控单元编码</w:t>
            </w:r>
          </w:p>
        </w:tc>
        <w:tc>
          <w:tcPr>
            <w:tcW w:w="770" w:type="pct"/>
            <w:gridSpan w:val="2"/>
            <w:tcBorders>
              <w:tl2br w:val="nil"/>
              <w:tr2bl w:val="nil"/>
            </w:tcBorders>
            <w:vAlign w:val="center"/>
          </w:tcPr>
          <w:p w14:paraId="281E7CE0">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b/>
                <w:bCs/>
                <w:color w:val="000000" w:themeColor="text1"/>
                <w:kern w:val="0"/>
                <w:sz w:val="21"/>
                <w:szCs w:val="21"/>
                <w:highlight w:val="none"/>
                <w14:textFill>
                  <w14:solidFill>
                    <w14:schemeClr w14:val="tx1"/>
                  </w14:solidFill>
                </w14:textFill>
              </w:rPr>
            </w:pPr>
            <w:r>
              <w:rPr>
                <w:rFonts w:hint="default"/>
                <w:b/>
                <w:bCs/>
                <w:color w:val="000000" w:themeColor="text1"/>
                <w:kern w:val="0"/>
                <w:sz w:val="21"/>
                <w:szCs w:val="21"/>
                <w:highlight w:val="none"/>
                <w14:textFill>
                  <w14:solidFill>
                    <w14:schemeClr w14:val="tx1"/>
                  </w14:solidFill>
                </w14:textFill>
              </w:rPr>
              <w:t>管控类别</w:t>
            </w:r>
          </w:p>
        </w:tc>
        <w:tc>
          <w:tcPr>
            <w:tcW w:w="2061" w:type="pct"/>
            <w:tcBorders>
              <w:tl2br w:val="nil"/>
              <w:tr2bl w:val="nil"/>
            </w:tcBorders>
            <w:vAlign w:val="center"/>
          </w:tcPr>
          <w:p w14:paraId="54304B51">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b/>
                <w:bCs/>
                <w:color w:val="000000" w:themeColor="text1"/>
                <w:kern w:val="0"/>
                <w:sz w:val="21"/>
                <w:szCs w:val="21"/>
                <w:highlight w:val="none"/>
                <w14:textFill>
                  <w14:solidFill>
                    <w14:schemeClr w14:val="tx1"/>
                  </w14:solidFill>
                </w14:textFill>
              </w:rPr>
            </w:pPr>
            <w:r>
              <w:rPr>
                <w:rFonts w:hint="default"/>
                <w:b/>
                <w:bCs/>
                <w:color w:val="000000" w:themeColor="text1"/>
                <w:kern w:val="0"/>
                <w:sz w:val="21"/>
                <w:szCs w:val="21"/>
                <w:highlight w:val="none"/>
                <w14:textFill>
                  <w14:solidFill>
                    <w14:schemeClr w14:val="tx1"/>
                  </w14:solidFill>
                </w14:textFill>
              </w:rPr>
              <w:t>管控要求</w:t>
            </w:r>
          </w:p>
        </w:tc>
        <w:tc>
          <w:tcPr>
            <w:tcW w:w="1446" w:type="pct"/>
            <w:tcBorders>
              <w:tl2br w:val="nil"/>
              <w:tr2bl w:val="nil"/>
            </w:tcBorders>
            <w:vAlign w:val="center"/>
          </w:tcPr>
          <w:p w14:paraId="1265FB4F">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符合性分析</w:t>
            </w:r>
          </w:p>
        </w:tc>
      </w:tr>
      <w:tr w14:paraId="681F6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21" w:type="pct"/>
            <w:vMerge w:val="restart"/>
            <w:tcBorders>
              <w:tl2br w:val="nil"/>
              <w:tr2bl w:val="nil"/>
            </w:tcBorders>
            <w:vAlign w:val="center"/>
          </w:tcPr>
          <w:p w14:paraId="1349C3A2">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ZH6505023001</w:t>
            </w:r>
            <w:r>
              <w:rPr>
                <w:rFonts w:hint="eastAsia"/>
                <w:color w:val="000000" w:themeColor="text1"/>
                <w:kern w:val="0"/>
                <w:sz w:val="21"/>
                <w:szCs w:val="21"/>
                <w:highlight w:val="none"/>
                <w:lang w:val="en-US" w:eastAsia="zh-CN"/>
                <w14:textFill>
                  <w14:solidFill>
                    <w14:schemeClr w14:val="tx1"/>
                  </w14:solidFill>
                </w14:textFill>
              </w:rPr>
              <w:t>2</w:t>
            </w:r>
          </w:p>
        </w:tc>
        <w:tc>
          <w:tcPr>
            <w:tcW w:w="325" w:type="pct"/>
            <w:vMerge w:val="restart"/>
            <w:tcBorders>
              <w:tl2br w:val="nil"/>
              <w:tr2bl w:val="nil"/>
            </w:tcBorders>
            <w:vAlign w:val="center"/>
          </w:tcPr>
          <w:p w14:paraId="352985DA">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伊州区雅满苏镇</w:t>
            </w:r>
            <w:r>
              <w:rPr>
                <w:rFonts w:hint="default"/>
                <w:color w:val="000000" w:themeColor="text1"/>
                <w:kern w:val="0"/>
                <w:sz w:val="21"/>
                <w:szCs w:val="21"/>
                <w:highlight w:val="none"/>
                <w14:textFill>
                  <w14:solidFill>
                    <w14:schemeClr w14:val="tx1"/>
                  </w14:solidFill>
                </w14:textFill>
              </w:rPr>
              <w:t>一般管控单元</w:t>
            </w:r>
          </w:p>
        </w:tc>
        <w:tc>
          <w:tcPr>
            <w:tcW w:w="445" w:type="pct"/>
            <w:tcBorders>
              <w:tl2br w:val="nil"/>
              <w:tr2bl w:val="nil"/>
            </w:tcBorders>
            <w:vAlign w:val="center"/>
          </w:tcPr>
          <w:p w14:paraId="53DA7C04">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空间布局约束</w:t>
            </w:r>
          </w:p>
        </w:tc>
        <w:tc>
          <w:tcPr>
            <w:tcW w:w="2061" w:type="pct"/>
            <w:tcBorders>
              <w:tl2br w:val="nil"/>
              <w:tr2bl w:val="nil"/>
            </w:tcBorders>
            <w:vAlign w:val="center"/>
          </w:tcPr>
          <w:p w14:paraId="2E32C63E">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禁止在邻近基本农田区域新增排放重金属和多环芳烃、石油烃等有机污染物的开发建设活动。拟开发为农用地的，县级人民政府要组织开展土壤环境质量状况评估；不符合标准的，不得种植食用农产品。要加强纳入耕地后备资源的未利用地保护，定期开展巡查。</w:t>
            </w:r>
          </w:p>
        </w:tc>
        <w:tc>
          <w:tcPr>
            <w:tcW w:w="1446" w:type="pct"/>
            <w:tcBorders>
              <w:tl2br w:val="nil"/>
              <w:tr2bl w:val="nil"/>
            </w:tcBorders>
            <w:vAlign w:val="center"/>
          </w:tcPr>
          <w:p w14:paraId="42DDF4E3">
            <w:pPr>
              <w:keepNext w:val="0"/>
              <w:keepLines w:val="0"/>
              <w:suppressLineNumbers w:val="0"/>
              <w:adjustRightInd w:val="0"/>
              <w:snapToGrid w:val="0"/>
              <w:spacing w:before="0" w:beforeAutospacing="0" w:after="0" w:afterAutospacing="0" w:line="360" w:lineRule="exact"/>
              <w:ind w:left="0" w:right="0" w:firstLine="0" w:firstLineChars="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本项目不涉及农用地。</w:t>
            </w:r>
          </w:p>
        </w:tc>
      </w:tr>
      <w:tr w14:paraId="15284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tcBorders>
              <w:tl2br w:val="nil"/>
              <w:tr2bl w:val="nil"/>
            </w:tcBorders>
            <w:vAlign w:val="center"/>
          </w:tcPr>
          <w:p w14:paraId="691B552F">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p>
        </w:tc>
        <w:tc>
          <w:tcPr>
            <w:tcW w:w="325" w:type="pct"/>
            <w:vMerge w:val="continue"/>
            <w:tcBorders>
              <w:tl2br w:val="nil"/>
              <w:tr2bl w:val="nil"/>
            </w:tcBorders>
            <w:vAlign w:val="center"/>
          </w:tcPr>
          <w:p w14:paraId="3EAB5CEF">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p>
        </w:tc>
        <w:tc>
          <w:tcPr>
            <w:tcW w:w="445" w:type="pct"/>
            <w:tcBorders>
              <w:tl2br w:val="nil"/>
              <w:tr2bl w:val="nil"/>
            </w:tcBorders>
            <w:vAlign w:val="center"/>
          </w:tcPr>
          <w:p w14:paraId="01B1D35D">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污染物排放管控</w:t>
            </w:r>
          </w:p>
        </w:tc>
        <w:tc>
          <w:tcPr>
            <w:tcW w:w="2061" w:type="pct"/>
            <w:tcBorders>
              <w:tl2br w:val="nil"/>
              <w:tr2bl w:val="nil"/>
            </w:tcBorders>
            <w:vAlign w:val="center"/>
          </w:tcPr>
          <w:p w14:paraId="5FFEFF19">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执行《哈密市全市总体准入要求》第十六条 关于污染物排放管控的要求；第十八条 关于环境质量管控的要求。执行《山南片区总体准入要求》第八条 关于山南片区水污染物排放管控的要求。</w:t>
            </w:r>
          </w:p>
        </w:tc>
        <w:tc>
          <w:tcPr>
            <w:tcW w:w="1446" w:type="pct"/>
            <w:tcBorders>
              <w:tl2br w:val="nil"/>
              <w:tr2bl w:val="nil"/>
            </w:tcBorders>
            <w:vAlign w:val="center"/>
          </w:tcPr>
          <w:p w14:paraId="397050DF">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本项目不属于重点行业并且</w:t>
            </w:r>
            <w:r>
              <w:rPr>
                <w:rFonts w:hint="eastAsia"/>
                <w:color w:val="000000" w:themeColor="text1"/>
                <w:kern w:val="0"/>
                <w:sz w:val="21"/>
                <w:szCs w:val="21"/>
                <w:highlight w:val="none"/>
                <w:lang w:val="en-US" w:eastAsia="zh-CN"/>
                <w14:textFill>
                  <w14:solidFill>
                    <w14:schemeClr w14:val="tx1"/>
                  </w14:solidFill>
                </w14:textFill>
              </w:rPr>
              <w:t>不涉及燃煤锅炉。项目区周边无地表水体，选矿废水闭路循环，不外排；生活污水达标处理后用于选矿及绿化，废水利用率为100%。</w:t>
            </w:r>
          </w:p>
        </w:tc>
      </w:tr>
      <w:tr w14:paraId="7BC69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tcBorders>
              <w:tl2br w:val="nil"/>
              <w:tr2bl w:val="nil"/>
            </w:tcBorders>
            <w:vAlign w:val="center"/>
          </w:tcPr>
          <w:p w14:paraId="7817FC3B">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p>
        </w:tc>
        <w:tc>
          <w:tcPr>
            <w:tcW w:w="325" w:type="pct"/>
            <w:vMerge w:val="continue"/>
            <w:tcBorders>
              <w:tl2br w:val="nil"/>
              <w:tr2bl w:val="nil"/>
            </w:tcBorders>
            <w:vAlign w:val="center"/>
          </w:tcPr>
          <w:p w14:paraId="2F29272B">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p>
        </w:tc>
        <w:tc>
          <w:tcPr>
            <w:tcW w:w="445" w:type="pct"/>
            <w:tcBorders>
              <w:tl2br w:val="nil"/>
              <w:tr2bl w:val="nil"/>
            </w:tcBorders>
            <w:vAlign w:val="center"/>
          </w:tcPr>
          <w:p w14:paraId="1F5534F0">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环境风险防控</w:t>
            </w:r>
          </w:p>
        </w:tc>
        <w:tc>
          <w:tcPr>
            <w:tcW w:w="2061" w:type="pct"/>
            <w:tcBorders>
              <w:tl2br w:val="nil"/>
              <w:tr2bl w:val="nil"/>
            </w:tcBorders>
            <w:vAlign w:val="center"/>
          </w:tcPr>
          <w:p w14:paraId="3A10B748">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执行《山南片区总体准入要求》第九条 关于矿山土壤污染风险防控的要求；第十条 关于土壤治理与修复重点的要求。</w:t>
            </w:r>
          </w:p>
        </w:tc>
        <w:tc>
          <w:tcPr>
            <w:tcW w:w="1446" w:type="pct"/>
            <w:tcBorders>
              <w:tl2br w:val="nil"/>
              <w:tr2bl w:val="nil"/>
            </w:tcBorders>
            <w:vAlign w:val="center"/>
          </w:tcPr>
          <w:p w14:paraId="122A44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本项目土壤污染防治措施按照“源头控制、过程防控和跟踪监控”相结合的原则进行控制。项目区周边无沙漠、滩涂、盐碱地、沼泽等，运营期废水利用率100%，各项固体废物妥善处置，对土壤环境影响较小。根据本次环评制定土壤环境监测计划，如发现土壤污染，应制定修复进度计划，修复土壤环境。</w:t>
            </w:r>
          </w:p>
        </w:tc>
      </w:tr>
      <w:tr w14:paraId="01CBE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tcBorders>
              <w:tl2br w:val="nil"/>
              <w:tr2bl w:val="nil"/>
            </w:tcBorders>
            <w:vAlign w:val="center"/>
          </w:tcPr>
          <w:p w14:paraId="6081740B">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p>
        </w:tc>
        <w:tc>
          <w:tcPr>
            <w:tcW w:w="325" w:type="pct"/>
            <w:vMerge w:val="continue"/>
            <w:tcBorders>
              <w:tl2br w:val="nil"/>
              <w:tr2bl w:val="nil"/>
            </w:tcBorders>
            <w:vAlign w:val="center"/>
          </w:tcPr>
          <w:p w14:paraId="1B16A9EE">
            <w:pPr>
              <w:keepNext w:val="0"/>
              <w:keepLines w:val="0"/>
              <w:widowControl/>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p>
        </w:tc>
        <w:tc>
          <w:tcPr>
            <w:tcW w:w="445" w:type="pct"/>
            <w:tcBorders>
              <w:tl2br w:val="nil"/>
              <w:tr2bl w:val="nil"/>
            </w:tcBorders>
            <w:vAlign w:val="center"/>
          </w:tcPr>
          <w:p w14:paraId="0C4B7BDB">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资源利用效率</w:t>
            </w:r>
          </w:p>
        </w:tc>
        <w:tc>
          <w:tcPr>
            <w:tcW w:w="2061" w:type="pct"/>
            <w:tcBorders>
              <w:tl2br w:val="nil"/>
              <w:tr2bl w:val="nil"/>
            </w:tcBorders>
            <w:vAlign w:val="center"/>
          </w:tcPr>
          <w:p w14:paraId="5E23CA46">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000000" w:themeColor="text1"/>
                <w:kern w:val="0"/>
                <w:sz w:val="2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严格控制地下水开采新增量。</w:t>
            </w:r>
          </w:p>
        </w:tc>
        <w:tc>
          <w:tcPr>
            <w:tcW w:w="1446" w:type="pct"/>
            <w:tcBorders>
              <w:tl2br w:val="nil"/>
              <w:tr2bl w:val="nil"/>
            </w:tcBorders>
            <w:vAlign w:val="center"/>
          </w:tcPr>
          <w:p w14:paraId="3F89CDF9">
            <w:pPr>
              <w:keepNext w:val="0"/>
              <w:keepLines w:val="0"/>
              <w:suppressLineNumbers w:val="0"/>
              <w:adjustRightInd w:val="0"/>
              <w:snapToGrid w:val="0"/>
              <w:spacing w:before="0" w:beforeAutospacing="0" w:after="0" w:afterAutospacing="0" w:line="360" w:lineRule="exact"/>
              <w:ind w:left="0" w:right="0" w:firstLine="0" w:firstLineChars="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本项目不</w:t>
            </w:r>
            <w:r>
              <w:rPr>
                <w:rFonts w:hint="default"/>
                <w:color w:val="000000" w:themeColor="text1"/>
                <w:kern w:val="0"/>
                <w:sz w:val="21"/>
                <w:szCs w:val="21"/>
                <w:highlight w:val="none"/>
                <w14:textFill>
                  <w14:solidFill>
                    <w14:schemeClr w14:val="tx1"/>
                  </w14:solidFill>
                </w14:textFill>
              </w:rPr>
              <w:t>新增地下水开采</w:t>
            </w:r>
            <w:r>
              <w:rPr>
                <w:rFonts w:hint="eastAsia"/>
                <w:color w:val="000000" w:themeColor="text1"/>
                <w:kern w:val="0"/>
                <w:sz w:val="21"/>
                <w:szCs w:val="21"/>
                <w:highlight w:val="none"/>
                <w:lang w:eastAsia="zh-CN"/>
                <w14:textFill>
                  <w14:solidFill>
                    <w14:schemeClr w14:val="tx1"/>
                  </w14:solidFill>
                </w14:textFill>
              </w:rPr>
              <w:t>量。</w:t>
            </w:r>
          </w:p>
        </w:tc>
      </w:tr>
    </w:tbl>
    <w:p w14:paraId="4C8AADA4">
      <w:pPr>
        <w:pStyle w:val="41"/>
        <w:spacing w:line="480" w:lineRule="exact"/>
        <w:ind w:firstLine="480"/>
        <w:rPr>
          <w:rFonts w:hint="eastAsia"/>
          <w:color w:val="000000" w:themeColor="text1"/>
          <w:kern w:val="10"/>
          <w:sz w:val="24"/>
          <w:szCs w:val="24"/>
          <w14:textFill>
            <w14:solidFill>
              <w14:schemeClr w14:val="tx1"/>
            </w14:solidFill>
          </w14:textFill>
        </w:rPr>
      </w:pPr>
      <w:r>
        <w:rPr>
          <w:rFonts w:hint="eastAsia"/>
          <w:color w:val="000000" w:themeColor="text1"/>
          <w:kern w:val="10"/>
          <w:sz w:val="24"/>
          <w:szCs w:val="24"/>
          <w14:textFill>
            <w14:solidFill>
              <w14:schemeClr w14:val="tx1"/>
            </w14:solidFill>
          </w14:textFill>
        </w:rPr>
        <w:t>本项目所在地哈密市伊州区不属于《关于印发新疆维吾尔自治区28个国家重点生态功能区县（市）产业准入负面清单</w:t>
      </w:r>
      <w:r>
        <w:rPr>
          <w:rFonts w:hint="eastAsia"/>
          <w:color w:val="000000" w:themeColor="text1"/>
          <w:kern w:val="10"/>
          <w:sz w:val="24"/>
          <w:szCs w:val="24"/>
          <w:lang w:eastAsia="zh-CN"/>
          <w14:textFill>
            <w14:solidFill>
              <w14:schemeClr w14:val="tx1"/>
            </w14:solidFill>
          </w14:textFill>
        </w:rPr>
        <w:t>（</w:t>
      </w:r>
      <w:r>
        <w:rPr>
          <w:rFonts w:hint="eastAsia"/>
          <w:color w:val="000000" w:themeColor="text1"/>
          <w:kern w:val="10"/>
          <w:sz w:val="24"/>
          <w:szCs w:val="24"/>
          <w14:textFill>
            <w14:solidFill>
              <w14:schemeClr w14:val="tx1"/>
            </w14:solidFill>
          </w14:textFill>
        </w:rPr>
        <w:t>试行</w:t>
      </w:r>
      <w:r>
        <w:rPr>
          <w:rFonts w:hint="eastAsia"/>
          <w:color w:val="000000" w:themeColor="text1"/>
          <w:kern w:val="10"/>
          <w:sz w:val="24"/>
          <w:szCs w:val="24"/>
          <w:lang w:eastAsia="zh-CN"/>
          <w14:textFill>
            <w14:solidFill>
              <w14:schemeClr w14:val="tx1"/>
            </w14:solidFill>
          </w14:textFill>
        </w:rPr>
        <w:t>）</w:t>
      </w:r>
      <w:r>
        <w:rPr>
          <w:rFonts w:hint="eastAsia"/>
          <w:color w:val="000000" w:themeColor="text1"/>
          <w:kern w:val="10"/>
          <w:sz w:val="24"/>
          <w:szCs w:val="24"/>
          <w14:textFill>
            <w14:solidFill>
              <w14:schemeClr w14:val="tx1"/>
            </w14:solidFill>
          </w14:textFill>
        </w:rPr>
        <w:t>的通知》《新疆维吾尔自治区17个新增纳入国家重点生态功能区县（市）产业准入负面清单》中划定的重点生态功能区县。</w:t>
      </w:r>
      <w:r>
        <w:rPr>
          <w:color w:val="000000" w:themeColor="text1"/>
          <w:sz w:val="24"/>
          <w14:textFill>
            <w14:solidFill>
              <w14:schemeClr w14:val="tx1"/>
            </w14:solidFill>
          </w14:textFill>
        </w:rPr>
        <w:t>项目区位置不属于水源涵养区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水源保护区等禁采区，开采区域不属于自然保护区、风景名胜区等生态禁采及限采范围，</w:t>
      </w:r>
      <w:r>
        <w:rPr>
          <w:rFonts w:hint="eastAsia"/>
          <w:color w:val="000000" w:themeColor="text1"/>
          <w:kern w:val="10"/>
          <w:sz w:val="24"/>
          <w:szCs w:val="24"/>
          <w14:textFill>
            <w14:solidFill>
              <w14:schemeClr w14:val="tx1"/>
            </w14:solidFill>
          </w14:textFill>
        </w:rPr>
        <w:t>项目区周边无地表水体，无国家公园、自然保护区、自然公园、生态保护红线区等生态敏感区，不会影响所在区域内生态服务功能。</w:t>
      </w:r>
    </w:p>
    <w:p w14:paraId="69832F8F">
      <w:pPr>
        <w:pStyle w:val="41"/>
        <w:spacing w:line="480" w:lineRule="exact"/>
        <w:ind w:firstLine="480"/>
        <w:rPr>
          <w:rFonts w:hint="default" w:ascii="Times New Roman" w:hAnsi="Times New Roman" w:eastAsia="宋体" w:cs="Times New Roman"/>
          <w:color w:val="000000" w:themeColor="text1"/>
          <w:kern w:val="10"/>
          <w:sz w:val="24"/>
          <w:szCs w:val="24"/>
          <w:lang w:val="en-US" w:eastAsia="zh-CN"/>
          <w14:textFill>
            <w14:solidFill>
              <w14:schemeClr w14:val="tx1"/>
            </w14:solidFill>
          </w14:textFill>
        </w:rPr>
      </w:pPr>
      <w:r>
        <w:rPr>
          <w:rFonts w:hint="eastAsia"/>
          <w:color w:val="000000" w:themeColor="text1"/>
          <w:kern w:val="10"/>
          <w:sz w:val="24"/>
          <w:szCs w:val="24"/>
          <w:lang w:val="en-US" w:eastAsia="zh-CN"/>
          <w14:textFill>
            <w14:solidFill>
              <w14:schemeClr w14:val="tx1"/>
            </w14:solidFill>
          </w14:textFill>
        </w:rPr>
        <w:t>综上，本项目建设符合</w:t>
      </w:r>
      <w:r>
        <w:rPr>
          <w:rFonts w:hint="eastAsia"/>
          <w:color w:val="000000" w:themeColor="text1"/>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哈密市生态环境准入清单（2024版）</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的</w:t>
      </w:r>
      <w:r>
        <w:rPr>
          <w:rFonts w:hint="eastAsia"/>
          <w:color w:val="000000" w:themeColor="text1"/>
          <w:lang w:val="en-US" w:eastAsia="zh-CN"/>
          <w14:textFill>
            <w14:solidFill>
              <w14:schemeClr w14:val="tx1"/>
            </w14:solidFill>
          </w14:textFill>
        </w:rPr>
        <w:t>相关要求。</w:t>
      </w:r>
    </w:p>
    <w:p w14:paraId="005225DB">
      <w:pPr>
        <w:pStyle w:val="3"/>
        <w:spacing w:line="560" w:lineRule="atLeast"/>
        <w:rPr>
          <w:color w:val="000000" w:themeColor="text1"/>
          <w:highlight w:val="none"/>
          <w14:textFill>
            <w14:solidFill>
              <w14:schemeClr w14:val="tx1"/>
            </w14:solidFill>
          </w14:textFill>
        </w:rPr>
      </w:pPr>
      <w:bookmarkStart w:id="42" w:name="_Toc14582"/>
      <w:bookmarkStart w:id="43" w:name="_Toc5148"/>
      <w:bookmarkStart w:id="44" w:name="_Toc107414641"/>
      <w:bookmarkStart w:id="45" w:name="_Toc107413874"/>
      <w:bookmarkStart w:id="46" w:name="_Toc25649"/>
      <w:bookmarkStart w:id="47" w:name="_Toc30600"/>
      <w:bookmarkStart w:id="48" w:name="_Toc12116"/>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4关注的主要环境问题及环境影响</w:t>
      </w:r>
      <w:bookmarkEnd w:id="42"/>
      <w:bookmarkEnd w:id="43"/>
      <w:bookmarkEnd w:id="44"/>
      <w:bookmarkEnd w:id="45"/>
      <w:bookmarkEnd w:id="46"/>
      <w:bookmarkEnd w:id="47"/>
      <w:bookmarkEnd w:id="48"/>
    </w:p>
    <w:p w14:paraId="3CECABD8">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本项目运营期以废气、废水、固废排放为主要污染特征，其大气污染物处理措施合理</w:t>
      </w:r>
      <w:r>
        <w:rPr>
          <w:rFonts w:hint="eastAsia" w:cs="Times New Roman"/>
          <w:color w:val="000000" w:themeColor="text1"/>
          <w:highlight w:val="none"/>
          <w14:textFill>
            <w14:solidFill>
              <w14:schemeClr w14:val="tx1"/>
            </w14:solidFill>
          </w14:textFill>
        </w:rPr>
        <w:t>性</w:t>
      </w:r>
      <w:r>
        <w:rPr>
          <w:rFonts w:cs="Times New Roman"/>
          <w:color w:val="000000" w:themeColor="text1"/>
          <w:highlight w:val="none"/>
          <w14:textFill>
            <w14:solidFill>
              <w14:schemeClr w14:val="tx1"/>
            </w14:solidFill>
          </w14:textFill>
        </w:rPr>
        <w:t>、生产废水闭路循环可行性、生活</w:t>
      </w:r>
      <w:r>
        <w:rPr>
          <w:rFonts w:hint="eastAsia" w:cs="Times New Roman"/>
          <w:color w:val="000000" w:themeColor="text1"/>
          <w:highlight w:val="none"/>
          <w14:textFill>
            <w14:solidFill>
              <w14:schemeClr w14:val="tx1"/>
            </w14:solidFill>
          </w14:textFill>
        </w:rPr>
        <w:t>污水</w:t>
      </w:r>
      <w:r>
        <w:rPr>
          <w:rFonts w:cs="Times New Roman"/>
          <w:color w:val="000000" w:themeColor="text1"/>
          <w:highlight w:val="none"/>
          <w14:textFill>
            <w14:solidFill>
              <w14:schemeClr w14:val="tx1"/>
            </w14:solidFill>
          </w14:textFill>
        </w:rPr>
        <w:t>处理及排放去向、</w:t>
      </w:r>
      <w:r>
        <w:rPr>
          <w:rFonts w:hint="eastAsia" w:cs="Times New Roman"/>
          <w:color w:val="000000" w:themeColor="text1"/>
          <w:highlight w:val="none"/>
          <w14:textFill>
            <w14:solidFill>
              <w14:schemeClr w14:val="tx1"/>
            </w14:solidFill>
          </w14:textFill>
        </w:rPr>
        <w:t>固体废物</w:t>
      </w:r>
      <w:r>
        <w:rPr>
          <w:rFonts w:cs="Times New Roman"/>
          <w:color w:val="000000" w:themeColor="text1"/>
          <w:highlight w:val="none"/>
          <w14:textFill>
            <w14:solidFill>
              <w14:schemeClr w14:val="tx1"/>
            </w14:solidFill>
          </w14:textFill>
        </w:rPr>
        <w:t>处置可行性等是减少项目建设对外环境污染的重点关注问题。</w:t>
      </w:r>
      <w:r>
        <w:rPr>
          <w:rFonts w:hint="eastAsia" w:cs="Times New Roman"/>
          <w:color w:val="000000" w:themeColor="text1"/>
          <w:highlight w:val="none"/>
          <w:lang w:val="en-US" w:eastAsia="zh-CN"/>
          <w14:textFill>
            <w14:solidFill>
              <w14:schemeClr w14:val="tx1"/>
            </w14:solidFill>
          </w14:textFill>
        </w:rPr>
        <w:t>此外，</w:t>
      </w:r>
      <w:r>
        <w:rPr>
          <w:rFonts w:cs="Times New Roman"/>
          <w:color w:val="000000" w:themeColor="text1"/>
          <w:highlight w:val="none"/>
          <w14:textFill>
            <w14:solidFill>
              <w14:schemeClr w14:val="tx1"/>
            </w14:solidFill>
          </w14:textFill>
        </w:rPr>
        <w:t>还需</w:t>
      </w:r>
      <w:r>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t>分析现有工程存在的主要环境问题，提出</w:t>
      </w:r>
      <w:r>
        <w:rPr>
          <w:rFonts w:hint="eastAsia" w:cs="Times New Roman"/>
          <w:color w:val="000000" w:themeColor="text1"/>
          <w:spacing w:val="0"/>
          <w:w w:val="100"/>
          <w:position w:val="0"/>
          <w:sz w:val="24"/>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t>以新带老</w:t>
      </w:r>
      <w:r>
        <w:rPr>
          <w:rFonts w:hint="eastAsia" w:cs="Times New Roman"/>
          <w:color w:val="000000" w:themeColor="text1"/>
          <w:spacing w:val="0"/>
          <w:w w:val="100"/>
          <w:position w:val="0"/>
          <w:sz w:val="24"/>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lang w:val="en-US" w:eastAsia="zh-CN"/>
          <w14:textFill>
            <w14:solidFill>
              <w14:schemeClr w14:val="tx1"/>
            </w14:solidFill>
          </w14:textFill>
        </w:rPr>
        <w:t>环境保护措施</w:t>
      </w:r>
      <w:r>
        <w:rPr>
          <w:rFonts w:hint="eastAsia" w:cs="Times New Roman"/>
          <w:color w:val="000000" w:themeColor="text1"/>
          <w:spacing w:val="0"/>
          <w:w w:val="100"/>
          <w:position w:val="0"/>
          <w:sz w:val="24"/>
          <w:lang w:val="en-US" w:eastAsia="zh-CN"/>
          <w14:textFill>
            <w14:solidFill>
              <w14:schemeClr w14:val="tx1"/>
            </w14:solidFill>
          </w14:textFill>
        </w:rPr>
        <w:t>；</w:t>
      </w:r>
      <w:r>
        <w:rPr>
          <w:rFonts w:cs="Times New Roman"/>
          <w:color w:val="000000" w:themeColor="text1"/>
          <w:highlight w:val="none"/>
          <w14:textFill>
            <w14:solidFill>
              <w14:schemeClr w14:val="tx1"/>
            </w14:solidFill>
          </w14:textFill>
        </w:rPr>
        <w:t>重视项目施工及运营引发的环境影响能否满足区域环境功能，采取的污染防治措施能否保证各项污染物达标排放，项目环境风险是否可以接受。</w:t>
      </w:r>
    </w:p>
    <w:p w14:paraId="187032CC">
      <w:pPr>
        <w:pStyle w:val="3"/>
        <w:spacing w:line="560" w:lineRule="atLeast"/>
        <w:rPr>
          <w:color w:val="000000" w:themeColor="text1"/>
          <w:highlight w:val="none"/>
          <w14:textFill>
            <w14:solidFill>
              <w14:schemeClr w14:val="tx1"/>
            </w14:solidFill>
          </w14:textFill>
        </w:rPr>
      </w:pPr>
      <w:bookmarkStart w:id="49" w:name="_Toc5133"/>
      <w:bookmarkStart w:id="50" w:name="_Toc107413875"/>
      <w:bookmarkStart w:id="51" w:name="_Toc107414642"/>
      <w:bookmarkStart w:id="52" w:name="_Toc11698"/>
      <w:bookmarkStart w:id="53" w:name="_Toc20694"/>
      <w:bookmarkStart w:id="54" w:name="_Toc2314"/>
      <w:bookmarkStart w:id="55" w:name="_Toc17117"/>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5环境影响评价的主要结论</w:t>
      </w:r>
      <w:bookmarkEnd w:id="49"/>
      <w:bookmarkEnd w:id="50"/>
      <w:bookmarkEnd w:id="51"/>
      <w:bookmarkEnd w:id="52"/>
      <w:bookmarkEnd w:id="53"/>
      <w:bookmarkEnd w:id="54"/>
      <w:bookmarkEnd w:id="55"/>
    </w:p>
    <w:p w14:paraId="05EDD2D9">
      <w:pPr>
        <w:pStyle w:val="42"/>
        <w:overflowPunct w:val="0"/>
        <w:topLinePunct/>
        <w:spacing w:after="0"/>
        <w:ind w:firstLine="480"/>
        <w:jc w:val="both"/>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根据</w:t>
      </w:r>
      <w:r>
        <w:rPr>
          <w:rFonts w:hint="eastAsia" w:ascii="Times New Roman"/>
          <w:color w:val="000000" w:themeColor="text1"/>
          <w:highlight w:val="none"/>
          <w14:textFill>
            <w14:solidFill>
              <w14:schemeClr w14:val="tx1"/>
            </w14:solidFill>
          </w14:textFill>
        </w:rPr>
        <w:t>《产业结构调整指导目录（20</w:t>
      </w:r>
      <w:r>
        <w:rPr>
          <w:rFonts w:hint="eastAsia" w:ascii="Times New Roman"/>
          <w:color w:val="000000" w:themeColor="text1"/>
          <w:highlight w:val="none"/>
          <w:lang w:val="en-US" w:eastAsia="zh-CN"/>
          <w14:textFill>
            <w14:solidFill>
              <w14:schemeClr w14:val="tx1"/>
            </w14:solidFill>
          </w14:textFill>
        </w:rPr>
        <w:t>24</w:t>
      </w:r>
      <w:r>
        <w:rPr>
          <w:rFonts w:hint="eastAsia" w:ascii="Times New Roman"/>
          <w:color w:val="000000" w:themeColor="text1"/>
          <w:highlight w:val="none"/>
          <w14:textFill>
            <w14:solidFill>
              <w14:schemeClr w14:val="tx1"/>
            </w14:solidFill>
          </w14:textFill>
        </w:rPr>
        <w:t>年本）》</w:t>
      </w:r>
      <w:r>
        <w:rPr>
          <w:rFonts w:ascii="Times New Roman"/>
          <w:color w:val="000000" w:themeColor="text1"/>
          <w:highlight w:val="none"/>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本项目属于鼓励类，</w:t>
      </w:r>
      <w:r>
        <w:rPr>
          <w:rFonts w:ascii="Times New Roman"/>
          <w:color w:val="000000" w:themeColor="text1"/>
          <w:highlight w:val="none"/>
          <w14:textFill>
            <w14:solidFill>
              <w14:schemeClr w14:val="tx1"/>
            </w14:solidFill>
          </w14:textFill>
        </w:rPr>
        <w:t>本项目的建设符合国家产业政策。</w:t>
      </w:r>
      <w:r>
        <w:rPr>
          <w:rFonts w:hint="eastAsia" w:ascii="Times New Roman"/>
          <w:color w:val="000000" w:themeColor="text1"/>
          <w:highlight w:val="none"/>
          <w:lang w:val="en-US" w:eastAsia="zh-CN"/>
          <w14:textFill>
            <w14:solidFill>
              <w14:schemeClr w14:val="tx1"/>
            </w14:solidFill>
          </w14:textFill>
        </w:rPr>
        <w:t>本项目属于铁矿选矿</w:t>
      </w:r>
      <w:r>
        <w:rPr>
          <w:rFonts w:hint="default" w:ascii="Times New Roman" w:hAnsi="Times New Roman" w:eastAsia="宋体" w:cs="Times New Roman"/>
          <w:color w:val="000000" w:themeColor="text1"/>
          <w:spacing w:val="0"/>
          <w:w w:val="100"/>
          <w:position w:val="0"/>
          <w:sz w:val="24"/>
          <w:szCs w:val="24"/>
          <w14:textFill>
            <w14:solidFill>
              <w14:schemeClr w14:val="tx1"/>
            </w14:solidFill>
          </w14:textFill>
        </w:rPr>
        <w:t>项目，工艺选择符合清洁生产要求；项目产生的各类污染物均采取了有效的防治措施，可达标排放并符合污染物总量控制要求，经预测</w:t>
      </w:r>
      <w:r>
        <w:rPr>
          <w:rFonts w:hint="eastAsia" w:ascii="Times New Roman" w:hAnsi="Times New Roman" w:cs="Times New Roman"/>
          <w:color w:val="000000" w:themeColor="text1"/>
          <w:spacing w:val="0"/>
          <w:w w:val="100"/>
          <w:position w:val="0"/>
          <w:sz w:val="24"/>
          <w:szCs w:val="24"/>
          <w:lang w:eastAsia="zh-CN"/>
          <w14:textFill>
            <w14:solidFill>
              <w14:schemeClr w14:val="tx1"/>
            </w14:solidFill>
          </w14:textFill>
        </w:rPr>
        <w:t>扩建</w:t>
      </w:r>
      <w:r>
        <w:rPr>
          <w:rFonts w:hint="default" w:ascii="Times New Roman" w:hAnsi="Times New Roman" w:eastAsia="宋体" w:cs="Times New Roman"/>
          <w:color w:val="000000" w:themeColor="text1"/>
          <w:spacing w:val="0"/>
          <w:w w:val="100"/>
          <w:position w:val="0"/>
          <w:sz w:val="24"/>
          <w:szCs w:val="24"/>
          <w14:textFill>
            <w14:solidFill>
              <w14:schemeClr w14:val="tx1"/>
            </w14:solidFill>
          </w14:textFill>
        </w:rPr>
        <w:t>项目投产后不会对周围环境产生明显影响；</w:t>
      </w:r>
      <w:r>
        <w:rPr>
          <w:rFonts w:ascii="Times New Roman"/>
          <w:color w:val="000000" w:themeColor="text1"/>
          <w:highlight w:val="none"/>
          <w14:textFill>
            <w14:solidFill>
              <w14:schemeClr w14:val="tx1"/>
            </w14:solidFill>
          </w14:textFill>
        </w:rPr>
        <w:t>环境风险水平在可接受程度内；公众参与调查工作中，未收到公众对该项目的反馈意见。</w:t>
      </w:r>
      <w:r>
        <w:rPr>
          <w:rFonts w:hint="default" w:ascii="Times New Roman" w:hAnsi="Times New Roman" w:eastAsia="宋体" w:cs="Times New Roman"/>
          <w:color w:val="000000" w:themeColor="text1"/>
          <w:spacing w:val="0"/>
          <w:w w:val="100"/>
          <w:position w:val="0"/>
          <w:sz w:val="24"/>
          <w:szCs w:val="24"/>
          <w14:textFill>
            <w14:solidFill>
              <w14:schemeClr w14:val="tx1"/>
            </w14:solidFill>
          </w14:textFill>
        </w:rPr>
        <w:t>项目建设过程中应认真贯彻环境保护</w:t>
      </w:r>
      <w:r>
        <w:rPr>
          <w:rFonts w:hint="eastAsia" w:ascii="Times New Roman" w:cs="Times New Roman"/>
          <w:color w:val="000000" w:themeColor="text1"/>
          <w:spacing w:val="0"/>
          <w:w w:val="100"/>
          <w:positio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14:textFill>
            <w14:solidFill>
              <w14:schemeClr w14:val="tx1"/>
            </w14:solidFill>
          </w14:textFill>
        </w:rPr>
        <w:t>三同时</w:t>
      </w:r>
      <w:r>
        <w:rPr>
          <w:rFonts w:hint="eastAsia" w:ascii="Times New Roman" w:cs="Times New Roman"/>
          <w:color w:val="000000" w:themeColor="text1"/>
          <w:spacing w:val="0"/>
          <w:w w:val="100"/>
          <w:positio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14:textFill>
            <w14:solidFill>
              <w14:schemeClr w14:val="tx1"/>
            </w14:solidFill>
          </w14:textFill>
        </w:rPr>
        <w:t>制度，严格落实设计和环评报告提出的污染防治措施和环境保护措施，并加强对环保设施的运行维护和管理，保证各种环保设施的正常运行和污染物达标排放。在落实并保证以上条件实施的前提下，从</w:t>
      </w:r>
      <w:r>
        <w:rPr>
          <w:rFonts w:hint="eastAsia" w:ascii="Times New Roman" w:cs="Times New Roman"/>
          <w:color w:val="000000" w:themeColor="text1"/>
          <w:spacing w:val="0"/>
          <w:w w:val="100"/>
          <w:position w:val="0"/>
          <w:sz w:val="24"/>
          <w:szCs w:val="24"/>
          <w:lang w:val="en-US" w:eastAsia="zh-CN"/>
          <w14:textFill>
            <w14:solidFill>
              <w14:schemeClr w14:val="tx1"/>
            </w14:solidFill>
          </w14:textFill>
        </w:rPr>
        <w:t>生态环境保护</w:t>
      </w:r>
      <w:r>
        <w:rPr>
          <w:rFonts w:hint="default" w:ascii="Times New Roman" w:hAnsi="Times New Roman" w:eastAsia="宋体" w:cs="Times New Roman"/>
          <w:color w:val="000000" w:themeColor="text1"/>
          <w:spacing w:val="0"/>
          <w:w w:val="100"/>
          <w:position w:val="0"/>
          <w:sz w:val="24"/>
          <w:szCs w:val="24"/>
          <w14:textFill>
            <w14:solidFill>
              <w14:schemeClr w14:val="tx1"/>
            </w14:solidFill>
          </w14:textFill>
        </w:rPr>
        <w:t>角度分析，</w:t>
      </w:r>
      <w:r>
        <w:rPr>
          <w:rFonts w:ascii="Times New Roman"/>
          <w:color w:val="000000" w:themeColor="text1"/>
          <w:highlight w:val="none"/>
          <w14:textFill>
            <w14:solidFill>
              <w14:schemeClr w14:val="tx1"/>
            </w14:solidFill>
          </w14:textFill>
        </w:rPr>
        <w:t>本</w:t>
      </w:r>
      <w:r>
        <w:rPr>
          <w:rFonts w:hint="default" w:ascii="Times New Roman" w:hAnsi="Times New Roman" w:eastAsia="宋体" w:cs="Times New Roman"/>
          <w:color w:val="000000" w:themeColor="text1"/>
          <w:spacing w:val="0"/>
          <w:w w:val="100"/>
          <w:position w:val="0"/>
          <w:sz w:val="24"/>
          <w:szCs w:val="24"/>
          <w14:textFill>
            <w14:solidFill>
              <w14:schemeClr w14:val="tx1"/>
            </w14:solidFill>
          </w14:textFill>
        </w:rPr>
        <w:t>项目的建设是可行的</w:t>
      </w:r>
      <w:r>
        <w:rPr>
          <w:rFonts w:hint="default" w:ascii="Times New Roman" w:hAnsi="Times New Roman" w:eastAsia="宋体" w:cs="Times New Roman"/>
          <w:color w:val="000000" w:themeColor="text1"/>
          <w:spacing w:val="0"/>
          <w:w w:val="100"/>
          <w:position w:val="0"/>
          <w:sz w:val="24"/>
          <w:szCs w:val="24"/>
          <w:lang w:val="en-US" w:eastAsia="zh-CN"/>
          <w14:textFill>
            <w14:solidFill>
              <w14:schemeClr w14:val="tx1"/>
            </w14:solidFill>
          </w14:textFill>
        </w:rPr>
        <w:t>。</w:t>
      </w:r>
    </w:p>
    <w:p w14:paraId="6E74D0DC">
      <w:pPr>
        <w:autoSpaceDE w:val="0"/>
        <w:autoSpaceDN w:val="0"/>
        <w:adjustRightInd w:val="0"/>
        <w:spacing w:line="560" w:lineRule="exact"/>
        <w:ind w:firstLine="480"/>
        <w:rPr>
          <w:color w:val="000000" w:themeColor="text1"/>
          <w:highlight w:val="none"/>
          <w14:textFill>
            <w14:solidFill>
              <w14:schemeClr w14:val="tx1"/>
            </w14:solidFill>
          </w14:textFill>
        </w:rPr>
        <w:sectPr>
          <w:footerReference r:id="rId16" w:type="default"/>
          <w:footerReference r:id="rId17" w:type="even"/>
          <w:pgSz w:w="11907" w:h="16840"/>
          <w:pgMar w:top="1440" w:right="1797" w:bottom="1440" w:left="1797" w:header="851" w:footer="851" w:gutter="0"/>
          <w:pgBorders>
            <w:top w:val="none" w:sz="0" w:space="0"/>
            <w:left w:val="none" w:sz="0" w:space="0"/>
            <w:bottom w:val="none" w:sz="0" w:space="0"/>
            <w:right w:val="none" w:sz="0" w:space="0"/>
          </w:pgBorders>
          <w:pgNumType w:fmt="decimal" w:start="1"/>
          <w:cols w:space="425" w:num="1"/>
          <w:titlePg/>
          <w:docGrid w:linePitch="312" w:charSpace="0"/>
        </w:sectPr>
      </w:pPr>
    </w:p>
    <w:p w14:paraId="01425C23">
      <w:pPr>
        <w:pStyle w:val="2"/>
        <w:spacing w:line="720" w:lineRule="exact"/>
        <w:rPr>
          <w:color w:val="000000" w:themeColor="text1"/>
          <w:highlight w:val="none"/>
          <w14:textFill>
            <w14:solidFill>
              <w14:schemeClr w14:val="tx1"/>
            </w14:solidFill>
          </w14:textFill>
        </w:rPr>
      </w:pPr>
      <w:bookmarkStart w:id="56" w:name="_Toc6477"/>
      <w:bookmarkStart w:id="57" w:name="_Toc20670"/>
      <w:bookmarkStart w:id="58" w:name="_Toc107414643"/>
      <w:bookmarkStart w:id="59" w:name="_Toc20555"/>
      <w:bookmarkStart w:id="60" w:name="_Toc9287"/>
      <w:bookmarkStart w:id="61" w:name="_Toc107413876"/>
      <w:bookmarkStart w:id="62" w:name="_Toc31238"/>
      <w:r>
        <w:rPr>
          <w:rFonts w:hint="eastAsia"/>
          <w:color w:val="000000" w:themeColor="text1"/>
          <w:highlight w:val="none"/>
          <w14:textFill>
            <w14:solidFill>
              <w14:schemeClr w14:val="tx1"/>
            </w14:solidFill>
          </w14:textFill>
        </w:rPr>
        <w:t>2总则</w:t>
      </w:r>
      <w:bookmarkEnd w:id="56"/>
      <w:bookmarkEnd w:id="57"/>
      <w:bookmarkEnd w:id="58"/>
      <w:bookmarkEnd w:id="59"/>
      <w:bookmarkEnd w:id="60"/>
      <w:bookmarkEnd w:id="61"/>
      <w:bookmarkEnd w:id="62"/>
    </w:p>
    <w:p w14:paraId="796BBE00">
      <w:pPr>
        <w:pStyle w:val="3"/>
        <w:rPr>
          <w:color w:val="000000" w:themeColor="text1"/>
          <w:highlight w:val="none"/>
          <w14:textFill>
            <w14:solidFill>
              <w14:schemeClr w14:val="tx1"/>
            </w14:solidFill>
          </w14:textFill>
        </w:rPr>
      </w:pPr>
      <w:bookmarkStart w:id="63" w:name="_Toc312148931"/>
      <w:bookmarkStart w:id="64" w:name="_Toc475111950"/>
      <w:bookmarkStart w:id="65" w:name="_Toc27409"/>
      <w:bookmarkStart w:id="66" w:name="_Toc10163"/>
      <w:bookmarkStart w:id="67" w:name="_Toc27448"/>
      <w:bookmarkStart w:id="68" w:name="_Toc16457"/>
      <w:bookmarkStart w:id="69" w:name="_Toc5693"/>
      <w:bookmarkStart w:id="70" w:name="_Toc1176"/>
      <w:bookmarkStart w:id="71" w:name="_Toc650"/>
      <w:bookmarkStart w:id="72" w:name="_Toc11946"/>
      <w:bookmarkStart w:id="73" w:name="_Toc107414644"/>
      <w:bookmarkStart w:id="74" w:name="_Toc24352"/>
      <w:bookmarkStart w:id="75" w:name="_Toc7119"/>
      <w:bookmarkStart w:id="76" w:name="_Toc1972"/>
      <w:bookmarkStart w:id="77" w:name="_Toc24626"/>
      <w:bookmarkStart w:id="78" w:name="_Toc107413877"/>
      <w:bookmarkStart w:id="79" w:name="_Toc2817"/>
      <w:bookmarkStart w:id="80" w:name="_Toc20945"/>
      <w:bookmarkStart w:id="81" w:name="_Toc3671"/>
      <w:bookmarkStart w:id="82" w:name="_Toc23503"/>
      <w:bookmarkStart w:id="83" w:name="_Toc14873"/>
      <w:bookmarkStart w:id="84" w:name="_Toc22808"/>
      <w:r>
        <w:rPr>
          <w:color w:val="000000" w:themeColor="text1"/>
          <w:highlight w:val="none"/>
          <w14:textFill>
            <w14:solidFill>
              <w14:schemeClr w14:val="tx1"/>
            </w14:solidFill>
          </w14:textFill>
        </w:rPr>
        <w:t>2.1评价</w:t>
      </w:r>
      <w:bookmarkEnd w:id="63"/>
      <w:r>
        <w:rPr>
          <w:color w:val="000000" w:themeColor="text1"/>
          <w:highlight w:val="none"/>
          <w14:textFill>
            <w14:solidFill>
              <w14:schemeClr w14:val="tx1"/>
            </w14:solidFill>
          </w14:textFill>
        </w:rPr>
        <w:t>原则与</w:t>
      </w:r>
      <w:bookmarkEnd w:id="64"/>
      <w:r>
        <w:rPr>
          <w:color w:val="000000" w:themeColor="text1"/>
          <w:highlight w:val="none"/>
          <w14:textFill>
            <w14:solidFill>
              <w14:schemeClr w14:val="tx1"/>
            </w14:solidFill>
          </w14:textFill>
        </w:rPr>
        <w:t>目的</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3EC3AB7">
      <w:pPr>
        <w:pStyle w:val="4"/>
        <w:rPr>
          <w:color w:val="000000" w:themeColor="text1"/>
          <w:highlight w:val="none"/>
          <w14:textFill>
            <w14:solidFill>
              <w14:schemeClr w14:val="tx1"/>
            </w14:solidFill>
          </w14:textFill>
        </w:rPr>
      </w:pPr>
      <w:bookmarkStart w:id="85" w:name="_Toc10657"/>
      <w:bookmarkStart w:id="86" w:name="_Toc30249"/>
      <w:bookmarkStart w:id="87" w:name="_Toc4690"/>
      <w:bookmarkStart w:id="88" w:name="_Toc27705"/>
      <w:bookmarkStart w:id="89" w:name="_Toc14651"/>
      <w:r>
        <w:rPr>
          <w:color w:val="000000" w:themeColor="text1"/>
          <w:highlight w:val="none"/>
          <w14:textFill>
            <w14:solidFill>
              <w14:schemeClr w14:val="tx1"/>
            </w14:solidFill>
          </w14:textFill>
        </w:rPr>
        <w:t>2.1.1评价原则</w:t>
      </w:r>
      <w:bookmarkEnd w:id="85"/>
      <w:bookmarkEnd w:id="86"/>
      <w:bookmarkEnd w:id="87"/>
      <w:bookmarkEnd w:id="88"/>
      <w:bookmarkEnd w:id="89"/>
    </w:p>
    <w:p w14:paraId="2DD0B2FC">
      <w:pPr>
        <w:overflowPunct w:val="0"/>
        <w:topLinePunct/>
        <w:ind w:firstLine="480"/>
        <w:rPr>
          <w:color w:val="000000" w:themeColor="text1"/>
          <w:highlight w:val="none"/>
          <w14:textFill>
            <w14:solidFill>
              <w14:schemeClr w14:val="tx1"/>
            </w14:solidFill>
          </w14:textFill>
        </w:rPr>
      </w:pPr>
      <w:bookmarkStart w:id="90" w:name="_Toc384828343"/>
      <w:r>
        <w:rPr>
          <w:color w:val="000000" w:themeColor="text1"/>
          <w:highlight w:val="none"/>
          <w14:textFill>
            <w14:solidFill>
              <w14:schemeClr w14:val="tx1"/>
            </w14:solidFill>
          </w14:textFill>
        </w:rPr>
        <w:t>突出环境影响评价的源头预防作用，坚持保护和改善环境质量。</w:t>
      </w:r>
    </w:p>
    <w:p w14:paraId="1FA0421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（1）依法评价</w:t>
      </w:r>
    </w:p>
    <w:p w14:paraId="0B3A7B9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贯彻执行我国环境保护相关法律法规、标准、政策和规划等，优化项目建设，服务环境管理。</w:t>
      </w:r>
    </w:p>
    <w:p w14:paraId="2D863306">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（2）科学评价</w:t>
      </w:r>
    </w:p>
    <w:p w14:paraId="251D2E85">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规范环境影响评价方法，科学分析项目建设对环境质量的影响。</w:t>
      </w:r>
    </w:p>
    <w:p w14:paraId="4DCC80C2">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（3）突出重点</w:t>
      </w:r>
    </w:p>
    <w:p w14:paraId="5658486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根据建设项目的工程内容及其特点，明确与环境要素间的作用效应关系，充分利用符合时效的数据资料及成果，对建设项目主要环境影响予以重点分析和评价。</w:t>
      </w:r>
    </w:p>
    <w:p w14:paraId="70E09493">
      <w:pPr>
        <w:pStyle w:val="4"/>
        <w:rPr>
          <w:color w:val="000000" w:themeColor="text1"/>
          <w:highlight w:val="none"/>
          <w14:textFill>
            <w14:solidFill>
              <w14:schemeClr w14:val="tx1"/>
            </w14:solidFill>
          </w14:textFill>
        </w:rPr>
      </w:pPr>
      <w:bookmarkStart w:id="91" w:name="_Toc6915"/>
      <w:bookmarkStart w:id="92" w:name="_Toc17480"/>
      <w:bookmarkStart w:id="93" w:name="_Toc11031"/>
      <w:bookmarkStart w:id="94" w:name="_Toc12557"/>
      <w:bookmarkStart w:id="95" w:name="_Toc29884"/>
      <w:bookmarkStart w:id="96" w:name="_Toc32653"/>
      <w:bookmarkStart w:id="97" w:name="_Toc12265"/>
      <w:bookmarkStart w:id="98" w:name="_Toc13743"/>
      <w:bookmarkStart w:id="99" w:name="_Toc26663"/>
      <w:r>
        <w:rPr>
          <w:color w:val="000000" w:themeColor="text1"/>
          <w:highlight w:val="none"/>
          <w14:textFill>
            <w14:solidFill>
              <w14:schemeClr w14:val="tx1"/>
            </w14:solidFill>
          </w14:textFill>
        </w:rPr>
        <w:t>2.1.2评价</w:t>
      </w:r>
      <w:bookmarkEnd w:id="90"/>
      <w:r>
        <w:rPr>
          <w:color w:val="000000" w:themeColor="text1"/>
          <w:highlight w:val="none"/>
          <w14:textFill>
            <w14:solidFill>
              <w14:schemeClr w14:val="tx1"/>
            </w14:solidFill>
          </w14:textFill>
        </w:rPr>
        <w:t>目的</w:t>
      </w:r>
      <w:bookmarkEnd w:id="91"/>
      <w:bookmarkEnd w:id="92"/>
      <w:bookmarkEnd w:id="93"/>
      <w:bookmarkEnd w:id="94"/>
      <w:bookmarkEnd w:id="95"/>
      <w:bookmarkEnd w:id="96"/>
      <w:bookmarkEnd w:id="97"/>
      <w:bookmarkEnd w:id="98"/>
      <w:bookmarkEnd w:id="99"/>
    </w:p>
    <w:p w14:paraId="313493C4">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（1）通过现场调查、资料收集及环境监测，了解项目所在地自然环境、社会经济环境、环境质量现状以及存在的主要环境问题。</w:t>
      </w:r>
    </w:p>
    <w:p w14:paraId="2A00A7C6">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通过工程分析，明确建设项目的主要环境影响，筛选对环境造成影响的因子，尤其关注建设项目产生的主要污染因子。并通过类比调查、物料衡算，核算污染源源强，预测项目建设对环境影响的程度与范围。</w:t>
      </w:r>
    </w:p>
    <w:p w14:paraId="4BEBD97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（3）从工艺着手，分析生产工艺、生产设备及原辅材料的消耗，掌握主要污染源及排放状况。</w:t>
      </w:r>
    </w:p>
    <w:p w14:paraId="5A6C041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（4）通过分析和计算，预测污染物排放对周围环境的影响程度，判断其是否满足环境质量标准和总量控制要求。</w:t>
      </w:r>
    </w:p>
    <w:p w14:paraId="0447AD32">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（5）从技术、经济角度分析拟采取的环保措施的可行性，为工程环保措施的设计和环境管理提供依据。</w:t>
      </w:r>
    </w:p>
    <w:p w14:paraId="14DC883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（6）从环保法规、产业政策、环境特点、污染防治等方面进行综合分析，对拟建项目的环境可行性做出明确结论，为项目的决策、污染控制和环境管理提供科学依据。</w:t>
      </w:r>
    </w:p>
    <w:p w14:paraId="7B03808A">
      <w:pPr>
        <w:pStyle w:val="3"/>
        <w:spacing w:line="560" w:lineRule="atLeast"/>
        <w:rPr>
          <w:color w:val="000000" w:themeColor="text1"/>
          <w:highlight w:val="none"/>
          <w14:textFill>
            <w14:solidFill>
              <w14:schemeClr w14:val="tx1"/>
            </w14:solidFill>
          </w14:textFill>
        </w:rPr>
      </w:pPr>
      <w:bookmarkStart w:id="100" w:name="_Toc2295"/>
      <w:bookmarkStart w:id="101" w:name="_Toc107414645"/>
      <w:bookmarkStart w:id="102" w:name="_Toc107413878"/>
      <w:bookmarkStart w:id="103" w:name="_Toc21338"/>
      <w:bookmarkStart w:id="104" w:name="_Toc19680"/>
      <w:bookmarkStart w:id="105" w:name="_Toc3095"/>
      <w:bookmarkStart w:id="106" w:name="_Toc28811"/>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2编制依据</w:t>
      </w:r>
      <w:bookmarkEnd w:id="100"/>
      <w:bookmarkEnd w:id="101"/>
      <w:bookmarkEnd w:id="102"/>
      <w:bookmarkEnd w:id="103"/>
      <w:bookmarkEnd w:id="104"/>
      <w:bookmarkEnd w:id="105"/>
      <w:bookmarkEnd w:id="106"/>
    </w:p>
    <w:p w14:paraId="3E9298D1">
      <w:pPr>
        <w:pStyle w:val="4"/>
        <w:rPr>
          <w:color w:val="000000" w:themeColor="text1"/>
          <w:highlight w:val="none"/>
          <w14:textFill>
            <w14:solidFill>
              <w14:schemeClr w14:val="tx1"/>
            </w14:solidFill>
          </w14:textFill>
        </w:rPr>
      </w:pPr>
      <w:bookmarkStart w:id="107" w:name="_Toc27672"/>
      <w:bookmarkStart w:id="108" w:name="_Toc23138"/>
      <w:bookmarkStart w:id="109" w:name="_Toc19960"/>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国家</w:t>
      </w:r>
      <w:r>
        <w:rPr>
          <w:rFonts w:hint="eastAsia"/>
          <w:color w:val="000000" w:themeColor="text1"/>
          <w:highlight w:val="none"/>
          <w14:textFill>
            <w14:solidFill>
              <w14:schemeClr w14:val="tx1"/>
            </w14:solidFill>
          </w14:textFill>
        </w:rPr>
        <w:t>及地方</w:t>
      </w:r>
      <w:r>
        <w:rPr>
          <w:color w:val="000000" w:themeColor="text1"/>
          <w:highlight w:val="none"/>
          <w14:textFill>
            <w14:solidFill>
              <w14:schemeClr w14:val="tx1"/>
            </w14:solidFill>
          </w14:textFill>
        </w:rPr>
        <w:t>有关</w:t>
      </w:r>
      <w:r>
        <w:rPr>
          <w:rFonts w:hint="eastAsia"/>
          <w:color w:val="000000" w:themeColor="text1"/>
          <w:highlight w:val="none"/>
          <w:lang w:eastAsia="zh-CN"/>
          <w14:textFill>
            <w14:solidFill>
              <w14:schemeClr w14:val="tx1"/>
            </w14:solidFill>
          </w14:textFill>
        </w:rPr>
        <w:t>法律法规</w:t>
      </w:r>
      <w:r>
        <w:rPr>
          <w:color w:val="000000" w:themeColor="text1"/>
          <w:highlight w:val="none"/>
          <w14:textFill>
            <w14:solidFill>
              <w14:schemeClr w14:val="tx1"/>
            </w14:solidFill>
          </w14:textFill>
        </w:rPr>
        <w:t>和规章</w:t>
      </w:r>
      <w:bookmarkEnd w:id="107"/>
      <w:bookmarkEnd w:id="108"/>
      <w:bookmarkEnd w:id="109"/>
    </w:p>
    <w:p w14:paraId="067BE8C8">
      <w:pPr>
        <w:rPr>
          <w:color w:val="000000" w:themeColor="text1"/>
          <w:highlight w:val="none"/>
          <w14:textFill>
            <w14:solidFill>
              <w14:schemeClr w14:val="tx1"/>
            </w14:solidFill>
          </w14:textFill>
        </w:rPr>
      </w:pPr>
      <w:r>
        <w:rPr>
          <w:rFonts w:hint="eastAsia" w:cs="Times New Roman"/>
          <w:b w:val="0"/>
          <w:bCs/>
          <w:color w:val="000000" w:themeColor="text1"/>
          <w:kern w:val="0"/>
          <w:szCs w:val="24"/>
          <w14:textFill>
            <w14:solidFill>
              <w14:schemeClr w14:val="tx1"/>
            </w14:solidFill>
          </w14:textFill>
        </w:rPr>
        <w:t>本次评价依据的国家及地方有关</w:t>
      </w:r>
      <w:r>
        <w:rPr>
          <w:rFonts w:hint="eastAsia" w:cs="Times New Roman"/>
          <w:b w:val="0"/>
          <w:bCs/>
          <w:color w:val="000000" w:themeColor="text1"/>
          <w:kern w:val="0"/>
          <w:szCs w:val="24"/>
          <w:lang w:eastAsia="zh-CN"/>
          <w14:textFill>
            <w14:solidFill>
              <w14:schemeClr w14:val="tx1"/>
            </w14:solidFill>
          </w14:textFill>
        </w:rPr>
        <w:t>法律法规</w:t>
      </w:r>
      <w:r>
        <w:rPr>
          <w:rFonts w:hint="eastAsia" w:cs="Times New Roman"/>
          <w:b w:val="0"/>
          <w:bCs/>
          <w:color w:val="000000" w:themeColor="text1"/>
          <w:kern w:val="0"/>
          <w:szCs w:val="24"/>
          <w14:textFill>
            <w14:solidFill>
              <w14:schemeClr w14:val="tx1"/>
            </w14:solidFill>
          </w14:textFill>
        </w:rPr>
        <w:t>和规章见表2.2-1。</w:t>
      </w:r>
    </w:p>
    <w:p w14:paraId="0170A352">
      <w:pPr>
        <w:ind w:firstLine="0" w:firstLineChars="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表2.2-1    国家及地方有关法律法规和规章一览表</w:t>
      </w:r>
    </w:p>
    <w:tbl>
      <w:tblPr>
        <w:tblStyle w:val="32"/>
        <w:tblW w:w="842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48"/>
        <w:gridCol w:w="4464"/>
        <w:gridCol w:w="2337"/>
        <w:gridCol w:w="1174"/>
      </w:tblGrid>
      <w:tr w14:paraId="5BAC03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448" w:type="dxa"/>
            <w:tcBorders>
              <w:tl2br w:val="nil"/>
              <w:tr2bl w:val="nil"/>
            </w:tcBorders>
            <w:vAlign w:val="center"/>
          </w:tcPr>
          <w:p w14:paraId="191605F5">
            <w:pPr>
              <w:pStyle w:val="45"/>
              <w:spacing w:before="0" w:beforeAutospacing="0" w:line="360" w:lineRule="exact"/>
              <w:ind w:firstLine="0" w:firstLineChars="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序号</w:t>
            </w:r>
          </w:p>
        </w:tc>
        <w:tc>
          <w:tcPr>
            <w:tcW w:w="4464" w:type="dxa"/>
            <w:tcBorders>
              <w:tl2br w:val="nil"/>
              <w:tr2bl w:val="nil"/>
            </w:tcBorders>
            <w:vAlign w:val="center"/>
          </w:tcPr>
          <w:p w14:paraId="16F22F8F">
            <w:pPr>
              <w:pStyle w:val="45"/>
              <w:spacing w:before="0" w:beforeAutospacing="0" w:line="360" w:lineRule="exact"/>
              <w:ind w:firstLine="0" w:firstLineChars="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依据名称</w:t>
            </w:r>
          </w:p>
        </w:tc>
        <w:tc>
          <w:tcPr>
            <w:tcW w:w="2337" w:type="dxa"/>
            <w:tcBorders>
              <w:tl2br w:val="nil"/>
              <w:tr2bl w:val="nil"/>
            </w:tcBorders>
            <w:vAlign w:val="center"/>
          </w:tcPr>
          <w:p w14:paraId="4E32413C">
            <w:pPr>
              <w:pStyle w:val="45"/>
              <w:spacing w:before="0" w:beforeAutospacing="0" w:line="360" w:lineRule="exact"/>
              <w:ind w:firstLine="0" w:firstLineChars="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会议、主席令、文号</w:t>
            </w:r>
          </w:p>
        </w:tc>
        <w:tc>
          <w:tcPr>
            <w:tcW w:w="1174" w:type="dxa"/>
            <w:tcBorders>
              <w:tl2br w:val="nil"/>
              <w:tr2bl w:val="nil"/>
            </w:tcBorders>
            <w:vAlign w:val="center"/>
          </w:tcPr>
          <w:p w14:paraId="5D9351E0">
            <w:pPr>
              <w:pStyle w:val="45"/>
              <w:spacing w:before="0" w:beforeAutospacing="0" w:line="360" w:lineRule="exact"/>
              <w:ind w:firstLine="0" w:firstLineChars="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实施时间</w:t>
            </w:r>
          </w:p>
        </w:tc>
      </w:tr>
      <w:tr w14:paraId="136176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6299BCFD">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一</w:t>
            </w:r>
          </w:p>
        </w:tc>
        <w:tc>
          <w:tcPr>
            <w:tcW w:w="7975" w:type="dxa"/>
            <w:gridSpan w:val="3"/>
            <w:tcBorders>
              <w:tl2br w:val="nil"/>
              <w:tr2bl w:val="nil"/>
            </w:tcBorders>
            <w:vAlign w:val="center"/>
          </w:tcPr>
          <w:p w14:paraId="74082370">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环境保护相关法律</w:t>
            </w:r>
          </w:p>
        </w:tc>
      </w:tr>
      <w:tr w14:paraId="6523DC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7785BF50">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w:t>
            </w:r>
          </w:p>
        </w:tc>
        <w:tc>
          <w:tcPr>
            <w:tcW w:w="4464" w:type="dxa"/>
            <w:tcBorders>
              <w:tl2br w:val="nil"/>
              <w:tr2bl w:val="nil"/>
            </w:tcBorders>
            <w:vAlign w:val="center"/>
          </w:tcPr>
          <w:p w14:paraId="5E8CE16C">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《中华人民共和国环境保护法》</w:t>
            </w:r>
          </w:p>
        </w:tc>
        <w:tc>
          <w:tcPr>
            <w:tcW w:w="2337" w:type="dxa"/>
            <w:tcBorders>
              <w:tl2br w:val="nil"/>
              <w:tr2bl w:val="nil"/>
            </w:tcBorders>
            <w:vAlign w:val="center"/>
          </w:tcPr>
          <w:p w14:paraId="25EA0E22">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12届人大第8次会议</w:t>
            </w:r>
          </w:p>
        </w:tc>
        <w:tc>
          <w:tcPr>
            <w:tcW w:w="1174" w:type="dxa"/>
            <w:tcBorders>
              <w:tl2br w:val="nil"/>
              <w:tr2bl w:val="nil"/>
            </w:tcBorders>
            <w:vAlign w:val="center"/>
          </w:tcPr>
          <w:p w14:paraId="2DFEF333">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2015-01-01</w:t>
            </w:r>
          </w:p>
        </w:tc>
      </w:tr>
      <w:tr w14:paraId="5490A7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6E9A3904">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w:t>
            </w:r>
          </w:p>
        </w:tc>
        <w:tc>
          <w:tcPr>
            <w:tcW w:w="4464" w:type="dxa"/>
            <w:tcBorders>
              <w:tl2br w:val="nil"/>
              <w:tr2bl w:val="nil"/>
            </w:tcBorders>
            <w:vAlign w:val="center"/>
          </w:tcPr>
          <w:p w14:paraId="05E0B8FE">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《中华人民共和国环境影响评价法》</w:t>
            </w:r>
          </w:p>
        </w:tc>
        <w:tc>
          <w:tcPr>
            <w:tcW w:w="2337" w:type="dxa"/>
            <w:tcBorders>
              <w:tl2br w:val="nil"/>
              <w:tr2bl w:val="nil"/>
            </w:tcBorders>
            <w:vAlign w:val="center"/>
          </w:tcPr>
          <w:p w14:paraId="14F86F56">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13届人大第7次会议</w:t>
            </w:r>
          </w:p>
        </w:tc>
        <w:tc>
          <w:tcPr>
            <w:tcW w:w="1174" w:type="dxa"/>
            <w:tcBorders>
              <w:tl2br w:val="nil"/>
              <w:tr2bl w:val="nil"/>
            </w:tcBorders>
            <w:vAlign w:val="center"/>
          </w:tcPr>
          <w:p w14:paraId="4673A3F1">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2018-12-29</w:t>
            </w:r>
          </w:p>
        </w:tc>
      </w:tr>
      <w:tr w14:paraId="13396A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17A0828C">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3</w:t>
            </w:r>
          </w:p>
        </w:tc>
        <w:tc>
          <w:tcPr>
            <w:tcW w:w="4464" w:type="dxa"/>
            <w:tcBorders>
              <w:tl2br w:val="nil"/>
              <w:tr2bl w:val="nil"/>
            </w:tcBorders>
            <w:vAlign w:val="center"/>
          </w:tcPr>
          <w:p w14:paraId="5F1EA44F">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《中华人民共和国大气污染防治法》</w:t>
            </w:r>
          </w:p>
        </w:tc>
        <w:tc>
          <w:tcPr>
            <w:tcW w:w="2337" w:type="dxa"/>
            <w:tcBorders>
              <w:tl2br w:val="nil"/>
              <w:tr2bl w:val="nil"/>
            </w:tcBorders>
            <w:vAlign w:val="center"/>
          </w:tcPr>
          <w:p w14:paraId="1A00521A">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13届人大第6次会议</w:t>
            </w:r>
          </w:p>
        </w:tc>
        <w:tc>
          <w:tcPr>
            <w:tcW w:w="1174" w:type="dxa"/>
            <w:tcBorders>
              <w:tl2br w:val="nil"/>
              <w:tr2bl w:val="nil"/>
            </w:tcBorders>
            <w:vAlign w:val="center"/>
          </w:tcPr>
          <w:p w14:paraId="68E8B65B">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2018-10-26</w:t>
            </w:r>
          </w:p>
        </w:tc>
      </w:tr>
      <w:tr w14:paraId="601C4E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05CFCF29">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4</w:t>
            </w:r>
          </w:p>
        </w:tc>
        <w:tc>
          <w:tcPr>
            <w:tcW w:w="4464" w:type="dxa"/>
            <w:tcBorders>
              <w:tl2br w:val="nil"/>
              <w:tr2bl w:val="nil"/>
            </w:tcBorders>
            <w:vAlign w:val="center"/>
          </w:tcPr>
          <w:p w14:paraId="715EA6A0">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《中华人民共和国水污染防治法》</w:t>
            </w:r>
          </w:p>
        </w:tc>
        <w:tc>
          <w:tcPr>
            <w:tcW w:w="2337" w:type="dxa"/>
            <w:tcBorders>
              <w:tl2br w:val="nil"/>
              <w:tr2bl w:val="nil"/>
            </w:tcBorders>
            <w:vAlign w:val="center"/>
          </w:tcPr>
          <w:p w14:paraId="24C4D68A">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12届人大第28次会议</w:t>
            </w:r>
          </w:p>
        </w:tc>
        <w:tc>
          <w:tcPr>
            <w:tcW w:w="1174" w:type="dxa"/>
            <w:tcBorders>
              <w:tl2br w:val="nil"/>
              <w:tr2bl w:val="nil"/>
            </w:tcBorders>
            <w:vAlign w:val="center"/>
          </w:tcPr>
          <w:p w14:paraId="22070314">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2018-01-01</w:t>
            </w:r>
          </w:p>
        </w:tc>
      </w:tr>
      <w:tr w14:paraId="2BDCFE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02EDF5F3">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5</w:t>
            </w:r>
          </w:p>
        </w:tc>
        <w:tc>
          <w:tcPr>
            <w:tcW w:w="4464" w:type="dxa"/>
            <w:tcBorders>
              <w:tl2br w:val="nil"/>
              <w:tr2bl w:val="nil"/>
            </w:tcBorders>
            <w:vAlign w:val="center"/>
          </w:tcPr>
          <w:p w14:paraId="1C3BCF18">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《中华人民共和国噪声污染防治法》</w:t>
            </w:r>
          </w:p>
        </w:tc>
        <w:tc>
          <w:tcPr>
            <w:tcW w:w="2337" w:type="dxa"/>
            <w:tcBorders>
              <w:tl2br w:val="nil"/>
              <w:tr2bl w:val="nil"/>
            </w:tcBorders>
            <w:vAlign w:val="center"/>
          </w:tcPr>
          <w:p w14:paraId="6C4639B2">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13届人大第32次会议</w:t>
            </w:r>
          </w:p>
        </w:tc>
        <w:tc>
          <w:tcPr>
            <w:tcW w:w="1174" w:type="dxa"/>
            <w:tcBorders>
              <w:tl2br w:val="nil"/>
              <w:tr2bl w:val="nil"/>
            </w:tcBorders>
            <w:vAlign w:val="center"/>
          </w:tcPr>
          <w:p w14:paraId="6DC01C6D">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2022-06-05</w:t>
            </w:r>
          </w:p>
        </w:tc>
      </w:tr>
      <w:tr w14:paraId="739DE4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1B3AA05A">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6</w:t>
            </w:r>
          </w:p>
        </w:tc>
        <w:tc>
          <w:tcPr>
            <w:tcW w:w="4464" w:type="dxa"/>
            <w:tcBorders>
              <w:tl2br w:val="nil"/>
              <w:tr2bl w:val="nil"/>
            </w:tcBorders>
            <w:vAlign w:val="center"/>
          </w:tcPr>
          <w:p w14:paraId="59B4E567">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《中华人民共和国固体废物污染环境防治法》</w:t>
            </w:r>
          </w:p>
        </w:tc>
        <w:tc>
          <w:tcPr>
            <w:tcW w:w="2337" w:type="dxa"/>
            <w:tcBorders>
              <w:tl2br w:val="nil"/>
              <w:tr2bl w:val="nil"/>
            </w:tcBorders>
            <w:vAlign w:val="center"/>
          </w:tcPr>
          <w:p w14:paraId="3C8CC209">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13届人大第17次会议</w:t>
            </w:r>
          </w:p>
        </w:tc>
        <w:tc>
          <w:tcPr>
            <w:tcW w:w="1174" w:type="dxa"/>
            <w:tcBorders>
              <w:tl2br w:val="nil"/>
              <w:tr2bl w:val="nil"/>
            </w:tcBorders>
            <w:vAlign w:val="center"/>
          </w:tcPr>
          <w:p w14:paraId="5982A60D">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2020-09-01</w:t>
            </w:r>
          </w:p>
        </w:tc>
      </w:tr>
      <w:tr w14:paraId="197DC6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18F3C11A">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7</w:t>
            </w:r>
          </w:p>
        </w:tc>
        <w:tc>
          <w:tcPr>
            <w:tcW w:w="4464" w:type="dxa"/>
            <w:tcBorders>
              <w:tl2br w:val="nil"/>
              <w:tr2bl w:val="nil"/>
            </w:tcBorders>
            <w:vAlign w:val="center"/>
          </w:tcPr>
          <w:p w14:paraId="17A1855E">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《中华人民共和国土壤污染防治法》</w:t>
            </w:r>
          </w:p>
        </w:tc>
        <w:tc>
          <w:tcPr>
            <w:tcW w:w="2337" w:type="dxa"/>
            <w:tcBorders>
              <w:tl2br w:val="nil"/>
              <w:tr2bl w:val="nil"/>
            </w:tcBorders>
            <w:vAlign w:val="center"/>
          </w:tcPr>
          <w:p w14:paraId="69EF7985">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13届人大第5次会议</w:t>
            </w:r>
          </w:p>
        </w:tc>
        <w:tc>
          <w:tcPr>
            <w:tcW w:w="1174" w:type="dxa"/>
            <w:tcBorders>
              <w:tl2br w:val="nil"/>
              <w:tr2bl w:val="nil"/>
            </w:tcBorders>
            <w:vAlign w:val="center"/>
          </w:tcPr>
          <w:p w14:paraId="0713BE57">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2019-01-01</w:t>
            </w:r>
          </w:p>
        </w:tc>
      </w:tr>
      <w:tr w14:paraId="426F1F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7DAD1A04">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8</w:t>
            </w:r>
          </w:p>
        </w:tc>
        <w:tc>
          <w:tcPr>
            <w:tcW w:w="4464" w:type="dxa"/>
            <w:tcBorders>
              <w:tl2br w:val="nil"/>
              <w:tr2bl w:val="nil"/>
            </w:tcBorders>
            <w:vAlign w:val="center"/>
          </w:tcPr>
          <w:p w14:paraId="728A8B77">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《中华人民共和国水法》</w:t>
            </w:r>
          </w:p>
        </w:tc>
        <w:tc>
          <w:tcPr>
            <w:tcW w:w="2337" w:type="dxa"/>
            <w:tcBorders>
              <w:tl2br w:val="nil"/>
              <w:tr2bl w:val="nil"/>
            </w:tcBorders>
            <w:vAlign w:val="center"/>
          </w:tcPr>
          <w:p w14:paraId="7FB8CA6C">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12届人大第21次会议</w:t>
            </w:r>
          </w:p>
        </w:tc>
        <w:tc>
          <w:tcPr>
            <w:tcW w:w="1174" w:type="dxa"/>
            <w:tcBorders>
              <w:tl2br w:val="nil"/>
              <w:tr2bl w:val="nil"/>
            </w:tcBorders>
            <w:vAlign w:val="center"/>
          </w:tcPr>
          <w:p w14:paraId="3E287B39">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2016-07-02</w:t>
            </w:r>
          </w:p>
        </w:tc>
      </w:tr>
      <w:tr w14:paraId="5704F9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56270682">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9</w:t>
            </w:r>
          </w:p>
        </w:tc>
        <w:tc>
          <w:tcPr>
            <w:tcW w:w="4464" w:type="dxa"/>
            <w:tcBorders>
              <w:tl2br w:val="nil"/>
              <w:tr2bl w:val="nil"/>
            </w:tcBorders>
            <w:vAlign w:val="center"/>
          </w:tcPr>
          <w:p w14:paraId="5B6539B6">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《中华人民共和国水土保持法》</w:t>
            </w:r>
          </w:p>
        </w:tc>
        <w:tc>
          <w:tcPr>
            <w:tcW w:w="2337" w:type="dxa"/>
            <w:tcBorders>
              <w:tl2br w:val="nil"/>
              <w:tr2bl w:val="nil"/>
            </w:tcBorders>
            <w:vAlign w:val="center"/>
          </w:tcPr>
          <w:p w14:paraId="0AA0293A">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11届人大第18次会议</w:t>
            </w:r>
          </w:p>
        </w:tc>
        <w:tc>
          <w:tcPr>
            <w:tcW w:w="1174" w:type="dxa"/>
            <w:tcBorders>
              <w:tl2br w:val="nil"/>
              <w:tr2bl w:val="nil"/>
            </w:tcBorders>
            <w:vAlign w:val="center"/>
          </w:tcPr>
          <w:p w14:paraId="691E008D">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2011-03-01</w:t>
            </w:r>
          </w:p>
        </w:tc>
      </w:tr>
      <w:tr w14:paraId="0045BC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0954F569">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10</w:t>
            </w:r>
          </w:p>
        </w:tc>
        <w:tc>
          <w:tcPr>
            <w:tcW w:w="4464" w:type="dxa"/>
            <w:tcBorders>
              <w:tl2br w:val="nil"/>
              <w:tr2bl w:val="nil"/>
            </w:tcBorders>
            <w:vAlign w:val="center"/>
          </w:tcPr>
          <w:p w14:paraId="7F39A481">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《中华人民共和国清洁生产促进法》</w:t>
            </w:r>
          </w:p>
        </w:tc>
        <w:tc>
          <w:tcPr>
            <w:tcW w:w="2337" w:type="dxa"/>
            <w:tcBorders>
              <w:tl2br w:val="nil"/>
              <w:tr2bl w:val="nil"/>
            </w:tcBorders>
            <w:vAlign w:val="center"/>
          </w:tcPr>
          <w:p w14:paraId="0C37D590">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11届人大第25次会议</w:t>
            </w:r>
          </w:p>
        </w:tc>
        <w:tc>
          <w:tcPr>
            <w:tcW w:w="1174" w:type="dxa"/>
            <w:tcBorders>
              <w:tl2br w:val="nil"/>
              <w:tr2bl w:val="nil"/>
            </w:tcBorders>
            <w:vAlign w:val="center"/>
          </w:tcPr>
          <w:p w14:paraId="0CE04CBD">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2012-07-01</w:t>
            </w:r>
          </w:p>
        </w:tc>
      </w:tr>
      <w:tr w14:paraId="6D932E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57B4D230">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11</w:t>
            </w:r>
          </w:p>
        </w:tc>
        <w:tc>
          <w:tcPr>
            <w:tcW w:w="4464" w:type="dxa"/>
            <w:tcBorders>
              <w:tl2br w:val="nil"/>
              <w:tr2bl w:val="nil"/>
            </w:tcBorders>
            <w:vAlign w:val="center"/>
          </w:tcPr>
          <w:p w14:paraId="28BAB8C6">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《中华人民共和国循环经济促进法》</w:t>
            </w:r>
          </w:p>
        </w:tc>
        <w:tc>
          <w:tcPr>
            <w:tcW w:w="2337" w:type="dxa"/>
            <w:tcBorders>
              <w:tl2br w:val="nil"/>
              <w:tr2bl w:val="nil"/>
            </w:tcBorders>
            <w:vAlign w:val="center"/>
          </w:tcPr>
          <w:p w14:paraId="0B5F1ACD">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13届人大第6次会议</w:t>
            </w:r>
          </w:p>
        </w:tc>
        <w:tc>
          <w:tcPr>
            <w:tcW w:w="1174" w:type="dxa"/>
            <w:tcBorders>
              <w:tl2br w:val="nil"/>
              <w:tr2bl w:val="nil"/>
            </w:tcBorders>
            <w:vAlign w:val="center"/>
          </w:tcPr>
          <w:p w14:paraId="48FFA251">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2018-10-26</w:t>
            </w:r>
          </w:p>
        </w:tc>
      </w:tr>
      <w:tr w14:paraId="3D2E58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3C875159">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12</w:t>
            </w:r>
          </w:p>
        </w:tc>
        <w:tc>
          <w:tcPr>
            <w:tcW w:w="4464" w:type="dxa"/>
            <w:tcBorders>
              <w:tl2br w:val="nil"/>
              <w:tr2bl w:val="nil"/>
            </w:tcBorders>
            <w:vAlign w:val="center"/>
          </w:tcPr>
          <w:p w14:paraId="4D98C0DA">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《中华人民共和国节约能源法》</w:t>
            </w:r>
          </w:p>
        </w:tc>
        <w:tc>
          <w:tcPr>
            <w:tcW w:w="2337" w:type="dxa"/>
            <w:tcBorders>
              <w:tl2br w:val="nil"/>
              <w:tr2bl w:val="nil"/>
            </w:tcBorders>
            <w:vAlign w:val="center"/>
          </w:tcPr>
          <w:p w14:paraId="6FCD2FA3">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13届人大第6次会议</w:t>
            </w:r>
          </w:p>
        </w:tc>
        <w:tc>
          <w:tcPr>
            <w:tcW w:w="1174" w:type="dxa"/>
            <w:tcBorders>
              <w:tl2br w:val="nil"/>
              <w:tr2bl w:val="nil"/>
            </w:tcBorders>
            <w:vAlign w:val="center"/>
          </w:tcPr>
          <w:p w14:paraId="2E1353B5">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2018-10-26</w:t>
            </w:r>
          </w:p>
        </w:tc>
      </w:tr>
      <w:tr w14:paraId="654A77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52FF5D31">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w:t>
            </w:r>
          </w:p>
        </w:tc>
        <w:tc>
          <w:tcPr>
            <w:tcW w:w="4464" w:type="dxa"/>
            <w:tcBorders>
              <w:tl2br w:val="nil"/>
              <w:tr2bl w:val="nil"/>
            </w:tcBorders>
            <w:shd w:val="clear" w:color="auto" w:fill="auto"/>
            <w:vAlign w:val="center"/>
          </w:tcPr>
          <w:p w14:paraId="6A1CEB5F">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《中华人民共和国矿产资源法》</w:t>
            </w:r>
          </w:p>
        </w:tc>
        <w:tc>
          <w:tcPr>
            <w:tcW w:w="2337" w:type="dxa"/>
            <w:tcBorders>
              <w:tl2br w:val="nil"/>
              <w:tr2bl w:val="nil"/>
            </w:tcBorders>
            <w:shd w:val="clear" w:color="auto" w:fill="auto"/>
            <w:vAlign w:val="center"/>
          </w:tcPr>
          <w:p w14:paraId="115AD75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1</w:t>
            </w:r>
            <w:r>
              <w:rPr>
                <w:rFonts w:hint="eastAsia" w:ascii="Times New Roman" w:hAnsi="Times New Roman" w:eastAsia="宋体"/>
                <w:color w:val="000000" w:themeColor="text1"/>
                <w:sz w:val="21"/>
                <w:szCs w:val="21"/>
                <w:lang w:val="en-US" w:eastAsia="zh-CN"/>
                <w14:textFill>
                  <w14:solidFill>
                    <w14:schemeClr w14:val="tx1"/>
                  </w14:solidFill>
                </w14:textFill>
              </w:rPr>
              <w:t>4</w:t>
            </w:r>
            <w:r>
              <w:rPr>
                <w:rFonts w:hint="eastAsia" w:ascii="Times New Roman" w:hAnsi="Times New Roman" w:eastAsia="宋体"/>
                <w:color w:val="000000" w:themeColor="text1"/>
                <w:sz w:val="21"/>
                <w:szCs w:val="21"/>
                <w:lang w:eastAsia="zh-CN"/>
                <w14:textFill>
                  <w14:solidFill>
                    <w14:schemeClr w14:val="tx1"/>
                  </w14:solidFill>
                </w14:textFill>
              </w:rPr>
              <w:t>届人大第1</w:t>
            </w:r>
            <w:r>
              <w:rPr>
                <w:rFonts w:hint="eastAsia" w:ascii="Times New Roman" w:hAnsi="Times New Roman" w:eastAsia="宋体"/>
                <w:color w:val="000000" w:themeColor="text1"/>
                <w:sz w:val="21"/>
                <w:szCs w:val="21"/>
                <w:lang w:val="en-US" w:eastAsia="zh-CN"/>
                <w14:textFill>
                  <w14:solidFill>
                    <w14:schemeClr w14:val="tx1"/>
                  </w14:solidFill>
                </w14:textFill>
              </w:rPr>
              <w:t>2</w:t>
            </w:r>
            <w:r>
              <w:rPr>
                <w:rFonts w:hint="eastAsia" w:ascii="Times New Roman" w:hAnsi="Times New Roman" w:eastAsia="宋体"/>
                <w:color w:val="000000" w:themeColor="text1"/>
                <w:sz w:val="21"/>
                <w:szCs w:val="21"/>
                <w:lang w:eastAsia="zh-CN"/>
                <w14:textFill>
                  <w14:solidFill>
                    <w14:schemeClr w14:val="tx1"/>
                  </w14:solidFill>
                </w14:textFill>
              </w:rPr>
              <w:t>次会议</w:t>
            </w:r>
          </w:p>
        </w:tc>
        <w:tc>
          <w:tcPr>
            <w:tcW w:w="1174" w:type="dxa"/>
            <w:tcBorders>
              <w:tl2br w:val="nil"/>
              <w:tr2bl w:val="nil"/>
            </w:tcBorders>
            <w:shd w:val="clear" w:color="auto" w:fill="auto"/>
            <w:vAlign w:val="center"/>
          </w:tcPr>
          <w:p w14:paraId="43149091">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20</w:t>
            </w:r>
            <w:r>
              <w:rPr>
                <w:rFonts w:hint="eastAsia" w:ascii="Times New Roman" w:hAnsi="Times New Roman" w:eastAsia="宋体"/>
                <w:color w:val="000000" w:themeColor="text1"/>
                <w:sz w:val="21"/>
                <w:szCs w:val="21"/>
                <w:lang w:val="en-US" w:eastAsia="zh-CN"/>
                <w14:textFill>
                  <w14:solidFill>
                    <w14:schemeClr w14:val="tx1"/>
                  </w14:solidFill>
                </w14:textFill>
              </w:rPr>
              <w:t>25-07-01</w:t>
            </w:r>
          </w:p>
        </w:tc>
      </w:tr>
      <w:tr w14:paraId="42521B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3F85133A">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14</w:t>
            </w:r>
          </w:p>
        </w:tc>
        <w:tc>
          <w:tcPr>
            <w:tcW w:w="4464" w:type="dxa"/>
            <w:tcBorders>
              <w:tl2br w:val="nil"/>
              <w:tr2bl w:val="nil"/>
            </w:tcBorders>
            <w:shd w:val="clear" w:color="auto" w:fill="auto"/>
            <w:vAlign w:val="center"/>
          </w:tcPr>
          <w:p w14:paraId="095F50C0">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《中华人民共和国安全生产法》</w:t>
            </w:r>
          </w:p>
        </w:tc>
        <w:tc>
          <w:tcPr>
            <w:tcW w:w="2337" w:type="dxa"/>
            <w:tcBorders>
              <w:tl2br w:val="nil"/>
              <w:tr2bl w:val="nil"/>
            </w:tcBorders>
            <w:shd w:val="clear" w:color="auto" w:fill="auto"/>
            <w:vAlign w:val="center"/>
          </w:tcPr>
          <w:p w14:paraId="0AEFEA6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13届人大第29次会议</w:t>
            </w:r>
          </w:p>
        </w:tc>
        <w:tc>
          <w:tcPr>
            <w:tcW w:w="1174" w:type="dxa"/>
            <w:tcBorders>
              <w:tl2br w:val="nil"/>
              <w:tr2bl w:val="nil"/>
            </w:tcBorders>
            <w:shd w:val="clear" w:color="auto" w:fill="auto"/>
            <w:vAlign w:val="center"/>
          </w:tcPr>
          <w:p w14:paraId="34FFE42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2021-06-10</w:t>
            </w:r>
          </w:p>
        </w:tc>
      </w:tr>
      <w:tr w14:paraId="159CCA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08506C10">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15</w:t>
            </w:r>
          </w:p>
        </w:tc>
        <w:tc>
          <w:tcPr>
            <w:tcW w:w="4464" w:type="dxa"/>
            <w:tcBorders>
              <w:tl2br w:val="nil"/>
              <w:tr2bl w:val="nil"/>
            </w:tcBorders>
            <w:shd w:val="clear" w:color="auto" w:fill="auto"/>
            <w:vAlign w:val="center"/>
          </w:tcPr>
          <w:p w14:paraId="38BF3BF6">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《中华人民共和国突发事件应对法》</w:t>
            </w:r>
          </w:p>
        </w:tc>
        <w:tc>
          <w:tcPr>
            <w:tcW w:w="2337" w:type="dxa"/>
            <w:tcBorders>
              <w:tl2br w:val="nil"/>
              <w:tr2bl w:val="nil"/>
            </w:tcBorders>
            <w:shd w:val="clear" w:color="auto" w:fill="auto"/>
            <w:vAlign w:val="center"/>
          </w:tcPr>
          <w:p w14:paraId="7A197AB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r>
              <w:rPr>
                <w:rFonts w:ascii="Times New Roman" w:hAnsi="Times New Roman" w:eastAsia="宋体"/>
                <w:color w:val="000000" w:themeColor="text1"/>
                <w:sz w:val="21"/>
                <w:szCs w:val="21"/>
                <w14:textFill>
                  <w14:solidFill>
                    <w14:schemeClr w14:val="tx1"/>
                  </w14:solidFill>
                </w14:textFill>
                <w:woUserID w:val="1"/>
              </w:rPr>
              <w:t>4</w:t>
            </w:r>
            <w:r>
              <w:rPr>
                <w:rFonts w:hint="eastAsia" w:ascii="Times New Roman" w:hAnsi="Times New Roman" w:eastAsia="宋体"/>
                <w:color w:val="000000" w:themeColor="text1"/>
                <w:sz w:val="21"/>
                <w:szCs w:val="21"/>
                <w14:textFill>
                  <w14:solidFill>
                    <w14:schemeClr w14:val="tx1"/>
                  </w14:solidFill>
                </w14:textFill>
              </w:rPr>
              <w:t>届人大第</w:t>
            </w:r>
            <w:r>
              <w:rPr>
                <w:rFonts w:hint="default" w:ascii="Times New Roman" w:hAnsi="Times New Roman" w:eastAsia="宋体"/>
                <w:color w:val="000000" w:themeColor="text1"/>
                <w:sz w:val="21"/>
                <w:szCs w:val="21"/>
                <w14:textFill>
                  <w14:solidFill>
                    <w14:schemeClr w14:val="tx1"/>
                  </w14:solidFill>
                </w14:textFill>
                <w:woUserID w:val="1"/>
              </w:rPr>
              <w:t>10</w:t>
            </w:r>
            <w:r>
              <w:rPr>
                <w:rFonts w:hint="eastAsia" w:ascii="Times New Roman" w:hAnsi="Times New Roman" w:eastAsia="宋体"/>
                <w:color w:val="000000" w:themeColor="text1"/>
                <w:sz w:val="21"/>
                <w:szCs w:val="21"/>
                <w14:textFill>
                  <w14:solidFill>
                    <w14:schemeClr w14:val="tx1"/>
                  </w14:solidFill>
                </w14:textFill>
              </w:rPr>
              <w:t>次会议</w:t>
            </w:r>
          </w:p>
        </w:tc>
        <w:tc>
          <w:tcPr>
            <w:tcW w:w="1174" w:type="dxa"/>
            <w:tcBorders>
              <w:tl2br w:val="nil"/>
              <w:tr2bl w:val="nil"/>
            </w:tcBorders>
            <w:shd w:val="clear" w:color="auto" w:fill="auto"/>
            <w:vAlign w:val="center"/>
          </w:tcPr>
          <w:p w14:paraId="41A7124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20</w:t>
            </w:r>
            <w:r>
              <w:rPr>
                <w:rFonts w:ascii="Times New Roman" w:hAnsi="Times New Roman" w:eastAsia="宋体"/>
                <w:color w:val="000000" w:themeColor="text1"/>
                <w:sz w:val="21"/>
                <w:szCs w:val="21"/>
                <w14:textFill>
                  <w14:solidFill>
                    <w14:schemeClr w14:val="tx1"/>
                  </w14:solidFill>
                </w14:textFill>
                <w:woUserID w:val="1"/>
              </w:rPr>
              <w:t>24</w:t>
            </w:r>
            <w:r>
              <w:rPr>
                <w:rFonts w:ascii="Times New Roman" w:hAnsi="Times New Roman" w:eastAsia="宋体"/>
                <w:color w:val="000000" w:themeColor="text1"/>
                <w:sz w:val="21"/>
                <w:szCs w:val="21"/>
                <w14:textFill>
                  <w14:solidFill>
                    <w14:schemeClr w14:val="tx1"/>
                  </w14:solidFill>
                </w14:textFill>
              </w:rPr>
              <w:t>-</w:t>
            </w:r>
            <w:r>
              <w:rPr>
                <w:rFonts w:ascii="Times New Roman" w:hAnsi="Times New Roman" w:eastAsia="宋体"/>
                <w:color w:val="000000" w:themeColor="text1"/>
                <w:sz w:val="21"/>
                <w:szCs w:val="21"/>
                <w14:textFill>
                  <w14:solidFill>
                    <w14:schemeClr w14:val="tx1"/>
                  </w14:solidFill>
                </w14:textFill>
                <w:woUserID w:val="1"/>
              </w:rPr>
              <w:t>11</w:t>
            </w:r>
            <w:r>
              <w:rPr>
                <w:rFonts w:ascii="Times New Roman" w:hAnsi="Times New Roman" w:eastAsia="宋体"/>
                <w:color w:val="000000" w:themeColor="text1"/>
                <w:sz w:val="21"/>
                <w:szCs w:val="21"/>
                <w14:textFill>
                  <w14:solidFill>
                    <w14:schemeClr w14:val="tx1"/>
                  </w14:solidFill>
                </w14:textFill>
              </w:rPr>
              <w:t>-</w:t>
            </w:r>
            <w:r>
              <w:rPr>
                <w:rFonts w:ascii="Times New Roman" w:hAnsi="Times New Roman" w:eastAsia="宋体"/>
                <w:color w:val="000000" w:themeColor="text1"/>
                <w:sz w:val="21"/>
                <w:szCs w:val="21"/>
                <w14:textFill>
                  <w14:solidFill>
                    <w14:schemeClr w14:val="tx1"/>
                  </w14:solidFill>
                </w14:textFill>
                <w:woUserID w:val="1"/>
              </w:rPr>
              <w:t>01</w:t>
            </w:r>
          </w:p>
        </w:tc>
      </w:tr>
      <w:tr w14:paraId="4825EE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7BDD088F">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16</w:t>
            </w:r>
          </w:p>
        </w:tc>
        <w:tc>
          <w:tcPr>
            <w:tcW w:w="4464" w:type="dxa"/>
            <w:tcBorders>
              <w:tl2br w:val="nil"/>
              <w:tr2bl w:val="nil"/>
            </w:tcBorders>
            <w:shd w:val="clear" w:color="auto" w:fill="auto"/>
            <w:vAlign w:val="center"/>
          </w:tcPr>
          <w:p w14:paraId="0D6839F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《中华人民共和国野生动物保护法》</w:t>
            </w:r>
          </w:p>
        </w:tc>
        <w:tc>
          <w:tcPr>
            <w:tcW w:w="2337" w:type="dxa"/>
            <w:tcBorders>
              <w:tl2br w:val="nil"/>
              <w:tr2bl w:val="nil"/>
            </w:tcBorders>
            <w:shd w:val="clear" w:color="auto" w:fill="auto"/>
            <w:vAlign w:val="center"/>
          </w:tcPr>
          <w:p w14:paraId="2A1A675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13</w:t>
            </w:r>
            <w:r>
              <w:rPr>
                <w:rFonts w:ascii="Times New Roman" w:hAnsi="Times New Roman" w:eastAsia="宋体"/>
                <w:color w:val="000000" w:themeColor="text1"/>
                <w:sz w:val="21"/>
                <w:szCs w:val="21"/>
                <w:highlight w:val="none"/>
                <w14:textFill>
                  <w14:solidFill>
                    <w14:schemeClr w14:val="tx1"/>
                  </w14:solidFill>
                </w14:textFill>
              </w:rPr>
              <w:t>届人大第</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38</w:t>
            </w:r>
            <w:r>
              <w:rPr>
                <w:rFonts w:ascii="Times New Roman" w:hAnsi="Times New Roman" w:eastAsia="宋体"/>
                <w:color w:val="000000" w:themeColor="text1"/>
                <w:sz w:val="21"/>
                <w:szCs w:val="21"/>
                <w:highlight w:val="none"/>
                <w14:textFill>
                  <w14:solidFill>
                    <w14:schemeClr w14:val="tx1"/>
                  </w14:solidFill>
                </w14:textFill>
              </w:rPr>
              <w:t>次会议</w:t>
            </w:r>
          </w:p>
        </w:tc>
        <w:tc>
          <w:tcPr>
            <w:tcW w:w="1174" w:type="dxa"/>
            <w:tcBorders>
              <w:tl2br w:val="nil"/>
              <w:tr2bl w:val="nil"/>
            </w:tcBorders>
            <w:shd w:val="clear" w:color="auto" w:fill="auto"/>
            <w:vAlign w:val="center"/>
          </w:tcPr>
          <w:p w14:paraId="6055F4D5">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22</w:t>
            </w:r>
            <w:r>
              <w:rPr>
                <w:rFonts w:ascii="Times New Roman" w:hAnsi="Times New Roman" w:eastAsia="宋体"/>
                <w:color w:val="000000" w:themeColor="text1"/>
                <w:sz w:val="21"/>
                <w:szCs w:val="21"/>
                <w:highlight w:val="none"/>
                <w14:textFill>
                  <w14:solidFill>
                    <w14:schemeClr w14:val="tx1"/>
                  </w14:solidFill>
                </w14:textFill>
              </w:rPr>
              <w:t>-1</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30</w:t>
            </w:r>
          </w:p>
        </w:tc>
      </w:tr>
      <w:tr w14:paraId="5F8FFC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3F0182C0">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17</w:t>
            </w:r>
          </w:p>
        </w:tc>
        <w:tc>
          <w:tcPr>
            <w:tcW w:w="4464" w:type="dxa"/>
            <w:tcBorders>
              <w:tl2br w:val="nil"/>
              <w:tr2bl w:val="nil"/>
            </w:tcBorders>
            <w:shd w:val="clear" w:color="auto" w:fill="auto"/>
            <w:vAlign w:val="center"/>
          </w:tcPr>
          <w:p w14:paraId="4FFB3AAC">
            <w:pPr>
              <w:pStyle w:val="50"/>
              <w:keepNext w:val="0"/>
              <w:keepLines w:val="0"/>
              <w:suppressLineNumbers w:val="0"/>
              <w:spacing w:before="0" w:beforeAutospacing="0" w:after="0" w:afterAutospacing="0"/>
              <w:ind w:left="0" w:leftChars="0" w:right="0" w:rightChars="0" w:firstLine="0" w:firstLineChars="0"/>
              <w:rPr>
                <w:rFonts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kern w:val="0"/>
                <w:position w:val="0"/>
                <w:sz w:val="21"/>
                <w:szCs w:val="21"/>
                <w:lang w:val="en-US" w:eastAsia="zh-CN" w:bidi="ar-SA"/>
                <w14:textFill>
                  <w14:solidFill>
                    <w14:schemeClr w14:val="tx1"/>
                  </w14:solidFill>
                </w14:textFill>
              </w:rPr>
              <w:t>《中华人民共和国土地管理法》</w:t>
            </w:r>
          </w:p>
        </w:tc>
        <w:tc>
          <w:tcPr>
            <w:tcW w:w="2337" w:type="dxa"/>
            <w:tcBorders>
              <w:tl2br w:val="nil"/>
              <w:tr2bl w:val="nil"/>
            </w:tcBorders>
            <w:shd w:val="clear" w:color="auto" w:fill="auto"/>
            <w:vAlign w:val="center"/>
          </w:tcPr>
          <w:p w14:paraId="6EB33492">
            <w:pPr>
              <w:pStyle w:val="50"/>
              <w:keepNext w:val="0"/>
              <w:keepLines w:val="0"/>
              <w:suppressLineNumbers w:val="0"/>
              <w:spacing w:before="0" w:beforeAutospacing="0" w:after="0" w:afterAutospacing="0"/>
              <w:ind w:left="0" w:leftChars="0" w:right="0" w:rightChars="0" w:firstLine="0" w:firstLineChars="0"/>
              <w:rPr>
                <w:rFonts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highlight w:val="none"/>
                <w14:textFill>
                  <w14:solidFill>
                    <w14:schemeClr w14:val="tx1"/>
                  </w14:solidFill>
                </w14:textFill>
              </w:rPr>
              <w:t>13届人大第12次会议</w:t>
            </w:r>
          </w:p>
        </w:tc>
        <w:tc>
          <w:tcPr>
            <w:tcW w:w="1174" w:type="dxa"/>
            <w:tcBorders>
              <w:tl2br w:val="nil"/>
              <w:tr2bl w:val="nil"/>
            </w:tcBorders>
            <w:shd w:val="clear" w:color="auto" w:fill="auto"/>
            <w:vAlign w:val="center"/>
          </w:tcPr>
          <w:p w14:paraId="5EAC7C0C">
            <w:pPr>
              <w:pStyle w:val="5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highlight w:val="none"/>
                <w14:textFill>
                  <w14:solidFill>
                    <w14:schemeClr w14:val="tx1"/>
                  </w14:solidFill>
                </w14:textFill>
              </w:rPr>
              <w:t>2020-01-01</w:t>
            </w:r>
          </w:p>
        </w:tc>
      </w:tr>
      <w:tr w14:paraId="7D581E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2A79D5BD">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18</w:t>
            </w:r>
          </w:p>
        </w:tc>
        <w:tc>
          <w:tcPr>
            <w:tcW w:w="4464" w:type="dxa"/>
            <w:tcBorders>
              <w:tl2br w:val="nil"/>
              <w:tr2bl w:val="nil"/>
            </w:tcBorders>
            <w:shd w:val="clear" w:color="auto" w:fill="auto"/>
            <w:vAlign w:val="center"/>
          </w:tcPr>
          <w:p w14:paraId="6E915F59">
            <w:pPr>
              <w:pStyle w:val="50"/>
              <w:keepNext w:val="0"/>
              <w:keepLines w:val="0"/>
              <w:suppressLineNumbers w:val="0"/>
              <w:spacing w:before="0" w:beforeAutospacing="0" w:after="0" w:afterAutospacing="0"/>
              <w:ind w:left="0" w:leftChars="0" w:right="0" w:rightChars="0" w:firstLine="0" w:firstLineChars="0"/>
              <w:rPr>
                <w:rFonts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kern w:val="0"/>
                <w:position w:val="0"/>
                <w:sz w:val="21"/>
                <w:szCs w:val="21"/>
                <w:lang w:val="en-US" w:eastAsia="zh-CN" w:bidi="ar-SA"/>
                <w14:textFill>
                  <w14:solidFill>
                    <w14:schemeClr w14:val="tx1"/>
                  </w14:solidFill>
                </w14:textFill>
              </w:rPr>
              <w:t>《中华人民共和国防沙治沙法》</w:t>
            </w:r>
          </w:p>
        </w:tc>
        <w:tc>
          <w:tcPr>
            <w:tcW w:w="2337" w:type="dxa"/>
            <w:tcBorders>
              <w:tl2br w:val="nil"/>
              <w:tr2bl w:val="nil"/>
            </w:tcBorders>
            <w:shd w:val="clear" w:color="auto" w:fill="auto"/>
            <w:vAlign w:val="center"/>
          </w:tcPr>
          <w:p w14:paraId="313F6457">
            <w:pPr>
              <w:pStyle w:val="50"/>
              <w:keepNext w:val="0"/>
              <w:keepLines w:val="0"/>
              <w:suppressLineNumbers w:val="0"/>
              <w:spacing w:before="0" w:beforeAutospacing="0" w:after="0" w:afterAutospacing="0"/>
              <w:ind w:left="0" w:leftChars="0" w:right="0" w:rightChars="0" w:firstLine="0" w:firstLineChars="0"/>
              <w:rPr>
                <w:rFonts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highlight w:val="none"/>
                <w14:textFill>
                  <w14:solidFill>
                    <w14:schemeClr w14:val="tx1"/>
                  </w14:solidFill>
                </w14:textFill>
              </w:rPr>
              <w:t>13届人大第6次会议</w:t>
            </w:r>
          </w:p>
        </w:tc>
        <w:tc>
          <w:tcPr>
            <w:tcW w:w="1174" w:type="dxa"/>
            <w:tcBorders>
              <w:tl2br w:val="nil"/>
              <w:tr2bl w:val="nil"/>
            </w:tcBorders>
            <w:shd w:val="clear" w:color="auto" w:fill="auto"/>
            <w:vAlign w:val="center"/>
          </w:tcPr>
          <w:p w14:paraId="68EDED24">
            <w:pPr>
              <w:pStyle w:val="5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1"/>
                <w:szCs w:val="21"/>
                <w:highlight w:val="none"/>
                <w14:textFill>
                  <w14:solidFill>
                    <w14:schemeClr w14:val="tx1"/>
                  </w14:solidFill>
                </w14:textFill>
              </w:rPr>
              <w:t>2018-10-26</w:t>
            </w:r>
          </w:p>
        </w:tc>
      </w:tr>
      <w:tr w14:paraId="50DD36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4AF6FDBB">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二</w:t>
            </w:r>
          </w:p>
        </w:tc>
        <w:tc>
          <w:tcPr>
            <w:tcW w:w="7975" w:type="dxa"/>
            <w:gridSpan w:val="3"/>
            <w:tcBorders>
              <w:tl2br w:val="nil"/>
              <w:tr2bl w:val="nil"/>
            </w:tcBorders>
            <w:vAlign w:val="center"/>
          </w:tcPr>
          <w:p w14:paraId="1828F430">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行政法规与国务院发布的规范性文件</w:t>
            </w:r>
          </w:p>
        </w:tc>
      </w:tr>
      <w:tr w14:paraId="5A4A97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742DD13A">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w:t>
            </w:r>
          </w:p>
        </w:tc>
        <w:tc>
          <w:tcPr>
            <w:tcW w:w="4464" w:type="dxa"/>
            <w:tcBorders>
              <w:tl2br w:val="nil"/>
              <w:tr2bl w:val="nil"/>
            </w:tcBorders>
            <w:vAlign w:val="center"/>
          </w:tcPr>
          <w:p w14:paraId="15B46B2B">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bookmarkStart w:id="110" w:name="OLE_LINK2"/>
            <w:r>
              <w:rPr>
                <w:rFonts w:ascii="Times New Roman" w:hAnsi="Times New Roman" w:eastAsia="宋体"/>
                <w:color w:val="000000" w:themeColor="text1"/>
                <w:sz w:val="21"/>
                <w:szCs w:val="21"/>
                <w:highlight w:val="none"/>
                <w14:textFill>
                  <w14:solidFill>
                    <w14:schemeClr w14:val="tx1"/>
                  </w14:solidFill>
                </w14:textFill>
              </w:rPr>
              <w:t>《建设项目环境保护管理条例》</w:t>
            </w:r>
            <w:bookmarkEnd w:id="110"/>
          </w:p>
        </w:tc>
        <w:tc>
          <w:tcPr>
            <w:tcW w:w="2337" w:type="dxa"/>
            <w:tcBorders>
              <w:tl2br w:val="nil"/>
              <w:tr2bl w:val="nil"/>
            </w:tcBorders>
            <w:vAlign w:val="center"/>
          </w:tcPr>
          <w:p w14:paraId="17500378">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国务院令第682号</w:t>
            </w:r>
          </w:p>
        </w:tc>
        <w:tc>
          <w:tcPr>
            <w:tcW w:w="1174" w:type="dxa"/>
            <w:tcBorders>
              <w:tl2br w:val="nil"/>
              <w:tr2bl w:val="nil"/>
            </w:tcBorders>
            <w:vAlign w:val="center"/>
          </w:tcPr>
          <w:p w14:paraId="3D42039E">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2017-10-01</w:t>
            </w:r>
          </w:p>
        </w:tc>
      </w:tr>
      <w:tr w14:paraId="6C1A32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19E2D5CF">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w:t>
            </w:r>
          </w:p>
        </w:tc>
        <w:tc>
          <w:tcPr>
            <w:tcW w:w="4464" w:type="dxa"/>
            <w:tcBorders>
              <w:tl2br w:val="nil"/>
              <w:tr2bl w:val="nil"/>
            </w:tcBorders>
            <w:vAlign w:val="center"/>
          </w:tcPr>
          <w:p w14:paraId="2394B10D">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《中华人民共和国野生植物保护条例》</w:t>
            </w:r>
          </w:p>
        </w:tc>
        <w:tc>
          <w:tcPr>
            <w:tcW w:w="2337" w:type="dxa"/>
            <w:tcBorders>
              <w:tl2br w:val="nil"/>
              <w:tr2bl w:val="nil"/>
            </w:tcBorders>
            <w:vAlign w:val="center"/>
          </w:tcPr>
          <w:p w14:paraId="04D8A85E">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国务院令第687号</w:t>
            </w:r>
          </w:p>
        </w:tc>
        <w:tc>
          <w:tcPr>
            <w:tcW w:w="1174" w:type="dxa"/>
            <w:tcBorders>
              <w:tl2br w:val="nil"/>
              <w:tr2bl w:val="nil"/>
            </w:tcBorders>
            <w:vAlign w:val="center"/>
          </w:tcPr>
          <w:p w14:paraId="438B39E9">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2017-10-07</w:t>
            </w:r>
          </w:p>
        </w:tc>
      </w:tr>
      <w:tr w14:paraId="68FEA8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B4DC6A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3</w:t>
            </w:r>
          </w:p>
        </w:tc>
        <w:tc>
          <w:tcPr>
            <w:tcW w:w="4464" w:type="dxa"/>
            <w:tcBorders>
              <w:tl2br w:val="nil"/>
              <w:tr2bl w:val="nil"/>
            </w:tcBorders>
            <w:shd w:val="clear" w:color="auto" w:fill="auto"/>
            <w:vAlign w:val="center"/>
          </w:tcPr>
          <w:p w14:paraId="63E93847">
            <w:pPr>
              <w:pStyle w:val="45"/>
              <w:keepNext w:val="0"/>
              <w:keepLines w:val="0"/>
              <w:pageBreakBefore w:val="0"/>
              <w:widowControl w:val="0"/>
              <w:suppressLineNumbers w:val="0"/>
              <w:kinsoku/>
              <w:wordWrap/>
              <w:topLinePunct w:val="0"/>
              <w:bidi w:val="0"/>
              <w:snapToGrid w:val="0"/>
              <w:spacing w:before="0" w:beforeAutospacing="0" w:after="0" w:afterAutospacing="0" w:line="360" w:lineRule="exact"/>
              <w:ind w:left="-72" w:leftChars="-30" w:right="-72" w:rightChars="-3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b w:val="0"/>
                <w:bCs/>
                <w:color w:val="000000" w:themeColor="text1"/>
                <w:sz w:val="21"/>
                <w:szCs w:val="21"/>
                <w14:textFill>
                  <w14:solidFill>
                    <w14:schemeClr w14:val="tx1"/>
                  </w14:solidFill>
                </w14:textFill>
              </w:rPr>
              <w:t>《</w:t>
            </w:r>
            <w:r>
              <w:rPr>
                <w:rFonts w:hint="eastAsia" w:ascii="Times New Roman" w:hAnsi="Times New Roman" w:eastAsia="宋体"/>
                <w:b w:val="0"/>
                <w:bCs/>
                <w:color w:val="000000" w:themeColor="text1"/>
                <w:sz w:val="21"/>
                <w:szCs w:val="21"/>
                <w14:textFill>
                  <w14:solidFill>
                    <w14:schemeClr w14:val="tx1"/>
                  </w14:solidFill>
                </w14:textFill>
              </w:rPr>
              <w:t>中华人民共和国陆生野生动物保护实施条例</w:t>
            </w:r>
            <w:r>
              <w:rPr>
                <w:rFonts w:hint="default" w:ascii="Times New Roman" w:hAnsi="Times New Roman" w:eastAsia="宋体"/>
                <w:b w:val="0"/>
                <w:bCs/>
                <w:color w:val="000000" w:themeColor="text1"/>
                <w:sz w:val="21"/>
                <w:szCs w:val="21"/>
                <w14:textFill>
                  <w14:solidFill>
                    <w14:schemeClr w14:val="tx1"/>
                  </w14:solidFill>
                </w14:textFill>
              </w:rPr>
              <w:t>》</w:t>
            </w:r>
          </w:p>
        </w:tc>
        <w:tc>
          <w:tcPr>
            <w:tcW w:w="2337" w:type="dxa"/>
            <w:tcBorders>
              <w:tl2br w:val="nil"/>
              <w:tr2bl w:val="nil"/>
            </w:tcBorders>
            <w:shd w:val="clear" w:color="auto" w:fill="auto"/>
            <w:vAlign w:val="center"/>
          </w:tcPr>
          <w:p w14:paraId="06D114CF">
            <w:pPr>
              <w:pStyle w:val="45"/>
              <w:keepNext w:val="0"/>
              <w:keepLines w:val="0"/>
              <w:pageBreakBefore w:val="0"/>
              <w:widowControl w:val="0"/>
              <w:suppressLineNumbers w:val="0"/>
              <w:kinsoku/>
              <w:wordWrap/>
              <w:topLinePunct w:val="0"/>
              <w:bidi w:val="0"/>
              <w:snapToGrid w:val="0"/>
              <w:spacing w:before="0" w:beforeAutospacing="0" w:after="0" w:afterAutospacing="0" w:line="360" w:lineRule="exact"/>
              <w:ind w:left="-72" w:leftChars="-30" w:right="-72" w:rightChars="-3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国务院令第666号</w:t>
            </w:r>
          </w:p>
        </w:tc>
        <w:tc>
          <w:tcPr>
            <w:tcW w:w="1174" w:type="dxa"/>
            <w:tcBorders>
              <w:tl2br w:val="nil"/>
              <w:tr2bl w:val="nil"/>
            </w:tcBorders>
            <w:shd w:val="clear" w:color="auto" w:fill="auto"/>
            <w:vAlign w:val="center"/>
          </w:tcPr>
          <w:p w14:paraId="0FC1482F">
            <w:pPr>
              <w:pStyle w:val="45"/>
              <w:keepNext w:val="0"/>
              <w:keepLines w:val="0"/>
              <w:pageBreakBefore w:val="0"/>
              <w:widowControl w:val="0"/>
              <w:suppressLineNumbers w:val="0"/>
              <w:kinsoku/>
              <w:wordWrap/>
              <w:topLinePunct w:val="0"/>
              <w:bidi w:val="0"/>
              <w:snapToGrid w:val="0"/>
              <w:spacing w:before="0" w:beforeAutospacing="0" w:after="0" w:afterAutospacing="0" w:line="360" w:lineRule="exact"/>
              <w:ind w:left="-72" w:leftChars="-30" w:right="-72" w:rightChars="-3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2016-02-06</w:t>
            </w:r>
          </w:p>
        </w:tc>
      </w:tr>
      <w:tr w14:paraId="54011C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539A98C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4</w:t>
            </w:r>
          </w:p>
        </w:tc>
        <w:tc>
          <w:tcPr>
            <w:tcW w:w="4464" w:type="dxa"/>
            <w:tcBorders>
              <w:tl2br w:val="nil"/>
              <w:tr2bl w:val="nil"/>
            </w:tcBorders>
            <w:shd w:val="clear" w:color="auto" w:fill="auto"/>
            <w:vAlign w:val="center"/>
          </w:tcPr>
          <w:p w14:paraId="6D565D5A">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《土地复垦条例》</w:t>
            </w:r>
          </w:p>
        </w:tc>
        <w:tc>
          <w:tcPr>
            <w:tcW w:w="2337" w:type="dxa"/>
            <w:tcBorders>
              <w:tl2br w:val="nil"/>
              <w:tr2bl w:val="nil"/>
            </w:tcBorders>
            <w:shd w:val="clear" w:color="auto" w:fill="auto"/>
            <w:vAlign w:val="center"/>
          </w:tcPr>
          <w:p w14:paraId="7306F2E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国务院令第592号</w:t>
            </w:r>
          </w:p>
        </w:tc>
        <w:tc>
          <w:tcPr>
            <w:tcW w:w="1174" w:type="dxa"/>
            <w:tcBorders>
              <w:tl2br w:val="nil"/>
              <w:tr2bl w:val="nil"/>
            </w:tcBorders>
            <w:shd w:val="clear" w:color="auto" w:fill="auto"/>
            <w:vAlign w:val="center"/>
          </w:tcPr>
          <w:p w14:paraId="708627D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2011-02-22</w:t>
            </w:r>
          </w:p>
        </w:tc>
      </w:tr>
      <w:tr w14:paraId="3F30CC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7841A3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5</w:t>
            </w:r>
          </w:p>
        </w:tc>
        <w:tc>
          <w:tcPr>
            <w:tcW w:w="4464" w:type="dxa"/>
            <w:tcBorders>
              <w:tl2br w:val="nil"/>
              <w:tr2bl w:val="nil"/>
            </w:tcBorders>
            <w:shd w:val="clear" w:color="auto" w:fill="auto"/>
            <w:vAlign w:val="center"/>
          </w:tcPr>
          <w:p w14:paraId="5EE9D931">
            <w:pPr>
              <w:pStyle w:val="45"/>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72" w:leftChars="-30" w:right="-72" w:rightChars="-3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w:t>
            </w:r>
            <w:r>
              <w:rPr>
                <w:rFonts w:hint="default" w:ascii="Times New Roman" w:hAnsi="Times New Roman" w:eastAsia="宋体"/>
                <w:b w:val="0"/>
                <w:bCs/>
                <w:color w:val="000000" w:themeColor="text1"/>
                <w:sz w:val="21"/>
                <w:szCs w:val="21"/>
                <w14:textFill>
                  <w14:solidFill>
                    <w14:schemeClr w14:val="tx1"/>
                  </w14:solidFill>
                </w14:textFill>
              </w:rPr>
              <w:t>地下水管理条例</w:t>
            </w:r>
            <w:r>
              <w:rPr>
                <w:rFonts w:hint="eastAsia" w:ascii="Times New Roman" w:hAnsi="Times New Roman" w:eastAsia="宋体"/>
                <w:b w:val="0"/>
                <w:bCs/>
                <w:color w:val="000000" w:themeColor="text1"/>
                <w:sz w:val="21"/>
                <w:szCs w:val="21"/>
                <w14:textFill>
                  <w14:solidFill>
                    <w14:schemeClr w14:val="tx1"/>
                  </w14:solidFill>
                </w14:textFill>
              </w:rPr>
              <w:t>》</w:t>
            </w:r>
          </w:p>
        </w:tc>
        <w:tc>
          <w:tcPr>
            <w:tcW w:w="2337" w:type="dxa"/>
            <w:tcBorders>
              <w:tl2br w:val="nil"/>
              <w:tr2bl w:val="nil"/>
            </w:tcBorders>
            <w:shd w:val="clear" w:color="auto" w:fill="auto"/>
            <w:vAlign w:val="center"/>
          </w:tcPr>
          <w:p w14:paraId="77775003">
            <w:pPr>
              <w:pStyle w:val="45"/>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72" w:leftChars="-30" w:right="-72" w:rightChars="-3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国务院令第748号</w:t>
            </w:r>
          </w:p>
        </w:tc>
        <w:tc>
          <w:tcPr>
            <w:tcW w:w="1174" w:type="dxa"/>
            <w:tcBorders>
              <w:tl2br w:val="nil"/>
              <w:tr2bl w:val="nil"/>
            </w:tcBorders>
            <w:shd w:val="clear" w:color="auto" w:fill="auto"/>
            <w:vAlign w:val="center"/>
          </w:tcPr>
          <w:p w14:paraId="4634890B">
            <w:pPr>
              <w:pStyle w:val="45"/>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72" w:leftChars="-30" w:right="-72" w:rightChars="-3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2021-12-01</w:t>
            </w:r>
          </w:p>
        </w:tc>
      </w:tr>
      <w:tr w14:paraId="0439B9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764B51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6</w:t>
            </w:r>
          </w:p>
        </w:tc>
        <w:tc>
          <w:tcPr>
            <w:tcW w:w="4464" w:type="dxa"/>
            <w:tcBorders>
              <w:tl2br w:val="nil"/>
              <w:tr2bl w:val="nil"/>
            </w:tcBorders>
            <w:shd w:val="clear" w:color="auto" w:fill="auto"/>
            <w:vAlign w:val="center"/>
          </w:tcPr>
          <w:p w14:paraId="726AE025">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《危险化学品安全管理条例》</w:t>
            </w:r>
          </w:p>
        </w:tc>
        <w:tc>
          <w:tcPr>
            <w:tcW w:w="2337" w:type="dxa"/>
            <w:tcBorders>
              <w:tl2br w:val="nil"/>
              <w:tr2bl w:val="nil"/>
            </w:tcBorders>
            <w:shd w:val="clear" w:color="auto" w:fill="auto"/>
            <w:vAlign w:val="center"/>
          </w:tcPr>
          <w:p w14:paraId="6B79F47F">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国务院令第591号</w:t>
            </w:r>
          </w:p>
        </w:tc>
        <w:tc>
          <w:tcPr>
            <w:tcW w:w="1174" w:type="dxa"/>
            <w:tcBorders>
              <w:tl2br w:val="nil"/>
              <w:tr2bl w:val="nil"/>
            </w:tcBorders>
            <w:shd w:val="clear" w:color="auto" w:fill="auto"/>
            <w:vAlign w:val="center"/>
          </w:tcPr>
          <w:p w14:paraId="236BD772">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2011-12-01</w:t>
            </w:r>
          </w:p>
        </w:tc>
      </w:tr>
      <w:tr w14:paraId="6E4C91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1114BC01">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7</w:t>
            </w:r>
          </w:p>
        </w:tc>
        <w:tc>
          <w:tcPr>
            <w:tcW w:w="4464" w:type="dxa"/>
            <w:tcBorders>
              <w:tl2br w:val="nil"/>
              <w:tr2bl w:val="nil"/>
            </w:tcBorders>
            <w:shd w:val="clear" w:color="auto" w:fill="auto"/>
            <w:vAlign w:val="center"/>
          </w:tcPr>
          <w:p w14:paraId="54B4F622">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《地质灾害防治条例》</w:t>
            </w:r>
          </w:p>
        </w:tc>
        <w:tc>
          <w:tcPr>
            <w:tcW w:w="2337" w:type="dxa"/>
            <w:tcBorders>
              <w:tl2br w:val="nil"/>
              <w:tr2bl w:val="nil"/>
            </w:tcBorders>
            <w:shd w:val="clear" w:color="auto" w:fill="auto"/>
            <w:vAlign w:val="center"/>
          </w:tcPr>
          <w:p w14:paraId="79A8D26B">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国务院令第394号</w:t>
            </w:r>
          </w:p>
        </w:tc>
        <w:tc>
          <w:tcPr>
            <w:tcW w:w="1174" w:type="dxa"/>
            <w:tcBorders>
              <w:tl2br w:val="nil"/>
              <w:tr2bl w:val="nil"/>
            </w:tcBorders>
            <w:shd w:val="clear" w:color="auto" w:fill="auto"/>
            <w:vAlign w:val="center"/>
          </w:tcPr>
          <w:p w14:paraId="3BE94590">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2004-03-01</w:t>
            </w:r>
          </w:p>
        </w:tc>
      </w:tr>
      <w:tr w14:paraId="71E7C6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275CB2C0">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8</w:t>
            </w:r>
          </w:p>
        </w:tc>
        <w:tc>
          <w:tcPr>
            <w:tcW w:w="4464" w:type="dxa"/>
            <w:tcBorders>
              <w:tl2br w:val="nil"/>
              <w:tr2bl w:val="nil"/>
            </w:tcBorders>
            <w:shd w:val="clear" w:color="auto" w:fill="auto"/>
            <w:vAlign w:val="center"/>
          </w:tcPr>
          <w:p w14:paraId="274812EB">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《中华人民共和国土地管理法实施条例》</w:t>
            </w:r>
          </w:p>
        </w:tc>
        <w:tc>
          <w:tcPr>
            <w:tcW w:w="2337" w:type="dxa"/>
            <w:tcBorders>
              <w:tl2br w:val="nil"/>
              <w:tr2bl w:val="nil"/>
            </w:tcBorders>
            <w:shd w:val="clear" w:color="auto" w:fill="auto"/>
            <w:vAlign w:val="center"/>
          </w:tcPr>
          <w:p w14:paraId="351A4605">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国务院令第653号</w:t>
            </w:r>
          </w:p>
        </w:tc>
        <w:tc>
          <w:tcPr>
            <w:tcW w:w="1174" w:type="dxa"/>
            <w:tcBorders>
              <w:tl2br w:val="nil"/>
              <w:tr2bl w:val="nil"/>
            </w:tcBorders>
            <w:shd w:val="clear" w:color="auto" w:fill="auto"/>
            <w:vAlign w:val="center"/>
          </w:tcPr>
          <w:p w14:paraId="7B89ECF5">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2014-07-29</w:t>
            </w:r>
          </w:p>
        </w:tc>
      </w:tr>
      <w:tr w14:paraId="16993F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2BC22A52">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9</w:t>
            </w:r>
          </w:p>
        </w:tc>
        <w:tc>
          <w:tcPr>
            <w:tcW w:w="4464" w:type="dxa"/>
            <w:tcBorders>
              <w:tl2br w:val="nil"/>
              <w:tr2bl w:val="nil"/>
            </w:tcBorders>
            <w:shd w:val="clear" w:color="auto" w:fill="auto"/>
            <w:vAlign w:val="center"/>
          </w:tcPr>
          <w:p w14:paraId="76463BFA">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生态保护补偿条例</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074501DC">
            <w:pPr>
              <w:pStyle w:val="45"/>
              <w:spacing w:before="0" w:beforeAutospacing="0" w:line="360" w:lineRule="exact"/>
              <w:ind w:firstLine="0" w:firstLineChars="0"/>
              <w:jc w:val="center"/>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国务院令第</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79</w:t>
            </w:r>
            <w:r>
              <w:rPr>
                <w:rFonts w:hint="default" w:ascii="Times New Roman" w:hAnsi="Times New Roman" w:eastAsia="宋体" w:cs="Times New Roman"/>
                <w:color w:val="000000" w:themeColor="text1"/>
                <w:sz w:val="21"/>
                <w:szCs w:val="21"/>
                <w:highlight w:val="none"/>
                <w14:textFill>
                  <w14:solidFill>
                    <w14:schemeClr w14:val="tx1"/>
                  </w14:solidFill>
                </w14:textFill>
              </w:rPr>
              <w:t>号</w:t>
            </w:r>
          </w:p>
        </w:tc>
        <w:tc>
          <w:tcPr>
            <w:tcW w:w="1174" w:type="dxa"/>
            <w:tcBorders>
              <w:tl2br w:val="nil"/>
              <w:tr2bl w:val="nil"/>
            </w:tcBorders>
            <w:shd w:val="clear" w:color="auto" w:fill="auto"/>
            <w:vAlign w:val="center"/>
          </w:tcPr>
          <w:p w14:paraId="1B63A732">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2024-06-01</w:t>
            </w:r>
          </w:p>
        </w:tc>
      </w:tr>
      <w:tr w14:paraId="0A3A30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15E9F98">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10</w:t>
            </w:r>
          </w:p>
        </w:tc>
        <w:tc>
          <w:tcPr>
            <w:tcW w:w="4464" w:type="dxa"/>
            <w:tcBorders>
              <w:tl2br w:val="nil"/>
              <w:tr2bl w:val="nil"/>
            </w:tcBorders>
            <w:shd w:val="clear" w:color="auto" w:fill="auto"/>
            <w:vAlign w:val="center"/>
          </w:tcPr>
          <w:p w14:paraId="72A9A26B">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《国务院关于全面加强生态环境保护坚决打好污染防治攻坚战的意见》</w:t>
            </w:r>
          </w:p>
        </w:tc>
        <w:tc>
          <w:tcPr>
            <w:tcW w:w="2337" w:type="dxa"/>
            <w:tcBorders>
              <w:tl2br w:val="nil"/>
              <w:tr2bl w:val="nil"/>
            </w:tcBorders>
            <w:shd w:val="clear" w:color="auto" w:fill="auto"/>
            <w:vAlign w:val="center"/>
          </w:tcPr>
          <w:p w14:paraId="039ECC79">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中共中央、国务院发布</w:t>
            </w:r>
          </w:p>
        </w:tc>
        <w:tc>
          <w:tcPr>
            <w:tcW w:w="1174" w:type="dxa"/>
            <w:tcBorders>
              <w:tl2br w:val="nil"/>
              <w:tr2bl w:val="nil"/>
            </w:tcBorders>
            <w:shd w:val="clear" w:color="auto" w:fill="auto"/>
            <w:vAlign w:val="center"/>
          </w:tcPr>
          <w:p w14:paraId="6CD43A4B">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2018-06-16</w:t>
            </w:r>
          </w:p>
        </w:tc>
      </w:tr>
      <w:tr w14:paraId="50DC11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7A0628A6">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11</w:t>
            </w:r>
          </w:p>
        </w:tc>
        <w:tc>
          <w:tcPr>
            <w:tcW w:w="4464" w:type="dxa"/>
            <w:tcBorders>
              <w:tl2br w:val="nil"/>
              <w:tr2bl w:val="nil"/>
            </w:tcBorders>
            <w:shd w:val="clear" w:color="auto" w:fill="auto"/>
            <w:vAlign w:val="center"/>
          </w:tcPr>
          <w:p w14:paraId="3EF354F4">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《关于深入打好污染防治攻坚战的意见》</w:t>
            </w:r>
          </w:p>
        </w:tc>
        <w:tc>
          <w:tcPr>
            <w:tcW w:w="2337" w:type="dxa"/>
            <w:tcBorders>
              <w:tl2br w:val="nil"/>
              <w:tr2bl w:val="nil"/>
            </w:tcBorders>
            <w:shd w:val="clear" w:color="auto" w:fill="auto"/>
            <w:vAlign w:val="center"/>
          </w:tcPr>
          <w:p w14:paraId="303F7080">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中共中央、国务院发布</w:t>
            </w:r>
          </w:p>
        </w:tc>
        <w:tc>
          <w:tcPr>
            <w:tcW w:w="1174" w:type="dxa"/>
            <w:tcBorders>
              <w:tl2br w:val="nil"/>
              <w:tr2bl w:val="nil"/>
            </w:tcBorders>
            <w:shd w:val="clear" w:color="auto" w:fill="auto"/>
            <w:vAlign w:val="center"/>
          </w:tcPr>
          <w:p w14:paraId="5C82B5B9">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w:t>
            </w:r>
            <w:r>
              <w:rPr>
                <w:rFonts w:ascii="Times New Roman" w:hAnsi="Times New Roman" w:eastAsia="宋体"/>
                <w:color w:val="000000" w:themeColor="text1"/>
                <w:sz w:val="21"/>
                <w:szCs w:val="21"/>
                <w:highlight w:val="none"/>
                <w14:textFill>
                  <w14:solidFill>
                    <w14:schemeClr w14:val="tx1"/>
                  </w14:solidFill>
                </w14:textFill>
              </w:rPr>
              <w:t>21</w:t>
            </w:r>
            <w:r>
              <w:rPr>
                <w:rFonts w:hint="eastAsia"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11</w:t>
            </w:r>
            <w:r>
              <w:rPr>
                <w:rFonts w:hint="eastAsia"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02</w:t>
            </w:r>
          </w:p>
        </w:tc>
      </w:tr>
      <w:tr w14:paraId="640F3E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51F49C9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12</w:t>
            </w:r>
          </w:p>
        </w:tc>
        <w:tc>
          <w:tcPr>
            <w:tcW w:w="4464" w:type="dxa"/>
            <w:tcBorders>
              <w:tl2br w:val="nil"/>
              <w:tr2bl w:val="nil"/>
            </w:tcBorders>
            <w:shd w:val="clear" w:color="auto" w:fill="auto"/>
            <w:vAlign w:val="center"/>
          </w:tcPr>
          <w:p w14:paraId="60DAC305">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z w:val="21"/>
                <w:szCs w:val="21"/>
                <w14:textFill>
                  <w14:solidFill>
                    <w14:schemeClr w14:val="tx1"/>
                  </w14:solidFill>
                </w14:textFill>
              </w:rPr>
              <w:t>《国务院关于印发全国主体功能区规划的通知》</w:t>
            </w:r>
          </w:p>
        </w:tc>
        <w:tc>
          <w:tcPr>
            <w:tcW w:w="2337" w:type="dxa"/>
            <w:tcBorders>
              <w:tl2br w:val="nil"/>
              <w:tr2bl w:val="nil"/>
            </w:tcBorders>
            <w:shd w:val="clear" w:color="auto" w:fill="auto"/>
            <w:vAlign w:val="center"/>
          </w:tcPr>
          <w:p w14:paraId="21AB0A80">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国发〔2010〕46号</w:t>
            </w:r>
          </w:p>
        </w:tc>
        <w:tc>
          <w:tcPr>
            <w:tcW w:w="1174" w:type="dxa"/>
            <w:tcBorders>
              <w:tl2br w:val="nil"/>
              <w:tr2bl w:val="nil"/>
            </w:tcBorders>
            <w:shd w:val="clear" w:color="auto" w:fill="auto"/>
            <w:vAlign w:val="center"/>
          </w:tcPr>
          <w:p w14:paraId="6DCE7760">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2010-12-21</w:t>
            </w:r>
          </w:p>
        </w:tc>
      </w:tr>
      <w:tr w14:paraId="5A2781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513D259A">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w:t>
            </w:r>
          </w:p>
        </w:tc>
        <w:tc>
          <w:tcPr>
            <w:tcW w:w="4464" w:type="dxa"/>
            <w:tcBorders>
              <w:tl2br w:val="nil"/>
              <w:tr2bl w:val="nil"/>
            </w:tcBorders>
            <w:shd w:val="clear" w:color="auto" w:fill="auto"/>
            <w:vAlign w:val="center"/>
          </w:tcPr>
          <w:p w14:paraId="683F9474">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《关于进一步加强企业安全生产工作的通知》</w:t>
            </w:r>
          </w:p>
        </w:tc>
        <w:tc>
          <w:tcPr>
            <w:tcW w:w="2337" w:type="dxa"/>
            <w:tcBorders>
              <w:tl2br w:val="nil"/>
              <w:tr2bl w:val="nil"/>
            </w:tcBorders>
            <w:shd w:val="clear" w:color="auto" w:fill="auto"/>
            <w:vAlign w:val="center"/>
          </w:tcPr>
          <w:p w14:paraId="1F66FA60">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国发〔2010〕23号</w:t>
            </w:r>
          </w:p>
        </w:tc>
        <w:tc>
          <w:tcPr>
            <w:tcW w:w="1174" w:type="dxa"/>
            <w:tcBorders>
              <w:tl2br w:val="nil"/>
              <w:tr2bl w:val="nil"/>
            </w:tcBorders>
            <w:shd w:val="clear" w:color="auto" w:fill="auto"/>
            <w:vAlign w:val="center"/>
          </w:tcPr>
          <w:p w14:paraId="5280459B">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2010-07-19</w:t>
            </w:r>
          </w:p>
        </w:tc>
      </w:tr>
      <w:tr w14:paraId="275732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19D524E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14</w:t>
            </w:r>
          </w:p>
        </w:tc>
        <w:tc>
          <w:tcPr>
            <w:tcW w:w="4464" w:type="dxa"/>
            <w:tcBorders>
              <w:tl2br w:val="nil"/>
              <w:tr2bl w:val="nil"/>
            </w:tcBorders>
            <w:shd w:val="clear" w:color="auto" w:fill="auto"/>
            <w:vAlign w:val="center"/>
          </w:tcPr>
          <w:p w14:paraId="7A9ED968">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《国务院关于加强环境保护重点工作的意见》</w:t>
            </w:r>
          </w:p>
        </w:tc>
        <w:tc>
          <w:tcPr>
            <w:tcW w:w="2337" w:type="dxa"/>
            <w:tcBorders>
              <w:tl2br w:val="nil"/>
              <w:tr2bl w:val="nil"/>
            </w:tcBorders>
            <w:shd w:val="clear" w:color="auto" w:fill="auto"/>
            <w:vAlign w:val="center"/>
          </w:tcPr>
          <w:p w14:paraId="37B98D02">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国发〔2012〕35号</w:t>
            </w:r>
          </w:p>
        </w:tc>
        <w:tc>
          <w:tcPr>
            <w:tcW w:w="1174" w:type="dxa"/>
            <w:tcBorders>
              <w:tl2br w:val="nil"/>
              <w:tr2bl w:val="nil"/>
            </w:tcBorders>
            <w:shd w:val="clear" w:color="auto" w:fill="auto"/>
            <w:vAlign w:val="center"/>
          </w:tcPr>
          <w:p w14:paraId="72C4C13F">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2011-10-17</w:t>
            </w:r>
          </w:p>
        </w:tc>
      </w:tr>
      <w:tr w14:paraId="5261BD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51DC4F24">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15</w:t>
            </w:r>
          </w:p>
        </w:tc>
        <w:tc>
          <w:tcPr>
            <w:tcW w:w="4464" w:type="dxa"/>
            <w:tcBorders>
              <w:tl2br w:val="nil"/>
              <w:tr2bl w:val="nil"/>
            </w:tcBorders>
            <w:shd w:val="clear" w:color="auto" w:fill="auto"/>
            <w:vAlign w:val="center"/>
          </w:tcPr>
          <w:p w14:paraId="1AEC1642">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国务院关于印发</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&lt;</w:t>
            </w:r>
            <w:r>
              <w:rPr>
                <w:rFonts w:hint="eastAsia" w:ascii="Times New Roman" w:hAnsi="Times New Roman" w:eastAsia="宋体"/>
                <w:color w:val="000000" w:themeColor="text1"/>
                <w:sz w:val="21"/>
                <w:szCs w:val="21"/>
                <w:highlight w:val="none"/>
                <w14:textFill>
                  <w14:solidFill>
                    <w14:schemeClr w14:val="tx1"/>
                  </w14:solidFill>
                </w14:textFill>
              </w:rPr>
              <w:t>空气质量持续改善行动计划</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&gt;</w:t>
            </w:r>
            <w:r>
              <w:rPr>
                <w:rFonts w:hint="eastAsia" w:ascii="Times New Roman" w:hAnsi="Times New Roman" w:eastAsia="宋体"/>
                <w:color w:val="000000" w:themeColor="text1"/>
                <w:sz w:val="21"/>
                <w:szCs w:val="21"/>
                <w:highlight w:val="none"/>
                <w14:textFill>
                  <w14:solidFill>
                    <w14:schemeClr w14:val="tx1"/>
                  </w14:solidFill>
                </w14:textFill>
              </w:rPr>
              <w:t>的通知</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2337" w:type="dxa"/>
            <w:tcBorders>
              <w:tl2br w:val="nil"/>
              <w:tr2bl w:val="nil"/>
            </w:tcBorders>
            <w:shd w:val="clear" w:color="auto" w:fill="auto"/>
            <w:vAlign w:val="center"/>
          </w:tcPr>
          <w:p w14:paraId="6A727EB8">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国发〔2023〕24号</w:t>
            </w:r>
          </w:p>
        </w:tc>
        <w:tc>
          <w:tcPr>
            <w:tcW w:w="1174" w:type="dxa"/>
            <w:tcBorders>
              <w:tl2br w:val="nil"/>
              <w:tr2bl w:val="nil"/>
            </w:tcBorders>
            <w:shd w:val="clear" w:color="auto" w:fill="auto"/>
            <w:vAlign w:val="center"/>
          </w:tcPr>
          <w:p w14:paraId="06862480">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2023-11-30</w:t>
            </w:r>
          </w:p>
        </w:tc>
      </w:tr>
      <w:tr w14:paraId="7EB90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580845FF">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16</w:t>
            </w:r>
          </w:p>
        </w:tc>
        <w:tc>
          <w:tcPr>
            <w:tcW w:w="4464" w:type="dxa"/>
            <w:tcBorders>
              <w:tl2br w:val="nil"/>
              <w:tr2bl w:val="nil"/>
            </w:tcBorders>
            <w:shd w:val="clear" w:color="auto" w:fill="auto"/>
            <w:vAlign w:val="center"/>
          </w:tcPr>
          <w:p w14:paraId="6204F704">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《关于加强生态环境分区管控的意见》</w:t>
            </w:r>
          </w:p>
        </w:tc>
        <w:tc>
          <w:tcPr>
            <w:tcW w:w="2337" w:type="dxa"/>
            <w:tcBorders>
              <w:tl2br w:val="nil"/>
              <w:tr2bl w:val="nil"/>
            </w:tcBorders>
            <w:shd w:val="clear" w:color="auto" w:fill="auto"/>
            <w:vAlign w:val="center"/>
          </w:tcPr>
          <w:p w14:paraId="41B56C4B">
            <w:pPr>
              <w:pStyle w:val="45"/>
              <w:keepNext w:val="0"/>
              <w:keepLines w:val="0"/>
              <w:pageBreakBefore w:val="0"/>
              <w:suppressLineNumbers w:val="0"/>
              <w:kinsoku/>
              <w:wordWrap/>
              <w:topLinePunct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中共中央、国务院发布</w:t>
            </w:r>
          </w:p>
        </w:tc>
        <w:tc>
          <w:tcPr>
            <w:tcW w:w="1174" w:type="dxa"/>
            <w:tcBorders>
              <w:tl2br w:val="nil"/>
              <w:tr2bl w:val="nil"/>
            </w:tcBorders>
            <w:shd w:val="clear" w:color="auto" w:fill="auto"/>
            <w:vAlign w:val="center"/>
          </w:tcPr>
          <w:p w14:paraId="3B9F4D06">
            <w:pPr>
              <w:pStyle w:val="45"/>
              <w:keepNext w:val="0"/>
              <w:keepLines w:val="0"/>
              <w:pageBreakBefore w:val="0"/>
              <w:suppressLineNumbers w:val="0"/>
              <w:kinsoku/>
              <w:wordWrap/>
              <w:topLinePunct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2024-03-06</w:t>
            </w:r>
          </w:p>
        </w:tc>
      </w:tr>
      <w:tr w14:paraId="351D9E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7D3B4F42">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17</w:t>
            </w:r>
          </w:p>
        </w:tc>
        <w:tc>
          <w:tcPr>
            <w:tcW w:w="4464" w:type="dxa"/>
            <w:tcBorders>
              <w:tl2br w:val="nil"/>
              <w:tr2bl w:val="nil"/>
            </w:tcBorders>
            <w:shd w:val="clear" w:color="auto" w:fill="auto"/>
            <w:vAlign w:val="center"/>
          </w:tcPr>
          <w:p w14:paraId="094BB55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《国务院关于印发水污染防治行动计划的通知》</w:t>
            </w:r>
          </w:p>
        </w:tc>
        <w:tc>
          <w:tcPr>
            <w:tcW w:w="2337" w:type="dxa"/>
            <w:tcBorders>
              <w:tl2br w:val="nil"/>
              <w:tr2bl w:val="nil"/>
            </w:tcBorders>
            <w:shd w:val="clear" w:color="auto" w:fill="auto"/>
            <w:vAlign w:val="center"/>
          </w:tcPr>
          <w:p w14:paraId="480E414D">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国发〔2015〕17号</w:t>
            </w:r>
          </w:p>
        </w:tc>
        <w:tc>
          <w:tcPr>
            <w:tcW w:w="1174" w:type="dxa"/>
            <w:tcBorders>
              <w:tl2br w:val="nil"/>
              <w:tr2bl w:val="nil"/>
            </w:tcBorders>
            <w:shd w:val="clear" w:color="auto" w:fill="auto"/>
            <w:vAlign w:val="center"/>
          </w:tcPr>
          <w:p w14:paraId="30DEAF3F">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2015-04-02</w:t>
            </w:r>
          </w:p>
        </w:tc>
      </w:tr>
      <w:tr w14:paraId="225E4F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2A43ED3D">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1</w:t>
            </w:r>
            <w:r>
              <w:rPr>
                <w:rFonts w:ascii="Times New Roman" w:hAnsi="Times New Roman" w:eastAsia="宋体"/>
                <w:color w:val="000000" w:themeColor="text1"/>
                <w:sz w:val="21"/>
                <w:szCs w:val="21"/>
                <w:highlight w:val="none"/>
                <w14:textFill>
                  <w14:solidFill>
                    <w14:schemeClr w14:val="tx1"/>
                  </w14:solidFill>
                </w14:textFill>
              </w:rPr>
              <w:t>8</w:t>
            </w:r>
          </w:p>
        </w:tc>
        <w:tc>
          <w:tcPr>
            <w:tcW w:w="4464" w:type="dxa"/>
            <w:tcBorders>
              <w:tl2br w:val="nil"/>
              <w:tr2bl w:val="nil"/>
            </w:tcBorders>
            <w:shd w:val="clear" w:color="auto" w:fill="auto"/>
            <w:vAlign w:val="center"/>
          </w:tcPr>
          <w:p w14:paraId="6669FD7A">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国务院关于印发大气污染防治行动计划的通知</w:t>
            </w: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48AD91C5">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国发〔2013〕37号</w:t>
            </w:r>
          </w:p>
        </w:tc>
        <w:tc>
          <w:tcPr>
            <w:tcW w:w="1174" w:type="dxa"/>
            <w:tcBorders>
              <w:tl2br w:val="nil"/>
              <w:tr2bl w:val="nil"/>
            </w:tcBorders>
            <w:shd w:val="clear" w:color="auto" w:fill="auto"/>
            <w:vAlign w:val="center"/>
          </w:tcPr>
          <w:p w14:paraId="6DF1A930">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2013-09-10</w:t>
            </w:r>
          </w:p>
        </w:tc>
      </w:tr>
      <w:tr w14:paraId="35FD8A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3D94A34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1</w:t>
            </w:r>
            <w:r>
              <w:rPr>
                <w:rFonts w:ascii="Times New Roman" w:hAnsi="Times New Roman" w:eastAsia="宋体"/>
                <w:color w:val="000000" w:themeColor="text1"/>
                <w:sz w:val="21"/>
                <w:szCs w:val="21"/>
                <w:highlight w:val="none"/>
                <w14:textFill>
                  <w14:solidFill>
                    <w14:schemeClr w14:val="tx1"/>
                  </w14:solidFill>
                </w14:textFill>
              </w:rPr>
              <w:t>9</w:t>
            </w:r>
          </w:p>
        </w:tc>
        <w:tc>
          <w:tcPr>
            <w:tcW w:w="4464" w:type="dxa"/>
            <w:tcBorders>
              <w:tl2br w:val="nil"/>
              <w:tr2bl w:val="nil"/>
            </w:tcBorders>
            <w:shd w:val="clear" w:color="auto" w:fill="auto"/>
            <w:vAlign w:val="center"/>
          </w:tcPr>
          <w:p w14:paraId="4C98F826">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《国务院关于印发土壤污染防治行动计划的通知》</w:t>
            </w:r>
          </w:p>
        </w:tc>
        <w:tc>
          <w:tcPr>
            <w:tcW w:w="2337" w:type="dxa"/>
            <w:tcBorders>
              <w:tl2br w:val="nil"/>
              <w:tr2bl w:val="nil"/>
            </w:tcBorders>
            <w:shd w:val="clear" w:color="auto" w:fill="auto"/>
            <w:vAlign w:val="center"/>
          </w:tcPr>
          <w:p w14:paraId="1FEAE806">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国发〔2016〕31号</w:t>
            </w:r>
          </w:p>
        </w:tc>
        <w:tc>
          <w:tcPr>
            <w:tcW w:w="1174" w:type="dxa"/>
            <w:tcBorders>
              <w:tl2br w:val="nil"/>
              <w:tr2bl w:val="nil"/>
            </w:tcBorders>
            <w:shd w:val="clear" w:color="auto" w:fill="auto"/>
            <w:vAlign w:val="center"/>
          </w:tcPr>
          <w:p w14:paraId="052D582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2016-05-28</w:t>
            </w:r>
          </w:p>
        </w:tc>
      </w:tr>
      <w:tr w14:paraId="2C72DC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ECB09B1">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0</w:t>
            </w:r>
          </w:p>
        </w:tc>
        <w:tc>
          <w:tcPr>
            <w:tcW w:w="4464" w:type="dxa"/>
            <w:tcBorders>
              <w:tl2br w:val="nil"/>
              <w:tr2bl w:val="nil"/>
            </w:tcBorders>
            <w:shd w:val="clear" w:color="auto" w:fill="auto"/>
            <w:vAlign w:val="center"/>
          </w:tcPr>
          <w:p w14:paraId="7177A39D">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关于划定并严守生态保护红线的若干意见</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0AE6F80D">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中共中央办公厅、国务院办公厅印发</w:t>
            </w:r>
          </w:p>
        </w:tc>
        <w:tc>
          <w:tcPr>
            <w:tcW w:w="1174" w:type="dxa"/>
            <w:tcBorders>
              <w:tl2br w:val="nil"/>
              <w:tr2bl w:val="nil"/>
            </w:tcBorders>
            <w:shd w:val="clear" w:color="auto" w:fill="auto"/>
            <w:vAlign w:val="center"/>
          </w:tcPr>
          <w:p w14:paraId="0BFA60B8">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2017-02-07</w:t>
            </w:r>
          </w:p>
        </w:tc>
      </w:tr>
      <w:tr w14:paraId="403E76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304D8BBA">
            <w:pPr>
              <w:pStyle w:val="45"/>
              <w:spacing w:before="0" w:beforeAutospacing="0" w:line="360" w:lineRule="exact"/>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21</w:t>
            </w:r>
          </w:p>
        </w:tc>
        <w:tc>
          <w:tcPr>
            <w:tcW w:w="4464" w:type="dxa"/>
            <w:tcBorders>
              <w:tl2br w:val="nil"/>
              <w:tr2bl w:val="nil"/>
            </w:tcBorders>
            <w:shd w:val="clear" w:color="auto" w:fill="auto"/>
            <w:vAlign w:val="center"/>
          </w:tcPr>
          <w:p w14:paraId="15645668">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《关于进一步加强矿山安全生产工作的意见》</w:t>
            </w:r>
          </w:p>
        </w:tc>
        <w:tc>
          <w:tcPr>
            <w:tcW w:w="2337" w:type="dxa"/>
            <w:tcBorders>
              <w:tl2br w:val="nil"/>
              <w:tr2bl w:val="nil"/>
            </w:tcBorders>
            <w:shd w:val="clear" w:color="auto" w:fill="auto"/>
            <w:vAlign w:val="center"/>
          </w:tcPr>
          <w:p w14:paraId="6AF24EE2">
            <w:pPr>
              <w:pStyle w:val="45"/>
              <w:spacing w:before="0" w:beforeAutospacing="0" w:line="360" w:lineRule="exact"/>
              <w:ind w:firstLine="0" w:firstLineChars="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中共中央办公厅、国务院办公厅印发</w:t>
            </w:r>
          </w:p>
        </w:tc>
        <w:tc>
          <w:tcPr>
            <w:tcW w:w="1174" w:type="dxa"/>
            <w:tcBorders>
              <w:tl2br w:val="nil"/>
              <w:tr2bl w:val="nil"/>
            </w:tcBorders>
            <w:shd w:val="clear" w:color="auto" w:fill="auto"/>
            <w:vAlign w:val="center"/>
          </w:tcPr>
          <w:p w14:paraId="347B4538">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b w:val="0"/>
                <w:bCs/>
                <w:color w:val="000000" w:themeColor="text1"/>
                <w:kern w:val="1"/>
                <w:sz w:val="21"/>
                <w:szCs w:val="21"/>
                <w14:textFill>
                  <w14:solidFill>
                    <w14:schemeClr w14:val="tx1"/>
                  </w14:solidFill>
                </w14:textFill>
              </w:rPr>
              <w:t>2023</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b w:val="0"/>
                <w:bCs/>
                <w:color w:val="000000" w:themeColor="text1"/>
                <w:kern w:val="1"/>
                <w:sz w:val="21"/>
                <w:szCs w:val="21"/>
                <w14:textFill>
                  <w14:solidFill>
                    <w14:schemeClr w14:val="tx1"/>
                  </w14:solidFill>
                </w14:textFill>
              </w:rPr>
              <w:t>09</w:t>
            </w:r>
            <w:r>
              <w:rPr>
                <w:rFonts w:hint="eastAsia" w:ascii="Times New Roman" w:hAnsi="Times New Roman" w:eastAsia="宋体"/>
                <w:b w:val="0"/>
                <w:bCs/>
                <w:color w:val="000000" w:themeColor="text1"/>
                <w:kern w:val="1"/>
                <w:sz w:val="21"/>
                <w:szCs w:val="21"/>
                <w:lang w:val="en-US" w:eastAsia="zh-CN"/>
                <w14:textFill>
                  <w14:solidFill>
                    <w14:schemeClr w14:val="tx1"/>
                  </w14:solidFill>
                </w14:textFill>
              </w:rPr>
              <w:t>-</w:t>
            </w:r>
            <w:r>
              <w:rPr>
                <w:rFonts w:hint="eastAsia" w:ascii="Times New Roman" w:hAnsi="Times New Roman" w:eastAsia="宋体"/>
                <w:b w:val="0"/>
                <w:bCs/>
                <w:color w:val="000000" w:themeColor="text1"/>
                <w:kern w:val="1"/>
                <w:sz w:val="21"/>
                <w:szCs w:val="21"/>
                <w14:textFill>
                  <w14:solidFill>
                    <w14:schemeClr w14:val="tx1"/>
                  </w14:solidFill>
                </w14:textFill>
              </w:rPr>
              <w:t>06</w:t>
            </w:r>
          </w:p>
        </w:tc>
      </w:tr>
      <w:tr w14:paraId="0250A3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63BB76BE">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22</w:t>
            </w:r>
          </w:p>
        </w:tc>
        <w:tc>
          <w:tcPr>
            <w:tcW w:w="4464" w:type="dxa"/>
            <w:tcBorders>
              <w:tl2br w:val="nil"/>
              <w:tr2bl w:val="nil"/>
            </w:tcBorders>
            <w:shd w:val="clear" w:color="auto" w:fill="auto"/>
            <w:vAlign w:val="center"/>
          </w:tcPr>
          <w:p w14:paraId="62008F6F">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排污许可管理条例</w:t>
            </w: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366D7882">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国务院令第736号</w:t>
            </w:r>
          </w:p>
        </w:tc>
        <w:tc>
          <w:tcPr>
            <w:tcW w:w="1174" w:type="dxa"/>
            <w:tcBorders>
              <w:tl2br w:val="nil"/>
              <w:tr2bl w:val="nil"/>
            </w:tcBorders>
            <w:shd w:val="clear" w:color="auto" w:fill="auto"/>
            <w:vAlign w:val="center"/>
          </w:tcPr>
          <w:p w14:paraId="070CFBAF">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2021-03-01</w:t>
            </w:r>
          </w:p>
        </w:tc>
      </w:tr>
      <w:tr w14:paraId="02BE66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63ED918">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23</w:t>
            </w:r>
          </w:p>
        </w:tc>
        <w:tc>
          <w:tcPr>
            <w:tcW w:w="4464" w:type="dxa"/>
            <w:tcBorders>
              <w:tl2br w:val="nil"/>
              <w:tr2bl w:val="nil"/>
            </w:tcBorders>
            <w:shd w:val="clear" w:color="auto" w:fill="auto"/>
            <w:vAlign w:val="center"/>
          </w:tcPr>
          <w:p w14:paraId="1D92BD40">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国务院关于印发“十四五”节能减排综合工作方案的通知</w:t>
            </w:r>
            <w:r>
              <w:rPr>
                <w:rFonts w:ascii="Times New Roman" w:hAnsi="Times New Roman" w:eastAsia="宋体"/>
                <w:color w:val="000000" w:themeColor="text1"/>
                <w:sz w:val="21"/>
                <w:szCs w:val="21"/>
                <w:highlight w:val="none"/>
                <w14:textFill>
                  <w14:solidFill>
                    <w14:schemeClr w14:val="tx1"/>
                  </w14:solidFill>
                </w14:textFill>
              </w:rPr>
              <w:t>》</w:t>
            </w:r>
          </w:p>
        </w:tc>
        <w:tc>
          <w:tcPr>
            <w:tcW w:w="2337" w:type="dxa"/>
            <w:tcBorders>
              <w:tl2br w:val="nil"/>
              <w:tr2bl w:val="nil"/>
            </w:tcBorders>
            <w:shd w:val="clear" w:color="auto" w:fill="auto"/>
            <w:vAlign w:val="center"/>
          </w:tcPr>
          <w:p w14:paraId="331A0F46">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国发〔20</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21</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33</w:t>
            </w:r>
            <w:r>
              <w:rPr>
                <w:rFonts w:ascii="Times New Roman" w:hAnsi="Times New Roman" w:eastAsia="宋体"/>
                <w:color w:val="000000" w:themeColor="text1"/>
                <w:sz w:val="21"/>
                <w:szCs w:val="21"/>
                <w:highlight w:val="none"/>
                <w14:textFill>
                  <w14:solidFill>
                    <w14:schemeClr w14:val="tx1"/>
                  </w14:solidFill>
                </w14:textFill>
              </w:rPr>
              <w:t>号</w:t>
            </w:r>
          </w:p>
        </w:tc>
        <w:tc>
          <w:tcPr>
            <w:tcW w:w="1174" w:type="dxa"/>
            <w:tcBorders>
              <w:tl2br w:val="nil"/>
              <w:tr2bl w:val="nil"/>
            </w:tcBorders>
            <w:shd w:val="clear" w:color="auto" w:fill="auto"/>
            <w:vAlign w:val="center"/>
          </w:tcPr>
          <w:p w14:paraId="69745434">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21</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12</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28</w:t>
            </w:r>
          </w:p>
        </w:tc>
      </w:tr>
      <w:tr w14:paraId="707338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AE31451">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24</w:t>
            </w:r>
          </w:p>
        </w:tc>
        <w:tc>
          <w:tcPr>
            <w:tcW w:w="4464" w:type="dxa"/>
            <w:tcBorders>
              <w:tl2br w:val="nil"/>
              <w:tr2bl w:val="nil"/>
            </w:tcBorders>
            <w:shd w:val="clear" w:color="auto" w:fill="auto"/>
            <w:vAlign w:val="center"/>
          </w:tcPr>
          <w:p w14:paraId="6294481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《国务院关于加强节能工作的决定》</w:t>
            </w:r>
          </w:p>
        </w:tc>
        <w:tc>
          <w:tcPr>
            <w:tcW w:w="2337" w:type="dxa"/>
            <w:tcBorders>
              <w:tl2br w:val="nil"/>
              <w:tr2bl w:val="nil"/>
            </w:tcBorders>
            <w:shd w:val="clear" w:color="auto" w:fill="auto"/>
            <w:vAlign w:val="center"/>
          </w:tcPr>
          <w:p w14:paraId="6377B7B8">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国发〔2006〕28号</w:t>
            </w:r>
          </w:p>
        </w:tc>
        <w:tc>
          <w:tcPr>
            <w:tcW w:w="1174" w:type="dxa"/>
            <w:tcBorders>
              <w:tl2br w:val="nil"/>
              <w:tr2bl w:val="nil"/>
            </w:tcBorders>
            <w:shd w:val="clear" w:color="auto" w:fill="auto"/>
            <w:vAlign w:val="center"/>
          </w:tcPr>
          <w:p w14:paraId="1947A0F4">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2006-08-06</w:t>
            </w:r>
          </w:p>
        </w:tc>
      </w:tr>
      <w:tr w14:paraId="453D52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69DE23E1">
            <w:pPr>
              <w:pStyle w:val="45"/>
              <w:spacing w:before="0" w:beforeAutospacing="0" w:line="360" w:lineRule="exact"/>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25</w:t>
            </w:r>
          </w:p>
        </w:tc>
        <w:tc>
          <w:tcPr>
            <w:tcW w:w="4464" w:type="dxa"/>
            <w:tcBorders>
              <w:tl2br w:val="nil"/>
              <w:tr2bl w:val="nil"/>
            </w:tcBorders>
            <w:shd w:val="clear" w:color="auto" w:fill="auto"/>
            <w:vAlign w:val="center"/>
          </w:tcPr>
          <w:p w14:paraId="641C7031">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《固体废物综合治理行动计划》</w:t>
            </w:r>
          </w:p>
        </w:tc>
        <w:tc>
          <w:tcPr>
            <w:tcW w:w="2337" w:type="dxa"/>
            <w:tcBorders>
              <w:tl2br w:val="nil"/>
              <w:tr2bl w:val="nil"/>
            </w:tcBorders>
            <w:shd w:val="clear" w:color="auto" w:fill="auto"/>
            <w:vAlign w:val="center"/>
          </w:tcPr>
          <w:p w14:paraId="67946974">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国发〔2025〕14号</w:t>
            </w:r>
          </w:p>
        </w:tc>
        <w:tc>
          <w:tcPr>
            <w:tcW w:w="1174" w:type="dxa"/>
            <w:tcBorders>
              <w:tl2br w:val="nil"/>
              <w:tr2bl w:val="nil"/>
            </w:tcBorders>
            <w:shd w:val="clear" w:color="auto" w:fill="auto"/>
            <w:vAlign w:val="center"/>
          </w:tcPr>
          <w:p w14:paraId="44A119DC">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2025-12-27</w:t>
            </w:r>
          </w:p>
        </w:tc>
      </w:tr>
      <w:tr w14:paraId="778788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1220C745">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三</w:t>
            </w:r>
          </w:p>
        </w:tc>
        <w:tc>
          <w:tcPr>
            <w:tcW w:w="7975" w:type="dxa"/>
            <w:gridSpan w:val="3"/>
            <w:tcBorders>
              <w:tl2br w:val="nil"/>
              <w:tr2bl w:val="nil"/>
            </w:tcBorders>
            <w:vAlign w:val="center"/>
          </w:tcPr>
          <w:p w14:paraId="71D6E739">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部门规章与部门发布的规范性文件</w:t>
            </w:r>
          </w:p>
        </w:tc>
      </w:tr>
      <w:tr w14:paraId="45BCBC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659D262D">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w:t>
            </w:r>
          </w:p>
        </w:tc>
        <w:tc>
          <w:tcPr>
            <w:tcW w:w="4464" w:type="dxa"/>
            <w:tcBorders>
              <w:tl2br w:val="nil"/>
              <w:tr2bl w:val="nil"/>
            </w:tcBorders>
            <w:shd w:val="clear" w:color="auto" w:fill="auto"/>
            <w:vAlign w:val="center"/>
          </w:tcPr>
          <w:p w14:paraId="13B02669">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产业结构调整指导目录（20</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b w:val="0"/>
                <w:bCs/>
                <w:color w:val="000000" w:themeColor="text1"/>
                <w:sz w:val="21"/>
                <w:szCs w:val="21"/>
                <w14:textFill>
                  <w14:solidFill>
                    <w14:schemeClr w14:val="tx1"/>
                  </w14:solidFill>
                </w14:textFill>
              </w:rPr>
              <w:t>年本）</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04D4121F">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国家发展和改革委员会令第</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val="0"/>
                <w:bCs/>
                <w:color w:val="000000" w:themeColor="text1"/>
                <w:sz w:val="21"/>
                <w:szCs w:val="21"/>
                <w14:textFill>
                  <w14:solidFill>
                    <w14:schemeClr w14:val="tx1"/>
                  </w14:solidFill>
                </w14:textFill>
              </w:rPr>
              <w:t>号</w:t>
            </w:r>
          </w:p>
        </w:tc>
        <w:tc>
          <w:tcPr>
            <w:tcW w:w="1174" w:type="dxa"/>
            <w:tcBorders>
              <w:tl2br w:val="nil"/>
              <w:tr2bl w:val="nil"/>
            </w:tcBorders>
            <w:shd w:val="clear" w:color="auto" w:fill="auto"/>
            <w:vAlign w:val="center"/>
          </w:tcPr>
          <w:p w14:paraId="60B49474">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202</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4-02-01</w:t>
            </w:r>
          </w:p>
        </w:tc>
      </w:tr>
      <w:tr w14:paraId="37F664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3893EC46">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w:t>
            </w:r>
          </w:p>
        </w:tc>
        <w:tc>
          <w:tcPr>
            <w:tcW w:w="4464" w:type="dxa"/>
            <w:tcBorders>
              <w:tl2br w:val="nil"/>
              <w:tr2bl w:val="nil"/>
            </w:tcBorders>
            <w:shd w:val="clear" w:color="auto" w:fill="auto"/>
            <w:vAlign w:val="center"/>
          </w:tcPr>
          <w:p w14:paraId="7B977CE8">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《西部地区鼓励类产业目录（2025年本）》</w:t>
            </w:r>
          </w:p>
        </w:tc>
        <w:tc>
          <w:tcPr>
            <w:tcW w:w="2337" w:type="dxa"/>
            <w:tcBorders>
              <w:tl2br w:val="nil"/>
              <w:tr2bl w:val="nil"/>
            </w:tcBorders>
            <w:shd w:val="clear" w:color="auto" w:fill="auto"/>
            <w:vAlign w:val="center"/>
          </w:tcPr>
          <w:p w14:paraId="5E6F4A84">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国家发展和改革委员会令第28号</w:t>
            </w:r>
          </w:p>
        </w:tc>
        <w:tc>
          <w:tcPr>
            <w:tcW w:w="1174" w:type="dxa"/>
            <w:tcBorders>
              <w:tl2br w:val="nil"/>
              <w:tr2bl w:val="nil"/>
            </w:tcBorders>
            <w:shd w:val="clear" w:color="auto" w:fill="auto"/>
            <w:vAlign w:val="center"/>
          </w:tcPr>
          <w:p w14:paraId="287EA62B">
            <w:pPr>
              <w:keepNext w:val="0"/>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cs" w:ascii="Times New Roman" w:hAnsi="Times New Roman" w:eastAsia="宋体" w:cs="Times New Roman"/>
                <w:b/>
                <w:bCs w:val="0"/>
                <w:color w:val="000000" w:themeColor="text1"/>
                <w:kern w:val="0"/>
                <w:sz w:val="21"/>
                <w:szCs w:val="21"/>
                <w:cs/>
                <w:lang w:val="en-US" w:eastAsia="zh-CN" w:bidi="ar-SA"/>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02</w:t>
            </w: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5-</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0</w:t>
            </w:r>
            <w: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1-</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01</w:t>
            </w:r>
          </w:p>
        </w:tc>
      </w:tr>
      <w:tr w14:paraId="3F72E3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6DAECF5D">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3</w:t>
            </w:r>
          </w:p>
        </w:tc>
        <w:tc>
          <w:tcPr>
            <w:tcW w:w="4464" w:type="dxa"/>
            <w:tcBorders>
              <w:tl2br w:val="nil"/>
              <w:tr2bl w:val="nil"/>
            </w:tcBorders>
            <w:shd w:val="clear" w:color="auto" w:fill="auto"/>
            <w:vAlign w:val="center"/>
          </w:tcPr>
          <w:p w14:paraId="024A9EE4">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《建设项目环境影响评价分类管理名录》</w:t>
            </w:r>
          </w:p>
        </w:tc>
        <w:tc>
          <w:tcPr>
            <w:tcW w:w="2337" w:type="dxa"/>
            <w:tcBorders>
              <w:tl2br w:val="nil"/>
              <w:tr2bl w:val="nil"/>
            </w:tcBorders>
            <w:shd w:val="clear" w:color="auto" w:fill="auto"/>
            <w:vAlign w:val="center"/>
          </w:tcPr>
          <w:p w14:paraId="2F207176">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生态环境部令第16号</w:t>
            </w:r>
          </w:p>
        </w:tc>
        <w:tc>
          <w:tcPr>
            <w:tcW w:w="1174" w:type="dxa"/>
            <w:tcBorders>
              <w:tl2br w:val="nil"/>
              <w:tr2bl w:val="nil"/>
            </w:tcBorders>
            <w:shd w:val="clear" w:color="auto" w:fill="auto"/>
            <w:vAlign w:val="center"/>
          </w:tcPr>
          <w:p w14:paraId="7FD487DD">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2021-01-01</w:t>
            </w:r>
          </w:p>
        </w:tc>
      </w:tr>
      <w:tr w14:paraId="68AED4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21712DE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4</w:t>
            </w:r>
          </w:p>
        </w:tc>
        <w:tc>
          <w:tcPr>
            <w:tcW w:w="4464" w:type="dxa"/>
            <w:tcBorders>
              <w:tl2br w:val="nil"/>
              <w:tr2bl w:val="nil"/>
            </w:tcBorders>
            <w:shd w:val="clear" w:color="auto" w:fill="auto"/>
            <w:vAlign w:val="center"/>
          </w:tcPr>
          <w:p w14:paraId="1631DD33">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《矿山生态环境保护与污染防治技术政策》</w:t>
            </w:r>
          </w:p>
        </w:tc>
        <w:tc>
          <w:tcPr>
            <w:tcW w:w="2337" w:type="dxa"/>
            <w:tcBorders>
              <w:tl2br w:val="nil"/>
              <w:tr2bl w:val="nil"/>
            </w:tcBorders>
            <w:shd w:val="clear" w:color="auto" w:fill="auto"/>
            <w:vAlign w:val="center"/>
          </w:tcPr>
          <w:p w14:paraId="728E24B2">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环发〔2005〕109号</w:t>
            </w:r>
          </w:p>
        </w:tc>
        <w:tc>
          <w:tcPr>
            <w:tcW w:w="1174" w:type="dxa"/>
            <w:tcBorders>
              <w:tl2br w:val="nil"/>
              <w:tr2bl w:val="nil"/>
            </w:tcBorders>
            <w:shd w:val="clear" w:color="auto" w:fill="auto"/>
            <w:vAlign w:val="center"/>
          </w:tcPr>
          <w:p w14:paraId="1C5FD466">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2005-09-07</w:t>
            </w:r>
          </w:p>
        </w:tc>
      </w:tr>
      <w:tr w14:paraId="5A8AC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0060F4F">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5</w:t>
            </w:r>
          </w:p>
        </w:tc>
        <w:tc>
          <w:tcPr>
            <w:tcW w:w="4464" w:type="dxa"/>
            <w:tcBorders>
              <w:tl2br w:val="nil"/>
              <w:tr2bl w:val="nil"/>
            </w:tcBorders>
            <w:shd w:val="clear" w:color="auto" w:fill="auto"/>
            <w:vAlign w:val="center"/>
          </w:tcPr>
          <w:p w14:paraId="13928E3F">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《环境影响评价公众参与办法》</w:t>
            </w:r>
          </w:p>
        </w:tc>
        <w:tc>
          <w:tcPr>
            <w:tcW w:w="2337" w:type="dxa"/>
            <w:tcBorders>
              <w:tl2br w:val="nil"/>
              <w:tr2bl w:val="nil"/>
            </w:tcBorders>
            <w:shd w:val="clear" w:color="auto" w:fill="auto"/>
            <w:vAlign w:val="center"/>
          </w:tcPr>
          <w:p w14:paraId="61010BE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生态环境部令第4号</w:t>
            </w:r>
          </w:p>
        </w:tc>
        <w:tc>
          <w:tcPr>
            <w:tcW w:w="1174" w:type="dxa"/>
            <w:tcBorders>
              <w:tl2br w:val="nil"/>
              <w:tr2bl w:val="nil"/>
            </w:tcBorders>
            <w:shd w:val="clear" w:color="auto" w:fill="auto"/>
            <w:vAlign w:val="center"/>
          </w:tcPr>
          <w:p w14:paraId="4976651D">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2019-01-01</w:t>
            </w:r>
          </w:p>
        </w:tc>
      </w:tr>
      <w:tr w14:paraId="4FF027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5E3DD552">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6</w:t>
            </w:r>
          </w:p>
        </w:tc>
        <w:tc>
          <w:tcPr>
            <w:tcW w:w="4464" w:type="dxa"/>
            <w:tcBorders>
              <w:tl2br w:val="nil"/>
              <w:tr2bl w:val="nil"/>
            </w:tcBorders>
            <w:shd w:val="clear" w:color="auto" w:fill="auto"/>
            <w:vAlign w:val="center"/>
          </w:tcPr>
          <w:p w14:paraId="4287233C">
            <w:pPr>
              <w:pStyle w:val="45"/>
              <w:spacing w:before="0" w:beforeAutospacing="0" w:line="360" w:lineRule="exact"/>
              <w:ind w:firstLine="0" w:firstLineChars="0"/>
              <w:jc w:val="center"/>
              <w:rPr>
                <w:rFonts w:hint="eastAsia"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《关于切实加强风险防范严格环境影响评价管理的通知》</w:t>
            </w:r>
          </w:p>
        </w:tc>
        <w:tc>
          <w:tcPr>
            <w:tcW w:w="2337" w:type="dxa"/>
            <w:tcBorders>
              <w:tl2br w:val="nil"/>
              <w:tr2bl w:val="nil"/>
            </w:tcBorders>
            <w:shd w:val="clear" w:color="auto" w:fill="auto"/>
            <w:vAlign w:val="center"/>
          </w:tcPr>
          <w:p w14:paraId="6A92B916">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环发〔2012〕98号</w:t>
            </w:r>
          </w:p>
        </w:tc>
        <w:tc>
          <w:tcPr>
            <w:tcW w:w="1174" w:type="dxa"/>
            <w:tcBorders>
              <w:tl2br w:val="nil"/>
              <w:tr2bl w:val="nil"/>
            </w:tcBorders>
            <w:shd w:val="clear" w:color="auto" w:fill="auto"/>
            <w:vAlign w:val="center"/>
          </w:tcPr>
          <w:p w14:paraId="2B0465D5">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2012-08-07</w:t>
            </w:r>
          </w:p>
        </w:tc>
      </w:tr>
      <w:tr w14:paraId="3AC508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669BA391">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7</w:t>
            </w:r>
          </w:p>
        </w:tc>
        <w:tc>
          <w:tcPr>
            <w:tcW w:w="4464" w:type="dxa"/>
            <w:tcBorders>
              <w:tl2br w:val="nil"/>
              <w:tr2bl w:val="nil"/>
            </w:tcBorders>
            <w:shd w:val="clear" w:color="auto" w:fill="auto"/>
            <w:vAlign w:val="center"/>
          </w:tcPr>
          <w:p w14:paraId="629DD5F8">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《关于进一步加强环境影响评价管理防范环境风险的通知》</w:t>
            </w:r>
          </w:p>
        </w:tc>
        <w:tc>
          <w:tcPr>
            <w:tcW w:w="2337" w:type="dxa"/>
            <w:tcBorders>
              <w:tl2br w:val="nil"/>
              <w:tr2bl w:val="nil"/>
            </w:tcBorders>
            <w:shd w:val="clear" w:color="auto" w:fill="auto"/>
            <w:vAlign w:val="center"/>
          </w:tcPr>
          <w:p w14:paraId="1A218115">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环发〔2012〕77号</w:t>
            </w:r>
          </w:p>
        </w:tc>
        <w:tc>
          <w:tcPr>
            <w:tcW w:w="1174" w:type="dxa"/>
            <w:tcBorders>
              <w:tl2br w:val="nil"/>
              <w:tr2bl w:val="nil"/>
            </w:tcBorders>
            <w:shd w:val="clear" w:color="auto" w:fill="auto"/>
            <w:vAlign w:val="center"/>
          </w:tcPr>
          <w:p w14:paraId="725292D6">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12-07-03</w:t>
            </w:r>
          </w:p>
        </w:tc>
      </w:tr>
      <w:tr w14:paraId="03AD3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2D06640B">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8</w:t>
            </w:r>
          </w:p>
        </w:tc>
        <w:tc>
          <w:tcPr>
            <w:tcW w:w="4464" w:type="dxa"/>
            <w:tcBorders>
              <w:tl2br w:val="nil"/>
              <w:tr2bl w:val="nil"/>
            </w:tcBorders>
            <w:shd w:val="clear" w:color="auto" w:fill="auto"/>
            <w:vAlign w:val="center"/>
          </w:tcPr>
          <w:p w14:paraId="77F37581">
            <w:pPr>
              <w:keepNext w:val="0"/>
              <w:keepLines w:val="0"/>
              <w:pageBreakBefore w:val="0"/>
              <w:widowControl w:val="0"/>
              <w:suppressAutoHyphens/>
              <w:kinsoku/>
              <w:wordWrap/>
              <w:overflowPunct/>
              <w:topLinePunct w:val="0"/>
              <w:autoSpaceDE w:val="0"/>
              <w:autoSpaceDN w:val="0"/>
              <w:bidi w:val="0"/>
              <w:adjustRightInd w:val="0"/>
              <w:snapToGrid w:val="0"/>
              <w:spacing w:beforeAutospacing="0" w:after="0" w:line="360" w:lineRule="exact"/>
              <w:ind w:firstLine="0" w:firstLineChars="0"/>
              <w:jc w:val="center"/>
              <w:textAlignment w:val="auto"/>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排污许可管理办法</w:t>
            </w:r>
            <w:r>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w:t>
            </w:r>
          </w:p>
        </w:tc>
        <w:tc>
          <w:tcPr>
            <w:tcW w:w="2337" w:type="dxa"/>
            <w:tcBorders>
              <w:tl2br w:val="nil"/>
              <w:tr2bl w:val="nil"/>
            </w:tcBorders>
            <w:shd w:val="clear" w:color="auto" w:fill="auto"/>
            <w:vAlign w:val="center"/>
          </w:tcPr>
          <w:p w14:paraId="624B2309">
            <w:pPr>
              <w:keepNext w:val="0"/>
              <w:keepLines w:val="0"/>
              <w:pageBreakBefore w:val="0"/>
              <w:widowControl w:val="0"/>
              <w:suppressAutoHyphens/>
              <w:kinsoku/>
              <w:wordWrap/>
              <w:overflowPunct/>
              <w:topLinePunct w:val="0"/>
              <w:autoSpaceDE w:val="0"/>
              <w:autoSpaceDN w:val="0"/>
              <w:bidi w:val="0"/>
              <w:adjustRightInd w:val="0"/>
              <w:snapToGrid w:val="0"/>
              <w:spacing w:beforeAutospacing="0" w:after="0" w:line="360" w:lineRule="exact"/>
              <w:ind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生态环境部令第</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号</w:t>
            </w:r>
          </w:p>
        </w:tc>
        <w:tc>
          <w:tcPr>
            <w:tcW w:w="1174" w:type="dxa"/>
            <w:tcBorders>
              <w:tl2br w:val="nil"/>
              <w:tr2bl w:val="nil"/>
            </w:tcBorders>
            <w:shd w:val="clear" w:color="auto" w:fill="auto"/>
            <w:vAlign w:val="center"/>
          </w:tcPr>
          <w:p w14:paraId="20D5EEB1">
            <w:pPr>
              <w:keepNext w:val="0"/>
              <w:keepLines w:val="0"/>
              <w:pageBreakBefore w:val="0"/>
              <w:widowControl w:val="0"/>
              <w:suppressAutoHyphens/>
              <w:kinsoku/>
              <w:wordWrap/>
              <w:overflowPunct/>
              <w:topLinePunct w:val="0"/>
              <w:autoSpaceDE w:val="0"/>
              <w:autoSpaceDN w:val="0"/>
              <w:bidi w:val="0"/>
              <w:adjustRightInd w:val="0"/>
              <w:snapToGrid w:val="0"/>
              <w:spacing w:beforeAutospacing="0" w:after="0" w:line="360" w:lineRule="exact"/>
              <w:ind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2024-07-01</w:t>
            </w:r>
          </w:p>
        </w:tc>
      </w:tr>
      <w:tr w14:paraId="7475EB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1784982B">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9</w:t>
            </w:r>
          </w:p>
        </w:tc>
        <w:tc>
          <w:tcPr>
            <w:tcW w:w="4464" w:type="dxa"/>
            <w:tcBorders>
              <w:tl2br w:val="nil"/>
              <w:tr2bl w:val="nil"/>
            </w:tcBorders>
            <w:shd w:val="clear" w:color="auto" w:fill="auto"/>
            <w:vAlign w:val="center"/>
          </w:tcPr>
          <w:p w14:paraId="36E18EBB">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关于进一步加强环境保护信息公开工作的通知</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30E0DDD8">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环办〔</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2012</w:t>
            </w:r>
            <w:r>
              <w:rPr>
                <w:rFonts w:hint="default" w:ascii="Times New Roman" w:hAnsi="Times New Roman" w:eastAsia="宋体" w:cs="Times New Roman"/>
                <w:b w:val="0"/>
                <w:bCs/>
                <w:color w:val="000000" w:themeColor="text1"/>
                <w:sz w:val="21"/>
                <w:szCs w:val="21"/>
                <w14:textFill>
                  <w14:solidFill>
                    <w14:schemeClr w14:val="tx1"/>
                  </w14:solidFill>
                </w14:textFill>
              </w:rPr>
              <w:t>〕134号</w:t>
            </w:r>
          </w:p>
        </w:tc>
        <w:tc>
          <w:tcPr>
            <w:tcW w:w="1174" w:type="dxa"/>
            <w:tcBorders>
              <w:tl2br w:val="nil"/>
              <w:tr2bl w:val="nil"/>
            </w:tcBorders>
            <w:shd w:val="clear" w:color="auto" w:fill="auto"/>
            <w:vAlign w:val="center"/>
          </w:tcPr>
          <w:p w14:paraId="4BDD8C85">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2012</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10</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30</w:t>
            </w:r>
          </w:p>
        </w:tc>
      </w:tr>
      <w:tr w14:paraId="5C4545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C11EDD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10</w:t>
            </w:r>
          </w:p>
        </w:tc>
        <w:tc>
          <w:tcPr>
            <w:tcW w:w="4464" w:type="dxa"/>
            <w:tcBorders>
              <w:tl2br w:val="nil"/>
              <w:tr2bl w:val="nil"/>
            </w:tcBorders>
            <w:shd w:val="clear" w:color="auto" w:fill="auto"/>
            <w:vAlign w:val="center"/>
          </w:tcPr>
          <w:p w14:paraId="2E766A3F">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建设项目环境影响评价信息公开机制方案</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48934553">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环发</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2015</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162号</w:t>
            </w:r>
          </w:p>
        </w:tc>
        <w:tc>
          <w:tcPr>
            <w:tcW w:w="1174" w:type="dxa"/>
            <w:tcBorders>
              <w:tl2br w:val="nil"/>
              <w:tr2bl w:val="nil"/>
            </w:tcBorders>
            <w:shd w:val="clear" w:color="auto" w:fill="auto"/>
            <w:vAlign w:val="center"/>
          </w:tcPr>
          <w:p w14:paraId="2C3FC02D">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2015</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12</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11</w:t>
            </w:r>
          </w:p>
        </w:tc>
      </w:tr>
      <w:tr w14:paraId="6744FB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68142CA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11</w:t>
            </w:r>
          </w:p>
        </w:tc>
        <w:tc>
          <w:tcPr>
            <w:tcW w:w="4464" w:type="dxa"/>
            <w:tcBorders>
              <w:tl2br w:val="nil"/>
              <w:tr2bl w:val="nil"/>
            </w:tcBorders>
            <w:shd w:val="clear" w:color="auto" w:fill="auto"/>
            <w:vAlign w:val="center"/>
          </w:tcPr>
          <w:p w14:paraId="7ABB00B1">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《土地复垦条例实施办法》（2019年修订）</w:t>
            </w:r>
          </w:p>
        </w:tc>
        <w:tc>
          <w:tcPr>
            <w:tcW w:w="2337" w:type="dxa"/>
            <w:tcBorders>
              <w:tl2br w:val="nil"/>
              <w:tr2bl w:val="nil"/>
            </w:tcBorders>
            <w:shd w:val="clear" w:color="auto" w:fill="auto"/>
            <w:vAlign w:val="center"/>
          </w:tcPr>
          <w:p w14:paraId="0BAA3C2D">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自然资源部部务会议</w:t>
            </w:r>
          </w:p>
        </w:tc>
        <w:tc>
          <w:tcPr>
            <w:tcW w:w="1174" w:type="dxa"/>
            <w:tcBorders>
              <w:tl2br w:val="nil"/>
              <w:tr2bl w:val="nil"/>
            </w:tcBorders>
            <w:shd w:val="clear" w:color="auto" w:fill="auto"/>
            <w:vAlign w:val="center"/>
          </w:tcPr>
          <w:p w14:paraId="29302E8E">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2019</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08</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14</w:t>
            </w:r>
          </w:p>
        </w:tc>
      </w:tr>
      <w:tr w14:paraId="1224E6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230A06BB">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12</w:t>
            </w:r>
          </w:p>
        </w:tc>
        <w:tc>
          <w:tcPr>
            <w:tcW w:w="4464" w:type="dxa"/>
            <w:tcBorders>
              <w:tl2br w:val="nil"/>
              <w:tr2bl w:val="nil"/>
            </w:tcBorders>
            <w:shd w:val="clear" w:color="auto" w:fill="auto"/>
            <w:vAlign w:val="center"/>
          </w:tcPr>
          <w:p w14:paraId="530957EC">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控制污染物排放许可制实施方案</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127A8261">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国办发</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2016</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81号</w:t>
            </w:r>
          </w:p>
        </w:tc>
        <w:tc>
          <w:tcPr>
            <w:tcW w:w="1174" w:type="dxa"/>
            <w:tcBorders>
              <w:tl2br w:val="nil"/>
              <w:tr2bl w:val="nil"/>
            </w:tcBorders>
            <w:shd w:val="clear" w:color="auto" w:fill="auto"/>
            <w:vAlign w:val="center"/>
          </w:tcPr>
          <w:p w14:paraId="6A3AE5FB">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72" w:leftChars="-30" w:right="-72" w:rightChars="-30" w:firstLine="0" w:firstLineChars="0"/>
              <w:textAlignment w:val="auto"/>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2016</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11</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21</w:t>
            </w:r>
          </w:p>
        </w:tc>
      </w:tr>
      <w:tr w14:paraId="014E91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3A772C3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w:t>
            </w:r>
          </w:p>
        </w:tc>
        <w:tc>
          <w:tcPr>
            <w:tcW w:w="4464" w:type="dxa"/>
            <w:tcBorders>
              <w:tl2br w:val="nil"/>
              <w:tr2bl w:val="nil"/>
            </w:tcBorders>
            <w:shd w:val="clear" w:color="auto" w:fill="auto"/>
            <w:vAlign w:val="center"/>
          </w:tcPr>
          <w:p w14:paraId="31AD9E48">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《中华人民共和国矿山安全法实施条例》</w:t>
            </w:r>
          </w:p>
        </w:tc>
        <w:tc>
          <w:tcPr>
            <w:tcW w:w="2337" w:type="dxa"/>
            <w:tcBorders>
              <w:tl2br w:val="nil"/>
              <w:tr2bl w:val="nil"/>
            </w:tcBorders>
            <w:shd w:val="clear" w:color="auto" w:fill="auto"/>
            <w:vAlign w:val="center"/>
          </w:tcPr>
          <w:p w14:paraId="66705B27">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劳动部令第4号</w:t>
            </w:r>
          </w:p>
        </w:tc>
        <w:tc>
          <w:tcPr>
            <w:tcW w:w="1174" w:type="dxa"/>
            <w:tcBorders>
              <w:tl2br w:val="nil"/>
              <w:tr2bl w:val="nil"/>
            </w:tcBorders>
            <w:shd w:val="clear" w:color="auto" w:fill="auto"/>
            <w:vAlign w:val="center"/>
          </w:tcPr>
          <w:p w14:paraId="5D71613A">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1996-10-30</w:t>
            </w:r>
          </w:p>
        </w:tc>
      </w:tr>
      <w:tr w14:paraId="0F71FD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21D7773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14</w:t>
            </w:r>
          </w:p>
        </w:tc>
        <w:tc>
          <w:tcPr>
            <w:tcW w:w="4464" w:type="dxa"/>
            <w:tcBorders>
              <w:tl2br w:val="nil"/>
              <w:tr2bl w:val="nil"/>
            </w:tcBorders>
            <w:shd w:val="clear" w:color="auto" w:fill="auto"/>
            <w:vAlign w:val="center"/>
          </w:tcPr>
          <w:p w14:paraId="4E1A3356">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《关于印发</w:t>
            </w: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十四五</w:t>
            </w: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土壤、地下水和农村生态环境保护规划的通知》</w:t>
            </w:r>
          </w:p>
        </w:tc>
        <w:tc>
          <w:tcPr>
            <w:tcW w:w="2337" w:type="dxa"/>
            <w:tcBorders>
              <w:tl2br w:val="nil"/>
              <w:tr2bl w:val="nil"/>
            </w:tcBorders>
            <w:shd w:val="clear" w:color="auto" w:fill="auto"/>
            <w:vAlign w:val="center"/>
          </w:tcPr>
          <w:p w14:paraId="3E4D469B">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环土壤〔2021〕120号</w:t>
            </w:r>
          </w:p>
        </w:tc>
        <w:tc>
          <w:tcPr>
            <w:tcW w:w="1174" w:type="dxa"/>
            <w:tcBorders>
              <w:tl2br w:val="nil"/>
              <w:tr2bl w:val="nil"/>
            </w:tcBorders>
            <w:shd w:val="clear" w:color="auto" w:fill="auto"/>
            <w:vAlign w:val="center"/>
          </w:tcPr>
          <w:p w14:paraId="3ED3DD99">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21-12-31</w:t>
            </w:r>
          </w:p>
        </w:tc>
      </w:tr>
      <w:tr w14:paraId="3CFB49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57C2469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15</w:t>
            </w:r>
          </w:p>
        </w:tc>
        <w:tc>
          <w:tcPr>
            <w:tcW w:w="4464" w:type="dxa"/>
            <w:tcBorders>
              <w:tl2br w:val="nil"/>
              <w:tr2bl w:val="nil"/>
            </w:tcBorders>
            <w:shd w:val="clear" w:color="auto" w:fill="auto"/>
            <w:vAlign w:val="center"/>
          </w:tcPr>
          <w:p w14:paraId="4637824A">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《关于印发</w:t>
            </w: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十四五</w:t>
            </w: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噪声污染防治行动计划》的通知》</w:t>
            </w:r>
          </w:p>
        </w:tc>
        <w:tc>
          <w:tcPr>
            <w:tcW w:w="2337" w:type="dxa"/>
            <w:tcBorders>
              <w:tl2br w:val="nil"/>
              <w:tr2bl w:val="nil"/>
            </w:tcBorders>
            <w:shd w:val="clear" w:color="auto" w:fill="auto"/>
            <w:vAlign w:val="center"/>
          </w:tcPr>
          <w:p w14:paraId="394127E7">
            <w:pPr>
              <w:pStyle w:val="45"/>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环大气〔2023〕1号</w:t>
            </w:r>
          </w:p>
        </w:tc>
        <w:tc>
          <w:tcPr>
            <w:tcW w:w="1174" w:type="dxa"/>
            <w:tcBorders>
              <w:tl2br w:val="nil"/>
              <w:tr2bl w:val="nil"/>
            </w:tcBorders>
            <w:shd w:val="clear" w:color="auto" w:fill="auto"/>
            <w:vAlign w:val="center"/>
          </w:tcPr>
          <w:p w14:paraId="5EA32A76">
            <w:pPr>
              <w:pStyle w:val="45"/>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2023-01-05</w:t>
            </w:r>
          </w:p>
        </w:tc>
      </w:tr>
      <w:tr w14:paraId="56E3ED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17826E8">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16</w:t>
            </w:r>
          </w:p>
        </w:tc>
        <w:tc>
          <w:tcPr>
            <w:tcW w:w="4464" w:type="dxa"/>
            <w:tcBorders>
              <w:tl2br w:val="nil"/>
              <w:tr2bl w:val="nil"/>
            </w:tcBorders>
            <w:shd w:val="clear" w:color="auto" w:fill="auto"/>
            <w:vAlign w:val="center"/>
          </w:tcPr>
          <w:p w14:paraId="02F3DE7B">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《全国生态脆弱区保护规划纲要》</w:t>
            </w:r>
          </w:p>
        </w:tc>
        <w:tc>
          <w:tcPr>
            <w:tcW w:w="2337" w:type="dxa"/>
            <w:tcBorders>
              <w:tl2br w:val="nil"/>
              <w:tr2bl w:val="nil"/>
            </w:tcBorders>
            <w:shd w:val="clear" w:color="auto" w:fill="auto"/>
            <w:vAlign w:val="center"/>
          </w:tcPr>
          <w:p w14:paraId="26FE3F9F">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环发〔2008〕92号</w:t>
            </w:r>
          </w:p>
        </w:tc>
        <w:tc>
          <w:tcPr>
            <w:tcW w:w="1174" w:type="dxa"/>
            <w:tcBorders>
              <w:tl2br w:val="nil"/>
              <w:tr2bl w:val="nil"/>
            </w:tcBorders>
            <w:shd w:val="clear" w:color="auto" w:fill="auto"/>
            <w:vAlign w:val="center"/>
          </w:tcPr>
          <w:p w14:paraId="6B16452D">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2008-09-27</w:t>
            </w:r>
          </w:p>
        </w:tc>
      </w:tr>
      <w:tr w14:paraId="61EE0D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6329702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17</w:t>
            </w:r>
          </w:p>
        </w:tc>
        <w:tc>
          <w:tcPr>
            <w:tcW w:w="4464" w:type="dxa"/>
            <w:tcBorders>
              <w:tl2br w:val="nil"/>
              <w:tr2bl w:val="nil"/>
            </w:tcBorders>
            <w:shd w:val="clear" w:color="auto" w:fill="auto"/>
            <w:vAlign w:val="center"/>
          </w:tcPr>
          <w:p w14:paraId="12DBFD20">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《全国生态功能区划（修编版）》</w:t>
            </w:r>
          </w:p>
        </w:tc>
        <w:tc>
          <w:tcPr>
            <w:tcW w:w="2337" w:type="dxa"/>
            <w:tcBorders>
              <w:tl2br w:val="nil"/>
              <w:tr2bl w:val="nil"/>
            </w:tcBorders>
            <w:shd w:val="clear" w:color="auto" w:fill="auto"/>
            <w:vAlign w:val="center"/>
          </w:tcPr>
          <w:p w14:paraId="16338782">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环保部公告2015年第61号</w:t>
            </w:r>
          </w:p>
        </w:tc>
        <w:tc>
          <w:tcPr>
            <w:tcW w:w="1174" w:type="dxa"/>
            <w:tcBorders>
              <w:tl2br w:val="nil"/>
              <w:tr2bl w:val="nil"/>
            </w:tcBorders>
            <w:shd w:val="clear" w:color="auto" w:fill="auto"/>
            <w:vAlign w:val="center"/>
          </w:tcPr>
          <w:p w14:paraId="4D14CC2E">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2015-11-13</w:t>
            </w:r>
          </w:p>
        </w:tc>
      </w:tr>
      <w:tr w14:paraId="1538E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1A74FD12">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18</w:t>
            </w:r>
          </w:p>
        </w:tc>
        <w:tc>
          <w:tcPr>
            <w:tcW w:w="4464" w:type="dxa"/>
            <w:tcBorders>
              <w:tl2br w:val="nil"/>
              <w:tr2bl w:val="nil"/>
            </w:tcBorders>
            <w:shd w:val="clear" w:color="auto" w:fill="auto"/>
            <w:vAlign w:val="center"/>
          </w:tcPr>
          <w:p w14:paraId="35CBEFB9">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《关于加强国家重点生态功能区环境保护和管理的意见》</w:t>
            </w:r>
          </w:p>
        </w:tc>
        <w:tc>
          <w:tcPr>
            <w:tcW w:w="2337" w:type="dxa"/>
            <w:tcBorders>
              <w:tl2br w:val="nil"/>
              <w:tr2bl w:val="nil"/>
            </w:tcBorders>
            <w:shd w:val="clear" w:color="auto" w:fill="auto"/>
            <w:vAlign w:val="center"/>
          </w:tcPr>
          <w:p w14:paraId="64B1FC08">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环发〔2013〕16号</w:t>
            </w:r>
          </w:p>
        </w:tc>
        <w:tc>
          <w:tcPr>
            <w:tcW w:w="1174" w:type="dxa"/>
            <w:tcBorders>
              <w:tl2br w:val="nil"/>
              <w:tr2bl w:val="nil"/>
            </w:tcBorders>
            <w:shd w:val="clear" w:color="auto" w:fill="auto"/>
            <w:vAlign w:val="center"/>
          </w:tcPr>
          <w:p w14:paraId="1D290DDC">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2013-01-22</w:t>
            </w:r>
          </w:p>
        </w:tc>
      </w:tr>
      <w:tr w14:paraId="722379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FB122EA">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19</w:t>
            </w:r>
          </w:p>
        </w:tc>
        <w:tc>
          <w:tcPr>
            <w:tcW w:w="4464" w:type="dxa"/>
            <w:tcBorders>
              <w:tl2br w:val="nil"/>
              <w:tr2bl w:val="nil"/>
            </w:tcBorders>
            <w:shd w:val="clear" w:color="auto" w:fill="auto"/>
            <w:vAlign w:val="center"/>
          </w:tcPr>
          <w:p w14:paraId="4662CA71">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《关于切实加强环境影响评价监督管理工作的通知》</w:t>
            </w:r>
          </w:p>
        </w:tc>
        <w:tc>
          <w:tcPr>
            <w:tcW w:w="2337" w:type="dxa"/>
            <w:tcBorders>
              <w:tl2br w:val="nil"/>
              <w:tr2bl w:val="nil"/>
            </w:tcBorders>
            <w:shd w:val="clear" w:color="auto" w:fill="auto"/>
            <w:vAlign w:val="center"/>
          </w:tcPr>
          <w:p w14:paraId="006637B4">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环办〔2013〕104号</w:t>
            </w:r>
          </w:p>
        </w:tc>
        <w:tc>
          <w:tcPr>
            <w:tcW w:w="1174" w:type="dxa"/>
            <w:tcBorders>
              <w:tl2br w:val="nil"/>
              <w:tr2bl w:val="nil"/>
            </w:tcBorders>
            <w:shd w:val="clear" w:color="auto" w:fill="auto"/>
            <w:vAlign w:val="center"/>
          </w:tcPr>
          <w:p w14:paraId="038D0BB0">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2013-11-15</w:t>
            </w:r>
          </w:p>
        </w:tc>
      </w:tr>
      <w:tr w14:paraId="01FEC7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870A5A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w:t>
            </w:r>
          </w:p>
        </w:tc>
        <w:tc>
          <w:tcPr>
            <w:tcW w:w="4464" w:type="dxa"/>
            <w:tcBorders>
              <w:tl2br w:val="nil"/>
              <w:tr2bl w:val="nil"/>
            </w:tcBorders>
            <w:shd w:val="clear" w:color="auto" w:fill="auto"/>
            <w:vAlign w:val="center"/>
          </w:tcPr>
          <w:p w14:paraId="467F0EDE">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《建设项目环境影响评价政府信息公开指南（试行）》</w:t>
            </w:r>
          </w:p>
        </w:tc>
        <w:tc>
          <w:tcPr>
            <w:tcW w:w="2337" w:type="dxa"/>
            <w:tcBorders>
              <w:tl2br w:val="nil"/>
              <w:tr2bl w:val="nil"/>
            </w:tcBorders>
            <w:shd w:val="clear" w:color="auto" w:fill="auto"/>
            <w:vAlign w:val="center"/>
          </w:tcPr>
          <w:p w14:paraId="74FDDA49">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环办〔2013〕103号</w:t>
            </w:r>
          </w:p>
        </w:tc>
        <w:tc>
          <w:tcPr>
            <w:tcW w:w="1174" w:type="dxa"/>
            <w:tcBorders>
              <w:tl2br w:val="nil"/>
              <w:tr2bl w:val="nil"/>
            </w:tcBorders>
            <w:shd w:val="clear" w:color="auto" w:fill="auto"/>
            <w:vAlign w:val="center"/>
          </w:tcPr>
          <w:p w14:paraId="7A43D4C4">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2014-01-01</w:t>
            </w:r>
          </w:p>
        </w:tc>
      </w:tr>
      <w:tr w14:paraId="7708DC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B64DA81">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21</w:t>
            </w:r>
          </w:p>
        </w:tc>
        <w:tc>
          <w:tcPr>
            <w:tcW w:w="4464" w:type="dxa"/>
            <w:tcBorders>
              <w:tl2br w:val="nil"/>
              <w:tr2bl w:val="nil"/>
            </w:tcBorders>
            <w:shd w:val="clear" w:color="auto" w:fill="auto"/>
            <w:vAlign w:val="center"/>
          </w:tcPr>
          <w:p w14:paraId="39C6BB86">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《国家危险废物名录（202</w:t>
            </w:r>
            <w:r>
              <w:rPr>
                <w:rFonts w:hint="eastAsia"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版）》</w:t>
            </w:r>
          </w:p>
        </w:tc>
        <w:tc>
          <w:tcPr>
            <w:tcW w:w="2337" w:type="dxa"/>
            <w:tcBorders>
              <w:tl2br w:val="nil"/>
              <w:tr2bl w:val="nil"/>
            </w:tcBorders>
            <w:shd w:val="clear" w:color="auto" w:fill="auto"/>
            <w:vAlign w:val="center"/>
          </w:tcPr>
          <w:p w14:paraId="7209A781">
            <w:pPr>
              <w:pStyle w:val="45"/>
              <w:keepNext w:val="0"/>
              <w:keepLines w:val="0"/>
              <w:suppressLineNumbers w:val="0"/>
              <w:spacing w:before="0" w:beforeAutospacing="0" w:after="0" w:afterAutospacing="0" w:line="360" w:lineRule="exact"/>
              <w:ind w:left="0" w:leftChars="0" w:right="0" w:rightChars="0"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生态环境部 国家发展和改革委员会 公安部 交通运输部 国家卫生健康委员会令第36号</w:t>
            </w:r>
          </w:p>
        </w:tc>
        <w:tc>
          <w:tcPr>
            <w:tcW w:w="1174" w:type="dxa"/>
            <w:tcBorders>
              <w:tl2br w:val="nil"/>
              <w:tr2bl w:val="nil"/>
            </w:tcBorders>
            <w:shd w:val="clear" w:color="auto" w:fill="auto"/>
            <w:vAlign w:val="center"/>
          </w:tcPr>
          <w:p w14:paraId="0D85A90C">
            <w:pPr>
              <w:pStyle w:val="45"/>
              <w:keepNext w:val="0"/>
              <w:keepLines w:val="0"/>
              <w:suppressLineNumbers w:val="0"/>
              <w:spacing w:before="0" w:beforeAutospacing="0" w:after="0" w:afterAutospacing="0" w:line="360" w:lineRule="exact"/>
              <w:ind w:left="0" w:leftChars="0" w:right="0" w:rightChars="0"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2025-01-01</w:t>
            </w:r>
          </w:p>
        </w:tc>
      </w:tr>
      <w:tr w14:paraId="5BDC70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E6EE598">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22</w:t>
            </w:r>
          </w:p>
        </w:tc>
        <w:tc>
          <w:tcPr>
            <w:tcW w:w="4464" w:type="dxa"/>
            <w:tcBorders>
              <w:tl2br w:val="nil"/>
              <w:tr2bl w:val="nil"/>
            </w:tcBorders>
            <w:shd w:val="clear" w:color="auto" w:fill="auto"/>
            <w:vAlign w:val="center"/>
          </w:tcPr>
          <w:p w14:paraId="0425DE1F">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《国家重点保护野生动物名录》</w:t>
            </w:r>
          </w:p>
        </w:tc>
        <w:tc>
          <w:tcPr>
            <w:tcW w:w="2337" w:type="dxa"/>
            <w:tcBorders>
              <w:tl2br w:val="nil"/>
              <w:tr2bl w:val="nil"/>
            </w:tcBorders>
            <w:shd w:val="clear" w:color="auto" w:fill="auto"/>
            <w:vAlign w:val="center"/>
          </w:tcPr>
          <w:p w14:paraId="21052A26">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国家林业和草原局 农业农村部</w:t>
            </w:r>
            <w:r>
              <w:rPr>
                <w:rFonts w:hint="default" w:ascii="Times New Roman" w:hAnsi="Times New Roman" w:eastAsia="宋体" w:cs="Times New Roman"/>
                <w:color w:val="000000" w:themeColor="text1"/>
                <w:spacing w:val="0"/>
                <w:w w:val="100"/>
                <w:position w:val="0"/>
                <w:sz w:val="21"/>
                <w:szCs w:val="21"/>
                <w:highlight w:val="none"/>
                <w:shd w:val="clear" w:color="auto" w:fill="FFFFFF"/>
                <w14:textFill>
                  <w14:solidFill>
                    <w14:schemeClr w14:val="tx1"/>
                  </w14:solidFill>
                </w14:textFill>
              </w:rPr>
              <w:t>公告</w:t>
            </w:r>
            <w:r>
              <w:rPr>
                <w:rFonts w:hint="eastAsia" w:ascii="Times New Roman" w:hAnsi="Times New Roman" w:eastAsia="宋体" w:cs="Times New Roman"/>
                <w:color w:val="000000" w:themeColor="text1"/>
                <w:spacing w:val="0"/>
                <w:w w:val="100"/>
                <w:position w:val="0"/>
                <w:sz w:val="21"/>
                <w:szCs w:val="21"/>
                <w:highlight w:val="none"/>
                <w:shd w:val="clear" w:color="auto" w:fill="FFFFFF"/>
                <w:lang w:val="en-US" w:eastAsia="zh-CN"/>
                <w14:textFill>
                  <w14:solidFill>
                    <w14:schemeClr w14:val="tx1"/>
                  </w14:solidFill>
                </w14:textFill>
              </w:rPr>
              <w:t xml:space="preserve"> 2021年第3号</w:t>
            </w:r>
          </w:p>
        </w:tc>
        <w:tc>
          <w:tcPr>
            <w:tcW w:w="1174" w:type="dxa"/>
            <w:tcBorders>
              <w:tl2br w:val="nil"/>
              <w:tr2bl w:val="nil"/>
            </w:tcBorders>
            <w:shd w:val="clear" w:color="auto" w:fill="auto"/>
            <w:vAlign w:val="center"/>
          </w:tcPr>
          <w:p w14:paraId="500C8A6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2021</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0</w:t>
            </w:r>
            <w:r>
              <w:rPr>
                <w:rFonts w:ascii="Times New Roman" w:hAnsi="Times New Roman" w:eastAsia="宋体"/>
                <w:color w:val="000000" w:themeColor="text1"/>
                <w:sz w:val="21"/>
                <w:szCs w:val="21"/>
                <w:highlight w:val="none"/>
                <w14:textFill>
                  <w14:solidFill>
                    <w14:schemeClr w14:val="tx1"/>
                  </w14:solidFill>
                </w14:textFill>
              </w:rPr>
              <w:t>2-</w:t>
            </w:r>
            <w:r>
              <w:rPr>
                <w:rFonts w:hint="eastAsia" w:ascii="Times New Roman" w:hAnsi="Times New Roman" w:eastAsia="宋体"/>
                <w:color w:val="000000" w:themeColor="text1"/>
                <w:sz w:val="21"/>
                <w:szCs w:val="21"/>
                <w:highlight w:val="none"/>
                <w14:textFill>
                  <w14:solidFill>
                    <w14:schemeClr w14:val="tx1"/>
                  </w14:solidFill>
                </w14:textFill>
              </w:rPr>
              <w:t>0</w:t>
            </w:r>
            <w:r>
              <w:rPr>
                <w:rFonts w:ascii="Times New Roman" w:hAnsi="Times New Roman" w:eastAsia="宋体"/>
                <w:color w:val="000000" w:themeColor="text1"/>
                <w:sz w:val="21"/>
                <w:szCs w:val="21"/>
                <w:highlight w:val="none"/>
                <w14:textFill>
                  <w14:solidFill>
                    <w14:schemeClr w14:val="tx1"/>
                  </w14:solidFill>
                </w14:textFill>
              </w:rPr>
              <w:t>5</w:t>
            </w:r>
          </w:p>
        </w:tc>
      </w:tr>
      <w:tr w14:paraId="0436C4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95C90BF">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23</w:t>
            </w:r>
          </w:p>
        </w:tc>
        <w:tc>
          <w:tcPr>
            <w:tcW w:w="4464" w:type="dxa"/>
            <w:tcBorders>
              <w:tl2br w:val="nil"/>
              <w:tr2bl w:val="nil"/>
            </w:tcBorders>
            <w:shd w:val="clear" w:color="auto" w:fill="auto"/>
            <w:vAlign w:val="center"/>
          </w:tcPr>
          <w:p w14:paraId="09DCBEC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《国家重点保护野生植物名录》</w:t>
            </w:r>
          </w:p>
        </w:tc>
        <w:tc>
          <w:tcPr>
            <w:tcW w:w="2337" w:type="dxa"/>
            <w:tcBorders>
              <w:tl2br w:val="nil"/>
              <w:tr2bl w:val="nil"/>
            </w:tcBorders>
            <w:shd w:val="clear" w:color="auto" w:fill="auto"/>
            <w:vAlign w:val="center"/>
          </w:tcPr>
          <w:p w14:paraId="0D11D887">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国家林业和草原局 农业农村部</w:t>
            </w:r>
            <w:r>
              <w:rPr>
                <w:rFonts w:hint="default" w:ascii="Times New Roman" w:hAnsi="Times New Roman" w:eastAsia="宋体" w:cs="Times New Roman"/>
                <w:color w:val="000000" w:themeColor="text1"/>
                <w:spacing w:val="0"/>
                <w:w w:val="100"/>
                <w:position w:val="0"/>
                <w:sz w:val="21"/>
                <w:szCs w:val="21"/>
                <w:highlight w:val="none"/>
                <w:shd w:val="clear" w:color="auto" w:fill="FFFFFF"/>
                <w14:textFill>
                  <w14:solidFill>
                    <w14:schemeClr w14:val="tx1"/>
                  </w14:solidFill>
                </w14:textFill>
              </w:rPr>
              <w:t>公告</w:t>
            </w:r>
            <w:r>
              <w:rPr>
                <w:rFonts w:hint="eastAsia" w:ascii="Times New Roman" w:hAnsi="Times New Roman" w:eastAsia="宋体" w:cs="Times New Roman"/>
                <w:color w:val="000000" w:themeColor="text1"/>
                <w:spacing w:val="0"/>
                <w:w w:val="100"/>
                <w:position w:val="0"/>
                <w:sz w:val="21"/>
                <w:szCs w:val="21"/>
                <w:highlight w:val="none"/>
                <w:shd w:val="clear" w:color="auto" w:fill="FFFFFF"/>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w w:val="100"/>
                <w:kern w:val="0"/>
                <w:position w:val="0"/>
                <w:sz w:val="21"/>
                <w:szCs w:val="21"/>
                <w:highlight w:val="none"/>
                <w:lang w:val="en-US" w:eastAsia="zh-CN" w:bidi="ar-SA"/>
                <w14:textFill>
                  <w14:solidFill>
                    <w14:schemeClr w14:val="tx1"/>
                  </w14:solidFill>
                </w14:textFill>
              </w:rPr>
              <w:t>2021年第15号</w:t>
            </w:r>
          </w:p>
        </w:tc>
        <w:tc>
          <w:tcPr>
            <w:tcW w:w="1174" w:type="dxa"/>
            <w:tcBorders>
              <w:tl2br w:val="nil"/>
              <w:tr2bl w:val="nil"/>
            </w:tcBorders>
            <w:shd w:val="clear" w:color="auto" w:fill="auto"/>
            <w:vAlign w:val="center"/>
          </w:tcPr>
          <w:p w14:paraId="796159FB">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021-09-07</w:t>
            </w:r>
          </w:p>
        </w:tc>
      </w:tr>
      <w:tr w14:paraId="2E2B03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57A7B432">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24</w:t>
            </w:r>
          </w:p>
        </w:tc>
        <w:tc>
          <w:tcPr>
            <w:tcW w:w="4464" w:type="dxa"/>
            <w:tcBorders>
              <w:tl2br w:val="nil"/>
              <w:tr2bl w:val="nil"/>
            </w:tcBorders>
            <w:shd w:val="clear" w:color="auto" w:fill="auto"/>
            <w:vAlign w:val="center"/>
          </w:tcPr>
          <w:p w14:paraId="1F05A3FF">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关于印发</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&lt;</w:t>
            </w:r>
            <w:r>
              <w:rPr>
                <w:rFonts w:ascii="Times New Roman" w:hAnsi="Times New Roman" w:eastAsia="宋体"/>
                <w:color w:val="000000" w:themeColor="text1"/>
                <w:sz w:val="21"/>
                <w:szCs w:val="21"/>
                <w:highlight w:val="none"/>
                <w14:textFill>
                  <w14:solidFill>
                    <w14:schemeClr w14:val="tx1"/>
                  </w14:solidFill>
                </w14:textFill>
              </w:rPr>
              <w:t>企业事业单位突发环境事件应急预案备案管理办法（试行）</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&gt;</w:t>
            </w:r>
            <w:r>
              <w:rPr>
                <w:rFonts w:ascii="Times New Roman" w:hAnsi="Times New Roman" w:eastAsia="宋体"/>
                <w:color w:val="000000" w:themeColor="text1"/>
                <w:sz w:val="21"/>
                <w:szCs w:val="21"/>
                <w:highlight w:val="none"/>
                <w14:textFill>
                  <w14:solidFill>
                    <w14:schemeClr w14:val="tx1"/>
                  </w14:solidFill>
                </w14:textFill>
              </w:rPr>
              <w:t>的通知</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2337" w:type="dxa"/>
            <w:tcBorders>
              <w:tl2br w:val="nil"/>
              <w:tr2bl w:val="nil"/>
            </w:tcBorders>
            <w:shd w:val="clear" w:color="auto" w:fill="auto"/>
            <w:vAlign w:val="center"/>
          </w:tcPr>
          <w:p w14:paraId="1FFFEA6F">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环发〔2015〕4号</w:t>
            </w:r>
          </w:p>
        </w:tc>
        <w:tc>
          <w:tcPr>
            <w:tcW w:w="1174" w:type="dxa"/>
            <w:tcBorders>
              <w:tl2br w:val="nil"/>
              <w:tr2bl w:val="nil"/>
            </w:tcBorders>
            <w:shd w:val="clear" w:color="auto" w:fill="auto"/>
            <w:vAlign w:val="center"/>
          </w:tcPr>
          <w:p w14:paraId="214BA329">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2015-01-08</w:t>
            </w:r>
          </w:p>
        </w:tc>
      </w:tr>
      <w:tr w14:paraId="600D48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6F2AEE2">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25</w:t>
            </w:r>
          </w:p>
        </w:tc>
        <w:tc>
          <w:tcPr>
            <w:tcW w:w="4464" w:type="dxa"/>
            <w:tcBorders>
              <w:tl2br w:val="nil"/>
              <w:tr2bl w:val="nil"/>
            </w:tcBorders>
            <w:vAlign w:val="center"/>
          </w:tcPr>
          <w:p w14:paraId="1B05B0CA">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《企业环境信息依法披露管理办法》</w:t>
            </w:r>
          </w:p>
        </w:tc>
        <w:tc>
          <w:tcPr>
            <w:tcW w:w="2337" w:type="dxa"/>
            <w:tcBorders>
              <w:tl2br w:val="nil"/>
              <w:tr2bl w:val="nil"/>
            </w:tcBorders>
            <w:vAlign w:val="center"/>
          </w:tcPr>
          <w:p w14:paraId="0A051734">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生态环境部令第24号</w:t>
            </w:r>
          </w:p>
        </w:tc>
        <w:tc>
          <w:tcPr>
            <w:tcW w:w="1174" w:type="dxa"/>
            <w:tcBorders>
              <w:tl2br w:val="nil"/>
              <w:tr2bl w:val="nil"/>
            </w:tcBorders>
            <w:vAlign w:val="center"/>
          </w:tcPr>
          <w:p w14:paraId="4682F268">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w:t>
            </w:r>
            <w:r>
              <w:rPr>
                <w:rFonts w:ascii="Times New Roman" w:hAnsi="Times New Roman" w:eastAsia="宋体"/>
                <w:color w:val="000000" w:themeColor="text1"/>
                <w:sz w:val="21"/>
                <w:szCs w:val="21"/>
                <w:highlight w:val="none"/>
                <w14:textFill>
                  <w14:solidFill>
                    <w14:schemeClr w14:val="tx1"/>
                  </w14:solidFill>
                </w14:textFill>
              </w:rPr>
              <w:t>22</w:t>
            </w:r>
            <w:r>
              <w:rPr>
                <w:rFonts w:hint="eastAsia" w:ascii="Times New Roman" w:hAnsi="Times New Roman" w:eastAsia="宋体"/>
                <w:color w:val="000000" w:themeColor="text1"/>
                <w:sz w:val="21"/>
                <w:szCs w:val="21"/>
                <w:highlight w:val="none"/>
                <w14:textFill>
                  <w14:solidFill>
                    <w14:schemeClr w14:val="tx1"/>
                  </w14:solidFill>
                </w14:textFill>
              </w:rPr>
              <w:t>-0</w:t>
            </w:r>
            <w:r>
              <w:rPr>
                <w:rFonts w:ascii="Times New Roman" w:hAnsi="Times New Roman" w:eastAsia="宋体"/>
                <w:color w:val="000000" w:themeColor="text1"/>
                <w:sz w:val="21"/>
                <w:szCs w:val="21"/>
                <w:highlight w:val="none"/>
                <w14:textFill>
                  <w14:solidFill>
                    <w14:schemeClr w14:val="tx1"/>
                  </w14:solidFill>
                </w14:textFill>
              </w:rPr>
              <w:t>2</w:t>
            </w:r>
            <w:r>
              <w:rPr>
                <w:rFonts w:hint="eastAsia"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08</w:t>
            </w:r>
          </w:p>
        </w:tc>
      </w:tr>
      <w:tr w14:paraId="2B2B25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7231DCF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26</w:t>
            </w:r>
          </w:p>
        </w:tc>
        <w:tc>
          <w:tcPr>
            <w:tcW w:w="4464" w:type="dxa"/>
            <w:tcBorders>
              <w:tl2br w:val="nil"/>
              <w:tr2bl w:val="nil"/>
            </w:tcBorders>
            <w:shd w:val="clear" w:color="auto" w:fill="auto"/>
            <w:vAlign w:val="center"/>
          </w:tcPr>
          <w:p w14:paraId="116F5EA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《危险废物转移管理办法》</w:t>
            </w:r>
          </w:p>
        </w:tc>
        <w:tc>
          <w:tcPr>
            <w:tcW w:w="2337" w:type="dxa"/>
            <w:tcBorders>
              <w:tl2br w:val="nil"/>
              <w:tr2bl w:val="nil"/>
            </w:tcBorders>
            <w:shd w:val="clear" w:color="auto" w:fill="auto"/>
            <w:vAlign w:val="center"/>
          </w:tcPr>
          <w:p w14:paraId="3A3E5FD2">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生态环境部、公安部、交通运输部令第23号</w:t>
            </w:r>
          </w:p>
        </w:tc>
        <w:tc>
          <w:tcPr>
            <w:tcW w:w="1174" w:type="dxa"/>
            <w:tcBorders>
              <w:tl2br w:val="nil"/>
              <w:tr2bl w:val="nil"/>
            </w:tcBorders>
            <w:shd w:val="clear" w:color="auto" w:fill="auto"/>
            <w:vAlign w:val="center"/>
          </w:tcPr>
          <w:p w14:paraId="462E6BB6">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022-01-01</w:t>
            </w:r>
          </w:p>
        </w:tc>
      </w:tr>
      <w:tr w14:paraId="29D0AF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390A5A9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27</w:t>
            </w:r>
          </w:p>
        </w:tc>
        <w:tc>
          <w:tcPr>
            <w:tcW w:w="4464" w:type="dxa"/>
            <w:tcBorders>
              <w:tl2br w:val="nil"/>
              <w:tr2bl w:val="nil"/>
            </w:tcBorders>
            <w:shd w:val="clear" w:color="auto" w:fill="auto"/>
            <w:vAlign w:val="center"/>
          </w:tcPr>
          <w:p w14:paraId="580D8C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危险废物污染防治技术政策</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14180000">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环发〔2001〕199号</w:t>
            </w:r>
          </w:p>
        </w:tc>
        <w:tc>
          <w:tcPr>
            <w:tcW w:w="1174" w:type="dxa"/>
            <w:tcBorders>
              <w:tl2br w:val="nil"/>
              <w:tr2bl w:val="nil"/>
            </w:tcBorders>
            <w:shd w:val="clear" w:color="auto" w:fill="auto"/>
            <w:vAlign w:val="center"/>
          </w:tcPr>
          <w:p w14:paraId="57AD3648">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2001-12-17</w:t>
            </w:r>
          </w:p>
        </w:tc>
      </w:tr>
      <w:tr w14:paraId="11E5A7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2FED5362">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28</w:t>
            </w:r>
          </w:p>
        </w:tc>
        <w:tc>
          <w:tcPr>
            <w:tcW w:w="4464" w:type="dxa"/>
            <w:tcBorders>
              <w:tl2br w:val="nil"/>
              <w:tr2bl w:val="nil"/>
            </w:tcBorders>
            <w:shd w:val="clear" w:color="auto" w:fill="auto"/>
            <w:vAlign w:val="center"/>
          </w:tcPr>
          <w:p w14:paraId="0E5B571B">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《关于加强生态保护监管工作的意见》</w:t>
            </w:r>
          </w:p>
        </w:tc>
        <w:tc>
          <w:tcPr>
            <w:tcW w:w="2337" w:type="dxa"/>
            <w:tcBorders>
              <w:tl2br w:val="nil"/>
              <w:tr2bl w:val="nil"/>
            </w:tcBorders>
            <w:shd w:val="clear" w:color="auto" w:fill="auto"/>
            <w:vAlign w:val="center"/>
          </w:tcPr>
          <w:p w14:paraId="70CC1696">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lang w:val="en-US" w:eastAsia="zh-CN" w:bidi="ar-SA"/>
                <w14:textFill>
                  <w14:solidFill>
                    <w14:schemeClr w14:val="tx1"/>
                  </w14:solidFill>
                </w14:textFill>
              </w:rPr>
              <w:t>环生态〔2020〕73号</w:t>
            </w:r>
          </w:p>
        </w:tc>
        <w:tc>
          <w:tcPr>
            <w:tcW w:w="1174" w:type="dxa"/>
            <w:tcBorders>
              <w:tl2br w:val="nil"/>
              <w:tr2bl w:val="nil"/>
            </w:tcBorders>
            <w:shd w:val="clear" w:color="auto" w:fill="auto"/>
            <w:vAlign w:val="center"/>
          </w:tcPr>
          <w:p w14:paraId="5B6C5CF2">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lang w:val="en-US" w:eastAsia="zh-CN" w:bidi="ar-SA"/>
                <w14:textFill>
                  <w14:solidFill>
                    <w14:schemeClr w14:val="tx1"/>
                  </w14:solidFill>
                </w14:textFill>
              </w:rPr>
              <w:t>2020-12-24</w:t>
            </w:r>
          </w:p>
        </w:tc>
      </w:tr>
      <w:tr w14:paraId="3D9E7C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EF0224F">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29</w:t>
            </w:r>
          </w:p>
        </w:tc>
        <w:tc>
          <w:tcPr>
            <w:tcW w:w="4464" w:type="dxa"/>
            <w:tcBorders>
              <w:tl2br w:val="nil"/>
              <w:tr2bl w:val="nil"/>
            </w:tcBorders>
            <w:shd w:val="clear" w:color="auto" w:fill="auto"/>
            <w:vAlign w:val="center"/>
          </w:tcPr>
          <w:p w14:paraId="4370A5F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《关于以改善环境质量为核心加强环境影响评价管理的通知》</w:t>
            </w:r>
          </w:p>
        </w:tc>
        <w:tc>
          <w:tcPr>
            <w:tcW w:w="2337" w:type="dxa"/>
            <w:tcBorders>
              <w:tl2br w:val="nil"/>
              <w:tr2bl w:val="nil"/>
            </w:tcBorders>
            <w:shd w:val="clear" w:color="auto" w:fill="auto"/>
            <w:vAlign w:val="center"/>
          </w:tcPr>
          <w:p w14:paraId="63FD366B">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环环评〔2016〕150号</w:t>
            </w:r>
          </w:p>
        </w:tc>
        <w:tc>
          <w:tcPr>
            <w:tcW w:w="1174" w:type="dxa"/>
            <w:tcBorders>
              <w:tl2br w:val="nil"/>
              <w:tr2bl w:val="nil"/>
            </w:tcBorders>
            <w:shd w:val="clear" w:color="auto" w:fill="auto"/>
            <w:vAlign w:val="center"/>
          </w:tcPr>
          <w:p w14:paraId="7B11584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2016-10-26</w:t>
            </w:r>
          </w:p>
        </w:tc>
      </w:tr>
      <w:tr w14:paraId="5712F6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17CA8554">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30</w:t>
            </w:r>
          </w:p>
        </w:tc>
        <w:tc>
          <w:tcPr>
            <w:tcW w:w="4464" w:type="dxa"/>
            <w:tcBorders>
              <w:tl2br w:val="nil"/>
              <w:tr2bl w:val="nil"/>
            </w:tcBorders>
            <w:shd w:val="clear" w:color="auto" w:fill="auto"/>
            <w:vAlign w:val="center"/>
          </w:tcPr>
          <w:p w14:paraId="722D95D8">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生态保护红线、环境质量底线、资源利用上线和环境准入负面清单</w:t>
            </w:r>
            <w:r>
              <w:rPr>
                <w:rFonts w:hint="eastAsia"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编制技术指南》</w:t>
            </w:r>
          </w:p>
        </w:tc>
        <w:tc>
          <w:tcPr>
            <w:tcW w:w="2337" w:type="dxa"/>
            <w:tcBorders>
              <w:tl2br w:val="nil"/>
              <w:tr2bl w:val="nil"/>
            </w:tcBorders>
            <w:shd w:val="clear" w:color="auto" w:fill="auto"/>
            <w:vAlign w:val="center"/>
          </w:tcPr>
          <w:p w14:paraId="411FAB6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环办环评〔2017〕99号</w:t>
            </w:r>
          </w:p>
        </w:tc>
        <w:tc>
          <w:tcPr>
            <w:tcW w:w="1174" w:type="dxa"/>
            <w:tcBorders>
              <w:tl2br w:val="nil"/>
              <w:tr2bl w:val="nil"/>
            </w:tcBorders>
            <w:shd w:val="clear" w:color="auto" w:fill="auto"/>
            <w:vAlign w:val="center"/>
          </w:tcPr>
          <w:p w14:paraId="3148362A">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2017-12-01</w:t>
            </w:r>
          </w:p>
        </w:tc>
      </w:tr>
      <w:tr w14:paraId="331CED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14AEFD5D">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31</w:t>
            </w:r>
          </w:p>
        </w:tc>
        <w:tc>
          <w:tcPr>
            <w:tcW w:w="4464" w:type="dxa"/>
            <w:tcBorders>
              <w:tl2br w:val="nil"/>
              <w:tr2bl w:val="nil"/>
            </w:tcBorders>
            <w:shd w:val="clear" w:color="auto" w:fill="auto"/>
            <w:vAlign w:val="center"/>
          </w:tcPr>
          <w:p w14:paraId="695F675C">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《关于强化建设项目环境影响评价事中事后监管的实施意见》</w:t>
            </w:r>
          </w:p>
        </w:tc>
        <w:tc>
          <w:tcPr>
            <w:tcW w:w="2337" w:type="dxa"/>
            <w:tcBorders>
              <w:tl2br w:val="nil"/>
              <w:tr2bl w:val="nil"/>
            </w:tcBorders>
            <w:shd w:val="clear" w:color="auto" w:fill="auto"/>
            <w:vAlign w:val="center"/>
          </w:tcPr>
          <w:p w14:paraId="51C422E9">
            <w:pPr>
              <w:pStyle w:val="45"/>
              <w:keepNext w:val="0"/>
              <w:keepLines w:val="0"/>
              <w:suppressLineNumbers w:val="0"/>
              <w:spacing w:before="0" w:beforeAutospacing="0" w:after="0" w:afterAutospacing="0" w:line="360" w:lineRule="exact"/>
              <w:ind w:left="0" w:leftChars="0" w:right="0" w:rightChars="0"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环环评〔2018〕11号</w:t>
            </w:r>
          </w:p>
        </w:tc>
        <w:tc>
          <w:tcPr>
            <w:tcW w:w="1174" w:type="dxa"/>
            <w:tcBorders>
              <w:tl2br w:val="nil"/>
              <w:tr2bl w:val="nil"/>
            </w:tcBorders>
            <w:shd w:val="clear" w:color="auto" w:fill="auto"/>
            <w:vAlign w:val="center"/>
          </w:tcPr>
          <w:p w14:paraId="59C5E103">
            <w:pPr>
              <w:pStyle w:val="45"/>
              <w:keepNext w:val="0"/>
              <w:keepLines w:val="0"/>
              <w:suppressLineNumbers w:val="0"/>
              <w:spacing w:before="0" w:beforeAutospacing="0" w:after="0" w:afterAutospacing="0" w:line="360" w:lineRule="exact"/>
              <w:ind w:left="0" w:leftChars="0" w:right="0" w:rightChars="0"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2018-01-25</w:t>
            </w:r>
          </w:p>
        </w:tc>
      </w:tr>
      <w:tr w14:paraId="28B9D9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762CD5BE">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32</w:t>
            </w:r>
          </w:p>
        </w:tc>
        <w:tc>
          <w:tcPr>
            <w:tcW w:w="4464" w:type="dxa"/>
            <w:tcBorders>
              <w:tl2br w:val="nil"/>
              <w:tr2bl w:val="nil"/>
            </w:tcBorders>
            <w:shd w:val="clear" w:color="auto" w:fill="auto"/>
            <w:vAlign w:val="center"/>
          </w:tcPr>
          <w:p w14:paraId="279317D6">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《关于印发地下水污染防治实施方案的通知》</w:t>
            </w:r>
          </w:p>
        </w:tc>
        <w:tc>
          <w:tcPr>
            <w:tcW w:w="2337" w:type="dxa"/>
            <w:tcBorders>
              <w:tl2br w:val="nil"/>
              <w:tr2bl w:val="nil"/>
            </w:tcBorders>
            <w:shd w:val="clear" w:color="auto" w:fill="auto"/>
            <w:vAlign w:val="center"/>
          </w:tcPr>
          <w:p w14:paraId="58D94B54">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环土壤〔2019〕25号</w:t>
            </w:r>
          </w:p>
        </w:tc>
        <w:tc>
          <w:tcPr>
            <w:tcW w:w="1174" w:type="dxa"/>
            <w:tcBorders>
              <w:tl2br w:val="nil"/>
              <w:tr2bl w:val="nil"/>
            </w:tcBorders>
            <w:shd w:val="clear" w:color="auto" w:fill="auto"/>
            <w:vAlign w:val="center"/>
          </w:tcPr>
          <w:p w14:paraId="37250CEC">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2019-03-28</w:t>
            </w:r>
          </w:p>
        </w:tc>
      </w:tr>
      <w:tr w14:paraId="3369B4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9ABCA64">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3</w:t>
            </w:r>
            <w:r>
              <w:rPr>
                <w:rFonts w:ascii="Times New Roman" w:hAnsi="Times New Roman" w:eastAsia="宋体"/>
                <w:color w:val="000000" w:themeColor="text1"/>
                <w:sz w:val="21"/>
                <w:szCs w:val="21"/>
                <w:highlight w:val="none"/>
                <w14:textFill>
                  <w14:solidFill>
                    <w14:schemeClr w14:val="tx1"/>
                  </w14:solidFill>
                </w14:textFill>
              </w:rPr>
              <w:t>3</w:t>
            </w:r>
          </w:p>
        </w:tc>
        <w:tc>
          <w:tcPr>
            <w:tcW w:w="4464" w:type="dxa"/>
            <w:tcBorders>
              <w:tl2br w:val="nil"/>
              <w:tr2bl w:val="nil"/>
            </w:tcBorders>
            <w:shd w:val="clear" w:color="auto" w:fill="auto"/>
            <w:vAlign w:val="center"/>
          </w:tcPr>
          <w:p w14:paraId="06DFF03B">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关于发布</w:t>
            </w: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建设项目竣工环境保护验收暂行办法</w:t>
            </w: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的公告</w:t>
            </w: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6DF8DA67">
            <w:pPr>
              <w:pStyle w:val="45"/>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国环规环评〔2017〕4号</w:t>
            </w:r>
          </w:p>
        </w:tc>
        <w:tc>
          <w:tcPr>
            <w:tcW w:w="1174" w:type="dxa"/>
            <w:tcBorders>
              <w:tl2br w:val="nil"/>
              <w:tr2bl w:val="nil"/>
            </w:tcBorders>
            <w:shd w:val="clear" w:color="auto" w:fill="auto"/>
            <w:vAlign w:val="center"/>
          </w:tcPr>
          <w:p w14:paraId="4432DE8C">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2017-11-20</w:t>
            </w:r>
          </w:p>
        </w:tc>
      </w:tr>
      <w:tr w14:paraId="58817E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16C7BFD4">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3</w:t>
            </w:r>
            <w:r>
              <w:rPr>
                <w:rFonts w:ascii="Times New Roman" w:hAnsi="Times New Roman" w:eastAsia="宋体"/>
                <w:color w:val="000000" w:themeColor="text1"/>
                <w:sz w:val="21"/>
                <w:szCs w:val="21"/>
                <w:highlight w:val="none"/>
                <w14:textFill>
                  <w14:solidFill>
                    <w14:schemeClr w14:val="tx1"/>
                  </w14:solidFill>
                </w14:textFill>
              </w:rPr>
              <w:t>4</w:t>
            </w:r>
          </w:p>
        </w:tc>
        <w:tc>
          <w:tcPr>
            <w:tcW w:w="4464" w:type="dxa"/>
            <w:tcBorders>
              <w:tl2br w:val="nil"/>
              <w:tr2bl w:val="nil"/>
            </w:tcBorders>
            <w:shd w:val="clear" w:color="auto" w:fill="auto"/>
            <w:vAlign w:val="center"/>
          </w:tcPr>
          <w:p w14:paraId="5D74726B">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关于做好环境影响评价制度与排污许可制衔接相关工作的通知</w:t>
            </w: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6717AD19">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环办环评〔2017〕84号</w:t>
            </w:r>
          </w:p>
        </w:tc>
        <w:tc>
          <w:tcPr>
            <w:tcW w:w="1174" w:type="dxa"/>
            <w:tcBorders>
              <w:tl2br w:val="nil"/>
              <w:tr2bl w:val="nil"/>
            </w:tcBorders>
            <w:shd w:val="clear" w:color="auto" w:fill="auto"/>
            <w:vAlign w:val="center"/>
          </w:tcPr>
          <w:p w14:paraId="783DA4FF">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2017-11-14</w:t>
            </w:r>
          </w:p>
        </w:tc>
      </w:tr>
      <w:tr w14:paraId="718B3C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1A082B71">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35</w:t>
            </w:r>
          </w:p>
        </w:tc>
        <w:tc>
          <w:tcPr>
            <w:tcW w:w="4464" w:type="dxa"/>
            <w:tcBorders>
              <w:tl2br w:val="nil"/>
              <w:tr2bl w:val="nil"/>
            </w:tcBorders>
            <w:shd w:val="clear" w:color="auto" w:fill="auto"/>
            <w:vAlign w:val="center"/>
          </w:tcPr>
          <w:p w14:paraId="2C0DFC5F">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工矿用地土壤环境管理办法（试行）</w:t>
            </w: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7C650998">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生态环境部令第3号</w:t>
            </w:r>
          </w:p>
        </w:tc>
        <w:tc>
          <w:tcPr>
            <w:tcW w:w="1174" w:type="dxa"/>
            <w:tcBorders>
              <w:tl2br w:val="nil"/>
              <w:tr2bl w:val="nil"/>
            </w:tcBorders>
            <w:shd w:val="clear" w:color="auto" w:fill="auto"/>
            <w:vAlign w:val="center"/>
          </w:tcPr>
          <w:p w14:paraId="17F0E898">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2018-08-01</w:t>
            </w:r>
          </w:p>
        </w:tc>
      </w:tr>
      <w:tr w14:paraId="2D4A76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D8E97BC">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36</w:t>
            </w:r>
          </w:p>
        </w:tc>
        <w:tc>
          <w:tcPr>
            <w:tcW w:w="4464" w:type="dxa"/>
            <w:tcBorders>
              <w:tl2br w:val="nil"/>
              <w:tr2bl w:val="nil"/>
            </w:tcBorders>
            <w:shd w:val="clear" w:color="auto" w:fill="auto"/>
            <w:vAlign w:val="center"/>
          </w:tcPr>
          <w:p w14:paraId="59DCC727">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建设项目危险废物环境影响评价指南</w:t>
            </w: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7F70158E">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环保部公告2017年第43号</w:t>
            </w:r>
          </w:p>
        </w:tc>
        <w:tc>
          <w:tcPr>
            <w:tcW w:w="1174" w:type="dxa"/>
            <w:tcBorders>
              <w:tl2br w:val="nil"/>
              <w:tr2bl w:val="nil"/>
            </w:tcBorders>
            <w:shd w:val="clear" w:color="auto" w:fill="auto"/>
            <w:vAlign w:val="center"/>
          </w:tcPr>
          <w:p w14:paraId="10ED905B">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2017-10-01</w:t>
            </w:r>
          </w:p>
        </w:tc>
      </w:tr>
      <w:tr w14:paraId="11F876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3EA0B596">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37</w:t>
            </w:r>
          </w:p>
        </w:tc>
        <w:tc>
          <w:tcPr>
            <w:tcW w:w="4464" w:type="dxa"/>
            <w:tcBorders>
              <w:tl2br w:val="nil"/>
              <w:tr2bl w:val="nil"/>
            </w:tcBorders>
            <w:shd w:val="clear" w:color="auto" w:fill="auto"/>
            <w:vAlign w:val="center"/>
          </w:tcPr>
          <w:p w14:paraId="715A2733">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突发环境事件应急管理办法</w:t>
            </w:r>
            <w:r>
              <w:rPr>
                <w:rFonts w:hint="eastAsia"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580BCC3E">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环境保护部令第34号</w:t>
            </w:r>
          </w:p>
        </w:tc>
        <w:tc>
          <w:tcPr>
            <w:tcW w:w="1174" w:type="dxa"/>
            <w:tcBorders>
              <w:tl2br w:val="nil"/>
              <w:tr2bl w:val="nil"/>
            </w:tcBorders>
            <w:shd w:val="clear" w:color="auto" w:fill="auto"/>
            <w:vAlign w:val="center"/>
          </w:tcPr>
          <w:p w14:paraId="25B3E082">
            <w:pPr>
              <w:pStyle w:val="45"/>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2015-06-05</w:t>
            </w:r>
          </w:p>
        </w:tc>
      </w:tr>
      <w:tr w14:paraId="45F338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C96A848">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38</w:t>
            </w:r>
          </w:p>
        </w:tc>
        <w:tc>
          <w:tcPr>
            <w:tcW w:w="4464" w:type="dxa"/>
            <w:tcBorders>
              <w:tl2br w:val="nil"/>
              <w:tr2bl w:val="nil"/>
            </w:tcBorders>
            <w:shd w:val="clear" w:color="auto" w:fill="auto"/>
            <w:vAlign w:val="center"/>
          </w:tcPr>
          <w:p w14:paraId="638AD6D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《尾矿库安全监督管理规定》</w:t>
            </w:r>
          </w:p>
        </w:tc>
        <w:tc>
          <w:tcPr>
            <w:tcW w:w="2337" w:type="dxa"/>
            <w:tcBorders>
              <w:tl2br w:val="nil"/>
              <w:tr2bl w:val="nil"/>
            </w:tcBorders>
            <w:shd w:val="clear" w:color="auto" w:fill="auto"/>
            <w:vAlign w:val="center"/>
          </w:tcPr>
          <w:p w14:paraId="1577B0E5">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国家安全生产监督管理总局令第6号</w:t>
            </w:r>
          </w:p>
        </w:tc>
        <w:tc>
          <w:tcPr>
            <w:tcW w:w="1174" w:type="dxa"/>
            <w:tcBorders>
              <w:tl2br w:val="nil"/>
              <w:tr2bl w:val="nil"/>
            </w:tcBorders>
            <w:shd w:val="clear" w:color="auto" w:fill="auto"/>
            <w:vAlign w:val="center"/>
          </w:tcPr>
          <w:p w14:paraId="774F4E4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2011-07-01</w:t>
            </w:r>
          </w:p>
        </w:tc>
      </w:tr>
      <w:tr w14:paraId="4443DB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956015B">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39</w:t>
            </w:r>
          </w:p>
        </w:tc>
        <w:tc>
          <w:tcPr>
            <w:tcW w:w="4464" w:type="dxa"/>
            <w:tcBorders>
              <w:tl2br w:val="nil"/>
              <w:tr2bl w:val="nil"/>
            </w:tcBorders>
            <w:shd w:val="clear" w:color="auto" w:fill="auto"/>
            <w:vAlign w:val="center"/>
          </w:tcPr>
          <w:p w14:paraId="2C33D92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尾矿污染环境防治管理办法</w:t>
            </w:r>
            <w:r>
              <w:rPr>
                <w:rFonts w:ascii="Times New Roman" w:hAnsi="Times New Roman" w:eastAsia="宋体"/>
                <w:color w:val="000000" w:themeColor="text1"/>
                <w:sz w:val="21"/>
                <w:szCs w:val="21"/>
                <w:highlight w:val="none"/>
                <w14:textFill>
                  <w14:solidFill>
                    <w14:schemeClr w14:val="tx1"/>
                  </w14:solidFill>
                </w14:textFill>
              </w:rPr>
              <w:t>》</w:t>
            </w:r>
          </w:p>
        </w:tc>
        <w:tc>
          <w:tcPr>
            <w:tcW w:w="2337" w:type="dxa"/>
            <w:tcBorders>
              <w:tl2br w:val="nil"/>
              <w:tr2bl w:val="nil"/>
            </w:tcBorders>
            <w:shd w:val="clear" w:color="auto" w:fill="auto"/>
            <w:vAlign w:val="center"/>
          </w:tcPr>
          <w:p w14:paraId="7C92D664">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生态环境部</w:t>
            </w:r>
            <w:r>
              <w:rPr>
                <w:rFonts w:ascii="Times New Roman" w:hAnsi="Times New Roman" w:eastAsia="宋体"/>
                <w:color w:val="000000" w:themeColor="text1"/>
                <w:sz w:val="21"/>
                <w:szCs w:val="21"/>
                <w:highlight w:val="none"/>
                <w14:textFill>
                  <w14:solidFill>
                    <w14:schemeClr w14:val="tx1"/>
                  </w14:solidFill>
                </w14:textFill>
              </w:rPr>
              <w:t>令第26号</w:t>
            </w:r>
          </w:p>
        </w:tc>
        <w:tc>
          <w:tcPr>
            <w:tcW w:w="1174" w:type="dxa"/>
            <w:tcBorders>
              <w:tl2br w:val="nil"/>
              <w:tr2bl w:val="nil"/>
            </w:tcBorders>
            <w:shd w:val="clear" w:color="auto" w:fill="auto"/>
            <w:vAlign w:val="center"/>
          </w:tcPr>
          <w:p w14:paraId="12E968CD">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2022-07-01</w:t>
            </w:r>
          </w:p>
        </w:tc>
      </w:tr>
      <w:tr w14:paraId="244215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64B8AD1">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40</w:t>
            </w:r>
          </w:p>
        </w:tc>
        <w:tc>
          <w:tcPr>
            <w:tcW w:w="4464" w:type="dxa"/>
            <w:tcBorders>
              <w:tl2br w:val="nil"/>
              <w:tr2bl w:val="nil"/>
            </w:tcBorders>
            <w:shd w:val="clear" w:color="auto" w:fill="auto"/>
            <w:vAlign w:val="center"/>
          </w:tcPr>
          <w:p w14:paraId="15DEEBA4">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关于印发《尾矿库企业环境应急预案的编制指南》的通知</w:t>
            </w:r>
          </w:p>
        </w:tc>
        <w:tc>
          <w:tcPr>
            <w:tcW w:w="2337" w:type="dxa"/>
            <w:tcBorders>
              <w:tl2br w:val="nil"/>
              <w:tr2bl w:val="nil"/>
            </w:tcBorders>
            <w:shd w:val="clear" w:color="auto" w:fill="auto"/>
            <w:vAlign w:val="center"/>
          </w:tcPr>
          <w:p w14:paraId="27F7AC56">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环办〔2015〕48号</w:t>
            </w:r>
          </w:p>
        </w:tc>
        <w:tc>
          <w:tcPr>
            <w:tcW w:w="1174" w:type="dxa"/>
            <w:tcBorders>
              <w:tl2br w:val="nil"/>
              <w:tr2bl w:val="nil"/>
            </w:tcBorders>
            <w:shd w:val="clear" w:color="auto" w:fill="auto"/>
            <w:vAlign w:val="center"/>
          </w:tcPr>
          <w:p w14:paraId="4F7459D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2015-05-19</w:t>
            </w:r>
          </w:p>
        </w:tc>
      </w:tr>
      <w:tr w14:paraId="1EAFD4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3BEF3F5F">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41</w:t>
            </w:r>
          </w:p>
        </w:tc>
        <w:tc>
          <w:tcPr>
            <w:tcW w:w="4464" w:type="dxa"/>
            <w:tcBorders>
              <w:tl2br w:val="nil"/>
              <w:tr2bl w:val="nil"/>
            </w:tcBorders>
            <w:shd w:val="clear" w:color="auto" w:fill="auto"/>
            <w:vAlign w:val="center"/>
          </w:tcPr>
          <w:p w14:paraId="3CEDE56E">
            <w:pPr>
              <w:keepNext w:val="0"/>
              <w:keepLines w:val="0"/>
              <w:pageBreakBefore w:val="0"/>
              <w:widowControl w:val="0"/>
              <w:suppressAutoHyphens/>
              <w:kinsoku/>
              <w:wordWrap/>
              <w:overflowPunct/>
              <w:topLinePunct w:val="0"/>
              <w:autoSpaceDE w:val="0"/>
              <w:autoSpaceDN w:val="0"/>
              <w:bidi w:val="0"/>
              <w:adjustRightInd w:val="0"/>
              <w:snapToGrid w:val="0"/>
              <w:spacing w:beforeAutospacing="0" w:after="0" w:line="360" w:lineRule="exact"/>
              <w:ind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《关于发布〈尾矿库污染隐患排查治理工作指南（试行）〉的公告》</w:t>
            </w:r>
          </w:p>
        </w:tc>
        <w:tc>
          <w:tcPr>
            <w:tcW w:w="2337" w:type="dxa"/>
            <w:tcBorders>
              <w:tl2br w:val="nil"/>
              <w:tr2bl w:val="nil"/>
            </w:tcBorders>
            <w:shd w:val="clear" w:color="auto" w:fill="auto"/>
            <w:vAlign w:val="center"/>
          </w:tcPr>
          <w:p w14:paraId="047A3B43">
            <w:pPr>
              <w:keepNext w:val="0"/>
              <w:keepLines w:val="0"/>
              <w:pageBreakBefore w:val="0"/>
              <w:widowControl w:val="0"/>
              <w:kinsoku/>
              <w:wordWrap/>
              <w:overflowPunct/>
              <w:topLinePunct w:val="0"/>
              <w:autoSpaceDE/>
              <w:autoSpaceDN/>
              <w:bidi w:val="0"/>
              <w:adjustRightInd/>
              <w:snapToGrid/>
              <w:spacing w:beforeAutospacing="0"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生态环境部公告2022年第10号</w:t>
            </w:r>
          </w:p>
        </w:tc>
        <w:tc>
          <w:tcPr>
            <w:tcW w:w="1174" w:type="dxa"/>
            <w:tcBorders>
              <w:tl2br w:val="nil"/>
              <w:tr2bl w:val="nil"/>
            </w:tcBorders>
            <w:shd w:val="clear" w:color="auto" w:fill="auto"/>
            <w:vAlign w:val="center"/>
          </w:tcPr>
          <w:p w14:paraId="475B987F">
            <w:pPr>
              <w:keepNext w:val="0"/>
              <w:keepLines w:val="0"/>
              <w:pageBreakBefore w:val="0"/>
              <w:widowControl w:val="0"/>
              <w:kinsoku/>
              <w:wordWrap/>
              <w:overflowPunct/>
              <w:topLinePunct w:val="0"/>
              <w:autoSpaceDE/>
              <w:autoSpaceDN/>
              <w:bidi w:val="0"/>
              <w:adjustRightInd/>
              <w:snapToGrid/>
              <w:spacing w:beforeAutospacing="0"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2022-05-23</w:t>
            </w:r>
          </w:p>
        </w:tc>
      </w:tr>
      <w:tr w14:paraId="1774F4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6676C840">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42</w:t>
            </w:r>
          </w:p>
        </w:tc>
        <w:tc>
          <w:tcPr>
            <w:tcW w:w="4464" w:type="dxa"/>
            <w:tcBorders>
              <w:tl2br w:val="nil"/>
              <w:tr2bl w:val="nil"/>
            </w:tcBorders>
            <w:shd w:val="clear" w:color="auto" w:fill="auto"/>
            <w:vAlign w:val="center"/>
          </w:tcPr>
          <w:p w14:paraId="786EDC60">
            <w:pPr>
              <w:keepNext w:val="0"/>
              <w:keepLines w:val="0"/>
              <w:pageBreakBefore w:val="0"/>
              <w:widowControl w:val="0"/>
              <w:suppressAutoHyphens/>
              <w:kinsoku/>
              <w:wordWrap/>
              <w:overflowPunct/>
              <w:topLinePunct w:val="0"/>
              <w:autoSpaceDE w:val="0"/>
              <w:autoSpaceDN w:val="0"/>
              <w:bidi w:val="0"/>
              <w:adjustRightInd w:val="0"/>
              <w:snapToGrid w:val="0"/>
              <w:spacing w:beforeAutospacing="0" w:after="0" w:line="360" w:lineRule="exact"/>
              <w:ind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《关于印发防范化解尾矿库安全风险工作方案的通知》</w:t>
            </w:r>
          </w:p>
        </w:tc>
        <w:tc>
          <w:tcPr>
            <w:tcW w:w="2337" w:type="dxa"/>
            <w:tcBorders>
              <w:tl2br w:val="nil"/>
              <w:tr2bl w:val="nil"/>
            </w:tcBorders>
            <w:shd w:val="clear" w:color="auto" w:fill="auto"/>
            <w:vAlign w:val="center"/>
          </w:tcPr>
          <w:p w14:paraId="74547F61">
            <w:pPr>
              <w:keepNext w:val="0"/>
              <w:keepLines w:val="0"/>
              <w:pageBreakBefore w:val="0"/>
              <w:widowControl w:val="0"/>
              <w:kinsoku/>
              <w:wordWrap/>
              <w:overflowPunct/>
              <w:topLinePunct w:val="0"/>
              <w:autoSpaceDE/>
              <w:autoSpaceDN/>
              <w:bidi w:val="0"/>
              <w:adjustRightInd/>
              <w:snapToGrid/>
              <w:spacing w:beforeAutospacing="0"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应急〔2020〕15号</w:t>
            </w:r>
          </w:p>
        </w:tc>
        <w:tc>
          <w:tcPr>
            <w:tcW w:w="1174" w:type="dxa"/>
            <w:tcBorders>
              <w:tl2br w:val="nil"/>
              <w:tr2bl w:val="nil"/>
            </w:tcBorders>
            <w:shd w:val="clear" w:color="auto" w:fill="auto"/>
            <w:vAlign w:val="center"/>
          </w:tcPr>
          <w:p w14:paraId="56585B41">
            <w:pPr>
              <w:keepNext w:val="0"/>
              <w:keepLines w:val="0"/>
              <w:pageBreakBefore w:val="0"/>
              <w:widowControl w:val="0"/>
              <w:kinsoku/>
              <w:wordWrap/>
              <w:overflowPunct/>
              <w:topLinePunct w:val="0"/>
              <w:autoSpaceDE/>
              <w:autoSpaceDN/>
              <w:bidi w:val="0"/>
              <w:adjustRightInd/>
              <w:snapToGrid/>
              <w:spacing w:beforeAutospacing="0"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2020-02-21</w:t>
            </w:r>
          </w:p>
        </w:tc>
      </w:tr>
      <w:tr w14:paraId="79097D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5591505F">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43</w:t>
            </w:r>
          </w:p>
        </w:tc>
        <w:tc>
          <w:tcPr>
            <w:tcW w:w="4464" w:type="dxa"/>
            <w:tcBorders>
              <w:tl2br w:val="nil"/>
              <w:tr2bl w:val="nil"/>
            </w:tcBorders>
            <w:shd w:val="clear" w:color="auto" w:fill="auto"/>
            <w:vAlign w:val="center"/>
          </w:tcPr>
          <w:p w14:paraId="5EDD9D60">
            <w:pPr>
              <w:keepNext w:val="0"/>
              <w:keepLines w:val="0"/>
              <w:pageBreakBefore w:val="0"/>
              <w:widowControl w:val="0"/>
              <w:suppressAutoHyphens/>
              <w:kinsoku/>
              <w:wordWrap/>
              <w:overflowPunct/>
              <w:topLinePunct w:val="0"/>
              <w:autoSpaceDE w:val="0"/>
              <w:autoSpaceDN w:val="0"/>
              <w:bidi w:val="0"/>
              <w:adjustRightInd w:val="0"/>
              <w:snapToGrid w:val="0"/>
              <w:spacing w:beforeAutospacing="0" w:after="0" w:line="360" w:lineRule="exact"/>
              <w:ind w:firstLine="0" w:firstLineChars="0"/>
              <w:jc w:val="center"/>
              <w:textAlignment w:val="auto"/>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val="en-US" w:eastAsia="zh-CN" w:bidi="ar-SA"/>
                <w14:textFill>
                  <w14:solidFill>
                    <w14:schemeClr w14:val="tx1"/>
                  </w14:solidFill>
                </w14:textFill>
              </w:rPr>
              <w:t>关于印发《尾矿库环境应急管理工作指南（试行）》的通知</w:t>
            </w:r>
          </w:p>
        </w:tc>
        <w:tc>
          <w:tcPr>
            <w:tcW w:w="2337" w:type="dxa"/>
            <w:tcBorders>
              <w:tl2br w:val="nil"/>
              <w:tr2bl w:val="nil"/>
            </w:tcBorders>
            <w:shd w:val="clear" w:color="auto" w:fill="auto"/>
            <w:vAlign w:val="center"/>
          </w:tcPr>
          <w:p w14:paraId="5E9E3112">
            <w:pPr>
              <w:keepNext w:val="0"/>
              <w:keepLines w:val="0"/>
              <w:pageBreakBefore w:val="0"/>
              <w:widowControl w:val="0"/>
              <w:kinsoku/>
              <w:wordWrap/>
              <w:overflowPunct/>
              <w:topLinePunct w:val="0"/>
              <w:autoSpaceDE/>
              <w:autoSpaceDN/>
              <w:bidi w:val="0"/>
              <w:adjustRightInd/>
              <w:snapToGrid/>
              <w:spacing w:beforeAutospacing="0"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环办〔2010〕138号</w:t>
            </w:r>
          </w:p>
        </w:tc>
        <w:tc>
          <w:tcPr>
            <w:tcW w:w="1174" w:type="dxa"/>
            <w:tcBorders>
              <w:tl2br w:val="nil"/>
              <w:tr2bl w:val="nil"/>
            </w:tcBorders>
            <w:shd w:val="clear" w:color="auto" w:fill="auto"/>
            <w:vAlign w:val="center"/>
          </w:tcPr>
          <w:p w14:paraId="2C245979">
            <w:pPr>
              <w:keepNext w:val="0"/>
              <w:keepLines w:val="0"/>
              <w:pageBreakBefore w:val="0"/>
              <w:widowControl w:val="0"/>
              <w:kinsoku/>
              <w:wordWrap/>
              <w:overflowPunct/>
              <w:topLinePunct w:val="0"/>
              <w:autoSpaceDE/>
              <w:autoSpaceDN/>
              <w:bidi w:val="0"/>
              <w:adjustRightInd/>
              <w:snapToGrid/>
              <w:spacing w:beforeAutospacing="0"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2010-09-30</w:t>
            </w:r>
          </w:p>
        </w:tc>
      </w:tr>
      <w:tr w14:paraId="7FAD64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59DD7794">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44</w:t>
            </w:r>
          </w:p>
        </w:tc>
        <w:tc>
          <w:tcPr>
            <w:tcW w:w="4464" w:type="dxa"/>
            <w:tcBorders>
              <w:tl2br w:val="nil"/>
              <w:tr2bl w:val="nil"/>
            </w:tcBorders>
            <w:shd w:val="clear" w:color="auto" w:fill="auto"/>
            <w:vAlign w:val="center"/>
          </w:tcPr>
          <w:p w14:paraId="7E4D5498">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《矿产资源开发利用辐射环境监督管理</w:t>
            </w:r>
            <w:r>
              <w:rPr>
                <w:rFonts w:hint="eastAsia" w:ascii="Times New Roman" w:hAnsi="Times New Roman" w:eastAsia="宋体"/>
                <w:color w:val="000000" w:themeColor="text1"/>
                <w:sz w:val="21"/>
                <w:szCs w:val="21"/>
                <w:highlight w:val="none"/>
                <w14:textFill>
                  <w14:solidFill>
                    <w14:schemeClr w14:val="tx1"/>
                  </w14:solidFill>
                </w14:textFill>
              </w:rPr>
              <w:t>名录》</w:t>
            </w:r>
          </w:p>
        </w:tc>
        <w:tc>
          <w:tcPr>
            <w:tcW w:w="2337" w:type="dxa"/>
            <w:tcBorders>
              <w:tl2br w:val="nil"/>
              <w:tr2bl w:val="nil"/>
            </w:tcBorders>
            <w:shd w:val="clear" w:color="auto" w:fill="auto"/>
            <w:vAlign w:val="center"/>
          </w:tcPr>
          <w:p w14:paraId="2F08FECA">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生态环境部发〔2020〕54号</w:t>
            </w:r>
          </w:p>
        </w:tc>
        <w:tc>
          <w:tcPr>
            <w:tcW w:w="1174" w:type="dxa"/>
            <w:tcBorders>
              <w:tl2br w:val="nil"/>
              <w:tr2bl w:val="nil"/>
            </w:tcBorders>
            <w:shd w:val="clear" w:color="auto" w:fill="auto"/>
            <w:vAlign w:val="center"/>
          </w:tcPr>
          <w:p w14:paraId="792E29BF">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2021</w:t>
            </w:r>
            <w:r>
              <w:rPr>
                <w:rFonts w:hint="eastAsia" w:ascii="Times New Roman" w:hAnsi="Times New Roman" w:eastAsia="宋体"/>
                <w:color w:val="000000" w:themeColor="text1"/>
                <w:sz w:val="21"/>
                <w:szCs w:val="21"/>
                <w:highlight w:val="none"/>
                <w14:textFill>
                  <w14:solidFill>
                    <w14:schemeClr w14:val="tx1"/>
                  </w14:solidFill>
                </w14:textFill>
              </w:rPr>
              <w:t>-0</w:t>
            </w:r>
            <w:r>
              <w:rPr>
                <w:rFonts w:ascii="Times New Roman" w:hAnsi="Times New Roman" w:eastAsia="宋体"/>
                <w:color w:val="000000" w:themeColor="text1"/>
                <w:sz w:val="21"/>
                <w:szCs w:val="21"/>
                <w:highlight w:val="none"/>
                <w14:textFill>
                  <w14:solidFill>
                    <w14:schemeClr w14:val="tx1"/>
                  </w14:solidFill>
                </w14:textFill>
              </w:rPr>
              <w:t>1</w:t>
            </w:r>
            <w:r>
              <w:rPr>
                <w:rFonts w:hint="eastAsia" w:ascii="Times New Roman" w:hAnsi="Times New Roman" w:eastAsia="宋体"/>
                <w:color w:val="000000" w:themeColor="text1"/>
                <w:sz w:val="21"/>
                <w:szCs w:val="21"/>
                <w:highlight w:val="none"/>
                <w14:textFill>
                  <w14:solidFill>
                    <w14:schemeClr w14:val="tx1"/>
                  </w14:solidFill>
                </w14:textFill>
              </w:rPr>
              <w:t>-0</w:t>
            </w:r>
            <w:r>
              <w:rPr>
                <w:rFonts w:ascii="Times New Roman" w:hAnsi="Times New Roman" w:eastAsia="宋体"/>
                <w:color w:val="000000" w:themeColor="text1"/>
                <w:sz w:val="21"/>
                <w:szCs w:val="21"/>
                <w:highlight w:val="none"/>
                <w14:textFill>
                  <w14:solidFill>
                    <w14:schemeClr w14:val="tx1"/>
                  </w14:solidFill>
                </w14:textFill>
              </w:rPr>
              <w:t>1</w:t>
            </w:r>
          </w:p>
        </w:tc>
      </w:tr>
      <w:tr w14:paraId="5D10C9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75B0E25F">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45</w:t>
            </w:r>
          </w:p>
        </w:tc>
        <w:tc>
          <w:tcPr>
            <w:tcW w:w="4464" w:type="dxa"/>
            <w:tcBorders>
              <w:tl2br w:val="nil"/>
              <w:tr2bl w:val="nil"/>
            </w:tcBorders>
            <w:shd w:val="clear" w:color="auto" w:fill="auto"/>
            <w:vAlign w:val="center"/>
          </w:tcPr>
          <w:p w14:paraId="5C77EC99">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关于印发《污染影响类建设项目重大变动清单（试行）》的通知</w:t>
            </w:r>
          </w:p>
        </w:tc>
        <w:tc>
          <w:tcPr>
            <w:tcW w:w="2337" w:type="dxa"/>
            <w:tcBorders>
              <w:tl2br w:val="nil"/>
              <w:tr2bl w:val="nil"/>
            </w:tcBorders>
            <w:shd w:val="clear" w:color="auto" w:fill="auto"/>
            <w:vAlign w:val="center"/>
          </w:tcPr>
          <w:p w14:paraId="26ECEE89">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环办环评函〔2020〕688号</w:t>
            </w:r>
          </w:p>
        </w:tc>
        <w:tc>
          <w:tcPr>
            <w:tcW w:w="1174" w:type="dxa"/>
            <w:tcBorders>
              <w:tl2br w:val="nil"/>
              <w:tr2bl w:val="nil"/>
            </w:tcBorders>
            <w:shd w:val="clear" w:color="auto" w:fill="auto"/>
            <w:vAlign w:val="center"/>
          </w:tcPr>
          <w:p w14:paraId="0975EAD7">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2020-12-13</w:t>
            </w:r>
          </w:p>
        </w:tc>
      </w:tr>
      <w:tr w14:paraId="4500F8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6D6A044E">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46</w:t>
            </w:r>
          </w:p>
        </w:tc>
        <w:tc>
          <w:tcPr>
            <w:tcW w:w="4464" w:type="dxa"/>
            <w:tcBorders>
              <w:tl2br w:val="nil"/>
              <w:tr2bl w:val="nil"/>
            </w:tcBorders>
            <w:shd w:val="clear" w:color="auto" w:fill="auto"/>
            <w:vAlign w:val="center"/>
          </w:tcPr>
          <w:p w14:paraId="343E59D8">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《关于加快建设绿色矿山的实施意见》</w:t>
            </w:r>
          </w:p>
        </w:tc>
        <w:tc>
          <w:tcPr>
            <w:tcW w:w="2337" w:type="dxa"/>
            <w:tcBorders>
              <w:tl2br w:val="nil"/>
              <w:tr2bl w:val="nil"/>
            </w:tcBorders>
            <w:shd w:val="clear" w:color="auto" w:fill="auto"/>
            <w:vAlign w:val="center"/>
          </w:tcPr>
          <w:p w14:paraId="62420140">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国土资规〔2017〕4号</w:t>
            </w:r>
          </w:p>
        </w:tc>
        <w:tc>
          <w:tcPr>
            <w:tcW w:w="1174" w:type="dxa"/>
            <w:tcBorders>
              <w:tl2br w:val="nil"/>
              <w:tr2bl w:val="nil"/>
            </w:tcBorders>
            <w:shd w:val="clear" w:color="auto" w:fill="auto"/>
            <w:vAlign w:val="center"/>
          </w:tcPr>
          <w:p w14:paraId="280CF504">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w:t>
            </w:r>
            <w:r>
              <w:rPr>
                <w:rFonts w:ascii="Times New Roman" w:hAnsi="Times New Roman" w:eastAsia="宋体"/>
                <w:color w:val="000000" w:themeColor="text1"/>
                <w:sz w:val="21"/>
                <w:szCs w:val="21"/>
                <w:highlight w:val="none"/>
                <w14:textFill>
                  <w14:solidFill>
                    <w14:schemeClr w14:val="tx1"/>
                  </w14:solidFill>
                </w14:textFill>
              </w:rPr>
              <w:t>17</w:t>
            </w:r>
            <w:r>
              <w:rPr>
                <w:rFonts w:hint="eastAsia" w:ascii="Times New Roman" w:hAnsi="Times New Roman" w:eastAsia="宋体"/>
                <w:color w:val="000000" w:themeColor="text1"/>
                <w:sz w:val="21"/>
                <w:szCs w:val="21"/>
                <w:highlight w:val="none"/>
                <w14:textFill>
                  <w14:solidFill>
                    <w14:schemeClr w14:val="tx1"/>
                  </w14:solidFill>
                </w14:textFill>
              </w:rPr>
              <w:t>-0</w:t>
            </w:r>
            <w:r>
              <w:rPr>
                <w:rFonts w:ascii="Times New Roman" w:hAnsi="Times New Roman" w:eastAsia="宋体"/>
                <w:color w:val="000000" w:themeColor="text1"/>
                <w:sz w:val="21"/>
                <w:szCs w:val="21"/>
                <w:highlight w:val="none"/>
                <w14:textFill>
                  <w14:solidFill>
                    <w14:schemeClr w14:val="tx1"/>
                  </w14:solidFill>
                </w14:textFill>
              </w:rPr>
              <w:t>3</w:t>
            </w:r>
            <w:r>
              <w:rPr>
                <w:rFonts w:hint="eastAsia"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22</w:t>
            </w:r>
          </w:p>
        </w:tc>
      </w:tr>
      <w:tr w14:paraId="2558D2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7D17635F">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47</w:t>
            </w:r>
          </w:p>
        </w:tc>
        <w:tc>
          <w:tcPr>
            <w:tcW w:w="4464" w:type="dxa"/>
            <w:tcBorders>
              <w:tl2br w:val="nil"/>
              <w:tr2bl w:val="nil"/>
            </w:tcBorders>
            <w:shd w:val="clear" w:color="auto" w:fill="auto"/>
            <w:vAlign w:val="center"/>
          </w:tcPr>
          <w:p w14:paraId="6A18473E">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《关于进一步加强工业节水工作的意见》</w:t>
            </w:r>
          </w:p>
        </w:tc>
        <w:tc>
          <w:tcPr>
            <w:tcW w:w="2337" w:type="dxa"/>
            <w:tcBorders>
              <w:tl2br w:val="nil"/>
              <w:tr2bl w:val="nil"/>
            </w:tcBorders>
            <w:shd w:val="clear" w:color="auto" w:fill="auto"/>
            <w:vAlign w:val="center"/>
          </w:tcPr>
          <w:p w14:paraId="2359F123">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工信部节〔2010〕218号</w:t>
            </w:r>
          </w:p>
        </w:tc>
        <w:tc>
          <w:tcPr>
            <w:tcW w:w="1174" w:type="dxa"/>
            <w:tcBorders>
              <w:tl2br w:val="nil"/>
              <w:tr2bl w:val="nil"/>
            </w:tcBorders>
            <w:shd w:val="clear" w:color="auto" w:fill="auto"/>
            <w:vAlign w:val="center"/>
          </w:tcPr>
          <w:p w14:paraId="50CCDB56">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2010-05-04</w:t>
            </w:r>
          </w:p>
        </w:tc>
      </w:tr>
      <w:tr w14:paraId="7856D5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D1FE5BA">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48</w:t>
            </w:r>
          </w:p>
        </w:tc>
        <w:tc>
          <w:tcPr>
            <w:tcW w:w="4464" w:type="dxa"/>
            <w:tcBorders>
              <w:tl2br w:val="nil"/>
              <w:tr2bl w:val="nil"/>
            </w:tcBorders>
            <w:shd w:val="clear" w:color="auto" w:fill="auto"/>
            <w:vAlign w:val="center"/>
          </w:tcPr>
          <w:p w14:paraId="3C469EB2">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关于印发《土壤污染源头防控行动计划》的通知</w:t>
            </w:r>
          </w:p>
        </w:tc>
        <w:tc>
          <w:tcPr>
            <w:tcW w:w="2337" w:type="dxa"/>
            <w:tcBorders>
              <w:tl2br w:val="nil"/>
              <w:tr2bl w:val="nil"/>
            </w:tcBorders>
            <w:shd w:val="clear" w:color="auto" w:fill="auto"/>
            <w:vAlign w:val="center"/>
          </w:tcPr>
          <w:p w14:paraId="648F9ACA">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环土壤〔2024〕80号</w:t>
            </w:r>
          </w:p>
        </w:tc>
        <w:tc>
          <w:tcPr>
            <w:tcW w:w="1174" w:type="dxa"/>
            <w:tcBorders>
              <w:tl2br w:val="nil"/>
              <w:tr2bl w:val="nil"/>
            </w:tcBorders>
            <w:shd w:val="clear" w:color="auto" w:fill="auto"/>
            <w:vAlign w:val="center"/>
          </w:tcPr>
          <w:p w14:paraId="6849DF76">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2024-11-06</w:t>
            </w:r>
          </w:p>
        </w:tc>
      </w:tr>
      <w:tr w14:paraId="7B8D0F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DF3F7FB">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49</w:t>
            </w:r>
          </w:p>
        </w:tc>
        <w:tc>
          <w:tcPr>
            <w:tcW w:w="4464" w:type="dxa"/>
            <w:tcBorders>
              <w:tl2br w:val="nil"/>
              <w:tr2bl w:val="nil"/>
            </w:tcBorders>
            <w:shd w:val="clear" w:color="auto" w:fill="auto"/>
            <w:vAlign w:val="center"/>
          </w:tcPr>
          <w:p w14:paraId="6791B332">
            <w:pPr>
              <w:pStyle w:val="45"/>
              <w:spacing w:before="0" w:beforeAutospacing="0" w:line="360" w:lineRule="exact"/>
              <w:ind w:firstLine="0" w:firstLineChars="0"/>
              <w:jc w:val="cente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关于印发2025年《国家污染防治技术指导目录》的通知</w:t>
            </w:r>
          </w:p>
        </w:tc>
        <w:tc>
          <w:tcPr>
            <w:tcW w:w="2337" w:type="dxa"/>
            <w:tcBorders>
              <w:tl2br w:val="nil"/>
              <w:tr2bl w:val="nil"/>
            </w:tcBorders>
            <w:shd w:val="clear" w:color="auto" w:fill="auto"/>
            <w:vAlign w:val="center"/>
          </w:tcPr>
          <w:p w14:paraId="112532AD">
            <w:pPr>
              <w:pStyle w:val="45"/>
              <w:spacing w:before="0" w:beforeAutospacing="0" w:line="360" w:lineRule="exact"/>
              <w:ind w:firstLine="0" w:firstLineChars="0"/>
              <w:jc w:val="cente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环办科财函〔2025〕197号</w:t>
            </w:r>
          </w:p>
        </w:tc>
        <w:tc>
          <w:tcPr>
            <w:tcW w:w="1174" w:type="dxa"/>
            <w:tcBorders>
              <w:tl2br w:val="nil"/>
              <w:tr2bl w:val="nil"/>
            </w:tcBorders>
            <w:shd w:val="clear" w:color="auto" w:fill="auto"/>
            <w:vAlign w:val="center"/>
          </w:tcPr>
          <w:p w14:paraId="7175D974">
            <w:pPr>
              <w:pStyle w:val="45"/>
              <w:spacing w:before="0" w:beforeAutospacing="0" w:line="360" w:lineRule="exact"/>
              <w:ind w:firstLine="0" w:firstLineChars="0"/>
              <w:jc w:val="cente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2025-05-21</w:t>
            </w:r>
          </w:p>
        </w:tc>
      </w:tr>
      <w:tr w14:paraId="6141F7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242D25B0">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50</w:t>
            </w:r>
          </w:p>
        </w:tc>
        <w:tc>
          <w:tcPr>
            <w:tcW w:w="4464" w:type="dxa"/>
            <w:tcBorders>
              <w:tl2br w:val="nil"/>
              <w:tr2bl w:val="nil"/>
            </w:tcBorders>
            <w:shd w:val="clear" w:color="auto" w:fill="auto"/>
            <w:vAlign w:val="center"/>
          </w:tcPr>
          <w:p w14:paraId="74775C08">
            <w:pPr>
              <w:pStyle w:val="50"/>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t>市场准入负面清单（2025年版）</w:t>
            </w:r>
            <w:r>
              <w:rPr>
                <w:rFonts w:hint="eastAsia" w:ascii="Times New Roman" w:hAnsi="Times New Roman" w:eastAsia="宋体" w:cs="Times New Roman"/>
                <w:b w:val="0"/>
                <w:bCs/>
                <w:color w:val="000000" w:themeColor="text1"/>
                <w:kern w:val="1"/>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14F6C1D7">
            <w:pPr>
              <w:pStyle w:val="50"/>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t>发改体改规〔2025〕466号</w:t>
            </w:r>
          </w:p>
        </w:tc>
        <w:tc>
          <w:tcPr>
            <w:tcW w:w="1174" w:type="dxa"/>
            <w:tcBorders>
              <w:tl2br w:val="nil"/>
              <w:tr2bl w:val="nil"/>
            </w:tcBorders>
            <w:shd w:val="clear" w:color="auto" w:fill="auto"/>
            <w:vAlign w:val="center"/>
          </w:tcPr>
          <w:p w14:paraId="4EB28BE8">
            <w:pPr>
              <w:pStyle w:val="50"/>
              <w:keepNext w:val="0"/>
              <w:keepLines w:val="0"/>
              <w:pageBreakBefore w:val="0"/>
              <w:suppressLineNumbers w:val="0"/>
              <w:suppressAutoHyphens/>
              <w:kinsoku/>
              <w:wordWrap/>
              <w:overflowPunct/>
              <w:topLinePunct w:val="0"/>
              <w:autoSpaceDE w:val="0"/>
              <w:autoSpaceDN w:val="0"/>
              <w:bidi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1"/>
                <w:sz w:val="21"/>
                <w:szCs w:val="21"/>
                <w:lang w:eastAsia="zh-CN"/>
                <w14:textFill>
                  <w14:solidFill>
                    <w14:schemeClr w14:val="tx1"/>
                  </w14:solidFill>
                </w14:textFill>
              </w:rPr>
              <w:t>2025-04-16</w:t>
            </w:r>
          </w:p>
        </w:tc>
      </w:tr>
      <w:tr w14:paraId="151658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497DA738">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四</w:t>
            </w:r>
          </w:p>
        </w:tc>
        <w:tc>
          <w:tcPr>
            <w:tcW w:w="7975" w:type="dxa"/>
            <w:gridSpan w:val="3"/>
            <w:tcBorders>
              <w:tl2br w:val="nil"/>
              <w:tr2bl w:val="nil"/>
            </w:tcBorders>
            <w:vAlign w:val="center"/>
          </w:tcPr>
          <w:p w14:paraId="606914D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地方性法规</w:t>
            </w:r>
            <w:r>
              <w:rPr>
                <w:rFonts w:ascii="Times New Roman" w:hAnsi="Times New Roman" w:eastAsia="宋体"/>
                <w:b/>
                <w:bCs/>
                <w:color w:val="000000" w:themeColor="text1"/>
                <w:sz w:val="21"/>
                <w:szCs w:val="21"/>
                <w:highlight w:val="none"/>
                <w14:textFill>
                  <w14:solidFill>
                    <w14:schemeClr w14:val="tx1"/>
                  </w14:solidFill>
                </w14:textFill>
              </w:rPr>
              <w:t>及通知</w:t>
            </w:r>
          </w:p>
        </w:tc>
      </w:tr>
      <w:tr w14:paraId="22CA33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26CC4475">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w:t>
            </w:r>
          </w:p>
        </w:tc>
        <w:tc>
          <w:tcPr>
            <w:tcW w:w="4464" w:type="dxa"/>
            <w:tcBorders>
              <w:tl2br w:val="nil"/>
              <w:tr2bl w:val="nil"/>
            </w:tcBorders>
            <w:vAlign w:val="center"/>
          </w:tcPr>
          <w:p w14:paraId="0C4B8BAF">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《新疆维吾尔自治区环境保护条例》</w:t>
            </w:r>
          </w:p>
        </w:tc>
        <w:tc>
          <w:tcPr>
            <w:tcW w:w="2337" w:type="dxa"/>
            <w:tcBorders>
              <w:tl2br w:val="nil"/>
              <w:tr2bl w:val="nil"/>
            </w:tcBorders>
            <w:vAlign w:val="center"/>
          </w:tcPr>
          <w:p w14:paraId="594DBA8A">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13届人大第6次会议</w:t>
            </w:r>
          </w:p>
        </w:tc>
        <w:tc>
          <w:tcPr>
            <w:tcW w:w="1174" w:type="dxa"/>
            <w:tcBorders>
              <w:tl2br w:val="nil"/>
              <w:tr2bl w:val="nil"/>
            </w:tcBorders>
            <w:vAlign w:val="center"/>
          </w:tcPr>
          <w:p w14:paraId="3725C6AB">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2018-09-21</w:t>
            </w:r>
          </w:p>
        </w:tc>
      </w:tr>
      <w:tr w14:paraId="40037D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252F65E7">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w:t>
            </w:r>
          </w:p>
        </w:tc>
        <w:tc>
          <w:tcPr>
            <w:tcW w:w="4464" w:type="dxa"/>
            <w:tcBorders>
              <w:tl2br w:val="nil"/>
              <w:tr2bl w:val="nil"/>
            </w:tcBorders>
            <w:vAlign w:val="center"/>
          </w:tcPr>
          <w:p w14:paraId="0A5DC38F">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《新疆维吾尔自治区野生植物保护条例》</w:t>
            </w:r>
          </w:p>
        </w:tc>
        <w:tc>
          <w:tcPr>
            <w:tcW w:w="2337" w:type="dxa"/>
            <w:tcBorders>
              <w:tl2br w:val="nil"/>
              <w:tr2bl w:val="nil"/>
            </w:tcBorders>
            <w:vAlign w:val="center"/>
          </w:tcPr>
          <w:p w14:paraId="29992EBC">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13届人大第6次会议</w:t>
            </w:r>
          </w:p>
        </w:tc>
        <w:tc>
          <w:tcPr>
            <w:tcW w:w="1174" w:type="dxa"/>
            <w:tcBorders>
              <w:tl2br w:val="nil"/>
              <w:tr2bl w:val="nil"/>
            </w:tcBorders>
            <w:vAlign w:val="center"/>
          </w:tcPr>
          <w:p w14:paraId="7CC5B97D">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2018-09-21</w:t>
            </w:r>
          </w:p>
        </w:tc>
      </w:tr>
      <w:tr w14:paraId="0A3159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1B3C4C02">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3</w:t>
            </w:r>
          </w:p>
        </w:tc>
        <w:tc>
          <w:tcPr>
            <w:tcW w:w="4464" w:type="dxa"/>
            <w:tcBorders>
              <w:tl2br w:val="nil"/>
              <w:tr2bl w:val="nil"/>
            </w:tcBorders>
            <w:vAlign w:val="center"/>
          </w:tcPr>
          <w:p w14:paraId="7AE1DF56">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《新疆生态功能区划》</w:t>
            </w:r>
          </w:p>
        </w:tc>
        <w:tc>
          <w:tcPr>
            <w:tcW w:w="2337" w:type="dxa"/>
            <w:tcBorders>
              <w:tl2br w:val="nil"/>
              <w:tr2bl w:val="nil"/>
            </w:tcBorders>
            <w:vAlign w:val="center"/>
          </w:tcPr>
          <w:p w14:paraId="25F83BAA">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新政函〔2005〕96号</w:t>
            </w:r>
          </w:p>
        </w:tc>
        <w:tc>
          <w:tcPr>
            <w:tcW w:w="1174" w:type="dxa"/>
            <w:tcBorders>
              <w:tl2br w:val="nil"/>
              <w:tr2bl w:val="nil"/>
            </w:tcBorders>
            <w:vAlign w:val="center"/>
          </w:tcPr>
          <w:p w14:paraId="2670E9BB">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2005-07-14</w:t>
            </w:r>
          </w:p>
        </w:tc>
      </w:tr>
      <w:tr w14:paraId="740450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26152C56">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4</w:t>
            </w:r>
          </w:p>
        </w:tc>
        <w:tc>
          <w:tcPr>
            <w:tcW w:w="4464" w:type="dxa"/>
            <w:tcBorders>
              <w:tl2br w:val="nil"/>
              <w:tr2bl w:val="nil"/>
            </w:tcBorders>
            <w:shd w:val="clear" w:color="auto" w:fill="auto"/>
            <w:vAlign w:val="center"/>
          </w:tcPr>
          <w:p w14:paraId="0E65374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《新疆维吾尔自治区水环境功能区划》</w:t>
            </w:r>
          </w:p>
        </w:tc>
        <w:tc>
          <w:tcPr>
            <w:tcW w:w="2337" w:type="dxa"/>
            <w:tcBorders>
              <w:tl2br w:val="nil"/>
              <w:tr2bl w:val="nil"/>
            </w:tcBorders>
            <w:shd w:val="clear" w:color="auto" w:fill="auto"/>
            <w:vAlign w:val="center"/>
          </w:tcPr>
          <w:p w14:paraId="1215D3A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新政函〔2002〕194号</w:t>
            </w:r>
          </w:p>
        </w:tc>
        <w:tc>
          <w:tcPr>
            <w:tcW w:w="1174" w:type="dxa"/>
            <w:tcBorders>
              <w:tl2br w:val="nil"/>
              <w:tr2bl w:val="nil"/>
            </w:tcBorders>
            <w:shd w:val="clear" w:color="auto" w:fill="auto"/>
            <w:vAlign w:val="center"/>
          </w:tcPr>
          <w:p w14:paraId="7847F20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2002-12</w:t>
            </w:r>
          </w:p>
        </w:tc>
      </w:tr>
      <w:tr w14:paraId="15BBD1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380DF8E9">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5</w:t>
            </w:r>
          </w:p>
        </w:tc>
        <w:tc>
          <w:tcPr>
            <w:tcW w:w="4464" w:type="dxa"/>
            <w:tcBorders>
              <w:tl2br w:val="nil"/>
              <w:tr2bl w:val="nil"/>
            </w:tcBorders>
            <w:shd w:val="clear" w:color="auto" w:fill="auto"/>
            <w:vAlign w:val="center"/>
          </w:tcPr>
          <w:p w14:paraId="0D80CB6B">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《新疆维吾尔自治区主体功能区规划》</w:t>
            </w:r>
          </w:p>
        </w:tc>
        <w:tc>
          <w:tcPr>
            <w:tcW w:w="2337" w:type="dxa"/>
            <w:tcBorders>
              <w:tl2br w:val="nil"/>
              <w:tr2bl w:val="nil"/>
            </w:tcBorders>
            <w:shd w:val="clear" w:color="auto" w:fill="auto"/>
            <w:vAlign w:val="center"/>
          </w:tcPr>
          <w:p w14:paraId="6412359B">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w:t>
            </w:r>
          </w:p>
        </w:tc>
        <w:tc>
          <w:tcPr>
            <w:tcW w:w="1174" w:type="dxa"/>
            <w:tcBorders>
              <w:tl2br w:val="nil"/>
              <w:tr2bl w:val="nil"/>
            </w:tcBorders>
            <w:shd w:val="clear" w:color="auto" w:fill="auto"/>
            <w:vAlign w:val="center"/>
          </w:tcPr>
          <w:p w14:paraId="79638AF2">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2016-10-24</w:t>
            </w:r>
          </w:p>
        </w:tc>
      </w:tr>
      <w:tr w14:paraId="5919DF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79440AE2">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6</w:t>
            </w:r>
          </w:p>
        </w:tc>
        <w:tc>
          <w:tcPr>
            <w:tcW w:w="4464" w:type="dxa"/>
            <w:tcBorders>
              <w:tl2br w:val="nil"/>
              <w:tr2bl w:val="nil"/>
            </w:tcBorders>
            <w:vAlign w:val="center"/>
          </w:tcPr>
          <w:p w14:paraId="008136C9">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《新疆维吾尔自治区危险废物污染环境防治办法》</w:t>
            </w:r>
          </w:p>
        </w:tc>
        <w:tc>
          <w:tcPr>
            <w:tcW w:w="2337" w:type="dxa"/>
            <w:tcBorders>
              <w:tl2br w:val="nil"/>
              <w:tr2bl w:val="nil"/>
            </w:tcBorders>
            <w:vAlign w:val="center"/>
          </w:tcPr>
          <w:p w14:paraId="6CC10FB4">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新疆人民政府令第163号</w:t>
            </w:r>
          </w:p>
        </w:tc>
        <w:tc>
          <w:tcPr>
            <w:tcW w:w="1174" w:type="dxa"/>
            <w:tcBorders>
              <w:tl2br w:val="nil"/>
              <w:tr2bl w:val="nil"/>
            </w:tcBorders>
            <w:vAlign w:val="center"/>
          </w:tcPr>
          <w:p w14:paraId="101B3740">
            <w:pPr>
              <w:pStyle w:val="45"/>
              <w:spacing w:before="0" w:beforeAutospacing="0"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2010-05-01</w:t>
            </w:r>
          </w:p>
        </w:tc>
      </w:tr>
      <w:tr w14:paraId="503B35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3CD268B">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7</w:t>
            </w:r>
          </w:p>
        </w:tc>
        <w:tc>
          <w:tcPr>
            <w:tcW w:w="4464" w:type="dxa"/>
            <w:tcBorders>
              <w:tl2br w:val="nil"/>
              <w:tr2bl w:val="nil"/>
            </w:tcBorders>
            <w:vAlign w:val="center"/>
          </w:tcPr>
          <w:p w14:paraId="56D308C8">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《新疆国家重点保护野生植物名录》</w:t>
            </w:r>
          </w:p>
        </w:tc>
        <w:tc>
          <w:tcPr>
            <w:tcW w:w="2337" w:type="dxa"/>
            <w:tcBorders>
              <w:tl2br w:val="nil"/>
              <w:tr2bl w:val="nil"/>
            </w:tcBorders>
            <w:vAlign w:val="center"/>
          </w:tcPr>
          <w:p w14:paraId="00BE330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新林护字〔2022〕8号</w:t>
            </w:r>
          </w:p>
        </w:tc>
        <w:tc>
          <w:tcPr>
            <w:tcW w:w="1174" w:type="dxa"/>
            <w:tcBorders>
              <w:tl2br w:val="nil"/>
              <w:tr2bl w:val="nil"/>
            </w:tcBorders>
            <w:vAlign w:val="center"/>
          </w:tcPr>
          <w:p w14:paraId="3029090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2022-03-09</w:t>
            </w:r>
          </w:p>
        </w:tc>
      </w:tr>
      <w:tr w14:paraId="7DA558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2DA39975">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8</w:t>
            </w:r>
          </w:p>
        </w:tc>
        <w:tc>
          <w:tcPr>
            <w:tcW w:w="4464" w:type="dxa"/>
            <w:tcBorders>
              <w:tl2br w:val="nil"/>
              <w:tr2bl w:val="nil"/>
            </w:tcBorders>
            <w:vAlign w:val="center"/>
          </w:tcPr>
          <w:p w14:paraId="609D0B1E">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《新疆国家重点保护野生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动物</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名录》</w:t>
            </w:r>
          </w:p>
        </w:tc>
        <w:tc>
          <w:tcPr>
            <w:tcW w:w="2337" w:type="dxa"/>
            <w:tcBorders>
              <w:tl2br w:val="nil"/>
              <w:tr2bl w:val="nil"/>
            </w:tcBorders>
            <w:vAlign w:val="center"/>
          </w:tcPr>
          <w:p w14:paraId="2E141C5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74" w:type="dxa"/>
            <w:tcBorders>
              <w:tl2br w:val="nil"/>
              <w:tr2bl w:val="nil"/>
            </w:tcBorders>
            <w:vAlign w:val="center"/>
          </w:tcPr>
          <w:p w14:paraId="1319E15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2021-07-28</w:t>
            </w:r>
          </w:p>
        </w:tc>
      </w:tr>
      <w:tr w14:paraId="33A1B2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2ACAB3C4">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9</w:t>
            </w:r>
          </w:p>
        </w:tc>
        <w:tc>
          <w:tcPr>
            <w:tcW w:w="4464" w:type="dxa"/>
            <w:tcBorders>
              <w:tl2br w:val="nil"/>
              <w:tr2bl w:val="nil"/>
            </w:tcBorders>
            <w:vAlign w:val="center"/>
          </w:tcPr>
          <w:p w14:paraId="5DF57FE6">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《新疆维吾尔自治区重点保护野生植物名录》（第一批）</w:t>
            </w:r>
          </w:p>
        </w:tc>
        <w:tc>
          <w:tcPr>
            <w:tcW w:w="2337" w:type="dxa"/>
            <w:tcBorders>
              <w:tl2br w:val="nil"/>
              <w:tr2bl w:val="nil"/>
            </w:tcBorders>
            <w:vAlign w:val="center"/>
          </w:tcPr>
          <w:p w14:paraId="7C75B5CF">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新政办发〔2007〕175号</w:t>
            </w:r>
          </w:p>
        </w:tc>
        <w:tc>
          <w:tcPr>
            <w:tcW w:w="1174" w:type="dxa"/>
            <w:tcBorders>
              <w:tl2br w:val="nil"/>
              <w:tr2bl w:val="nil"/>
            </w:tcBorders>
            <w:vAlign w:val="center"/>
          </w:tcPr>
          <w:p w14:paraId="6215F9E5">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07</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7</w:t>
            </w:r>
          </w:p>
        </w:tc>
      </w:tr>
      <w:tr w14:paraId="31C36D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vAlign w:val="center"/>
          </w:tcPr>
          <w:p w14:paraId="4511B14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10</w:t>
            </w:r>
          </w:p>
        </w:tc>
        <w:tc>
          <w:tcPr>
            <w:tcW w:w="4464" w:type="dxa"/>
            <w:tcBorders>
              <w:tl2br w:val="nil"/>
              <w:tr2bl w:val="nil"/>
            </w:tcBorders>
            <w:vAlign w:val="center"/>
          </w:tcPr>
          <w:p w14:paraId="423E0BF1">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《新疆维吾尔自治区重点保护野生动物名录（</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修订</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337" w:type="dxa"/>
            <w:tcBorders>
              <w:tl2br w:val="nil"/>
              <w:tr2bl w:val="nil"/>
            </w:tcBorders>
            <w:vAlign w:val="center"/>
          </w:tcPr>
          <w:p w14:paraId="1097A022">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新政发〔2022〕75号</w:t>
            </w:r>
          </w:p>
        </w:tc>
        <w:tc>
          <w:tcPr>
            <w:tcW w:w="1174" w:type="dxa"/>
            <w:tcBorders>
              <w:tl2br w:val="nil"/>
              <w:tr2bl w:val="nil"/>
            </w:tcBorders>
            <w:vAlign w:val="center"/>
          </w:tcPr>
          <w:p w14:paraId="5392AE76">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2022-09-18</w:t>
            </w:r>
          </w:p>
        </w:tc>
      </w:tr>
      <w:tr w14:paraId="7719E9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36D1AB3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11</w:t>
            </w:r>
          </w:p>
        </w:tc>
        <w:tc>
          <w:tcPr>
            <w:tcW w:w="4464" w:type="dxa"/>
            <w:tcBorders>
              <w:tl2br w:val="nil"/>
              <w:tr2bl w:val="nil"/>
            </w:tcBorders>
            <w:shd w:val="clear" w:color="auto" w:fill="auto"/>
            <w:vAlign w:val="center"/>
          </w:tcPr>
          <w:p w14:paraId="7A93392C">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《关于印发新疆维吾尔自治区土壤污染防治工作方案的通知》</w:t>
            </w:r>
          </w:p>
        </w:tc>
        <w:tc>
          <w:tcPr>
            <w:tcW w:w="2337" w:type="dxa"/>
            <w:tcBorders>
              <w:tl2br w:val="nil"/>
              <w:tr2bl w:val="nil"/>
            </w:tcBorders>
            <w:shd w:val="clear" w:color="auto" w:fill="auto"/>
            <w:vAlign w:val="center"/>
          </w:tcPr>
          <w:p w14:paraId="7F7B4CF5">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新政发〔2017〕25号</w:t>
            </w:r>
          </w:p>
        </w:tc>
        <w:tc>
          <w:tcPr>
            <w:tcW w:w="1174" w:type="dxa"/>
            <w:tcBorders>
              <w:tl2br w:val="nil"/>
              <w:tr2bl w:val="nil"/>
            </w:tcBorders>
            <w:shd w:val="clear" w:color="auto" w:fill="auto"/>
            <w:vAlign w:val="center"/>
          </w:tcPr>
          <w:p w14:paraId="05565BB6">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2017-03-01</w:t>
            </w:r>
          </w:p>
        </w:tc>
      </w:tr>
      <w:tr w14:paraId="408B54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8654BF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12</w:t>
            </w:r>
          </w:p>
        </w:tc>
        <w:tc>
          <w:tcPr>
            <w:tcW w:w="4464" w:type="dxa"/>
            <w:tcBorders>
              <w:tl2br w:val="nil"/>
              <w:tr2bl w:val="nil"/>
            </w:tcBorders>
            <w:shd w:val="clear" w:color="auto" w:fill="auto"/>
            <w:vAlign w:val="center"/>
          </w:tcPr>
          <w:p w14:paraId="574939F2">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《关于印发新疆维吾尔自治区大气污染防治行动计划实施方案的通知》</w:t>
            </w:r>
          </w:p>
        </w:tc>
        <w:tc>
          <w:tcPr>
            <w:tcW w:w="2337" w:type="dxa"/>
            <w:tcBorders>
              <w:tl2br w:val="nil"/>
              <w:tr2bl w:val="nil"/>
            </w:tcBorders>
            <w:shd w:val="clear" w:color="auto" w:fill="auto"/>
            <w:vAlign w:val="center"/>
          </w:tcPr>
          <w:p w14:paraId="123037DA">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新政发〔2014〕35号</w:t>
            </w:r>
          </w:p>
        </w:tc>
        <w:tc>
          <w:tcPr>
            <w:tcW w:w="1174" w:type="dxa"/>
            <w:tcBorders>
              <w:tl2br w:val="nil"/>
              <w:tr2bl w:val="nil"/>
            </w:tcBorders>
            <w:shd w:val="clear" w:color="auto" w:fill="auto"/>
            <w:vAlign w:val="center"/>
          </w:tcPr>
          <w:p w14:paraId="7697018B">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2014-04-17</w:t>
            </w:r>
          </w:p>
        </w:tc>
      </w:tr>
      <w:tr w14:paraId="6AF16F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542E31B4">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13</w:t>
            </w:r>
          </w:p>
        </w:tc>
        <w:tc>
          <w:tcPr>
            <w:tcW w:w="4464" w:type="dxa"/>
            <w:tcBorders>
              <w:tl2br w:val="nil"/>
              <w:tr2bl w:val="nil"/>
            </w:tcBorders>
            <w:shd w:val="clear" w:color="auto" w:fill="auto"/>
            <w:vAlign w:val="center"/>
          </w:tcPr>
          <w:p w14:paraId="1A324783">
            <w:pPr>
              <w:pStyle w:val="13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《新疆维吾尔自治区2025年空气质量持续改善行动实施方案》</w:t>
            </w:r>
          </w:p>
        </w:tc>
        <w:tc>
          <w:tcPr>
            <w:tcW w:w="2337" w:type="dxa"/>
            <w:tcBorders>
              <w:tl2br w:val="nil"/>
              <w:tr2bl w:val="nil"/>
            </w:tcBorders>
            <w:shd w:val="clear" w:color="auto" w:fill="auto"/>
            <w:vAlign w:val="center"/>
          </w:tcPr>
          <w:p w14:paraId="401960D1">
            <w:pPr>
              <w:pStyle w:val="13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center"/>
              <w:rPr>
                <w:rFonts w:hint="default" w:ascii="Times New Roman" w:hAnsi="Times New Roman" w:eastAsia="宋体" w:cs="Times New Roman"/>
                <w:color w:val="000000" w:themeColor="text1"/>
                <w:kern w:val="0"/>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新政办发〔2024〕58号</w:t>
            </w:r>
          </w:p>
        </w:tc>
        <w:tc>
          <w:tcPr>
            <w:tcW w:w="1174" w:type="dxa"/>
            <w:tcBorders>
              <w:tl2br w:val="nil"/>
              <w:tr2bl w:val="nil"/>
            </w:tcBorders>
            <w:shd w:val="clear" w:color="auto" w:fill="auto"/>
            <w:vAlign w:val="center"/>
          </w:tcPr>
          <w:p w14:paraId="576FC21A">
            <w:pPr>
              <w:pStyle w:val="13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2024-12-10</w:t>
            </w:r>
          </w:p>
        </w:tc>
      </w:tr>
      <w:tr w14:paraId="17F00E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7ABA763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14</w:t>
            </w:r>
          </w:p>
        </w:tc>
        <w:tc>
          <w:tcPr>
            <w:tcW w:w="4464" w:type="dxa"/>
            <w:tcBorders>
              <w:tl2br w:val="nil"/>
              <w:tr2bl w:val="nil"/>
            </w:tcBorders>
            <w:shd w:val="clear" w:color="auto" w:fill="auto"/>
            <w:vAlign w:val="center"/>
          </w:tcPr>
          <w:p w14:paraId="700F3DDB">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《新疆维吾尔自治区重点行业生态环境准入条件（2024年）》</w:t>
            </w:r>
          </w:p>
        </w:tc>
        <w:tc>
          <w:tcPr>
            <w:tcW w:w="2337" w:type="dxa"/>
            <w:tcBorders>
              <w:tl2br w:val="nil"/>
              <w:tr2bl w:val="nil"/>
            </w:tcBorders>
            <w:shd w:val="clear" w:color="auto" w:fill="auto"/>
            <w:vAlign w:val="center"/>
          </w:tcPr>
          <w:p w14:paraId="363D346E">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zh-CN"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新环</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环评</w:t>
            </w:r>
            <w:r>
              <w:rPr>
                <w:rFonts w:ascii="Times New Roman" w:hAnsi="Times New Roman" w:eastAsia="宋体"/>
                <w:color w:val="000000" w:themeColor="text1"/>
                <w:sz w:val="21"/>
                <w:szCs w:val="21"/>
                <w:highlight w:val="none"/>
                <w14:textFill>
                  <w14:solidFill>
                    <w14:schemeClr w14:val="tx1"/>
                  </w14:solidFill>
                </w14:textFill>
              </w:rPr>
              <w:t>发〔20</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24</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93</w:t>
            </w:r>
            <w:r>
              <w:rPr>
                <w:rFonts w:ascii="Times New Roman" w:hAnsi="Times New Roman" w:eastAsia="宋体"/>
                <w:color w:val="000000" w:themeColor="text1"/>
                <w:sz w:val="21"/>
                <w:szCs w:val="21"/>
                <w:highlight w:val="none"/>
                <w14:textFill>
                  <w14:solidFill>
                    <w14:schemeClr w14:val="tx1"/>
                  </w14:solidFill>
                </w14:textFill>
              </w:rPr>
              <w:t>号</w:t>
            </w:r>
          </w:p>
        </w:tc>
        <w:tc>
          <w:tcPr>
            <w:tcW w:w="1174" w:type="dxa"/>
            <w:tcBorders>
              <w:tl2br w:val="nil"/>
              <w:tr2bl w:val="nil"/>
            </w:tcBorders>
            <w:shd w:val="clear" w:color="auto" w:fill="auto"/>
            <w:vAlign w:val="center"/>
          </w:tcPr>
          <w:p w14:paraId="45B18F87">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24</w:t>
            </w:r>
            <w:r>
              <w:rPr>
                <w:rFonts w:ascii="Times New Roman" w:hAnsi="Times New Roman" w:eastAsia="宋体"/>
                <w:color w:val="000000" w:themeColor="text1"/>
                <w:sz w:val="21"/>
                <w:szCs w:val="21"/>
                <w:highlight w:val="none"/>
                <w14:textFill>
                  <w14:solidFill>
                    <w14:schemeClr w14:val="tx1"/>
                  </w14:solidFill>
                </w14:textFill>
              </w:rPr>
              <w:t>-0</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6</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w:t>
            </w:r>
            <w:r>
              <w:rPr>
                <w:rFonts w:ascii="Times New Roman" w:hAnsi="Times New Roman" w:eastAsia="宋体"/>
                <w:color w:val="000000" w:themeColor="text1"/>
                <w:sz w:val="21"/>
                <w:szCs w:val="21"/>
                <w:highlight w:val="none"/>
                <w14:textFill>
                  <w14:solidFill>
                    <w14:schemeClr w14:val="tx1"/>
                  </w14:solidFill>
                </w14:textFill>
              </w:rPr>
              <w:t>1</w:t>
            </w:r>
          </w:p>
        </w:tc>
      </w:tr>
      <w:tr w14:paraId="2369BF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15464F1F">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15</w:t>
            </w:r>
          </w:p>
        </w:tc>
        <w:tc>
          <w:tcPr>
            <w:tcW w:w="4464" w:type="dxa"/>
            <w:tcBorders>
              <w:tl2br w:val="nil"/>
              <w:tr2bl w:val="nil"/>
            </w:tcBorders>
            <w:shd w:val="clear" w:color="auto" w:fill="auto"/>
            <w:vAlign w:val="center"/>
          </w:tcPr>
          <w:p w14:paraId="6F9D8B0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《新疆自然资源“十四五”规划》</w:t>
            </w:r>
          </w:p>
        </w:tc>
        <w:tc>
          <w:tcPr>
            <w:tcW w:w="2337" w:type="dxa"/>
            <w:tcBorders>
              <w:tl2br w:val="nil"/>
              <w:tr2bl w:val="nil"/>
            </w:tcBorders>
            <w:shd w:val="clear" w:color="auto" w:fill="auto"/>
            <w:vAlign w:val="center"/>
          </w:tcPr>
          <w:p w14:paraId="78E3068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新疆维吾尔自治区自然资源厅</w:t>
            </w:r>
          </w:p>
        </w:tc>
        <w:tc>
          <w:tcPr>
            <w:tcW w:w="1174" w:type="dxa"/>
            <w:tcBorders>
              <w:tl2br w:val="nil"/>
              <w:tr2bl w:val="nil"/>
            </w:tcBorders>
            <w:shd w:val="clear" w:color="auto" w:fill="auto"/>
            <w:vAlign w:val="center"/>
          </w:tcPr>
          <w:p w14:paraId="198C3C4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022-03-16</w:t>
            </w:r>
          </w:p>
        </w:tc>
      </w:tr>
      <w:tr w14:paraId="645D75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E2E7EA2">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16</w:t>
            </w:r>
          </w:p>
        </w:tc>
        <w:tc>
          <w:tcPr>
            <w:tcW w:w="4464" w:type="dxa"/>
            <w:tcBorders>
              <w:tl2br w:val="nil"/>
              <w:tr2bl w:val="nil"/>
            </w:tcBorders>
            <w:shd w:val="clear" w:color="auto" w:fill="auto"/>
            <w:vAlign w:val="center"/>
          </w:tcPr>
          <w:p w14:paraId="2E196334">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《新疆</w:t>
            </w:r>
            <w:r>
              <w:rPr>
                <w:rFonts w:hint="eastAsia" w:ascii="Times New Roman" w:hAnsi="Times New Roman" w:eastAsia="宋体"/>
                <w:color w:val="000000" w:themeColor="text1"/>
                <w:sz w:val="21"/>
                <w:szCs w:val="21"/>
                <w:highlight w:val="none"/>
                <w14:textFill>
                  <w14:solidFill>
                    <w14:schemeClr w14:val="tx1"/>
                  </w14:solidFill>
                </w14:textFill>
              </w:rPr>
              <w:t>生态</w:t>
            </w:r>
            <w:r>
              <w:rPr>
                <w:rFonts w:ascii="Times New Roman" w:hAnsi="Times New Roman" w:eastAsia="宋体"/>
                <w:color w:val="000000" w:themeColor="text1"/>
                <w:sz w:val="21"/>
                <w:szCs w:val="21"/>
                <w:highlight w:val="none"/>
                <w14:textFill>
                  <w14:solidFill>
                    <w14:schemeClr w14:val="tx1"/>
                  </w14:solidFill>
                </w14:textFill>
              </w:rPr>
              <w:t>环境保护</w:t>
            </w:r>
            <w:r>
              <w:rPr>
                <w:rFonts w:hint="eastAsia" w:ascii="Times New Roman" w:hAnsi="Times New Roman" w:eastAsia="宋体"/>
                <w:color w:val="000000" w:themeColor="text1"/>
                <w:sz w:val="21"/>
                <w:szCs w:val="21"/>
                <w:highlight w:val="none"/>
                <w14:textFill>
                  <w14:solidFill>
                    <w14:schemeClr w14:val="tx1"/>
                  </w14:solidFill>
                </w14:textFill>
              </w:rPr>
              <w:t>“十四五”</w:t>
            </w:r>
            <w:r>
              <w:rPr>
                <w:rFonts w:ascii="Times New Roman" w:hAnsi="Times New Roman" w:eastAsia="宋体"/>
                <w:color w:val="000000" w:themeColor="text1"/>
                <w:sz w:val="21"/>
                <w:szCs w:val="21"/>
                <w:highlight w:val="none"/>
                <w14:textFill>
                  <w14:solidFill>
                    <w14:schemeClr w14:val="tx1"/>
                  </w14:solidFill>
                </w14:textFill>
              </w:rPr>
              <w:t>规划》</w:t>
            </w:r>
          </w:p>
        </w:tc>
        <w:tc>
          <w:tcPr>
            <w:tcW w:w="2337" w:type="dxa"/>
            <w:tcBorders>
              <w:tl2br w:val="nil"/>
              <w:tr2bl w:val="nil"/>
            </w:tcBorders>
            <w:shd w:val="clear" w:color="auto" w:fill="auto"/>
            <w:vAlign w:val="center"/>
          </w:tcPr>
          <w:p w14:paraId="4C9E6202">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新疆维吾尔自治区党委、人民政府印发</w:t>
            </w:r>
          </w:p>
        </w:tc>
        <w:tc>
          <w:tcPr>
            <w:tcW w:w="1174" w:type="dxa"/>
            <w:tcBorders>
              <w:tl2br w:val="nil"/>
              <w:tr2bl w:val="nil"/>
            </w:tcBorders>
            <w:shd w:val="clear" w:color="auto" w:fill="auto"/>
            <w:vAlign w:val="center"/>
          </w:tcPr>
          <w:p w14:paraId="75B3DCF1">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w:t>
            </w:r>
            <w:r>
              <w:rPr>
                <w:rFonts w:hint="eastAsia" w:ascii="Times New Roman" w:hAnsi="Times New Roman" w:eastAsia="宋体"/>
                <w:color w:val="000000" w:themeColor="text1"/>
                <w:sz w:val="21"/>
                <w:szCs w:val="21"/>
                <w:highlight w:val="none"/>
                <w14:textFill>
                  <w14:solidFill>
                    <w14:schemeClr w14:val="tx1"/>
                  </w14:solidFill>
                </w14:textFill>
              </w:rPr>
              <w:t>21</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12</w:t>
            </w:r>
            <w:r>
              <w:rPr>
                <w:rFonts w:ascii="Times New Roman" w:hAnsi="Times New Roman" w:eastAsia="宋体"/>
                <w:color w:val="000000" w:themeColor="text1"/>
                <w:sz w:val="21"/>
                <w:szCs w:val="21"/>
                <w:highlight w:val="none"/>
                <w14:textFill>
                  <w14:solidFill>
                    <w14:schemeClr w14:val="tx1"/>
                  </w14:solidFill>
                </w14:textFill>
              </w:rPr>
              <w:t>-2</w:t>
            </w:r>
            <w:r>
              <w:rPr>
                <w:rFonts w:hint="eastAsia" w:ascii="Times New Roman" w:hAnsi="Times New Roman" w:eastAsia="宋体"/>
                <w:color w:val="000000" w:themeColor="text1"/>
                <w:sz w:val="21"/>
                <w:szCs w:val="21"/>
                <w:highlight w:val="none"/>
                <w14:textFill>
                  <w14:solidFill>
                    <w14:schemeClr w14:val="tx1"/>
                  </w14:solidFill>
                </w14:textFill>
              </w:rPr>
              <w:t>4</w:t>
            </w:r>
          </w:p>
        </w:tc>
      </w:tr>
      <w:tr w14:paraId="0843E5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638C98C0">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17</w:t>
            </w:r>
          </w:p>
        </w:tc>
        <w:tc>
          <w:tcPr>
            <w:tcW w:w="4464" w:type="dxa"/>
            <w:tcBorders>
              <w:tl2br w:val="nil"/>
              <w:tr2bl w:val="nil"/>
            </w:tcBorders>
            <w:shd w:val="clear" w:color="auto" w:fill="auto"/>
            <w:vAlign w:val="center"/>
          </w:tcPr>
          <w:p w14:paraId="3598CD4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《新疆维吾尔自治区大气</w:t>
            </w:r>
            <w:r>
              <w:rPr>
                <w:rFonts w:hint="eastAsia"/>
                <w:color w:val="000000" w:themeColor="text1"/>
                <w:sz w:val="21"/>
                <w:szCs w:val="21"/>
                <w:highlight w:val="none"/>
                <w:lang w:val="en-US" w:eastAsia="zh-CN"/>
                <w14:textFill>
                  <w14:solidFill>
                    <w14:schemeClr w14:val="tx1"/>
                  </w14:solidFill>
                </w14:textFill>
              </w:rPr>
              <w:t>污染</w:t>
            </w:r>
            <w:r>
              <w:rPr>
                <w:rFonts w:ascii="Times New Roman" w:hAnsi="Times New Roman" w:eastAsia="宋体"/>
                <w:color w:val="000000" w:themeColor="text1"/>
                <w:sz w:val="21"/>
                <w:szCs w:val="21"/>
                <w:highlight w:val="none"/>
                <w14:textFill>
                  <w14:solidFill>
                    <w14:schemeClr w14:val="tx1"/>
                  </w14:solidFill>
                </w14:textFill>
              </w:rPr>
              <w:t>防治条例》</w:t>
            </w:r>
          </w:p>
        </w:tc>
        <w:tc>
          <w:tcPr>
            <w:tcW w:w="2337" w:type="dxa"/>
            <w:tcBorders>
              <w:tl2br w:val="nil"/>
              <w:tr2bl w:val="nil"/>
            </w:tcBorders>
            <w:shd w:val="clear" w:color="auto" w:fill="auto"/>
            <w:vAlign w:val="center"/>
          </w:tcPr>
          <w:p w14:paraId="385381CA">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新疆维吾尔自治区</w:t>
            </w:r>
            <w:r>
              <w:rPr>
                <w:rFonts w:ascii="Times New Roman" w:hAnsi="Times New Roman" w:eastAsia="宋体"/>
                <w:color w:val="000000" w:themeColor="text1"/>
                <w:sz w:val="21"/>
                <w:szCs w:val="21"/>
                <w:highlight w:val="none"/>
                <w14:textFill>
                  <w14:solidFill>
                    <w14:schemeClr w14:val="tx1"/>
                  </w14:solidFill>
                </w14:textFill>
              </w:rPr>
              <w:t>13届人大第7次会议</w:t>
            </w:r>
          </w:p>
        </w:tc>
        <w:tc>
          <w:tcPr>
            <w:tcW w:w="1174" w:type="dxa"/>
            <w:tcBorders>
              <w:tl2br w:val="nil"/>
              <w:tr2bl w:val="nil"/>
            </w:tcBorders>
            <w:shd w:val="clear" w:color="auto" w:fill="auto"/>
            <w:vAlign w:val="center"/>
          </w:tcPr>
          <w:p w14:paraId="184A94EB">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2019-01-01</w:t>
            </w:r>
          </w:p>
        </w:tc>
      </w:tr>
      <w:tr w14:paraId="49325E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75E5F492">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18</w:t>
            </w:r>
          </w:p>
        </w:tc>
        <w:tc>
          <w:tcPr>
            <w:tcW w:w="4464" w:type="dxa"/>
            <w:tcBorders>
              <w:tl2br w:val="nil"/>
              <w:tr2bl w:val="nil"/>
            </w:tcBorders>
            <w:shd w:val="clear" w:color="auto" w:fill="auto"/>
            <w:vAlign w:val="center"/>
          </w:tcPr>
          <w:p w14:paraId="1ABF58EB">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新疆维吾尔自治区矿产资源总体规划（2021-2025年）</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2337" w:type="dxa"/>
            <w:tcBorders>
              <w:tl2br w:val="nil"/>
              <w:tr2bl w:val="nil"/>
            </w:tcBorders>
            <w:shd w:val="clear" w:color="auto" w:fill="auto"/>
            <w:vAlign w:val="center"/>
          </w:tcPr>
          <w:p w14:paraId="3ACF5DE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新疆维吾尔自治区人民政府</w:t>
            </w:r>
          </w:p>
        </w:tc>
        <w:tc>
          <w:tcPr>
            <w:tcW w:w="1174" w:type="dxa"/>
            <w:tcBorders>
              <w:tl2br w:val="nil"/>
              <w:tr2bl w:val="nil"/>
            </w:tcBorders>
            <w:shd w:val="clear" w:color="auto" w:fill="auto"/>
            <w:vAlign w:val="center"/>
          </w:tcPr>
          <w:p w14:paraId="104C6C7D">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w:t>
            </w:r>
            <w:r>
              <w:rPr>
                <w:rFonts w:ascii="Times New Roman" w:hAnsi="Times New Roman" w:eastAsia="宋体"/>
                <w:color w:val="000000" w:themeColor="text1"/>
                <w:sz w:val="21"/>
                <w:szCs w:val="21"/>
                <w:highlight w:val="none"/>
                <w14:textFill>
                  <w14:solidFill>
                    <w14:schemeClr w14:val="tx1"/>
                  </w14:solidFill>
                </w14:textFill>
              </w:rPr>
              <w:t>22-08-28</w:t>
            </w:r>
          </w:p>
        </w:tc>
      </w:tr>
      <w:tr w14:paraId="7F7198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DB1C28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1</w:t>
            </w:r>
            <w:r>
              <w:rPr>
                <w:rFonts w:ascii="Times New Roman" w:hAnsi="Times New Roman" w:eastAsia="宋体"/>
                <w:color w:val="000000" w:themeColor="text1"/>
                <w:sz w:val="21"/>
                <w:szCs w:val="21"/>
                <w:highlight w:val="none"/>
                <w14:textFill>
                  <w14:solidFill>
                    <w14:schemeClr w14:val="tx1"/>
                  </w14:solidFill>
                </w14:textFill>
              </w:rPr>
              <w:t>9</w:t>
            </w:r>
          </w:p>
        </w:tc>
        <w:tc>
          <w:tcPr>
            <w:tcW w:w="4464" w:type="dxa"/>
            <w:tcBorders>
              <w:tl2br w:val="nil"/>
              <w:tr2bl w:val="nil"/>
            </w:tcBorders>
            <w:shd w:val="clear" w:color="auto" w:fill="auto"/>
            <w:vAlign w:val="center"/>
          </w:tcPr>
          <w:p w14:paraId="2588624F">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《关于印发新疆自治区级水土流失重点预防区和重点治理区复核划分成果的通知》</w:t>
            </w:r>
          </w:p>
        </w:tc>
        <w:tc>
          <w:tcPr>
            <w:tcW w:w="2337" w:type="dxa"/>
            <w:tcBorders>
              <w:tl2br w:val="nil"/>
              <w:tr2bl w:val="nil"/>
            </w:tcBorders>
            <w:shd w:val="clear" w:color="auto" w:fill="auto"/>
            <w:vAlign w:val="center"/>
          </w:tcPr>
          <w:p w14:paraId="681294A6">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新水水保〔2019〕4号</w:t>
            </w:r>
          </w:p>
        </w:tc>
        <w:tc>
          <w:tcPr>
            <w:tcW w:w="1174" w:type="dxa"/>
            <w:tcBorders>
              <w:tl2br w:val="nil"/>
              <w:tr2bl w:val="nil"/>
            </w:tcBorders>
            <w:shd w:val="clear" w:color="auto" w:fill="auto"/>
            <w:vAlign w:val="center"/>
          </w:tcPr>
          <w:p w14:paraId="35F7AA3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2019-</w:t>
            </w:r>
            <w:r>
              <w:rPr>
                <w:rFonts w:hint="eastAsia" w:ascii="Times New Roman" w:hAnsi="Times New Roman" w:eastAsia="宋体"/>
                <w:color w:val="000000" w:themeColor="text1"/>
                <w:sz w:val="21"/>
                <w:szCs w:val="21"/>
                <w:highlight w:val="none"/>
                <w14:textFill>
                  <w14:solidFill>
                    <w14:schemeClr w14:val="tx1"/>
                  </w14:solidFill>
                </w14:textFill>
              </w:rPr>
              <w:t>0</w:t>
            </w:r>
            <w:r>
              <w:rPr>
                <w:rFonts w:ascii="Times New Roman" w:hAnsi="Times New Roman" w:eastAsia="宋体"/>
                <w:color w:val="000000" w:themeColor="text1"/>
                <w:sz w:val="21"/>
                <w:szCs w:val="21"/>
                <w:highlight w:val="none"/>
                <w14:textFill>
                  <w14:solidFill>
                    <w14:schemeClr w14:val="tx1"/>
                  </w14:solidFill>
                </w14:textFill>
              </w:rPr>
              <w:t>1-21</w:t>
            </w:r>
          </w:p>
        </w:tc>
      </w:tr>
      <w:tr w14:paraId="2AA1C9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C27160F">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0</w:t>
            </w:r>
          </w:p>
        </w:tc>
        <w:tc>
          <w:tcPr>
            <w:tcW w:w="4464" w:type="dxa"/>
            <w:tcBorders>
              <w:tl2br w:val="nil"/>
              <w:tr2bl w:val="nil"/>
            </w:tcBorders>
            <w:shd w:val="clear" w:color="auto" w:fill="auto"/>
            <w:vAlign w:val="center"/>
          </w:tcPr>
          <w:p w14:paraId="25E8DE8E">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《新疆维吾尔自治区国民经济和社会发展第十五个五年规划纲要》</w:t>
            </w:r>
          </w:p>
        </w:tc>
        <w:tc>
          <w:tcPr>
            <w:tcW w:w="2337" w:type="dxa"/>
            <w:tcBorders>
              <w:tl2br w:val="nil"/>
              <w:tr2bl w:val="nil"/>
            </w:tcBorders>
            <w:shd w:val="clear" w:color="auto" w:fill="auto"/>
            <w:vAlign w:val="center"/>
          </w:tcPr>
          <w:p w14:paraId="3FB35CD8">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新疆维吾尔自治区人民政府</w:t>
            </w:r>
          </w:p>
        </w:tc>
        <w:tc>
          <w:tcPr>
            <w:tcW w:w="1174" w:type="dxa"/>
            <w:tcBorders>
              <w:tl2br w:val="nil"/>
              <w:tr2bl w:val="nil"/>
            </w:tcBorders>
            <w:shd w:val="clear" w:color="auto" w:fill="auto"/>
            <w:vAlign w:val="center"/>
          </w:tcPr>
          <w:p w14:paraId="3640A61D">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2026-03-25</w:t>
            </w:r>
          </w:p>
        </w:tc>
      </w:tr>
      <w:tr w14:paraId="3065CA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16B181D2">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21</w:t>
            </w:r>
          </w:p>
        </w:tc>
        <w:tc>
          <w:tcPr>
            <w:tcW w:w="4464" w:type="dxa"/>
            <w:tcBorders>
              <w:tl2br w:val="nil"/>
              <w:tr2bl w:val="nil"/>
            </w:tcBorders>
            <w:shd w:val="clear" w:color="auto" w:fill="auto"/>
            <w:vAlign w:val="center"/>
          </w:tcPr>
          <w:p w14:paraId="5F1B567F">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关于印发《新疆维吾尔自治区“三线一单”生态环境分区管控方案》的通知</w:t>
            </w:r>
          </w:p>
        </w:tc>
        <w:tc>
          <w:tcPr>
            <w:tcW w:w="2337" w:type="dxa"/>
            <w:tcBorders>
              <w:tl2br w:val="nil"/>
              <w:tr2bl w:val="nil"/>
            </w:tcBorders>
            <w:shd w:val="clear" w:color="auto" w:fill="auto"/>
            <w:vAlign w:val="center"/>
          </w:tcPr>
          <w:p w14:paraId="20AAEBC4">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新政发</w:t>
            </w:r>
            <w:r>
              <w:rPr>
                <w:rFonts w:ascii="Times New Roman" w:hAnsi="Times New Roman" w:eastAsia="宋体"/>
                <w:color w:val="000000" w:themeColor="text1"/>
                <w:sz w:val="21"/>
                <w:szCs w:val="21"/>
                <w:highlight w:val="none"/>
                <w14:textFill>
                  <w14:solidFill>
                    <w14:schemeClr w14:val="tx1"/>
                  </w14:solidFill>
                </w14:textFill>
              </w:rPr>
              <w:t>〔20</w:t>
            </w:r>
            <w:r>
              <w:rPr>
                <w:rFonts w:hint="eastAsia" w:ascii="Times New Roman" w:hAnsi="Times New Roman" w:eastAsia="宋体"/>
                <w:color w:val="000000" w:themeColor="text1"/>
                <w:sz w:val="21"/>
                <w:szCs w:val="21"/>
                <w:highlight w:val="none"/>
                <w14:textFill>
                  <w14:solidFill>
                    <w14:schemeClr w14:val="tx1"/>
                  </w14:solidFill>
                </w14:textFill>
              </w:rPr>
              <w:t>21</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18</w:t>
            </w:r>
            <w:r>
              <w:rPr>
                <w:rFonts w:ascii="Times New Roman" w:hAnsi="Times New Roman" w:eastAsia="宋体"/>
                <w:color w:val="000000" w:themeColor="text1"/>
                <w:sz w:val="21"/>
                <w:szCs w:val="21"/>
                <w:highlight w:val="none"/>
                <w14:textFill>
                  <w14:solidFill>
                    <w14:schemeClr w14:val="tx1"/>
                  </w14:solidFill>
                </w14:textFill>
              </w:rPr>
              <w:t>号</w:t>
            </w:r>
          </w:p>
        </w:tc>
        <w:tc>
          <w:tcPr>
            <w:tcW w:w="1174" w:type="dxa"/>
            <w:tcBorders>
              <w:tl2br w:val="nil"/>
              <w:tr2bl w:val="nil"/>
            </w:tcBorders>
            <w:shd w:val="clear" w:color="auto" w:fill="auto"/>
            <w:vAlign w:val="center"/>
          </w:tcPr>
          <w:p w14:paraId="1CAB5C1A">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2021-</w:t>
            </w:r>
            <w:r>
              <w:rPr>
                <w:rFonts w:ascii="Times New Roman" w:hAnsi="Times New Roman" w:eastAsia="宋体"/>
                <w:color w:val="000000" w:themeColor="text1"/>
                <w:sz w:val="21"/>
                <w:szCs w:val="21"/>
                <w:highlight w:val="none"/>
                <w14:textFill>
                  <w14:solidFill>
                    <w14:schemeClr w14:val="tx1"/>
                  </w14:solidFill>
                </w14:textFill>
              </w:rPr>
              <w:t>0</w:t>
            </w:r>
            <w:r>
              <w:rPr>
                <w:rFonts w:hint="eastAsia" w:ascii="Times New Roman" w:hAnsi="Times New Roman" w:eastAsia="宋体"/>
                <w:color w:val="000000" w:themeColor="text1"/>
                <w:sz w:val="21"/>
                <w:szCs w:val="21"/>
                <w:highlight w:val="none"/>
                <w14:textFill>
                  <w14:solidFill>
                    <w14:schemeClr w14:val="tx1"/>
                  </w14:solidFill>
                </w14:textFill>
              </w:rPr>
              <w:t>2-22</w:t>
            </w:r>
          </w:p>
        </w:tc>
      </w:tr>
      <w:tr w14:paraId="0C018A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3D2B71A8">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2</w:t>
            </w:r>
          </w:p>
        </w:tc>
        <w:tc>
          <w:tcPr>
            <w:tcW w:w="4464" w:type="dxa"/>
            <w:tcBorders>
              <w:tl2br w:val="nil"/>
              <w:tr2bl w:val="nil"/>
            </w:tcBorders>
            <w:shd w:val="clear" w:color="auto" w:fill="auto"/>
            <w:vAlign w:val="center"/>
          </w:tcPr>
          <w:p w14:paraId="532485B1">
            <w:pPr>
              <w:keepNext w:val="0"/>
              <w:keepLines w:val="0"/>
              <w:pageBreakBefore w:val="0"/>
              <w:widowControl w:val="0"/>
              <w:suppressLineNumbers w:val="0"/>
              <w:kinsoku/>
              <w:wordWrap/>
              <w:overflow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关于印发《新疆维吾尔自治区生态环境分区管控动态更新成果》的通知</w:t>
            </w:r>
          </w:p>
        </w:tc>
        <w:tc>
          <w:tcPr>
            <w:tcW w:w="2337" w:type="dxa"/>
            <w:tcBorders>
              <w:tl2br w:val="nil"/>
              <w:tr2bl w:val="nil"/>
            </w:tcBorders>
            <w:shd w:val="clear" w:color="auto" w:fill="auto"/>
            <w:vAlign w:val="center"/>
          </w:tcPr>
          <w:p w14:paraId="5FDBD7B9">
            <w:pPr>
              <w:keepNext w:val="0"/>
              <w:keepLines w:val="0"/>
              <w:pageBreakBefore w:val="0"/>
              <w:widowControl w:val="0"/>
              <w:suppressLineNumbers w:val="0"/>
              <w:kinsoku/>
              <w:wordWrap/>
              <w:overflow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新环环评发</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〔20</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24</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157号</w:t>
            </w:r>
          </w:p>
        </w:tc>
        <w:tc>
          <w:tcPr>
            <w:tcW w:w="1174" w:type="dxa"/>
            <w:tcBorders>
              <w:tl2br w:val="nil"/>
              <w:tr2bl w:val="nil"/>
            </w:tcBorders>
            <w:shd w:val="clear" w:color="auto" w:fill="auto"/>
            <w:vAlign w:val="center"/>
          </w:tcPr>
          <w:p w14:paraId="5321B5B4">
            <w:pPr>
              <w:keepNext w:val="0"/>
              <w:keepLines w:val="0"/>
              <w:pageBreakBefore w:val="0"/>
              <w:widowControl w:val="0"/>
              <w:suppressLineNumbers w:val="0"/>
              <w:kinsoku/>
              <w:wordWrap/>
              <w:overflowPunct w:val="0"/>
              <w:autoSpaceDE/>
              <w:autoSpaceDN/>
              <w:bidi w:val="0"/>
              <w:adjustRightIn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2024-11-15</w:t>
            </w:r>
          </w:p>
        </w:tc>
      </w:tr>
      <w:tr w14:paraId="220B56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59D8F9C6">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3</w:t>
            </w:r>
          </w:p>
        </w:tc>
        <w:tc>
          <w:tcPr>
            <w:tcW w:w="4464" w:type="dxa"/>
            <w:tcBorders>
              <w:tl2br w:val="nil"/>
              <w:tr2bl w:val="nil"/>
            </w:tcBorders>
            <w:shd w:val="clear" w:color="auto" w:fill="auto"/>
            <w:vAlign w:val="center"/>
          </w:tcPr>
          <w:p w14:paraId="342A6DD8">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ar-SA"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《关于印发新疆维吾尔自治区28个国家重点生态功能区县（市）产业准入负面清单（试行）的通知》</w:t>
            </w:r>
          </w:p>
        </w:tc>
        <w:tc>
          <w:tcPr>
            <w:tcW w:w="2337" w:type="dxa"/>
            <w:tcBorders>
              <w:tl2br w:val="nil"/>
              <w:tr2bl w:val="nil"/>
            </w:tcBorders>
            <w:shd w:val="clear" w:color="auto" w:fill="auto"/>
            <w:vAlign w:val="center"/>
          </w:tcPr>
          <w:p w14:paraId="7E8918AB">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新发改规划〔2017〕891号</w:t>
            </w:r>
          </w:p>
        </w:tc>
        <w:tc>
          <w:tcPr>
            <w:tcW w:w="1174" w:type="dxa"/>
            <w:tcBorders>
              <w:tl2br w:val="nil"/>
              <w:tr2bl w:val="nil"/>
            </w:tcBorders>
            <w:shd w:val="clear" w:color="auto" w:fill="auto"/>
            <w:vAlign w:val="center"/>
          </w:tcPr>
          <w:p w14:paraId="1272013A">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2017</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06</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28</w:t>
            </w:r>
          </w:p>
        </w:tc>
      </w:tr>
      <w:tr w14:paraId="71F98E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3BBC49E7">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4"/>
                <w:highlight w:val="none"/>
                <w:lang w:val="en-US" w:eastAsia="zh-CN" w:bidi="ar-SA"/>
                <w14:textFill>
                  <w14:solidFill>
                    <w14:schemeClr w14:val="tx1"/>
                  </w14:solidFill>
                </w14:textFill>
              </w:rPr>
              <w:t>24</w:t>
            </w:r>
          </w:p>
        </w:tc>
        <w:tc>
          <w:tcPr>
            <w:tcW w:w="4464" w:type="dxa"/>
            <w:tcBorders>
              <w:tl2br w:val="nil"/>
              <w:tr2bl w:val="nil"/>
            </w:tcBorders>
            <w:shd w:val="clear" w:color="auto" w:fill="auto"/>
            <w:vAlign w:val="center"/>
          </w:tcPr>
          <w:p w14:paraId="1C54A239">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0"/>
                <w:sz w:val="21"/>
                <w:szCs w:val="21"/>
                <w:highlight w:val="none"/>
                <w:lang w:val="en-US" w:eastAsia="ar-SA"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《关于加强沙区建设项目环境影响评价工作的通知》</w:t>
            </w:r>
          </w:p>
        </w:tc>
        <w:tc>
          <w:tcPr>
            <w:tcW w:w="2337" w:type="dxa"/>
            <w:tcBorders>
              <w:tl2br w:val="nil"/>
              <w:tr2bl w:val="nil"/>
            </w:tcBorders>
            <w:shd w:val="clear" w:color="auto" w:fill="auto"/>
            <w:vAlign w:val="center"/>
          </w:tcPr>
          <w:p w14:paraId="490DE6E8">
            <w:pPr>
              <w:pStyle w:val="45"/>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新环环评发〔2020〕138号</w:t>
            </w:r>
          </w:p>
        </w:tc>
        <w:tc>
          <w:tcPr>
            <w:tcW w:w="1174" w:type="dxa"/>
            <w:tcBorders>
              <w:tl2br w:val="nil"/>
              <w:tr2bl w:val="nil"/>
            </w:tcBorders>
            <w:shd w:val="clear" w:color="auto" w:fill="auto"/>
            <w:vAlign w:val="center"/>
          </w:tcPr>
          <w:p w14:paraId="14CB80AF">
            <w:pPr>
              <w:pStyle w:val="45"/>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2020-09-04</w:t>
            </w:r>
          </w:p>
        </w:tc>
      </w:tr>
      <w:tr w14:paraId="733C77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6D022D9B">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4"/>
                <w:highlight w:val="none"/>
                <w:lang w:val="en-US" w:eastAsia="zh-CN"/>
                <w14:textFill>
                  <w14:solidFill>
                    <w14:schemeClr w14:val="tx1"/>
                  </w14:solidFill>
                </w14:textFill>
              </w:rPr>
              <w:t>25</w:t>
            </w:r>
          </w:p>
        </w:tc>
        <w:tc>
          <w:tcPr>
            <w:tcW w:w="4464" w:type="dxa"/>
            <w:tcBorders>
              <w:tl2br w:val="nil"/>
              <w:tr2bl w:val="nil"/>
            </w:tcBorders>
            <w:shd w:val="clear" w:color="auto" w:fill="auto"/>
            <w:vAlign w:val="center"/>
          </w:tcPr>
          <w:p w14:paraId="4234BADE">
            <w:pPr>
              <w:pStyle w:val="45"/>
              <w:keepNext w:val="0"/>
              <w:keepLines w:val="0"/>
              <w:pageBreakBefore w:val="0"/>
              <w:widowControl w:val="0"/>
              <w:kinsoku/>
              <w:wordWrap/>
              <w:overflowPunct/>
              <w:topLinePunct w:val="0"/>
              <w:autoSpaceDE/>
              <w:autoSpaceDN/>
              <w:bidi w:val="0"/>
              <w:adjustRightInd/>
              <w:snapToGrid/>
              <w:spacing w:before="0" w:beforeAutospacing="0" w:after="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关于印发《新疆维吾尔自治区生态环境分区管控动态更新成果》的通知</w:t>
            </w:r>
          </w:p>
        </w:tc>
        <w:tc>
          <w:tcPr>
            <w:tcW w:w="2337" w:type="dxa"/>
            <w:tcBorders>
              <w:tl2br w:val="nil"/>
              <w:tr2bl w:val="nil"/>
            </w:tcBorders>
            <w:shd w:val="clear" w:color="auto" w:fill="auto"/>
            <w:vAlign w:val="center"/>
          </w:tcPr>
          <w:p w14:paraId="606516EA">
            <w:pPr>
              <w:pStyle w:val="13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center"/>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新环环评发〔2024〕157号</w:t>
            </w:r>
          </w:p>
        </w:tc>
        <w:tc>
          <w:tcPr>
            <w:tcW w:w="1174" w:type="dxa"/>
            <w:tcBorders>
              <w:tl2br w:val="nil"/>
              <w:tr2bl w:val="nil"/>
            </w:tcBorders>
            <w:shd w:val="clear" w:color="auto" w:fill="auto"/>
            <w:vAlign w:val="center"/>
          </w:tcPr>
          <w:p w14:paraId="365DE965">
            <w:pPr>
              <w:pStyle w:val="13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center"/>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2024-11-15</w:t>
            </w:r>
          </w:p>
        </w:tc>
      </w:tr>
      <w:tr w14:paraId="1B3D10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50AE8FAA">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4"/>
                <w:highlight w:val="none"/>
                <w:lang w:val="en-US" w:eastAsia="zh-CN"/>
                <w14:textFill>
                  <w14:solidFill>
                    <w14:schemeClr w14:val="tx1"/>
                  </w14:solidFill>
                </w14:textFill>
              </w:rPr>
              <w:t>26</w:t>
            </w:r>
          </w:p>
        </w:tc>
        <w:tc>
          <w:tcPr>
            <w:tcW w:w="4464" w:type="dxa"/>
            <w:tcBorders>
              <w:tl2br w:val="nil"/>
              <w:tr2bl w:val="nil"/>
            </w:tcBorders>
            <w:shd w:val="clear" w:color="auto" w:fill="auto"/>
            <w:vAlign w:val="center"/>
          </w:tcPr>
          <w:p w14:paraId="50B9A5D7">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t>《新疆维吾尔自治区突发环境事件应急预案》</w:t>
            </w:r>
          </w:p>
        </w:tc>
        <w:tc>
          <w:tcPr>
            <w:tcW w:w="2337" w:type="dxa"/>
            <w:tcBorders>
              <w:tl2br w:val="nil"/>
              <w:tr2bl w:val="nil"/>
            </w:tcBorders>
            <w:shd w:val="clear" w:color="auto" w:fill="auto"/>
            <w:vAlign w:val="center"/>
          </w:tcPr>
          <w:p w14:paraId="5EDCEDF1">
            <w:pPr>
              <w:pStyle w:val="45"/>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w:t>
            </w:r>
          </w:p>
        </w:tc>
        <w:tc>
          <w:tcPr>
            <w:tcW w:w="1174" w:type="dxa"/>
            <w:tcBorders>
              <w:tl2br w:val="nil"/>
              <w:tr2bl w:val="nil"/>
            </w:tcBorders>
            <w:shd w:val="clear" w:color="auto" w:fill="auto"/>
            <w:vAlign w:val="center"/>
          </w:tcPr>
          <w:p w14:paraId="7401E8D4">
            <w:pPr>
              <w:pStyle w:val="45"/>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2022-03-28</w:t>
            </w:r>
          </w:p>
        </w:tc>
      </w:tr>
      <w:tr w14:paraId="305456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AD4D4CF">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4"/>
                <w:highlight w:val="none"/>
                <w:lang w:val="en-US" w:eastAsia="zh-CN"/>
                <w14:textFill>
                  <w14:solidFill>
                    <w14:schemeClr w14:val="tx1"/>
                  </w14:solidFill>
                </w14:textFill>
              </w:rPr>
              <w:t>27</w:t>
            </w:r>
          </w:p>
        </w:tc>
        <w:tc>
          <w:tcPr>
            <w:tcW w:w="4464" w:type="dxa"/>
            <w:tcBorders>
              <w:tl2br w:val="nil"/>
              <w:tr2bl w:val="nil"/>
            </w:tcBorders>
            <w:shd w:val="clear" w:color="auto" w:fill="auto"/>
            <w:vAlign w:val="center"/>
          </w:tcPr>
          <w:p w14:paraId="6F65C77E">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000000" w:themeColor="text1"/>
                <w:kern w:val="0"/>
                <w:sz w:val="21"/>
                <w:szCs w:val="21"/>
                <w:highlight w:val="yellow"/>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snapToGrid w:val="0"/>
                <w:color w:val="000000" w:themeColor="text1"/>
                <w:kern w:val="0"/>
                <w:sz w:val="21"/>
                <w:szCs w:val="21"/>
                <w:highlight w:val="none"/>
                <w:lang w:val="en-US" w:eastAsia="zh-CN" w:bidi="ar-SA"/>
                <w14:textFill>
                  <w14:solidFill>
                    <w14:schemeClr w14:val="tx1"/>
                  </w14:solidFill>
                </w14:textFill>
              </w:rPr>
              <w:t>关于印发哈密市生态环境分区管控动态更新成果的通知</w:t>
            </w:r>
            <w:r>
              <w:rPr>
                <w:rFonts w:hint="eastAsia" w:ascii="Times New Roman" w:hAnsi="Times New Roman" w:eastAsia="宋体" w:cs="Times New Roman"/>
                <w:b w:val="0"/>
                <w:bCs w:val="0"/>
                <w:snapToGrid w:val="0"/>
                <w:color w:val="000000" w:themeColor="text1"/>
                <w:kern w:val="0"/>
                <w:sz w:val="21"/>
                <w:szCs w:val="21"/>
                <w:highlight w:val="none"/>
                <w:lang w:val="en-US" w:eastAsia="zh-CN" w:bidi="ar-SA"/>
                <w14:textFill>
                  <w14:solidFill>
                    <w14:schemeClr w14:val="tx1"/>
                  </w14:solidFill>
                </w14:textFill>
              </w:rPr>
              <w:t>》</w:t>
            </w:r>
          </w:p>
        </w:tc>
        <w:tc>
          <w:tcPr>
            <w:tcW w:w="2337" w:type="dxa"/>
            <w:tcBorders>
              <w:tl2br w:val="nil"/>
              <w:tr2bl w:val="nil"/>
            </w:tcBorders>
            <w:shd w:val="clear" w:color="auto" w:fill="auto"/>
            <w:vAlign w:val="center"/>
          </w:tcPr>
          <w:p w14:paraId="0A125D33">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哈密市生态环境局</w:t>
            </w:r>
          </w:p>
        </w:tc>
        <w:tc>
          <w:tcPr>
            <w:tcW w:w="1174" w:type="dxa"/>
            <w:tcBorders>
              <w:tl2br w:val="nil"/>
              <w:tr2bl w:val="nil"/>
            </w:tcBorders>
            <w:shd w:val="clear" w:color="auto" w:fill="auto"/>
            <w:vAlign w:val="center"/>
          </w:tcPr>
          <w:p w14:paraId="1FCF8AEA">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2025-01-10</w:t>
            </w:r>
          </w:p>
        </w:tc>
      </w:tr>
      <w:tr w14:paraId="6B949C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4CC326AF">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4"/>
                <w:highlight w:val="none"/>
                <w:lang w:val="en-US" w:eastAsia="zh-CN"/>
                <w14:textFill>
                  <w14:solidFill>
                    <w14:schemeClr w14:val="tx1"/>
                  </w14:solidFill>
                </w14:textFill>
              </w:rPr>
              <w:t>28</w:t>
            </w:r>
          </w:p>
        </w:tc>
        <w:tc>
          <w:tcPr>
            <w:tcW w:w="4464" w:type="dxa"/>
            <w:tcBorders>
              <w:tl2br w:val="nil"/>
              <w:tr2bl w:val="nil"/>
            </w:tcBorders>
            <w:shd w:val="clear" w:color="auto" w:fill="auto"/>
            <w:vAlign w:val="center"/>
          </w:tcPr>
          <w:p w14:paraId="19E31ACE">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snapToGrid w:val="0"/>
                <w:color w:val="000000" w:themeColor="text1"/>
                <w:sz w:val="21"/>
                <w:szCs w:val="21"/>
                <w14:textFill>
                  <w14:solidFill>
                    <w14:schemeClr w14:val="tx1"/>
                  </w14:solidFill>
                </w14:textFill>
              </w:rPr>
              <w:t>哈密市生态环境保护“十四五”规划</w:t>
            </w:r>
            <w:r>
              <w:rPr>
                <w:rFonts w:hint="eastAsia" w:ascii="Times New Roman" w:hAnsi="Times New Roman" w:eastAsia="宋体" w:cs="Times New Roman"/>
                <w:b w:val="0"/>
                <w:bCs w:val="0"/>
                <w:snapToGrid w:val="0"/>
                <w:color w:val="000000" w:themeColor="text1"/>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6C3411B8">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哈密市人民政府</w:t>
            </w:r>
          </w:p>
        </w:tc>
        <w:tc>
          <w:tcPr>
            <w:tcW w:w="1174" w:type="dxa"/>
            <w:tcBorders>
              <w:tl2br w:val="nil"/>
              <w:tr2bl w:val="nil"/>
            </w:tcBorders>
            <w:shd w:val="clear" w:color="auto" w:fill="auto"/>
            <w:vAlign w:val="center"/>
          </w:tcPr>
          <w:p w14:paraId="0DF5F3A6">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2022-04-14</w:t>
            </w:r>
          </w:p>
        </w:tc>
      </w:tr>
      <w:tr w14:paraId="6B5030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0FB64B0B">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4"/>
                <w:highlight w:val="none"/>
                <w:lang w:val="en-US" w:eastAsia="zh-CN"/>
                <w14:textFill>
                  <w14:solidFill>
                    <w14:schemeClr w14:val="tx1"/>
                  </w14:solidFill>
                </w14:textFill>
              </w:rPr>
              <w:t>29</w:t>
            </w:r>
          </w:p>
        </w:tc>
        <w:tc>
          <w:tcPr>
            <w:tcW w:w="4464" w:type="dxa"/>
            <w:tcBorders>
              <w:tl2br w:val="nil"/>
              <w:tr2bl w:val="nil"/>
            </w:tcBorders>
            <w:shd w:val="clear" w:color="auto" w:fill="auto"/>
            <w:vAlign w:val="center"/>
          </w:tcPr>
          <w:p w14:paraId="2279B4F2">
            <w:pPr>
              <w:pStyle w:val="5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哈密市国民经济和社会发展第十四个五年规划和2035年远景目标纲要</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p>
        </w:tc>
        <w:tc>
          <w:tcPr>
            <w:tcW w:w="2337" w:type="dxa"/>
            <w:tcBorders>
              <w:tl2br w:val="nil"/>
              <w:tr2bl w:val="nil"/>
            </w:tcBorders>
            <w:shd w:val="clear" w:color="auto" w:fill="auto"/>
            <w:vAlign w:val="center"/>
          </w:tcPr>
          <w:p w14:paraId="5FB6AC7D">
            <w:pPr>
              <w:pStyle w:val="5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b w:val="0"/>
                <w:bCs w:val="0"/>
                <w:color w:val="000000" w:themeColor="text1"/>
                <w:spacing w:val="-6"/>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哈密市</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第一届人大第六次会议通过</w:t>
            </w:r>
          </w:p>
        </w:tc>
        <w:tc>
          <w:tcPr>
            <w:tcW w:w="1174" w:type="dxa"/>
            <w:tcBorders>
              <w:tl2br w:val="nil"/>
              <w:tr2bl w:val="nil"/>
            </w:tcBorders>
            <w:shd w:val="clear" w:color="auto" w:fill="auto"/>
            <w:vAlign w:val="center"/>
          </w:tcPr>
          <w:p w14:paraId="62B2D99D">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2021</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27</w:t>
            </w:r>
          </w:p>
        </w:tc>
      </w:tr>
      <w:tr w14:paraId="2D822D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20837453">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4"/>
                <w:highlight w:val="none"/>
                <w:lang w:val="en-US" w:eastAsia="zh-CN"/>
                <w14:textFill>
                  <w14:solidFill>
                    <w14:schemeClr w14:val="tx1"/>
                  </w14:solidFill>
                </w14:textFill>
              </w:rPr>
              <w:t>30</w:t>
            </w:r>
          </w:p>
        </w:tc>
        <w:tc>
          <w:tcPr>
            <w:tcW w:w="4464" w:type="dxa"/>
            <w:tcBorders>
              <w:tl2br w:val="nil"/>
              <w:tr2bl w:val="nil"/>
            </w:tcBorders>
            <w:shd w:val="clear" w:color="auto" w:fill="auto"/>
            <w:vAlign w:val="center"/>
          </w:tcPr>
          <w:p w14:paraId="71BB30FE">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z w:val="21"/>
                <w:szCs w:val="21"/>
                <w:lang w:eastAsia="ar-SA"/>
                <w14:textFill>
                  <w14:solidFill>
                    <w14:schemeClr w14:val="tx1"/>
                  </w14:solidFill>
                </w14:textFill>
              </w:rPr>
              <w:t>《哈密市伊州区矿产资源总体规划（2021-2025年）》</w:t>
            </w:r>
          </w:p>
        </w:tc>
        <w:tc>
          <w:tcPr>
            <w:tcW w:w="2337" w:type="dxa"/>
            <w:tcBorders>
              <w:tl2br w:val="nil"/>
              <w:tr2bl w:val="nil"/>
            </w:tcBorders>
            <w:shd w:val="clear" w:color="auto" w:fill="auto"/>
            <w:vAlign w:val="center"/>
          </w:tcPr>
          <w:p w14:paraId="5D9B4DD9">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哈密市伊州区人民政府</w:t>
            </w:r>
          </w:p>
        </w:tc>
        <w:tc>
          <w:tcPr>
            <w:tcW w:w="1174" w:type="dxa"/>
            <w:tcBorders>
              <w:tl2br w:val="nil"/>
              <w:tr2bl w:val="nil"/>
            </w:tcBorders>
            <w:shd w:val="clear" w:color="auto" w:fill="auto"/>
            <w:vAlign w:val="center"/>
          </w:tcPr>
          <w:p w14:paraId="25B0B0D9">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2023-03</w:t>
            </w:r>
          </w:p>
        </w:tc>
      </w:tr>
      <w:tr w14:paraId="01D0D6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6DF5E4A2">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4"/>
                <w:highlight w:val="none"/>
                <w:lang w:val="en-US" w:eastAsia="zh-CN"/>
                <w14:textFill>
                  <w14:solidFill>
                    <w14:schemeClr w14:val="tx1"/>
                  </w14:solidFill>
                </w14:textFill>
              </w:rPr>
              <w:t>31</w:t>
            </w:r>
          </w:p>
        </w:tc>
        <w:tc>
          <w:tcPr>
            <w:tcW w:w="4464" w:type="dxa"/>
            <w:tcBorders>
              <w:tl2br w:val="nil"/>
              <w:tr2bl w:val="nil"/>
            </w:tcBorders>
            <w:shd w:val="clear" w:color="auto" w:fill="auto"/>
            <w:vAlign w:val="center"/>
          </w:tcPr>
          <w:p w14:paraId="0AAF79C8">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z w:val="21"/>
                <w:szCs w:val="21"/>
                <w:lang w:eastAsia="ar-SA"/>
                <w14:textFill>
                  <w14:solidFill>
                    <w14:schemeClr w14:val="tx1"/>
                  </w14:solidFill>
                </w14:textFill>
              </w:rPr>
              <w:t>《哈密市戈壁生态环境保护办法（暂行）》</w:t>
            </w:r>
          </w:p>
        </w:tc>
        <w:tc>
          <w:tcPr>
            <w:tcW w:w="2337" w:type="dxa"/>
            <w:tcBorders>
              <w:tl2br w:val="nil"/>
              <w:tr2bl w:val="nil"/>
            </w:tcBorders>
            <w:shd w:val="clear" w:color="auto" w:fill="auto"/>
            <w:vAlign w:val="center"/>
          </w:tcPr>
          <w:p w14:paraId="71049180">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t>哈政办规〔2024〕1号</w:t>
            </w:r>
          </w:p>
        </w:tc>
        <w:tc>
          <w:tcPr>
            <w:tcW w:w="1174" w:type="dxa"/>
            <w:tcBorders>
              <w:tl2br w:val="nil"/>
              <w:tr2bl w:val="nil"/>
            </w:tcBorders>
            <w:shd w:val="clear" w:color="auto" w:fill="auto"/>
            <w:vAlign w:val="center"/>
          </w:tcPr>
          <w:p w14:paraId="2D0F14A1">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2024-03-23</w:t>
            </w:r>
          </w:p>
        </w:tc>
      </w:tr>
      <w:tr w14:paraId="68878A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1D50C99F">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4"/>
                <w:highlight w:val="none"/>
                <w:lang w:val="en-US" w:eastAsia="zh-CN"/>
                <w14:textFill>
                  <w14:solidFill>
                    <w14:schemeClr w14:val="tx1"/>
                  </w14:solidFill>
                </w14:textFill>
              </w:rPr>
              <w:t>32</w:t>
            </w:r>
          </w:p>
        </w:tc>
        <w:tc>
          <w:tcPr>
            <w:tcW w:w="4464" w:type="dxa"/>
            <w:tcBorders>
              <w:tl2br w:val="nil"/>
              <w:tr2bl w:val="nil"/>
            </w:tcBorders>
            <w:shd w:val="clear" w:color="auto" w:fill="auto"/>
            <w:vAlign w:val="center"/>
          </w:tcPr>
          <w:p w14:paraId="7837B7C6">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z w:val="21"/>
                <w:szCs w:val="21"/>
                <w:lang w:eastAsia="ar-SA"/>
                <w14:textFill>
                  <w14:solidFill>
                    <w14:schemeClr w14:val="tx1"/>
                  </w14:solidFill>
                </w14:textFill>
              </w:rPr>
              <w:t>《哈密市戈壁生态环境保护条例》</w:t>
            </w:r>
          </w:p>
        </w:tc>
        <w:tc>
          <w:tcPr>
            <w:tcW w:w="2337" w:type="dxa"/>
            <w:tcBorders>
              <w:tl2br w:val="nil"/>
              <w:tr2bl w:val="nil"/>
            </w:tcBorders>
            <w:shd w:val="clear" w:color="auto" w:fill="auto"/>
            <w:vAlign w:val="center"/>
          </w:tcPr>
          <w:p w14:paraId="189F289E">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zh-CN"/>
                <w14:textFill>
                  <w14:solidFill>
                    <w14:schemeClr w14:val="tx1"/>
                  </w14:solidFill>
                </w14:textFill>
              </w:rPr>
              <w:t>新疆维吾尔自治区第十</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四</w:t>
            </w:r>
            <w:r>
              <w:rPr>
                <w:rFonts w:hint="default" w:ascii="Times New Roman" w:hAnsi="Times New Roman" w:eastAsia="宋体" w:cs="Times New Roman"/>
                <w:b w:val="0"/>
                <w:bCs w:val="0"/>
                <w:color w:val="000000" w:themeColor="text1"/>
                <w:sz w:val="21"/>
                <w:szCs w:val="21"/>
                <w:lang w:val="zh-CN"/>
                <w14:textFill>
                  <w14:solidFill>
                    <w14:schemeClr w14:val="tx1"/>
                  </w14:solidFill>
                </w14:textFill>
              </w:rPr>
              <w:t>届人民代表大会第</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十六</w:t>
            </w:r>
            <w:r>
              <w:rPr>
                <w:rFonts w:hint="default" w:ascii="Times New Roman" w:hAnsi="Times New Roman" w:eastAsia="宋体" w:cs="Times New Roman"/>
                <w:b w:val="0"/>
                <w:bCs w:val="0"/>
                <w:color w:val="000000" w:themeColor="text1"/>
                <w:sz w:val="21"/>
                <w:szCs w:val="21"/>
                <w:lang w:val="zh-CN"/>
                <w14:textFill>
                  <w14:solidFill>
                    <w14:schemeClr w14:val="tx1"/>
                  </w14:solidFill>
                </w14:textFill>
              </w:rPr>
              <w:t>次会议通过</w:t>
            </w:r>
          </w:p>
        </w:tc>
        <w:tc>
          <w:tcPr>
            <w:tcW w:w="1174" w:type="dxa"/>
            <w:tcBorders>
              <w:tl2br w:val="nil"/>
              <w:tr2bl w:val="nil"/>
            </w:tcBorders>
            <w:shd w:val="clear" w:color="auto" w:fill="auto"/>
            <w:vAlign w:val="center"/>
          </w:tcPr>
          <w:p w14:paraId="35020458">
            <w:pPr>
              <w:pStyle w:val="45"/>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2025-03-01</w:t>
            </w:r>
          </w:p>
        </w:tc>
      </w:tr>
      <w:tr w14:paraId="4F93AC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448" w:type="dxa"/>
            <w:tcBorders>
              <w:tl2br w:val="nil"/>
              <w:tr2bl w:val="nil"/>
            </w:tcBorders>
            <w:shd w:val="clear" w:color="auto" w:fill="auto"/>
            <w:vAlign w:val="center"/>
          </w:tcPr>
          <w:p w14:paraId="768C3584">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4"/>
                <w:highlight w:val="none"/>
                <w:lang w:val="en-US" w:eastAsia="zh-CN"/>
                <w14:textFill>
                  <w14:solidFill>
                    <w14:schemeClr w14:val="tx1"/>
                  </w14:solidFill>
                </w14:textFill>
              </w:rPr>
              <w:t>33</w:t>
            </w:r>
          </w:p>
        </w:tc>
        <w:tc>
          <w:tcPr>
            <w:tcW w:w="4464" w:type="dxa"/>
            <w:tcBorders>
              <w:tl2br w:val="nil"/>
              <w:tr2bl w:val="nil"/>
            </w:tcBorders>
            <w:shd w:val="clear" w:color="auto" w:fill="auto"/>
            <w:vAlign w:val="center"/>
          </w:tcPr>
          <w:p w14:paraId="3BBBB08D">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《哈密市国土空间总体规划（2021</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olor w:val="000000" w:themeColor="text1"/>
                <w:sz w:val="21"/>
                <w:szCs w:val="21"/>
                <w:highlight w:val="none"/>
                <w:lang w:eastAsia="zh-CN"/>
                <w14:textFill>
                  <w14:solidFill>
                    <w14:schemeClr w14:val="tx1"/>
                  </w14:solidFill>
                </w14:textFill>
              </w:rPr>
              <w:t>2035年）》</w:t>
            </w:r>
          </w:p>
        </w:tc>
        <w:tc>
          <w:tcPr>
            <w:tcW w:w="2337" w:type="dxa"/>
            <w:tcBorders>
              <w:tl2br w:val="nil"/>
              <w:tr2bl w:val="nil"/>
            </w:tcBorders>
            <w:shd w:val="clear" w:color="auto" w:fill="auto"/>
            <w:vAlign w:val="center"/>
          </w:tcPr>
          <w:p w14:paraId="5047C988">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1174" w:type="dxa"/>
            <w:tcBorders>
              <w:tl2br w:val="nil"/>
              <w:tr2bl w:val="nil"/>
            </w:tcBorders>
            <w:shd w:val="clear" w:color="auto" w:fill="auto"/>
            <w:vAlign w:val="center"/>
          </w:tcPr>
          <w:p w14:paraId="008EABC4">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2025-03</w:t>
            </w:r>
          </w:p>
        </w:tc>
      </w:tr>
    </w:tbl>
    <w:p w14:paraId="4AAFA594">
      <w:pPr>
        <w:pStyle w:val="4"/>
        <w:rPr>
          <w:rFonts w:hint="eastAsia"/>
          <w:color w:val="000000" w:themeColor="text1"/>
          <w:highlight w:val="none"/>
          <w14:textFill>
            <w14:solidFill>
              <w14:schemeClr w14:val="tx1"/>
            </w14:solidFill>
          </w14:textFill>
        </w:rPr>
      </w:pPr>
      <w:bookmarkStart w:id="111" w:name="_Toc27197"/>
      <w:bookmarkStart w:id="112" w:name="_Toc32434"/>
      <w:bookmarkStart w:id="113" w:name="_Toc29643"/>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技术导则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规范</w:t>
      </w:r>
      <w:r>
        <w:rPr>
          <w:rFonts w:hint="eastAsia"/>
          <w:color w:val="000000" w:themeColor="text1"/>
          <w:highlight w:val="none"/>
          <w14:textFill>
            <w14:solidFill>
              <w14:schemeClr w14:val="tx1"/>
            </w14:solidFill>
          </w14:textFill>
        </w:rPr>
        <w:t>及标准</w:t>
      </w:r>
      <w:bookmarkEnd w:id="111"/>
      <w:bookmarkEnd w:id="112"/>
      <w:bookmarkEnd w:id="113"/>
    </w:p>
    <w:p w14:paraId="3E63825A">
      <w:pPr>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lang w:val="en-US" w:eastAsia="zh-CN"/>
          <w14:textFill>
            <w14:solidFill>
              <w14:schemeClr w14:val="tx1"/>
            </w14:solidFill>
          </w14:textFill>
        </w:rPr>
        <w:t>本次评价依据的相关导则及技术规范等详见表2.2-2。</w:t>
      </w:r>
    </w:p>
    <w:p w14:paraId="62F4273C">
      <w:pPr>
        <w:pStyle w:val="47"/>
        <w:spacing w:beforeLines="0" w:afterLines="0" w:line="480" w:lineRule="exact"/>
        <w:ind w:firstLine="0" w:firstLineChars="0"/>
        <w:rPr>
          <w:rFonts w:ascii="Times New Roman" w:hAnsi="Times New Roman" w:eastAsia="宋体"/>
          <w:color w:val="000000" w:themeColor="text1"/>
          <w:kern w:val="2"/>
          <w14:textFill>
            <w14:solidFill>
              <w14:schemeClr w14:val="tx1"/>
            </w14:solidFill>
          </w14:textFill>
        </w:rPr>
      </w:pPr>
      <w:r>
        <w:rPr>
          <w:rFonts w:hint="eastAsia" w:ascii="Times New Roman" w:hAnsi="Times New Roman" w:eastAsia="宋体"/>
          <w:color w:val="000000" w:themeColor="text1"/>
          <w:kern w:val="2"/>
          <w14:textFill>
            <w14:solidFill>
              <w14:schemeClr w14:val="tx1"/>
            </w14:solidFill>
          </w14:textFill>
        </w:rPr>
        <w:t>表2.2-</w:t>
      </w:r>
      <w:r>
        <w:rPr>
          <w:rFonts w:hint="eastAsia" w:ascii="Times New Roman" w:hAnsi="Times New Roman"/>
          <w:color w:val="000000" w:themeColor="text1"/>
          <w:kern w:val="2"/>
          <w:lang w:val="en-US" w:eastAsia="zh-CN"/>
          <w14:textFill>
            <w14:solidFill>
              <w14:schemeClr w14:val="tx1"/>
            </w14:solidFill>
          </w14:textFill>
        </w:rPr>
        <w:t>2</w:t>
      </w:r>
      <w:r>
        <w:rPr>
          <w:rFonts w:hint="eastAsia" w:ascii="Times New Roman" w:hAnsi="Times New Roman" w:eastAsia="宋体"/>
          <w:color w:val="000000" w:themeColor="text1"/>
          <w:kern w:val="2"/>
          <w14:textFill>
            <w14:solidFill>
              <w14:schemeClr w14:val="tx1"/>
            </w14:solidFill>
          </w14:textFill>
        </w:rPr>
        <w:t xml:space="preserve">    评价技术导则及规范一览表</w:t>
      </w:r>
    </w:p>
    <w:tbl>
      <w:tblPr>
        <w:tblStyle w:val="32"/>
        <w:tblW w:w="836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29"/>
        <w:gridCol w:w="5697"/>
        <w:gridCol w:w="2137"/>
      </w:tblGrid>
      <w:tr w14:paraId="4AE9C1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cantSplit/>
          <w:trHeight w:val="340" w:hRule="atLeast"/>
          <w:tblHeader/>
          <w:jc w:val="center"/>
        </w:trPr>
        <w:tc>
          <w:tcPr>
            <w:tcW w:w="529" w:type="dxa"/>
            <w:tcBorders>
              <w:tl2br w:val="nil"/>
              <w:tr2bl w:val="nil"/>
            </w:tcBorders>
            <w:vAlign w:val="center"/>
          </w:tcPr>
          <w:p w14:paraId="2EE01FE8">
            <w:pPr>
              <w:pStyle w:val="45"/>
              <w:spacing w:before="0" w:beforeAutospacing="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5697" w:type="dxa"/>
            <w:tcBorders>
              <w:tl2br w:val="nil"/>
              <w:tr2bl w:val="nil"/>
            </w:tcBorders>
            <w:vAlign w:val="center"/>
          </w:tcPr>
          <w:p w14:paraId="2F4E0D56">
            <w:pPr>
              <w:pStyle w:val="45"/>
              <w:spacing w:before="0" w:beforeAutospacing="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依据名称</w:t>
            </w:r>
          </w:p>
        </w:tc>
        <w:tc>
          <w:tcPr>
            <w:tcW w:w="2137" w:type="dxa"/>
            <w:tcBorders>
              <w:tl2br w:val="nil"/>
              <w:tr2bl w:val="nil"/>
            </w:tcBorders>
            <w:vAlign w:val="center"/>
          </w:tcPr>
          <w:p w14:paraId="03450ECB">
            <w:pPr>
              <w:pStyle w:val="45"/>
              <w:spacing w:before="0" w:beforeAutospacing="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标准号</w:t>
            </w:r>
          </w:p>
        </w:tc>
      </w:tr>
      <w:tr w14:paraId="287D5D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62ED9795">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5697" w:type="dxa"/>
            <w:tcBorders>
              <w:tl2br w:val="nil"/>
              <w:tr2bl w:val="nil"/>
            </w:tcBorders>
            <w:vAlign w:val="center"/>
          </w:tcPr>
          <w:p w14:paraId="3075A9CD">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《建设项目环境影响评价技术导则 总纲》</w:t>
            </w:r>
          </w:p>
        </w:tc>
        <w:tc>
          <w:tcPr>
            <w:tcW w:w="2137" w:type="dxa"/>
            <w:tcBorders>
              <w:tl2br w:val="nil"/>
              <w:tr2bl w:val="nil"/>
            </w:tcBorders>
            <w:vAlign w:val="center"/>
          </w:tcPr>
          <w:p w14:paraId="15DE3D1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HJ2.1-2016</w:t>
            </w:r>
          </w:p>
        </w:tc>
      </w:tr>
      <w:tr w14:paraId="20DDE5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19460475">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5697" w:type="dxa"/>
            <w:tcBorders>
              <w:tl2br w:val="nil"/>
              <w:tr2bl w:val="nil"/>
            </w:tcBorders>
            <w:vAlign w:val="center"/>
          </w:tcPr>
          <w:p w14:paraId="523B8645">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《环境影响评价技术导则 大气环境》</w:t>
            </w:r>
          </w:p>
        </w:tc>
        <w:tc>
          <w:tcPr>
            <w:tcW w:w="2137" w:type="dxa"/>
            <w:tcBorders>
              <w:tl2br w:val="nil"/>
              <w:tr2bl w:val="nil"/>
            </w:tcBorders>
            <w:vAlign w:val="center"/>
          </w:tcPr>
          <w:p w14:paraId="0CC914C0">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HJ2.2-2018</w:t>
            </w:r>
          </w:p>
        </w:tc>
      </w:tr>
      <w:tr w14:paraId="10C8E7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22DF9770">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5697" w:type="dxa"/>
            <w:tcBorders>
              <w:tl2br w:val="nil"/>
              <w:tr2bl w:val="nil"/>
            </w:tcBorders>
            <w:vAlign w:val="center"/>
          </w:tcPr>
          <w:p w14:paraId="3C05E78E">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《环境影响评价技术导则 地表水》</w:t>
            </w:r>
          </w:p>
        </w:tc>
        <w:tc>
          <w:tcPr>
            <w:tcW w:w="2137" w:type="dxa"/>
            <w:tcBorders>
              <w:tl2br w:val="nil"/>
              <w:tr2bl w:val="nil"/>
            </w:tcBorders>
            <w:vAlign w:val="center"/>
          </w:tcPr>
          <w:p w14:paraId="5CD081AF">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HJ2.3-2018</w:t>
            </w:r>
          </w:p>
        </w:tc>
      </w:tr>
      <w:tr w14:paraId="0E9791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0FD8D3B3">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5697" w:type="dxa"/>
            <w:tcBorders>
              <w:tl2br w:val="nil"/>
              <w:tr2bl w:val="nil"/>
            </w:tcBorders>
            <w:vAlign w:val="center"/>
          </w:tcPr>
          <w:p w14:paraId="4B9DAD37">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《环境影响评价技术导则 声环境》</w:t>
            </w:r>
          </w:p>
        </w:tc>
        <w:tc>
          <w:tcPr>
            <w:tcW w:w="2137" w:type="dxa"/>
            <w:tcBorders>
              <w:tl2br w:val="nil"/>
              <w:tr2bl w:val="nil"/>
            </w:tcBorders>
            <w:vAlign w:val="center"/>
          </w:tcPr>
          <w:p w14:paraId="77A640FA">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HJ2.4-2021</w:t>
            </w:r>
          </w:p>
        </w:tc>
      </w:tr>
      <w:tr w14:paraId="66EDD4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10F48BD7">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5697" w:type="dxa"/>
            <w:tcBorders>
              <w:tl2br w:val="nil"/>
              <w:tr2bl w:val="nil"/>
            </w:tcBorders>
            <w:vAlign w:val="center"/>
          </w:tcPr>
          <w:p w14:paraId="531D7913">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《环境影响评价技术导则 地下水环境》</w:t>
            </w:r>
          </w:p>
        </w:tc>
        <w:tc>
          <w:tcPr>
            <w:tcW w:w="2137" w:type="dxa"/>
            <w:tcBorders>
              <w:tl2br w:val="nil"/>
              <w:tr2bl w:val="nil"/>
            </w:tcBorders>
            <w:vAlign w:val="center"/>
          </w:tcPr>
          <w:p w14:paraId="1DDE0EE8">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HJ610-2016</w:t>
            </w:r>
          </w:p>
        </w:tc>
      </w:tr>
      <w:tr w14:paraId="5B0A05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69DBA237">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5697" w:type="dxa"/>
            <w:tcBorders>
              <w:tl2br w:val="nil"/>
              <w:tr2bl w:val="nil"/>
            </w:tcBorders>
            <w:vAlign w:val="center"/>
          </w:tcPr>
          <w:p w14:paraId="3EF99CAB">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《环境影响评价技术导则 生态影响》</w:t>
            </w:r>
          </w:p>
        </w:tc>
        <w:tc>
          <w:tcPr>
            <w:tcW w:w="2137" w:type="dxa"/>
            <w:tcBorders>
              <w:tl2br w:val="nil"/>
              <w:tr2bl w:val="nil"/>
            </w:tcBorders>
            <w:vAlign w:val="center"/>
          </w:tcPr>
          <w:p w14:paraId="488B0DA8">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HJ19-2022</w:t>
            </w:r>
          </w:p>
        </w:tc>
      </w:tr>
      <w:tr w14:paraId="432265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30E95EDE">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5697" w:type="dxa"/>
            <w:tcBorders>
              <w:tl2br w:val="nil"/>
              <w:tr2bl w:val="nil"/>
            </w:tcBorders>
            <w:vAlign w:val="center"/>
          </w:tcPr>
          <w:p w14:paraId="4887B779">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《环境影响评价技术导则 土壤环境（试行）》</w:t>
            </w:r>
          </w:p>
        </w:tc>
        <w:tc>
          <w:tcPr>
            <w:tcW w:w="2137" w:type="dxa"/>
            <w:tcBorders>
              <w:tl2br w:val="nil"/>
              <w:tr2bl w:val="nil"/>
            </w:tcBorders>
            <w:vAlign w:val="center"/>
          </w:tcPr>
          <w:p w14:paraId="515A85FE">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HJ964-2018</w:t>
            </w:r>
          </w:p>
        </w:tc>
      </w:tr>
      <w:tr w14:paraId="4536C2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7CD93C03">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p>
        </w:tc>
        <w:tc>
          <w:tcPr>
            <w:tcW w:w="5697" w:type="dxa"/>
            <w:tcBorders>
              <w:tl2br w:val="nil"/>
              <w:tr2bl w:val="nil"/>
            </w:tcBorders>
            <w:vAlign w:val="center"/>
          </w:tcPr>
          <w:p w14:paraId="10514EFA">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《尾矿库环境风险评估技术导则（试行）》</w:t>
            </w:r>
          </w:p>
        </w:tc>
        <w:tc>
          <w:tcPr>
            <w:tcW w:w="2137" w:type="dxa"/>
            <w:tcBorders>
              <w:tl2br w:val="nil"/>
              <w:tr2bl w:val="nil"/>
            </w:tcBorders>
            <w:vAlign w:val="center"/>
          </w:tcPr>
          <w:p w14:paraId="5ADF2CE6">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HJ740-2015</w:t>
            </w:r>
          </w:p>
        </w:tc>
      </w:tr>
      <w:tr w14:paraId="0AA5AB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6B220160">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w:t>
            </w:r>
          </w:p>
        </w:tc>
        <w:tc>
          <w:tcPr>
            <w:tcW w:w="5697" w:type="dxa"/>
            <w:tcBorders>
              <w:tl2br w:val="nil"/>
              <w:tr2bl w:val="nil"/>
            </w:tcBorders>
            <w:vAlign w:val="center"/>
          </w:tcPr>
          <w:p w14:paraId="15127E7B">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《建设项目环境风险评价技术导则》</w:t>
            </w:r>
          </w:p>
        </w:tc>
        <w:tc>
          <w:tcPr>
            <w:tcW w:w="2137" w:type="dxa"/>
            <w:tcBorders>
              <w:tl2br w:val="nil"/>
              <w:tr2bl w:val="nil"/>
            </w:tcBorders>
            <w:vAlign w:val="center"/>
          </w:tcPr>
          <w:p w14:paraId="125B25D7">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HJ169-2018</w:t>
            </w:r>
          </w:p>
        </w:tc>
      </w:tr>
      <w:tr w14:paraId="3C0C37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7F46626D">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c>
          <w:tcPr>
            <w:tcW w:w="5697" w:type="dxa"/>
            <w:tcBorders>
              <w:tl2br w:val="nil"/>
              <w:tr2bl w:val="nil"/>
            </w:tcBorders>
            <w:vAlign w:val="center"/>
          </w:tcPr>
          <w:p w14:paraId="078A7FAE">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《环境空气质量标准》</w:t>
            </w:r>
          </w:p>
        </w:tc>
        <w:tc>
          <w:tcPr>
            <w:tcW w:w="2137" w:type="dxa"/>
            <w:tcBorders>
              <w:tl2br w:val="nil"/>
              <w:tr2bl w:val="nil"/>
            </w:tcBorders>
            <w:vAlign w:val="center"/>
          </w:tcPr>
          <w:p w14:paraId="549A13CC">
            <w:pPr>
              <w:pStyle w:val="45"/>
              <w:spacing w:before="0" w:beforeAutospacing="0"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GB3095-20</w:t>
            </w:r>
            <w:r>
              <w:rPr>
                <w:rFonts w:hint="eastAsia"/>
                <w:color w:val="000000" w:themeColor="text1"/>
                <w:sz w:val="21"/>
                <w:szCs w:val="21"/>
                <w:highlight w:val="none"/>
                <w:lang w:val="en-US" w:eastAsia="zh-CN"/>
                <w14:textFill>
                  <w14:solidFill>
                    <w14:schemeClr w14:val="tx1"/>
                  </w14:solidFill>
                </w14:textFill>
              </w:rPr>
              <w:t>26</w:t>
            </w:r>
          </w:p>
        </w:tc>
      </w:tr>
      <w:tr w14:paraId="55CD0D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067C7230">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w:t>
            </w:r>
          </w:p>
        </w:tc>
        <w:tc>
          <w:tcPr>
            <w:tcW w:w="5697" w:type="dxa"/>
            <w:tcBorders>
              <w:tl2br w:val="nil"/>
              <w:tr2bl w:val="nil"/>
            </w:tcBorders>
            <w:vAlign w:val="center"/>
          </w:tcPr>
          <w:p w14:paraId="6D3AE505">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《地表水环境质量标准》</w:t>
            </w:r>
          </w:p>
        </w:tc>
        <w:tc>
          <w:tcPr>
            <w:tcW w:w="2137" w:type="dxa"/>
            <w:tcBorders>
              <w:tl2br w:val="nil"/>
              <w:tr2bl w:val="nil"/>
            </w:tcBorders>
            <w:vAlign w:val="center"/>
          </w:tcPr>
          <w:p w14:paraId="1AAD7A8A">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GB3838-2002</w:t>
            </w:r>
          </w:p>
        </w:tc>
      </w:tr>
      <w:tr w14:paraId="00E0BE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51035044">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12</w:t>
            </w:r>
          </w:p>
        </w:tc>
        <w:tc>
          <w:tcPr>
            <w:tcW w:w="5697" w:type="dxa"/>
            <w:tcBorders>
              <w:tl2br w:val="nil"/>
              <w:tr2bl w:val="nil"/>
            </w:tcBorders>
            <w:vAlign w:val="center"/>
          </w:tcPr>
          <w:p w14:paraId="313E2AD5">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《地下水质量标准》</w:t>
            </w:r>
          </w:p>
        </w:tc>
        <w:tc>
          <w:tcPr>
            <w:tcW w:w="2137" w:type="dxa"/>
            <w:tcBorders>
              <w:tl2br w:val="nil"/>
              <w:tr2bl w:val="nil"/>
            </w:tcBorders>
            <w:vAlign w:val="center"/>
          </w:tcPr>
          <w:p w14:paraId="254FCA8D">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GB/T14848-2017</w:t>
            </w:r>
          </w:p>
        </w:tc>
      </w:tr>
      <w:tr w14:paraId="6E3AC2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3CDDDF20">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13</w:t>
            </w:r>
          </w:p>
        </w:tc>
        <w:tc>
          <w:tcPr>
            <w:tcW w:w="5697" w:type="dxa"/>
            <w:tcBorders>
              <w:tl2br w:val="nil"/>
              <w:tr2bl w:val="nil"/>
            </w:tcBorders>
            <w:vAlign w:val="center"/>
          </w:tcPr>
          <w:p w14:paraId="0FAA4952">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《声环境质量标准》</w:t>
            </w:r>
          </w:p>
        </w:tc>
        <w:tc>
          <w:tcPr>
            <w:tcW w:w="2137" w:type="dxa"/>
            <w:tcBorders>
              <w:tl2br w:val="nil"/>
              <w:tr2bl w:val="nil"/>
            </w:tcBorders>
            <w:vAlign w:val="center"/>
          </w:tcPr>
          <w:p w14:paraId="7C2F6818">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GB3096-2008</w:t>
            </w:r>
          </w:p>
        </w:tc>
      </w:tr>
      <w:tr w14:paraId="222260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315D6296">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14</w:t>
            </w:r>
          </w:p>
        </w:tc>
        <w:tc>
          <w:tcPr>
            <w:tcW w:w="5697" w:type="dxa"/>
            <w:tcBorders>
              <w:tl2br w:val="nil"/>
              <w:tr2bl w:val="nil"/>
            </w:tcBorders>
            <w:shd w:val="clear" w:color="auto" w:fill="auto"/>
            <w:vAlign w:val="center"/>
          </w:tcPr>
          <w:p w14:paraId="42CA65C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《土壤环境质量建设用地土壤污染风险管控标准（试行）》</w:t>
            </w:r>
          </w:p>
        </w:tc>
        <w:tc>
          <w:tcPr>
            <w:tcW w:w="2137" w:type="dxa"/>
            <w:tcBorders>
              <w:tl2br w:val="nil"/>
              <w:tr2bl w:val="nil"/>
            </w:tcBorders>
            <w:shd w:val="clear" w:color="auto" w:fill="auto"/>
            <w:vAlign w:val="center"/>
          </w:tcPr>
          <w:p w14:paraId="5A2D389B">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GB36600-2018</w:t>
            </w:r>
          </w:p>
        </w:tc>
      </w:tr>
      <w:tr w14:paraId="7749A9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3C93BC77">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w:t>
            </w:r>
          </w:p>
        </w:tc>
        <w:tc>
          <w:tcPr>
            <w:tcW w:w="5697" w:type="dxa"/>
            <w:tcBorders>
              <w:tl2br w:val="nil"/>
              <w:tr2bl w:val="nil"/>
            </w:tcBorders>
            <w:shd w:val="clear" w:color="auto" w:fill="auto"/>
            <w:vAlign w:val="center"/>
          </w:tcPr>
          <w:p w14:paraId="097F62D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《大气污染物综合排放标准》</w:t>
            </w:r>
          </w:p>
        </w:tc>
        <w:tc>
          <w:tcPr>
            <w:tcW w:w="2137" w:type="dxa"/>
            <w:tcBorders>
              <w:tl2br w:val="nil"/>
              <w:tr2bl w:val="nil"/>
            </w:tcBorders>
            <w:shd w:val="clear" w:color="auto" w:fill="auto"/>
            <w:vAlign w:val="center"/>
          </w:tcPr>
          <w:p w14:paraId="39F2F355">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GB16297-1996</w:t>
            </w:r>
          </w:p>
        </w:tc>
      </w:tr>
      <w:tr w14:paraId="003081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52451284">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16</w:t>
            </w:r>
          </w:p>
        </w:tc>
        <w:tc>
          <w:tcPr>
            <w:tcW w:w="5697" w:type="dxa"/>
            <w:tcBorders>
              <w:tl2br w:val="nil"/>
              <w:tr2bl w:val="nil"/>
            </w:tcBorders>
            <w:shd w:val="clear" w:color="auto" w:fill="auto"/>
            <w:vAlign w:val="center"/>
          </w:tcPr>
          <w:p w14:paraId="2F749DB8">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《污水综合排放标准》</w:t>
            </w:r>
          </w:p>
        </w:tc>
        <w:tc>
          <w:tcPr>
            <w:tcW w:w="2137" w:type="dxa"/>
            <w:tcBorders>
              <w:tl2br w:val="nil"/>
              <w:tr2bl w:val="nil"/>
            </w:tcBorders>
            <w:shd w:val="clear" w:color="auto" w:fill="auto"/>
            <w:vAlign w:val="center"/>
          </w:tcPr>
          <w:p w14:paraId="63FB7CAD">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GB8978-1996</w:t>
            </w:r>
          </w:p>
        </w:tc>
      </w:tr>
      <w:tr w14:paraId="459EB1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02CC67FA">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17</w:t>
            </w:r>
          </w:p>
        </w:tc>
        <w:tc>
          <w:tcPr>
            <w:tcW w:w="5697" w:type="dxa"/>
            <w:tcBorders>
              <w:tl2br w:val="nil"/>
              <w:tr2bl w:val="nil"/>
            </w:tcBorders>
            <w:shd w:val="clear" w:color="auto" w:fill="auto"/>
            <w:vAlign w:val="center"/>
          </w:tcPr>
          <w:p w14:paraId="6A42BE5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《农村生活污水处理排放标准》</w:t>
            </w:r>
          </w:p>
        </w:tc>
        <w:tc>
          <w:tcPr>
            <w:tcW w:w="2137" w:type="dxa"/>
            <w:tcBorders>
              <w:tl2br w:val="nil"/>
              <w:tr2bl w:val="nil"/>
            </w:tcBorders>
            <w:shd w:val="clear" w:color="auto" w:fill="auto"/>
            <w:vAlign w:val="center"/>
          </w:tcPr>
          <w:p w14:paraId="5BC9E784">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DB65 4275-2019</w:t>
            </w:r>
          </w:p>
        </w:tc>
      </w:tr>
      <w:tr w14:paraId="55145A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7D6BF146">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18</w:t>
            </w:r>
          </w:p>
        </w:tc>
        <w:tc>
          <w:tcPr>
            <w:tcW w:w="5697" w:type="dxa"/>
            <w:tcBorders>
              <w:tl2br w:val="nil"/>
              <w:tr2bl w:val="nil"/>
            </w:tcBorders>
            <w:shd w:val="clear" w:color="auto" w:fill="auto"/>
            <w:vAlign w:val="center"/>
          </w:tcPr>
          <w:p w14:paraId="156C0753">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《城市污水再生利用 城市杂用水水质》</w:t>
            </w:r>
          </w:p>
        </w:tc>
        <w:tc>
          <w:tcPr>
            <w:tcW w:w="2137" w:type="dxa"/>
            <w:tcBorders>
              <w:tl2br w:val="nil"/>
              <w:tr2bl w:val="nil"/>
            </w:tcBorders>
            <w:shd w:val="clear" w:color="auto" w:fill="auto"/>
            <w:vAlign w:val="center"/>
          </w:tcPr>
          <w:p w14:paraId="0EB9AC6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GB/T18920-2020</w:t>
            </w:r>
          </w:p>
        </w:tc>
      </w:tr>
      <w:tr w14:paraId="4ED084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3D93C2D7">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19</w:t>
            </w:r>
          </w:p>
        </w:tc>
        <w:tc>
          <w:tcPr>
            <w:tcW w:w="5697" w:type="dxa"/>
            <w:tcBorders>
              <w:tl2br w:val="nil"/>
              <w:tr2bl w:val="nil"/>
            </w:tcBorders>
            <w:shd w:val="clear" w:color="auto" w:fill="auto"/>
            <w:vAlign w:val="center"/>
          </w:tcPr>
          <w:p w14:paraId="66BC6725">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《建筑施工噪声排放标准》</w:t>
            </w:r>
          </w:p>
        </w:tc>
        <w:tc>
          <w:tcPr>
            <w:tcW w:w="2137" w:type="dxa"/>
            <w:tcBorders>
              <w:tl2br w:val="nil"/>
              <w:tr2bl w:val="nil"/>
            </w:tcBorders>
            <w:shd w:val="clear" w:color="auto" w:fill="auto"/>
            <w:vAlign w:val="center"/>
          </w:tcPr>
          <w:p w14:paraId="2FFA9C68">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GB12523-20</w:t>
            </w:r>
            <w:r>
              <w:rPr>
                <w:rFonts w:hint="eastAsia"/>
                <w:color w:val="000000" w:themeColor="text1"/>
                <w:sz w:val="21"/>
                <w:szCs w:val="21"/>
                <w:highlight w:val="none"/>
                <w:lang w:val="en-US" w:eastAsia="zh-CN"/>
                <w14:textFill>
                  <w14:solidFill>
                    <w14:schemeClr w14:val="tx1"/>
                  </w14:solidFill>
                </w14:textFill>
              </w:rPr>
              <w:t>25</w:t>
            </w:r>
          </w:p>
        </w:tc>
      </w:tr>
      <w:tr w14:paraId="3D44D1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3F7AC0E3">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20</w:t>
            </w:r>
          </w:p>
        </w:tc>
        <w:tc>
          <w:tcPr>
            <w:tcW w:w="5697" w:type="dxa"/>
            <w:tcBorders>
              <w:tl2br w:val="nil"/>
              <w:tr2bl w:val="nil"/>
            </w:tcBorders>
            <w:shd w:val="clear" w:color="auto" w:fill="auto"/>
            <w:vAlign w:val="center"/>
          </w:tcPr>
          <w:p w14:paraId="573FFA44">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《铁矿采选工业污染物排放标准》</w:t>
            </w:r>
          </w:p>
        </w:tc>
        <w:tc>
          <w:tcPr>
            <w:tcW w:w="2137" w:type="dxa"/>
            <w:tcBorders>
              <w:tl2br w:val="nil"/>
              <w:tr2bl w:val="nil"/>
            </w:tcBorders>
            <w:shd w:val="clear" w:color="auto" w:fill="auto"/>
            <w:vAlign w:val="center"/>
          </w:tcPr>
          <w:p w14:paraId="0E451D22">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GB28661-2012</w:t>
            </w:r>
          </w:p>
        </w:tc>
      </w:tr>
      <w:tr w14:paraId="019125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68DC075D">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21</w:t>
            </w:r>
          </w:p>
        </w:tc>
        <w:tc>
          <w:tcPr>
            <w:tcW w:w="5697" w:type="dxa"/>
            <w:tcBorders>
              <w:tl2br w:val="nil"/>
              <w:tr2bl w:val="nil"/>
            </w:tcBorders>
            <w:shd w:val="clear" w:color="auto" w:fill="auto"/>
            <w:vAlign w:val="center"/>
          </w:tcPr>
          <w:p w14:paraId="72AAFCA1">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《清洁生产标准 铁矿采选业》</w:t>
            </w:r>
          </w:p>
        </w:tc>
        <w:tc>
          <w:tcPr>
            <w:tcW w:w="2137" w:type="dxa"/>
            <w:tcBorders>
              <w:tl2br w:val="nil"/>
              <w:tr2bl w:val="nil"/>
            </w:tcBorders>
            <w:shd w:val="clear" w:color="auto" w:fill="auto"/>
            <w:vAlign w:val="center"/>
          </w:tcPr>
          <w:p w14:paraId="71A62FC0">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HJ/T294-2006</w:t>
            </w:r>
          </w:p>
        </w:tc>
      </w:tr>
      <w:tr w14:paraId="0C6A72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276BC9C5">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22</w:t>
            </w:r>
          </w:p>
        </w:tc>
        <w:tc>
          <w:tcPr>
            <w:tcW w:w="5697" w:type="dxa"/>
            <w:tcBorders>
              <w:tl2br w:val="nil"/>
              <w:tr2bl w:val="nil"/>
            </w:tcBorders>
            <w:shd w:val="clear" w:color="auto" w:fill="auto"/>
            <w:vAlign w:val="center"/>
          </w:tcPr>
          <w:p w14:paraId="3DC77345">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《矿山生态环境保护与恢复治理技术规范（试行）》</w:t>
            </w:r>
          </w:p>
        </w:tc>
        <w:tc>
          <w:tcPr>
            <w:tcW w:w="2137" w:type="dxa"/>
            <w:tcBorders>
              <w:tl2br w:val="nil"/>
              <w:tr2bl w:val="nil"/>
            </w:tcBorders>
            <w:shd w:val="clear" w:color="auto" w:fill="auto"/>
            <w:vAlign w:val="center"/>
          </w:tcPr>
          <w:p w14:paraId="4E46C071">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HJ651-2013</w:t>
            </w:r>
          </w:p>
        </w:tc>
      </w:tr>
      <w:tr w14:paraId="26C6A1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68813699">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23</w:t>
            </w:r>
          </w:p>
        </w:tc>
        <w:tc>
          <w:tcPr>
            <w:tcW w:w="5697" w:type="dxa"/>
            <w:tcBorders>
              <w:tl2br w:val="nil"/>
              <w:tr2bl w:val="nil"/>
            </w:tcBorders>
            <w:shd w:val="clear" w:color="auto" w:fill="auto"/>
            <w:vAlign w:val="center"/>
          </w:tcPr>
          <w:p w14:paraId="42DD8165">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《尾矿库安全规程》</w:t>
            </w:r>
          </w:p>
        </w:tc>
        <w:tc>
          <w:tcPr>
            <w:tcW w:w="2137" w:type="dxa"/>
            <w:tcBorders>
              <w:tl2br w:val="nil"/>
              <w:tr2bl w:val="nil"/>
            </w:tcBorders>
            <w:shd w:val="clear" w:color="auto" w:fill="auto"/>
            <w:vAlign w:val="center"/>
          </w:tcPr>
          <w:p w14:paraId="661C381F">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GB39496-2020</w:t>
            </w:r>
          </w:p>
        </w:tc>
      </w:tr>
      <w:tr w14:paraId="212FA1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36EB6F9E">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w:t>
            </w:r>
          </w:p>
        </w:tc>
        <w:tc>
          <w:tcPr>
            <w:tcW w:w="5697" w:type="dxa"/>
            <w:tcBorders>
              <w:tl2br w:val="nil"/>
              <w:tr2bl w:val="nil"/>
            </w:tcBorders>
            <w:shd w:val="clear" w:color="auto" w:fill="auto"/>
            <w:vAlign w:val="center"/>
          </w:tcPr>
          <w:p w14:paraId="7F440D06">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《水土保持综合治理技术规范》</w:t>
            </w:r>
          </w:p>
        </w:tc>
        <w:tc>
          <w:tcPr>
            <w:tcW w:w="2137" w:type="dxa"/>
            <w:tcBorders>
              <w:tl2br w:val="nil"/>
              <w:tr2bl w:val="nil"/>
            </w:tcBorders>
            <w:shd w:val="clear" w:color="auto" w:fill="auto"/>
            <w:vAlign w:val="center"/>
          </w:tcPr>
          <w:p w14:paraId="03827D78">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GB16453.1～16453.6-2011</w:t>
            </w:r>
          </w:p>
        </w:tc>
      </w:tr>
      <w:tr w14:paraId="0F4B43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4F45B707">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25</w:t>
            </w:r>
          </w:p>
        </w:tc>
        <w:tc>
          <w:tcPr>
            <w:tcW w:w="5697" w:type="dxa"/>
            <w:tcBorders>
              <w:tl2br w:val="nil"/>
              <w:tr2bl w:val="nil"/>
            </w:tcBorders>
            <w:shd w:val="clear" w:color="auto" w:fill="auto"/>
            <w:vAlign w:val="center"/>
          </w:tcPr>
          <w:p w14:paraId="298C5A85">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《尾矿库重大危险源辨识及分级》</w:t>
            </w:r>
          </w:p>
        </w:tc>
        <w:tc>
          <w:tcPr>
            <w:tcW w:w="2137" w:type="dxa"/>
            <w:tcBorders>
              <w:tl2br w:val="nil"/>
              <w:tr2bl w:val="nil"/>
            </w:tcBorders>
            <w:shd w:val="clear" w:color="auto" w:fill="auto"/>
            <w:vAlign w:val="center"/>
          </w:tcPr>
          <w:p w14:paraId="5574938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DB13/T2260-2015</w:t>
            </w:r>
          </w:p>
        </w:tc>
      </w:tr>
      <w:tr w14:paraId="518209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04BED6FA">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26</w:t>
            </w:r>
          </w:p>
        </w:tc>
        <w:tc>
          <w:tcPr>
            <w:tcW w:w="5697" w:type="dxa"/>
            <w:tcBorders>
              <w:tl2br w:val="nil"/>
              <w:tr2bl w:val="nil"/>
            </w:tcBorders>
            <w:shd w:val="clear" w:color="auto" w:fill="auto"/>
            <w:vAlign w:val="center"/>
          </w:tcPr>
          <w:p w14:paraId="133901A9">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《尾矿库安全监测技术规范》</w:t>
            </w:r>
          </w:p>
        </w:tc>
        <w:tc>
          <w:tcPr>
            <w:tcW w:w="2137" w:type="dxa"/>
            <w:tcBorders>
              <w:tl2br w:val="nil"/>
              <w:tr2bl w:val="nil"/>
            </w:tcBorders>
            <w:shd w:val="clear" w:color="auto" w:fill="auto"/>
            <w:vAlign w:val="center"/>
          </w:tcPr>
          <w:p w14:paraId="1828A020">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AQ2030-2010</w:t>
            </w:r>
          </w:p>
        </w:tc>
      </w:tr>
      <w:tr w14:paraId="241057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106B01F8">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27</w:t>
            </w:r>
          </w:p>
        </w:tc>
        <w:tc>
          <w:tcPr>
            <w:tcW w:w="5697" w:type="dxa"/>
            <w:tcBorders>
              <w:tl2br w:val="nil"/>
              <w:tr2bl w:val="nil"/>
            </w:tcBorders>
            <w:shd w:val="clear" w:color="auto" w:fill="auto"/>
            <w:vAlign w:val="center"/>
          </w:tcPr>
          <w:p w14:paraId="7A028168">
            <w:pPr>
              <w:widowControl/>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14:textFill>
                  <w14:solidFill>
                    <w14:schemeClr w14:val="tx1"/>
                  </w14:solidFill>
                </w14:textFill>
              </w:rPr>
              <w:t>《排污许可证申请与核发技术规范 总则》</w:t>
            </w:r>
          </w:p>
        </w:tc>
        <w:tc>
          <w:tcPr>
            <w:tcW w:w="2137" w:type="dxa"/>
            <w:tcBorders>
              <w:tl2br w:val="nil"/>
              <w:tr2bl w:val="nil"/>
            </w:tcBorders>
            <w:shd w:val="clear" w:color="auto" w:fill="auto"/>
            <w:vAlign w:val="center"/>
          </w:tcPr>
          <w:p w14:paraId="79D56E52">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HJ942-2018</w:t>
            </w:r>
          </w:p>
        </w:tc>
      </w:tr>
      <w:tr w14:paraId="68921D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3155B460">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28</w:t>
            </w:r>
          </w:p>
        </w:tc>
        <w:tc>
          <w:tcPr>
            <w:tcW w:w="5697" w:type="dxa"/>
            <w:tcBorders>
              <w:tl2br w:val="nil"/>
              <w:tr2bl w:val="nil"/>
            </w:tcBorders>
            <w:shd w:val="clear" w:color="auto" w:fill="auto"/>
            <w:vAlign w:val="center"/>
          </w:tcPr>
          <w:p w14:paraId="7A53D077">
            <w:pPr>
              <w:widowControl/>
              <w:spacing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0"/>
                <w:sz w:val="21"/>
                <w:szCs w:val="21"/>
                <w:highlight w:val="none"/>
                <w14:textFill>
                  <w14:solidFill>
                    <w14:schemeClr w14:val="tx1"/>
                  </w14:solidFill>
                </w14:textFill>
              </w:rPr>
              <w:t>《排污许可证申请与核发技术规范</w:t>
            </w:r>
            <w:r>
              <w:rPr>
                <w:rFonts w:hint="eastAsia"/>
                <w:color w:val="000000" w:themeColor="text1"/>
                <w:kern w:val="0"/>
                <w:sz w:val="21"/>
                <w:szCs w:val="21"/>
                <w:highlight w:val="none"/>
                <w:lang w:val="en-US" w:eastAsia="zh-CN"/>
                <w14:textFill>
                  <w14:solidFill>
                    <w14:schemeClr w14:val="tx1"/>
                  </w14:solidFill>
                </w14:textFill>
              </w:rPr>
              <w:t xml:space="preserve"> </w:t>
            </w:r>
            <w:r>
              <w:rPr>
                <w:color w:val="000000" w:themeColor="text1"/>
                <w:kern w:val="0"/>
                <w:sz w:val="21"/>
                <w:szCs w:val="21"/>
                <w:highlight w:val="none"/>
                <w14:textFill>
                  <w14:solidFill>
                    <w14:schemeClr w14:val="tx1"/>
                  </w14:solidFill>
                </w14:textFill>
              </w:rPr>
              <w:t>水处理通用工序》</w:t>
            </w:r>
          </w:p>
        </w:tc>
        <w:tc>
          <w:tcPr>
            <w:tcW w:w="2137" w:type="dxa"/>
            <w:tcBorders>
              <w:tl2br w:val="nil"/>
              <w:tr2bl w:val="nil"/>
            </w:tcBorders>
            <w:shd w:val="clear" w:color="auto" w:fill="auto"/>
            <w:vAlign w:val="center"/>
          </w:tcPr>
          <w:p w14:paraId="5568DFB8">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HJ1120-2020</w:t>
            </w:r>
          </w:p>
        </w:tc>
      </w:tr>
      <w:tr w14:paraId="7CC82B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69C92453">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29</w:t>
            </w:r>
          </w:p>
        </w:tc>
        <w:tc>
          <w:tcPr>
            <w:tcW w:w="5697" w:type="dxa"/>
            <w:tcBorders>
              <w:tl2br w:val="nil"/>
              <w:tr2bl w:val="nil"/>
            </w:tcBorders>
            <w:shd w:val="clear" w:color="auto" w:fill="auto"/>
            <w:vAlign w:val="center"/>
          </w:tcPr>
          <w:p w14:paraId="793CF62B">
            <w:pPr>
              <w:widowControl/>
              <w:spacing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0"/>
                <w:sz w:val="21"/>
                <w:szCs w:val="21"/>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"http://www.mee.gov.cn/ywgz/fgbz/bz/bzwb/jcffbz/202012/W020201203608473632069.pdf" </w:instrText>
            </w:r>
            <w:r>
              <w:rPr>
                <w:color w:val="000000" w:themeColor="text1"/>
                <w:highlight w:val="none"/>
                <w14:textFill>
                  <w14:solidFill>
                    <w14:schemeClr w14:val="tx1"/>
                  </w14:solidFill>
                </w14:textFill>
              </w:rPr>
              <w:fldChar w:fldCharType="separate"/>
            </w:r>
            <w:r>
              <w:rPr>
                <w:rFonts w:hint="eastAsia"/>
                <w:color w:val="000000" w:themeColor="text1"/>
                <w:kern w:val="0"/>
                <w:sz w:val="21"/>
                <w:szCs w:val="21"/>
                <w:highlight w:val="none"/>
                <w14:textFill>
                  <w14:solidFill>
                    <w14:schemeClr w14:val="tx1"/>
                  </w14:solidFill>
                </w14:textFill>
              </w:rPr>
              <w:t>地下水环境监测技术规范</w:t>
            </w:r>
            <w:r>
              <w:rPr>
                <w:rFonts w:hint="eastAsia"/>
                <w:color w:val="000000" w:themeColor="text1"/>
                <w:kern w:val="0"/>
                <w:sz w:val="21"/>
                <w:szCs w:val="21"/>
                <w:highlight w:val="none"/>
                <w14:textFill>
                  <w14:solidFill>
                    <w14:schemeClr w14:val="tx1"/>
                  </w14:solidFill>
                </w14:textFill>
              </w:rPr>
              <w:fldChar w:fldCharType="end"/>
            </w:r>
            <w:r>
              <w:rPr>
                <w:color w:val="000000" w:themeColor="text1"/>
                <w:kern w:val="0"/>
                <w:sz w:val="21"/>
                <w:szCs w:val="21"/>
                <w:highlight w:val="none"/>
                <w14:textFill>
                  <w14:solidFill>
                    <w14:schemeClr w14:val="tx1"/>
                  </w14:solidFill>
                </w14:textFill>
              </w:rPr>
              <w:t>》</w:t>
            </w:r>
          </w:p>
        </w:tc>
        <w:tc>
          <w:tcPr>
            <w:tcW w:w="2137" w:type="dxa"/>
            <w:tcBorders>
              <w:tl2br w:val="nil"/>
              <w:tr2bl w:val="nil"/>
            </w:tcBorders>
            <w:shd w:val="clear" w:color="auto" w:fill="auto"/>
            <w:vAlign w:val="center"/>
          </w:tcPr>
          <w:p w14:paraId="49D5D87A">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HJ164-2020</w:t>
            </w:r>
          </w:p>
        </w:tc>
      </w:tr>
      <w:tr w14:paraId="009328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50555925">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30</w:t>
            </w:r>
          </w:p>
        </w:tc>
        <w:tc>
          <w:tcPr>
            <w:tcW w:w="5697" w:type="dxa"/>
            <w:tcBorders>
              <w:tl2br w:val="nil"/>
              <w:tr2bl w:val="nil"/>
            </w:tcBorders>
            <w:shd w:val="clear" w:color="auto" w:fill="auto"/>
            <w:vAlign w:val="center"/>
          </w:tcPr>
          <w:p w14:paraId="639D1FF4">
            <w:pPr>
              <w:widowControl/>
              <w:spacing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w:t>
            </w:r>
            <w:r>
              <w:rPr>
                <w:rFonts w:hint="eastAsia"/>
                <w:color w:val="000000" w:themeColor="text1"/>
                <w:kern w:val="0"/>
                <w:sz w:val="21"/>
                <w:szCs w:val="21"/>
                <w:highlight w:val="none"/>
                <w:lang w:val="en-US" w:eastAsia="zh-CN"/>
                <w14:textFill>
                  <w14:solidFill>
                    <w14:schemeClr w14:val="tx1"/>
                  </w14:solidFill>
                </w14:textFill>
              </w:rPr>
              <w:t>工业企业土壤和地下水自行监测技术指南（试行）</w:t>
            </w:r>
            <w:r>
              <w:rPr>
                <w:rFonts w:hint="eastAsia"/>
                <w:color w:val="000000" w:themeColor="text1"/>
                <w:kern w:val="0"/>
                <w:sz w:val="21"/>
                <w:szCs w:val="21"/>
                <w:highlight w:val="none"/>
                <w:lang w:eastAsia="zh-CN"/>
                <w14:textFill>
                  <w14:solidFill>
                    <w14:schemeClr w14:val="tx1"/>
                  </w14:solidFill>
                </w14:textFill>
              </w:rPr>
              <w:t>》</w:t>
            </w:r>
          </w:p>
        </w:tc>
        <w:tc>
          <w:tcPr>
            <w:tcW w:w="2137" w:type="dxa"/>
            <w:tcBorders>
              <w:tl2br w:val="nil"/>
              <w:tr2bl w:val="nil"/>
            </w:tcBorders>
            <w:shd w:val="clear" w:color="auto" w:fill="auto"/>
            <w:vAlign w:val="center"/>
          </w:tcPr>
          <w:p w14:paraId="694D7D83">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HJ</w:t>
            </w:r>
            <w:r>
              <w:rPr>
                <w:rFonts w:hint="eastAsia"/>
                <w:color w:val="000000" w:themeColor="text1"/>
                <w:sz w:val="21"/>
                <w:szCs w:val="21"/>
                <w:highlight w:val="none"/>
                <w:lang w:val="en-US" w:eastAsia="zh-CN"/>
                <w14:textFill>
                  <w14:solidFill>
                    <w14:schemeClr w14:val="tx1"/>
                  </w14:solidFill>
                </w14:textFill>
              </w:rPr>
              <w:t>1209-2021</w:t>
            </w:r>
          </w:p>
        </w:tc>
      </w:tr>
      <w:tr w14:paraId="585EA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shd w:val="clear" w:color="auto" w:fill="auto"/>
            <w:vAlign w:val="center"/>
          </w:tcPr>
          <w:p w14:paraId="518BD342">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31</w:t>
            </w:r>
          </w:p>
        </w:tc>
        <w:tc>
          <w:tcPr>
            <w:tcW w:w="5697" w:type="dxa"/>
            <w:tcBorders>
              <w:tl2br w:val="nil"/>
              <w:tr2bl w:val="nil"/>
            </w:tcBorders>
            <w:shd w:val="clear" w:color="auto" w:fill="auto"/>
            <w:vAlign w:val="center"/>
          </w:tcPr>
          <w:p w14:paraId="6B02FF81">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《一般工业固体废物贮存和填埋污染控制标准》</w:t>
            </w:r>
          </w:p>
        </w:tc>
        <w:tc>
          <w:tcPr>
            <w:tcW w:w="2137" w:type="dxa"/>
            <w:tcBorders>
              <w:tl2br w:val="nil"/>
              <w:tr2bl w:val="nil"/>
            </w:tcBorders>
            <w:shd w:val="clear" w:color="auto" w:fill="auto"/>
            <w:vAlign w:val="center"/>
          </w:tcPr>
          <w:p w14:paraId="1B04B1AC">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GB18599-2020</w:t>
            </w:r>
          </w:p>
        </w:tc>
      </w:tr>
      <w:tr w14:paraId="22C7C6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shd w:val="clear" w:color="auto" w:fill="auto"/>
            <w:vAlign w:val="center"/>
          </w:tcPr>
          <w:p w14:paraId="6B2B430C">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32</w:t>
            </w:r>
          </w:p>
        </w:tc>
        <w:tc>
          <w:tcPr>
            <w:tcW w:w="5697" w:type="dxa"/>
            <w:tcBorders>
              <w:tl2br w:val="nil"/>
              <w:tr2bl w:val="nil"/>
            </w:tcBorders>
            <w:shd w:val="clear" w:color="auto" w:fill="auto"/>
            <w:vAlign w:val="center"/>
          </w:tcPr>
          <w:p w14:paraId="67D86409">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《危险废物贮存污染控制标准》</w:t>
            </w:r>
          </w:p>
        </w:tc>
        <w:tc>
          <w:tcPr>
            <w:tcW w:w="2137" w:type="dxa"/>
            <w:tcBorders>
              <w:tl2br w:val="nil"/>
              <w:tr2bl w:val="nil"/>
            </w:tcBorders>
            <w:shd w:val="clear" w:color="auto" w:fill="auto"/>
            <w:vAlign w:val="center"/>
          </w:tcPr>
          <w:p w14:paraId="1BC69E00">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GB18597-2023</w:t>
            </w:r>
          </w:p>
        </w:tc>
      </w:tr>
      <w:tr w14:paraId="7004C0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shd w:val="clear" w:color="auto" w:fill="auto"/>
            <w:vAlign w:val="center"/>
          </w:tcPr>
          <w:p w14:paraId="31C46478">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3</w:t>
            </w:r>
          </w:p>
        </w:tc>
        <w:tc>
          <w:tcPr>
            <w:tcW w:w="5697" w:type="dxa"/>
            <w:tcBorders>
              <w:tl2br w:val="nil"/>
              <w:tr2bl w:val="nil"/>
            </w:tcBorders>
            <w:shd w:val="clear" w:color="auto" w:fill="auto"/>
            <w:vAlign w:val="center"/>
          </w:tcPr>
          <w:p w14:paraId="08CE7AD4">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eastAsia="宋体" w:cs="Times New Roman"/>
                <w:color w:val="000000" w:themeColor="text1"/>
                <w:spacing w:val="0"/>
                <w:w w:val="100"/>
                <w:kern w:val="0"/>
                <w:positio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《危险废物识别标志设置技术规范》</w:t>
            </w:r>
          </w:p>
        </w:tc>
        <w:tc>
          <w:tcPr>
            <w:tcW w:w="2137" w:type="dxa"/>
            <w:tcBorders>
              <w:tl2br w:val="nil"/>
              <w:tr2bl w:val="nil"/>
            </w:tcBorders>
            <w:shd w:val="clear" w:color="auto" w:fill="auto"/>
            <w:vAlign w:val="center"/>
          </w:tcPr>
          <w:p w14:paraId="29EE2F5D">
            <w:pPr>
              <w:pStyle w:val="45"/>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pacing w:val="0"/>
                <w:w w:val="10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HJ1276</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2022</w:t>
            </w:r>
          </w:p>
        </w:tc>
      </w:tr>
      <w:tr w14:paraId="11E85E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shd w:val="clear" w:color="auto" w:fill="auto"/>
            <w:vAlign w:val="center"/>
          </w:tcPr>
          <w:p w14:paraId="15A00716">
            <w:pPr>
              <w:pStyle w:val="45"/>
              <w:spacing w:before="0" w:beforeAutospacing="0" w:line="360" w:lineRule="exact"/>
              <w:ind w:firstLine="0" w:firstLine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4</w:t>
            </w:r>
          </w:p>
        </w:tc>
        <w:tc>
          <w:tcPr>
            <w:tcW w:w="5697" w:type="dxa"/>
            <w:tcBorders>
              <w:tl2br w:val="nil"/>
              <w:tr2bl w:val="nil"/>
            </w:tcBorders>
            <w:shd w:val="clear" w:color="auto" w:fill="auto"/>
            <w:vAlign w:val="center"/>
          </w:tcPr>
          <w:p w14:paraId="4E0F217D">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《排污单位自行监测技术指南总则》</w:t>
            </w:r>
          </w:p>
        </w:tc>
        <w:tc>
          <w:tcPr>
            <w:tcW w:w="2137" w:type="dxa"/>
            <w:tcBorders>
              <w:tl2br w:val="nil"/>
              <w:tr2bl w:val="nil"/>
            </w:tcBorders>
            <w:shd w:val="clear" w:color="auto" w:fill="auto"/>
            <w:vAlign w:val="center"/>
          </w:tcPr>
          <w:p w14:paraId="4D24ED98">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HJ819-2017</w:t>
            </w:r>
          </w:p>
        </w:tc>
      </w:tr>
      <w:tr w14:paraId="302C4F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shd w:val="clear" w:color="auto" w:fill="auto"/>
            <w:vAlign w:val="center"/>
          </w:tcPr>
          <w:p w14:paraId="49727193">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w:t>
            </w:r>
          </w:p>
        </w:tc>
        <w:tc>
          <w:tcPr>
            <w:tcW w:w="5697" w:type="dxa"/>
            <w:tcBorders>
              <w:tl2br w:val="nil"/>
              <w:tr2bl w:val="nil"/>
            </w:tcBorders>
            <w:shd w:val="clear" w:color="auto" w:fill="auto"/>
            <w:vAlign w:val="center"/>
          </w:tcPr>
          <w:p w14:paraId="0A0B73D7">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《污染源源强核算技术指南 准则》</w:t>
            </w:r>
          </w:p>
        </w:tc>
        <w:tc>
          <w:tcPr>
            <w:tcW w:w="2137" w:type="dxa"/>
            <w:tcBorders>
              <w:tl2br w:val="nil"/>
              <w:tr2bl w:val="nil"/>
            </w:tcBorders>
            <w:shd w:val="clear" w:color="auto" w:fill="auto"/>
            <w:vAlign w:val="center"/>
          </w:tcPr>
          <w:p w14:paraId="7C915F18">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HJ884-2018</w:t>
            </w:r>
          </w:p>
        </w:tc>
      </w:tr>
      <w:tr w14:paraId="39AA5C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shd w:val="clear" w:color="auto" w:fill="auto"/>
            <w:vAlign w:val="center"/>
          </w:tcPr>
          <w:p w14:paraId="33F3B469">
            <w:pPr>
              <w:pStyle w:val="45"/>
              <w:spacing w:before="0" w:beforeAutospacing="0" w:line="360" w:lineRule="exact"/>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5697" w:type="dxa"/>
            <w:tcBorders>
              <w:tl2br w:val="nil"/>
              <w:tr2bl w:val="nil"/>
            </w:tcBorders>
            <w:shd w:val="clear" w:color="auto" w:fill="auto"/>
            <w:vAlign w:val="center"/>
          </w:tcPr>
          <w:p w14:paraId="0A831C4F">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《钢铁行业采选矿工艺污染防治最佳可行技术指南（试行）》</w:t>
            </w:r>
          </w:p>
        </w:tc>
        <w:tc>
          <w:tcPr>
            <w:tcW w:w="2137" w:type="dxa"/>
            <w:tcBorders>
              <w:tl2br w:val="nil"/>
              <w:tr2bl w:val="nil"/>
            </w:tcBorders>
            <w:shd w:val="clear" w:color="auto" w:fill="auto"/>
            <w:vAlign w:val="center"/>
          </w:tcPr>
          <w:p w14:paraId="4AAD365C">
            <w:pPr>
              <w:pStyle w:val="45"/>
              <w:spacing w:before="0" w:beforeAutospacing="0" w:line="360" w:lineRule="exact"/>
              <w:ind w:firstLine="0" w:firstLineChars="0"/>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HJ-BAT-003</w:t>
            </w:r>
          </w:p>
        </w:tc>
      </w:tr>
      <w:tr w14:paraId="41E4D8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26969D75">
            <w:pPr>
              <w:pStyle w:val="45"/>
              <w:spacing w:before="0" w:beforeAutospacing="0"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37</w:t>
            </w:r>
          </w:p>
        </w:tc>
        <w:tc>
          <w:tcPr>
            <w:tcW w:w="5697" w:type="dxa"/>
            <w:tcBorders>
              <w:tl2br w:val="nil"/>
              <w:tr2bl w:val="nil"/>
            </w:tcBorders>
            <w:shd w:val="clear" w:color="auto" w:fill="auto"/>
            <w:vAlign w:val="center"/>
          </w:tcPr>
          <w:p w14:paraId="1D1704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《危险废物管理计划和管理台账制定技术导则》</w:t>
            </w:r>
          </w:p>
        </w:tc>
        <w:tc>
          <w:tcPr>
            <w:tcW w:w="2137" w:type="dxa"/>
            <w:tcBorders>
              <w:tl2br w:val="nil"/>
              <w:tr2bl w:val="nil"/>
            </w:tcBorders>
            <w:shd w:val="clear" w:color="auto" w:fill="auto"/>
            <w:vAlign w:val="center"/>
          </w:tcPr>
          <w:p w14:paraId="51F9B5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HJ1259-2022</w:t>
            </w:r>
          </w:p>
        </w:tc>
      </w:tr>
      <w:tr w14:paraId="240534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529" w:type="dxa"/>
            <w:tcBorders>
              <w:tl2br w:val="nil"/>
              <w:tr2bl w:val="nil"/>
            </w:tcBorders>
            <w:vAlign w:val="center"/>
          </w:tcPr>
          <w:p w14:paraId="46278D62">
            <w:pPr>
              <w:pStyle w:val="45"/>
              <w:spacing w:before="0" w:beforeAutospacing="0"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bookmarkStart w:id="114" w:name="_Toc11471"/>
            <w:bookmarkStart w:id="115" w:name="_Toc26242"/>
            <w:bookmarkStart w:id="116" w:name="_Toc28718"/>
            <w:r>
              <w:rPr>
                <w:rFonts w:hint="eastAsia"/>
                <w:color w:val="000000" w:themeColor="text1"/>
                <w:sz w:val="21"/>
                <w:szCs w:val="21"/>
                <w:highlight w:val="none"/>
                <w:lang w:val="en-US" w:eastAsia="zh-CN"/>
                <w14:textFill>
                  <w14:solidFill>
                    <w14:schemeClr w14:val="tx1"/>
                  </w14:solidFill>
                </w14:textFill>
              </w:rPr>
              <w:t>38</w:t>
            </w:r>
          </w:p>
        </w:tc>
        <w:tc>
          <w:tcPr>
            <w:tcW w:w="5697" w:type="dxa"/>
            <w:tcBorders>
              <w:tl2br w:val="nil"/>
              <w:tr2bl w:val="nil"/>
            </w:tcBorders>
            <w:shd w:val="clear" w:color="auto" w:fill="auto"/>
            <w:vAlign w:val="center"/>
          </w:tcPr>
          <w:p w14:paraId="0E1194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《危险废物识别标志设置技术规范》</w:t>
            </w:r>
          </w:p>
        </w:tc>
        <w:tc>
          <w:tcPr>
            <w:tcW w:w="2137" w:type="dxa"/>
            <w:tcBorders>
              <w:tl2br w:val="nil"/>
              <w:tr2bl w:val="nil"/>
            </w:tcBorders>
            <w:shd w:val="clear" w:color="auto" w:fill="auto"/>
            <w:vAlign w:val="center"/>
          </w:tcPr>
          <w:p w14:paraId="7107BE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HJ1276-2022</w:t>
            </w:r>
          </w:p>
        </w:tc>
      </w:tr>
    </w:tbl>
    <w:p w14:paraId="77C95D50">
      <w:pPr>
        <w:pStyle w:val="4"/>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3项目文件、资料</w:t>
      </w:r>
      <w:bookmarkEnd w:id="114"/>
      <w:bookmarkEnd w:id="115"/>
      <w:bookmarkEnd w:id="116"/>
    </w:p>
    <w:p w14:paraId="60D7F2BB">
      <w:pPr>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eastAsiaTheme="minorEastAsia"/>
          <w:color w:val="000000" w:themeColor="text1"/>
          <w:lang w:val="en-US" w:eastAsia="zh-CN"/>
          <w14:textFill>
            <w14:solidFill>
              <w14:schemeClr w14:val="tx1"/>
            </w14:solidFill>
          </w14:textFill>
        </w:rPr>
        <w:t>本次评价依据的项目相关技术资料见表2.2-3。</w:t>
      </w:r>
    </w:p>
    <w:p w14:paraId="612A1660">
      <w:pPr>
        <w:rPr>
          <w:rFonts w:hint="eastAsia" w:ascii="Times New Roman" w:hAnsi="Times New Roman" w:cs="Times New Roman" w:eastAsiaTheme="minorEastAsia"/>
          <w:color w:val="000000" w:themeColor="text1"/>
          <w:lang w:val="en-US" w:eastAsia="zh-CN"/>
          <w14:textFill>
            <w14:solidFill>
              <w14:schemeClr w14:val="tx1"/>
            </w14:solidFill>
          </w14:textFill>
        </w:rPr>
      </w:pPr>
    </w:p>
    <w:p w14:paraId="7BD798A9">
      <w:pPr>
        <w:pStyle w:val="47"/>
        <w:spacing w:beforeLines="0" w:afterLines="0" w:line="480" w:lineRule="exact"/>
        <w:ind w:firstLine="0" w:firstLineChars="0"/>
        <w:rPr>
          <w:rFonts w:ascii="Times New Roman" w:hAnsi="Times New Roman" w:eastAsia="宋体"/>
          <w:color w:val="000000" w:themeColor="text1"/>
          <w:kern w:val="2"/>
          <w14:textFill>
            <w14:solidFill>
              <w14:schemeClr w14:val="tx1"/>
            </w14:solidFill>
          </w14:textFill>
        </w:rPr>
      </w:pPr>
      <w:r>
        <w:rPr>
          <w:rFonts w:hint="eastAsia" w:ascii="Times New Roman" w:hAnsi="Times New Roman" w:eastAsia="宋体"/>
          <w:color w:val="000000" w:themeColor="text1"/>
          <w:kern w:val="2"/>
          <w14:textFill>
            <w14:solidFill>
              <w14:schemeClr w14:val="tx1"/>
            </w14:solidFill>
          </w14:textFill>
        </w:rPr>
        <w:t>表2.2-</w:t>
      </w:r>
      <w:r>
        <w:rPr>
          <w:rFonts w:hint="eastAsia" w:ascii="Times New Roman" w:hAnsi="Times New Roman"/>
          <w:color w:val="000000" w:themeColor="text1"/>
          <w:kern w:val="2"/>
          <w:lang w:val="en-US" w:eastAsia="zh-CN"/>
          <w14:textFill>
            <w14:solidFill>
              <w14:schemeClr w14:val="tx1"/>
            </w14:solidFill>
          </w14:textFill>
        </w:rPr>
        <w:t>3</w:t>
      </w:r>
      <w:r>
        <w:rPr>
          <w:rFonts w:hint="eastAsia" w:ascii="Times New Roman" w:hAnsi="Times New Roman" w:eastAsia="宋体"/>
          <w:color w:val="000000" w:themeColor="text1"/>
          <w:kern w:val="2"/>
          <w14:textFill>
            <w14:solidFill>
              <w14:schemeClr w14:val="tx1"/>
            </w14:solidFill>
          </w14:textFill>
        </w:rPr>
        <w:t xml:space="preserve">    项目相关技术资料一览表</w:t>
      </w:r>
    </w:p>
    <w:tbl>
      <w:tblPr>
        <w:tblStyle w:val="32"/>
        <w:tblW w:w="842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05"/>
        <w:gridCol w:w="6407"/>
        <w:gridCol w:w="1411"/>
      </w:tblGrid>
      <w:tr w14:paraId="61C5CF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tblHeader/>
          <w:jc w:val="center"/>
        </w:trPr>
        <w:tc>
          <w:tcPr>
            <w:tcW w:w="605" w:type="dxa"/>
            <w:vAlign w:val="center"/>
          </w:tcPr>
          <w:p w14:paraId="2C5D3506">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6407" w:type="dxa"/>
            <w:vAlign w:val="center"/>
          </w:tcPr>
          <w:p w14:paraId="0E8607B1">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依据名称</w:t>
            </w:r>
          </w:p>
        </w:tc>
        <w:tc>
          <w:tcPr>
            <w:tcW w:w="1411" w:type="dxa"/>
            <w:vAlign w:val="center"/>
          </w:tcPr>
          <w:p w14:paraId="783481A0">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时间</w:t>
            </w:r>
          </w:p>
        </w:tc>
      </w:tr>
      <w:tr w14:paraId="382BFA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605" w:type="dxa"/>
            <w:vAlign w:val="center"/>
          </w:tcPr>
          <w:p w14:paraId="5D991197">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6407" w:type="dxa"/>
            <w:vAlign w:val="center"/>
          </w:tcPr>
          <w:p w14:paraId="5EFEFDBE">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哈密市西成矿业有限责任公司M1033铁矿选矿厂改建工程</w:t>
            </w:r>
            <w:r>
              <w:rPr>
                <w:rFonts w:hint="eastAsia"/>
                <w:color w:val="000000" w:themeColor="text1"/>
                <w:sz w:val="21"/>
                <w:szCs w:val="21"/>
                <w:highlight w:val="none"/>
                <w14:textFill>
                  <w14:solidFill>
                    <w14:schemeClr w14:val="tx1"/>
                  </w14:solidFill>
                </w14:textFill>
              </w:rPr>
              <w:t>环评委托书</w:t>
            </w:r>
          </w:p>
        </w:tc>
        <w:tc>
          <w:tcPr>
            <w:tcW w:w="1411" w:type="dxa"/>
            <w:vAlign w:val="center"/>
          </w:tcPr>
          <w:p w14:paraId="4EC1EEEE">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3-05</w:t>
            </w:r>
          </w:p>
        </w:tc>
      </w:tr>
      <w:tr w14:paraId="555561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605" w:type="dxa"/>
            <w:vAlign w:val="center"/>
          </w:tcPr>
          <w:p w14:paraId="6AF1419D">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6407" w:type="dxa"/>
            <w:vAlign w:val="center"/>
          </w:tcPr>
          <w:p w14:paraId="4924693B">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新疆哈密市西成矿业有限责任公司M1033铁矿矿产资源开发利用与生态保护修复方案</w:t>
            </w:r>
          </w:p>
        </w:tc>
        <w:tc>
          <w:tcPr>
            <w:tcW w:w="1411" w:type="dxa"/>
            <w:vAlign w:val="center"/>
          </w:tcPr>
          <w:p w14:paraId="332E690D">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2022-12</w:t>
            </w:r>
          </w:p>
        </w:tc>
      </w:tr>
      <w:tr w14:paraId="3C3F8B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605" w:type="dxa"/>
            <w:vAlign w:val="center"/>
          </w:tcPr>
          <w:p w14:paraId="2D1D9CAD">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6407" w:type="dxa"/>
            <w:vAlign w:val="center"/>
          </w:tcPr>
          <w:p w14:paraId="5A0D8F78">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新疆哈密市M1033铁矿资源储量核实报告</w:t>
            </w:r>
          </w:p>
        </w:tc>
        <w:tc>
          <w:tcPr>
            <w:tcW w:w="1411" w:type="dxa"/>
            <w:vAlign w:val="center"/>
          </w:tcPr>
          <w:p w14:paraId="3FF57A01">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2022-04</w:t>
            </w:r>
          </w:p>
        </w:tc>
      </w:tr>
      <w:tr w14:paraId="2EFEC6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605" w:type="dxa"/>
            <w:vAlign w:val="center"/>
          </w:tcPr>
          <w:p w14:paraId="4C26156F">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6407" w:type="dxa"/>
            <w:vAlign w:val="center"/>
          </w:tcPr>
          <w:p w14:paraId="5AB86A21">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新疆哈密市M1033铁矿</w:t>
            </w:r>
            <w:r>
              <w:rPr>
                <w:rFonts w:hint="eastAsia"/>
                <w:color w:val="000000" w:themeColor="text1"/>
                <w:sz w:val="21"/>
                <w:szCs w:val="21"/>
                <w:highlight w:val="none"/>
                <w14:textFill>
                  <w14:solidFill>
                    <w14:schemeClr w14:val="tx1"/>
                  </w14:solidFill>
                </w14:textFill>
              </w:rPr>
              <w:t>矿山地质环境保护与土地复垦方案</w:t>
            </w:r>
          </w:p>
        </w:tc>
        <w:tc>
          <w:tcPr>
            <w:tcW w:w="1411" w:type="dxa"/>
            <w:vAlign w:val="center"/>
          </w:tcPr>
          <w:p w14:paraId="134F6052">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2021-07</w:t>
            </w:r>
          </w:p>
        </w:tc>
      </w:tr>
      <w:tr w14:paraId="48FAD6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605" w:type="dxa"/>
            <w:vAlign w:val="center"/>
          </w:tcPr>
          <w:p w14:paraId="5F3F0F68">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6407" w:type="dxa"/>
            <w:vAlign w:val="center"/>
          </w:tcPr>
          <w:p w14:paraId="19983DD7">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新疆哈密市西成矿业有限责任公司M1033铁矿60万吨/采选工改扩建项目水资源论证报告书</w:t>
            </w:r>
          </w:p>
        </w:tc>
        <w:tc>
          <w:tcPr>
            <w:tcW w:w="1411" w:type="dxa"/>
            <w:vAlign w:val="center"/>
          </w:tcPr>
          <w:p w14:paraId="4ACEDC7B">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2022-05</w:t>
            </w:r>
          </w:p>
        </w:tc>
      </w:tr>
      <w:tr w14:paraId="4BFF16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605" w:type="dxa"/>
            <w:vAlign w:val="center"/>
          </w:tcPr>
          <w:p w14:paraId="46256167">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6407" w:type="dxa"/>
            <w:vAlign w:val="center"/>
          </w:tcPr>
          <w:p w14:paraId="56CC8A8B">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lang w:val="en-US" w:eastAsia="zh-CN"/>
                <w14:textFill>
                  <w14:solidFill>
                    <w14:schemeClr w14:val="tx1"/>
                  </w14:solidFill>
                </w14:textFill>
              </w:rPr>
              <w:t>哈密市西成矿业有限责任公司</w:t>
            </w:r>
            <w:r>
              <w:rPr>
                <w:rFonts w:hint="default"/>
                <w:color w:val="000000" w:themeColor="text1"/>
                <w:sz w:val="21"/>
                <w:szCs w:val="21"/>
                <w:highlight w:val="none"/>
                <w:lang w:val="en-US" w:eastAsia="zh-CN"/>
                <w14:textFill>
                  <w14:solidFill>
                    <w14:schemeClr w14:val="tx1"/>
                  </w14:solidFill>
                </w14:textFill>
              </w:rPr>
              <w:t>M1033</w:t>
            </w:r>
            <w:r>
              <w:rPr>
                <w:color w:val="000000" w:themeColor="text1"/>
                <w:sz w:val="21"/>
                <w:szCs w:val="21"/>
                <w:highlight w:val="none"/>
                <w:lang w:val="en-US" w:eastAsia="zh-CN"/>
                <w14:textFill>
                  <w14:solidFill>
                    <w14:schemeClr w14:val="tx1"/>
                  </w14:solidFill>
                </w14:textFill>
              </w:rPr>
              <w:t>铁矿选矿厂改建工程岩土工程详细勘察</w:t>
            </w:r>
            <w:r>
              <w:rPr>
                <w:rFonts w:hint="eastAsia"/>
                <w:color w:val="000000" w:themeColor="text1"/>
                <w:szCs w:val="24"/>
                <w:lang w:val="en-US" w:eastAsia="zh-CN"/>
                <w14:textFill>
                  <w14:solidFill>
                    <w14:schemeClr w14:val="tx1"/>
                  </w14:solidFill>
                </w14:textFill>
              </w:rPr>
              <w:t>报告</w:t>
            </w:r>
          </w:p>
        </w:tc>
        <w:tc>
          <w:tcPr>
            <w:tcW w:w="1411" w:type="dxa"/>
            <w:vAlign w:val="center"/>
          </w:tcPr>
          <w:p w14:paraId="17FA8804">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2022-09</w:t>
            </w:r>
          </w:p>
        </w:tc>
      </w:tr>
      <w:tr w14:paraId="2C19DD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605" w:type="dxa"/>
            <w:vAlign w:val="center"/>
          </w:tcPr>
          <w:p w14:paraId="3068E3B0">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6407" w:type="dxa"/>
            <w:vAlign w:val="center"/>
          </w:tcPr>
          <w:p w14:paraId="798B295A">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哈密市西成矿业有限责任公司年产30万吨铁精粉建设项目环境影响报告表</w:t>
            </w:r>
          </w:p>
        </w:tc>
        <w:tc>
          <w:tcPr>
            <w:tcW w:w="1411" w:type="dxa"/>
            <w:vAlign w:val="center"/>
          </w:tcPr>
          <w:p w14:paraId="3B13DB14">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eastAsia="zh-CN"/>
                <w14:textFill>
                  <w14:solidFill>
                    <w14:schemeClr w14:val="tx1"/>
                  </w14:solidFill>
                </w14:textFill>
              </w:rPr>
              <w:t>006</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08</w:t>
            </w:r>
          </w:p>
        </w:tc>
      </w:tr>
      <w:tr w14:paraId="01CF0B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605" w:type="dxa"/>
            <w:vAlign w:val="center"/>
          </w:tcPr>
          <w:p w14:paraId="4CAD52D8">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w:t>
            </w:r>
          </w:p>
        </w:tc>
        <w:tc>
          <w:tcPr>
            <w:tcW w:w="6407" w:type="dxa"/>
            <w:vAlign w:val="center"/>
          </w:tcPr>
          <w:p w14:paraId="2376C656">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关于哈密市西成矿业有限责任公司年产30万吨铁精粉建设项目</w:t>
            </w:r>
          </w:p>
          <w:p w14:paraId="4C5D113F">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环境影响报告表的批复</w:t>
            </w:r>
          </w:p>
        </w:tc>
        <w:tc>
          <w:tcPr>
            <w:tcW w:w="1411" w:type="dxa"/>
            <w:vAlign w:val="center"/>
          </w:tcPr>
          <w:p w14:paraId="4AA4E96E">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eastAsia="zh-CN"/>
                <w14:textFill>
                  <w14:solidFill>
                    <w14:schemeClr w14:val="tx1"/>
                  </w14:solidFill>
                </w14:textFill>
              </w:rPr>
              <w:t>006</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09</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20</w:t>
            </w:r>
          </w:p>
        </w:tc>
      </w:tr>
      <w:tr w14:paraId="6530B8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605" w:type="dxa"/>
            <w:vAlign w:val="center"/>
          </w:tcPr>
          <w:p w14:paraId="12A572C6">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w:t>
            </w:r>
          </w:p>
        </w:tc>
        <w:tc>
          <w:tcPr>
            <w:tcW w:w="6407" w:type="dxa"/>
            <w:vAlign w:val="center"/>
          </w:tcPr>
          <w:p w14:paraId="1851AF5C">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哈密市伊州区科技和工业信息化局出具的关于本项目的《企业投资项目备案证明》</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伊区科工技字〔20</w:t>
            </w: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〕9号</w:t>
            </w:r>
          </w:p>
        </w:tc>
        <w:tc>
          <w:tcPr>
            <w:tcW w:w="1411" w:type="dxa"/>
            <w:vAlign w:val="center"/>
          </w:tcPr>
          <w:p w14:paraId="2F9D658E">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2020-06-18</w:t>
            </w:r>
          </w:p>
        </w:tc>
      </w:tr>
      <w:tr w14:paraId="682799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605" w:type="dxa"/>
            <w:vAlign w:val="center"/>
          </w:tcPr>
          <w:p w14:paraId="1D85B60F">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6407" w:type="dxa"/>
            <w:vAlign w:val="center"/>
          </w:tcPr>
          <w:p w14:paraId="6B0410C3">
            <w:pPr>
              <w:pStyle w:val="45"/>
              <w:keepNext w:val="0"/>
              <w:keepLines w:val="0"/>
              <w:pageBreakBefore w:val="0"/>
              <w:widowControl w:val="0"/>
              <w:kinsoku/>
              <w:wordWrap/>
              <w:overflowPunct/>
              <w:topLinePunct w:val="0"/>
              <w:autoSpaceDE/>
              <w:autoSpaceDN/>
              <w:bidi w:val="0"/>
              <w:adjustRightInd/>
              <w:snapToGrid/>
              <w:spacing w:before="0" w:beforeAutospacing="0" w:line="360" w:lineRule="exact"/>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其他与项目相关的技术资料</w:t>
            </w:r>
          </w:p>
        </w:tc>
        <w:tc>
          <w:tcPr>
            <w:tcW w:w="1411" w:type="dxa"/>
            <w:vAlign w:val="center"/>
          </w:tcPr>
          <w:p w14:paraId="400AA0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bl>
    <w:p w14:paraId="280FEF61">
      <w:pPr>
        <w:pStyle w:val="3"/>
        <w:spacing w:line="560" w:lineRule="atLeast"/>
        <w:rPr>
          <w:rFonts w:hint="eastAsia" w:ascii="Times New Roman" w:hAnsi="Times New Roman" w:eastAsia="宋体" w:cs="Times New Roman"/>
          <w:color w:val="000000" w:themeColor="text1"/>
          <w:highlight w:val="none"/>
          <w14:textFill>
            <w14:solidFill>
              <w14:schemeClr w14:val="tx1"/>
            </w14:solidFill>
          </w14:textFill>
        </w:rPr>
      </w:pPr>
      <w:bookmarkStart w:id="117" w:name="_Toc10746"/>
      <w:bookmarkStart w:id="118" w:name="_Toc13789"/>
      <w:bookmarkStart w:id="119" w:name="_Toc24102"/>
      <w:bookmarkStart w:id="120" w:name="_Toc2401"/>
      <w:bookmarkStart w:id="121" w:name="_Toc107413879"/>
      <w:bookmarkStart w:id="122" w:name="_Toc107414646"/>
      <w:bookmarkStart w:id="123" w:name="_Toc20392"/>
      <w:r>
        <w:rPr>
          <w:rFonts w:hint="eastAsia" w:ascii="Times New Roman" w:hAnsi="Times New Roman" w:eastAsia="宋体" w:cs="Times New Roman"/>
          <w:color w:val="000000" w:themeColor="text1"/>
          <w:highlight w:val="none"/>
          <w14:textFill>
            <w14:solidFill>
              <w14:schemeClr w14:val="tx1"/>
            </w14:solidFill>
          </w14:textFill>
        </w:rPr>
        <w:t>2.3环境影响评价时段</w:t>
      </w:r>
      <w:bookmarkEnd w:id="117"/>
      <w:bookmarkEnd w:id="118"/>
      <w:bookmarkEnd w:id="119"/>
      <w:bookmarkEnd w:id="120"/>
      <w:bookmarkEnd w:id="121"/>
      <w:bookmarkEnd w:id="122"/>
      <w:bookmarkEnd w:id="123"/>
    </w:p>
    <w:p w14:paraId="07462B1C">
      <w:pPr>
        <w:keepNext w:val="0"/>
        <w:keepLines w:val="0"/>
        <w:pageBreakBefore w:val="0"/>
        <w:widowControl w:val="0"/>
        <w:kinsoku/>
        <w:wordWrap/>
        <w:overflowPunct w:val="0"/>
        <w:topLinePunct/>
        <w:autoSpaceDE/>
        <w:autoSpaceDN/>
        <w:bidi w:val="0"/>
        <w:adjustRightInd/>
        <w:snapToGrid w:val="0"/>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本项目分为三个评价时段：</w:t>
      </w:r>
    </w:p>
    <w:p w14:paraId="3395C9AB">
      <w:pPr>
        <w:keepNext w:val="0"/>
        <w:keepLines w:val="0"/>
        <w:pageBreakBefore w:val="0"/>
        <w:widowControl w:val="0"/>
        <w:kinsoku/>
        <w:wordWrap/>
        <w:overflowPunct w:val="0"/>
        <w:topLinePunct/>
        <w:autoSpaceDE/>
        <w:autoSpaceDN/>
        <w:bidi w:val="0"/>
        <w:adjustRightInd/>
        <w:snapToGrid w:val="0"/>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（1）施工期；</w:t>
      </w:r>
    </w:p>
    <w:p w14:paraId="30A6701D">
      <w:pPr>
        <w:keepNext w:val="0"/>
        <w:keepLines w:val="0"/>
        <w:pageBreakBefore w:val="0"/>
        <w:widowControl w:val="0"/>
        <w:kinsoku/>
        <w:wordWrap/>
        <w:overflowPunct w:val="0"/>
        <w:topLinePunct/>
        <w:autoSpaceDE/>
        <w:autoSpaceDN/>
        <w:bidi w:val="0"/>
        <w:adjustRightInd/>
        <w:snapToGrid w:val="0"/>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（2）运营期；</w:t>
      </w:r>
    </w:p>
    <w:p w14:paraId="48B03241">
      <w:pPr>
        <w:keepNext w:val="0"/>
        <w:keepLines w:val="0"/>
        <w:pageBreakBefore w:val="0"/>
        <w:widowControl w:val="0"/>
        <w:kinsoku/>
        <w:wordWrap/>
        <w:overflowPunct w:val="0"/>
        <w:topLinePunct/>
        <w:autoSpaceDE/>
        <w:autoSpaceDN/>
        <w:bidi w:val="0"/>
        <w:adjustRightInd/>
        <w:snapToGrid w:val="0"/>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（3）退役期。</w:t>
      </w:r>
    </w:p>
    <w:p w14:paraId="0612B7F0">
      <w:pPr>
        <w:pStyle w:val="3"/>
        <w:spacing w:line="560" w:lineRule="atLeast"/>
        <w:rPr>
          <w:rFonts w:hint="eastAsia" w:ascii="Times New Roman" w:hAnsi="Times New Roman" w:eastAsia="宋体" w:cs="Times New Roman"/>
          <w:color w:val="000000" w:themeColor="text1"/>
          <w:highlight w:val="none"/>
          <w14:textFill>
            <w14:solidFill>
              <w14:schemeClr w14:val="tx1"/>
            </w14:solidFill>
          </w14:textFill>
        </w:rPr>
      </w:pPr>
      <w:bookmarkStart w:id="124" w:name="_Toc32448"/>
      <w:bookmarkStart w:id="125" w:name="_Toc107414647"/>
      <w:bookmarkStart w:id="126" w:name="_Toc21200"/>
      <w:bookmarkStart w:id="127" w:name="_Toc27166"/>
      <w:bookmarkStart w:id="128" w:name="_Toc13881"/>
      <w:bookmarkStart w:id="129" w:name="_Toc703"/>
      <w:bookmarkStart w:id="130" w:name="_Toc107413880"/>
      <w:r>
        <w:rPr>
          <w:rFonts w:hint="eastAsia" w:ascii="Times New Roman" w:hAnsi="Times New Roman" w:eastAsia="宋体" w:cs="Times New Roman"/>
          <w:color w:val="000000" w:themeColor="text1"/>
          <w:highlight w:val="none"/>
          <w14:textFill>
            <w14:solidFill>
              <w14:schemeClr w14:val="tx1"/>
            </w14:solidFill>
          </w14:textFill>
        </w:rPr>
        <w:t>2.4评价因子识别及筛选</w:t>
      </w:r>
      <w:bookmarkEnd w:id="124"/>
      <w:bookmarkEnd w:id="125"/>
      <w:bookmarkEnd w:id="126"/>
      <w:bookmarkEnd w:id="127"/>
      <w:bookmarkEnd w:id="128"/>
      <w:bookmarkEnd w:id="129"/>
      <w:bookmarkEnd w:id="130"/>
    </w:p>
    <w:p w14:paraId="1A113767">
      <w:pPr>
        <w:pStyle w:val="4"/>
        <w:rPr>
          <w:color w:val="000000" w:themeColor="text1"/>
          <w:highlight w:val="none"/>
          <w14:textFill>
            <w14:solidFill>
              <w14:schemeClr w14:val="tx1"/>
            </w14:solidFill>
          </w14:textFill>
        </w:rPr>
      </w:pPr>
      <w:bookmarkStart w:id="131" w:name="_Toc21190"/>
      <w:bookmarkStart w:id="132" w:name="_Toc8082"/>
      <w:bookmarkStart w:id="133" w:name="_Toc31514"/>
      <w:bookmarkStart w:id="134" w:name="_Toc16194"/>
      <w:bookmarkStart w:id="135" w:name="_Toc1207"/>
      <w:bookmarkStart w:id="136" w:name="_Toc5447"/>
      <w:bookmarkStart w:id="137" w:name="_Toc8897"/>
      <w:bookmarkStart w:id="138" w:name="_Toc27907"/>
      <w:bookmarkStart w:id="139" w:name="_Toc13960"/>
      <w:r>
        <w:rPr>
          <w:color w:val="000000" w:themeColor="text1"/>
          <w:highlight w:val="none"/>
          <w14:textFill>
            <w14:solidFill>
              <w14:schemeClr w14:val="tx1"/>
            </w14:solidFill>
          </w14:textFill>
        </w:rPr>
        <w:t>2.4.1环境影响因素识别</w:t>
      </w:r>
      <w:bookmarkEnd w:id="131"/>
      <w:bookmarkEnd w:id="132"/>
      <w:bookmarkEnd w:id="133"/>
      <w:bookmarkEnd w:id="134"/>
      <w:bookmarkEnd w:id="135"/>
      <w:bookmarkEnd w:id="136"/>
      <w:bookmarkEnd w:id="137"/>
      <w:bookmarkEnd w:id="138"/>
      <w:bookmarkEnd w:id="139"/>
    </w:p>
    <w:p w14:paraId="15A2115A">
      <w:pPr>
        <w:overflowPunct w:val="0"/>
        <w:topLinePunct/>
        <w:ind w:firstLine="480"/>
        <w:rPr>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本项目</w:t>
      </w:r>
      <w:r>
        <w:rPr>
          <w:rFonts w:hint="eastAsia"/>
          <w:color w:val="000000" w:themeColor="text1"/>
          <w:kern w:val="0"/>
          <w:highlight w:val="none"/>
          <w14:textFill>
            <w14:solidFill>
              <w14:schemeClr w14:val="tx1"/>
            </w14:solidFill>
          </w14:textFill>
        </w:rPr>
        <w:t>为选矿工程，</w:t>
      </w:r>
      <w:r>
        <w:rPr>
          <w:rFonts w:hint="eastAsia"/>
          <w:color w:val="000000" w:themeColor="text1"/>
          <w:highlight w:val="none"/>
          <w14:textFill>
            <w14:solidFill>
              <w14:schemeClr w14:val="tx1"/>
            </w14:solidFill>
          </w14:textFill>
        </w:rPr>
        <w:t>行政区划隶属</w:t>
      </w:r>
      <w:r>
        <w:rPr>
          <w:rFonts w:hint="eastAsia"/>
          <w:color w:val="000000" w:themeColor="text1"/>
          <w:highlight w:val="none"/>
          <w:lang w:eastAsia="zh-CN"/>
          <w14:textFill>
            <w14:solidFill>
              <w14:schemeClr w14:val="tx1"/>
            </w14:solidFill>
          </w14:textFill>
        </w:rPr>
        <w:t>伊州区雅满苏镇</w:t>
      </w:r>
      <w:r>
        <w:rPr>
          <w:rFonts w:hint="eastAsia"/>
          <w:color w:val="000000" w:themeColor="text1"/>
          <w:highlight w:val="none"/>
          <w14:textFill>
            <w14:solidFill>
              <w14:schemeClr w14:val="tx1"/>
            </w14:solidFill>
          </w14:textFill>
        </w:rPr>
        <w:t>管辖。</w:t>
      </w:r>
      <w:r>
        <w:rPr>
          <w:color w:val="000000" w:themeColor="text1"/>
          <w:kern w:val="0"/>
          <w:highlight w:val="none"/>
          <w14:textFill>
            <w14:solidFill>
              <w14:schemeClr w14:val="tx1"/>
            </w14:solidFill>
          </w14:textFill>
        </w:rPr>
        <w:t>经过对本项目生产工艺和污染物排放特征分析及对周围环境状况的调查，采用矩阵法对可能受本项目影响的环境要素进行识别筛选</w:t>
      </w:r>
      <w:r>
        <w:rPr>
          <w:color w:val="000000" w:themeColor="text1"/>
          <w:highlight w:val="none"/>
          <w14:textFill>
            <w14:solidFill>
              <w14:schemeClr w14:val="tx1"/>
            </w14:solidFill>
          </w14:textFill>
        </w:rPr>
        <w:t>，项目环境影响因素识别见表2.4-1。</w:t>
      </w:r>
    </w:p>
    <w:p w14:paraId="32469A01">
      <w:pPr>
        <w:overflowPunct w:val="0"/>
        <w:topLinePunct/>
        <w:ind w:firstLine="480"/>
        <w:rPr>
          <w:color w:val="000000" w:themeColor="text1"/>
          <w:highlight w:val="none"/>
          <w14:textFill>
            <w14:solidFill>
              <w14:schemeClr w14:val="tx1"/>
            </w14:solidFill>
          </w14:textFill>
        </w:rPr>
      </w:pPr>
    </w:p>
    <w:p w14:paraId="6C512614">
      <w:pPr>
        <w:overflowPunct w:val="0"/>
        <w:topLinePunct/>
        <w:ind w:firstLine="480"/>
        <w:rPr>
          <w:color w:val="000000" w:themeColor="text1"/>
          <w:highlight w:val="none"/>
          <w14:textFill>
            <w14:solidFill>
              <w14:schemeClr w14:val="tx1"/>
            </w14:solidFill>
          </w14:textFill>
        </w:rPr>
      </w:pPr>
    </w:p>
    <w:p w14:paraId="78EE257E">
      <w:pPr>
        <w:overflowPunct w:val="0"/>
        <w:topLinePunct/>
        <w:ind w:firstLine="480"/>
        <w:rPr>
          <w:color w:val="000000" w:themeColor="text1"/>
          <w:highlight w:val="none"/>
          <w14:textFill>
            <w14:solidFill>
              <w14:schemeClr w14:val="tx1"/>
            </w14:solidFill>
          </w14:textFill>
        </w:rPr>
      </w:pPr>
    </w:p>
    <w:p w14:paraId="6A29C0B1">
      <w:pPr>
        <w:pStyle w:val="4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表2.4-1    主要环境影响因素识别表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093"/>
        <w:gridCol w:w="613"/>
        <w:gridCol w:w="612"/>
        <w:gridCol w:w="639"/>
        <w:gridCol w:w="554"/>
        <w:gridCol w:w="682"/>
        <w:gridCol w:w="1043"/>
        <w:gridCol w:w="653"/>
        <w:gridCol w:w="624"/>
        <w:gridCol w:w="661"/>
        <w:gridCol w:w="637"/>
      </w:tblGrid>
      <w:tr w14:paraId="2CB27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16" w:type="pct"/>
            <w:vMerge w:val="restart"/>
            <w:tcBorders>
              <w:tl2br w:val="nil"/>
              <w:tr2bl w:val="nil"/>
            </w:tcBorders>
            <w:vAlign w:val="center"/>
          </w:tcPr>
          <w:p w14:paraId="53CC5D3E">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评价时段</w:t>
            </w:r>
          </w:p>
        </w:tc>
        <w:tc>
          <w:tcPr>
            <w:tcW w:w="642" w:type="pct"/>
            <w:vMerge w:val="restart"/>
            <w:tcBorders>
              <w:tl2br w:val="nil"/>
              <w:tr2bl w:val="nil"/>
            </w:tcBorders>
            <w:vAlign w:val="center"/>
          </w:tcPr>
          <w:p w14:paraId="7790D685">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污染因素</w:t>
            </w:r>
          </w:p>
        </w:tc>
        <w:tc>
          <w:tcPr>
            <w:tcW w:w="3941" w:type="pct"/>
            <w:gridSpan w:val="10"/>
            <w:tcBorders>
              <w:tl2br w:val="nil"/>
              <w:tr2bl w:val="nil"/>
            </w:tcBorders>
            <w:vAlign w:val="center"/>
          </w:tcPr>
          <w:p w14:paraId="5DC9DF13">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环境要素</w:t>
            </w:r>
          </w:p>
        </w:tc>
      </w:tr>
      <w:tr w14:paraId="4265D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16" w:type="pct"/>
            <w:vMerge w:val="continue"/>
            <w:tcBorders>
              <w:tl2br w:val="nil"/>
              <w:tr2bl w:val="nil"/>
            </w:tcBorders>
            <w:vAlign w:val="center"/>
          </w:tcPr>
          <w:p w14:paraId="3EF040A3">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p>
        </w:tc>
        <w:tc>
          <w:tcPr>
            <w:tcW w:w="642" w:type="pct"/>
            <w:vMerge w:val="continue"/>
            <w:tcBorders>
              <w:tl2br w:val="nil"/>
              <w:tr2bl w:val="nil"/>
            </w:tcBorders>
            <w:vAlign w:val="center"/>
          </w:tcPr>
          <w:p w14:paraId="2241004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p>
        </w:tc>
        <w:tc>
          <w:tcPr>
            <w:tcW w:w="360" w:type="pct"/>
            <w:vMerge w:val="restart"/>
            <w:tcBorders>
              <w:tl2br w:val="nil"/>
              <w:tr2bl w:val="nil"/>
            </w:tcBorders>
            <w:vAlign w:val="center"/>
          </w:tcPr>
          <w:p w14:paraId="702BD9D9">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w:t>
            </w:r>
          </w:p>
          <w:p w14:paraId="300EAE40">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空气</w:t>
            </w:r>
          </w:p>
        </w:tc>
        <w:tc>
          <w:tcPr>
            <w:tcW w:w="359" w:type="pct"/>
            <w:vMerge w:val="restart"/>
            <w:tcBorders>
              <w:tl2br w:val="nil"/>
              <w:tr2bl w:val="nil"/>
            </w:tcBorders>
            <w:vAlign w:val="center"/>
          </w:tcPr>
          <w:p w14:paraId="003DC414">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地表水</w:t>
            </w:r>
          </w:p>
        </w:tc>
        <w:tc>
          <w:tcPr>
            <w:tcW w:w="375" w:type="pct"/>
            <w:vMerge w:val="restart"/>
            <w:tcBorders>
              <w:tl2br w:val="nil"/>
              <w:tr2bl w:val="nil"/>
            </w:tcBorders>
            <w:vAlign w:val="center"/>
          </w:tcPr>
          <w:p w14:paraId="5238C038">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地下水</w:t>
            </w:r>
          </w:p>
        </w:tc>
        <w:tc>
          <w:tcPr>
            <w:tcW w:w="325" w:type="pct"/>
            <w:vMerge w:val="restart"/>
            <w:tcBorders>
              <w:tl2br w:val="nil"/>
              <w:tr2bl w:val="nil"/>
            </w:tcBorders>
            <w:vAlign w:val="center"/>
          </w:tcPr>
          <w:p w14:paraId="1304D77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声环境</w:t>
            </w:r>
          </w:p>
        </w:tc>
        <w:tc>
          <w:tcPr>
            <w:tcW w:w="2149" w:type="pct"/>
            <w:gridSpan w:val="5"/>
            <w:tcBorders>
              <w:tl2br w:val="nil"/>
              <w:tr2bl w:val="nil"/>
            </w:tcBorders>
            <w:vAlign w:val="center"/>
          </w:tcPr>
          <w:p w14:paraId="692B3010">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生态</w:t>
            </w:r>
          </w:p>
        </w:tc>
        <w:tc>
          <w:tcPr>
            <w:tcW w:w="370" w:type="pct"/>
            <w:vMerge w:val="restart"/>
            <w:tcBorders>
              <w:tl2br w:val="nil"/>
              <w:tr2bl w:val="nil"/>
            </w:tcBorders>
            <w:vAlign w:val="center"/>
          </w:tcPr>
          <w:p w14:paraId="304DE1CB">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w:t>
            </w:r>
          </w:p>
          <w:p w14:paraId="4B0063A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风险</w:t>
            </w:r>
          </w:p>
        </w:tc>
      </w:tr>
      <w:tr w14:paraId="12B94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16" w:type="pct"/>
            <w:vMerge w:val="continue"/>
            <w:tcBorders>
              <w:tl2br w:val="nil"/>
              <w:tr2bl w:val="nil"/>
            </w:tcBorders>
            <w:vAlign w:val="center"/>
          </w:tcPr>
          <w:p w14:paraId="6FB9CC69">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642" w:type="pct"/>
            <w:vMerge w:val="continue"/>
            <w:tcBorders>
              <w:tl2br w:val="nil"/>
              <w:tr2bl w:val="nil"/>
            </w:tcBorders>
            <w:vAlign w:val="center"/>
          </w:tcPr>
          <w:p w14:paraId="5820597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360" w:type="pct"/>
            <w:vMerge w:val="continue"/>
            <w:tcBorders>
              <w:tl2br w:val="nil"/>
              <w:tr2bl w:val="nil"/>
            </w:tcBorders>
            <w:vAlign w:val="center"/>
          </w:tcPr>
          <w:p w14:paraId="59BB5449">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359" w:type="pct"/>
            <w:vMerge w:val="continue"/>
            <w:tcBorders>
              <w:tl2br w:val="nil"/>
              <w:tr2bl w:val="nil"/>
            </w:tcBorders>
            <w:vAlign w:val="center"/>
          </w:tcPr>
          <w:p w14:paraId="1E924B80">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375" w:type="pct"/>
            <w:vMerge w:val="continue"/>
            <w:tcBorders>
              <w:tl2br w:val="nil"/>
              <w:tr2bl w:val="nil"/>
            </w:tcBorders>
            <w:vAlign w:val="center"/>
          </w:tcPr>
          <w:p w14:paraId="793E2E85">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325" w:type="pct"/>
            <w:vMerge w:val="continue"/>
            <w:tcBorders>
              <w:tl2br w:val="nil"/>
              <w:tr2bl w:val="nil"/>
            </w:tcBorders>
            <w:vAlign w:val="center"/>
          </w:tcPr>
          <w:p w14:paraId="3285E6B4">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400" w:type="pct"/>
            <w:tcBorders>
              <w:tl2br w:val="nil"/>
              <w:tr2bl w:val="nil"/>
            </w:tcBorders>
            <w:vAlign w:val="center"/>
          </w:tcPr>
          <w:p w14:paraId="2F12421D">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植被</w:t>
            </w:r>
          </w:p>
        </w:tc>
        <w:tc>
          <w:tcPr>
            <w:tcW w:w="612" w:type="pct"/>
            <w:tcBorders>
              <w:tl2br w:val="nil"/>
              <w:tr2bl w:val="nil"/>
            </w:tcBorders>
            <w:vAlign w:val="center"/>
          </w:tcPr>
          <w:p w14:paraId="0C8F94A6">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土壤或土地利用</w:t>
            </w:r>
          </w:p>
        </w:tc>
        <w:tc>
          <w:tcPr>
            <w:tcW w:w="383" w:type="pct"/>
            <w:tcBorders>
              <w:tl2br w:val="nil"/>
              <w:tr2bl w:val="nil"/>
            </w:tcBorders>
            <w:vAlign w:val="center"/>
          </w:tcPr>
          <w:p w14:paraId="72FD6A35">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水土</w:t>
            </w:r>
          </w:p>
          <w:p w14:paraId="2AD6AE06">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流失</w:t>
            </w:r>
          </w:p>
        </w:tc>
        <w:tc>
          <w:tcPr>
            <w:tcW w:w="366" w:type="pct"/>
            <w:tcBorders>
              <w:tl2br w:val="nil"/>
              <w:tr2bl w:val="nil"/>
            </w:tcBorders>
            <w:vAlign w:val="center"/>
          </w:tcPr>
          <w:p w14:paraId="72875434">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自然</w:t>
            </w:r>
          </w:p>
          <w:p w14:paraId="5056952C">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景观</w:t>
            </w:r>
          </w:p>
        </w:tc>
        <w:tc>
          <w:tcPr>
            <w:tcW w:w="387" w:type="pct"/>
            <w:tcBorders>
              <w:tl2br w:val="nil"/>
              <w:tr2bl w:val="nil"/>
            </w:tcBorders>
            <w:vAlign w:val="center"/>
          </w:tcPr>
          <w:p w14:paraId="292A03D2">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野生</w:t>
            </w:r>
          </w:p>
          <w:p w14:paraId="33EDDFE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生物</w:t>
            </w:r>
          </w:p>
        </w:tc>
        <w:tc>
          <w:tcPr>
            <w:tcW w:w="370" w:type="pct"/>
            <w:vMerge w:val="continue"/>
            <w:tcBorders>
              <w:tl2br w:val="nil"/>
              <w:tr2bl w:val="nil"/>
            </w:tcBorders>
            <w:vAlign w:val="center"/>
          </w:tcPr>
          <w:p w14:paraId="23934B34">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p>
        </w:tc>
      </w:tr>
      <w:tr w14:paraId="72BCF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55" w:hRule="atLeast"/>
          <w:jc w:val="center"/>
        </w:trPr>
        <w:tc>
          <w:tcPr>
            <w:tcW w:w="416" w:type="pct"/>
            <w:vMerge w:val="restart"/>
            <w:tcBorders>
              <w:tl2br w:val="nil"/>
              <w:tr2bl w:val="nil"/>
            </w:tcBorders>
            <w:vAlign w:val="center"/>
          </w:tcPr>
          <w:p w14:paraId="5E27D6A2">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施工期</w:t>
            </w:r>
          </w:p>
        </w:tc>
        <w:tc>
          <w:tcPr>
            <w:tcW w:w="642" w:type="pct"/>
            <w:tcBorders>
              <w:tl2br w:val="nil"/>
              <w:tr2bl w:val="nil"/>
            </w:tcBorders>
            <w:vAlign w:val="center"/>
          </w:tcPr>
          <w:p w14:paraId="79717DC6">
            <w:pPr>
              <w:spacing w:line="360" w:lineRule="exact"/>
              <w:ind w:firstLine="0" w:firstLineChars="0"/>
              <w:jc w:val="center"/>
              <w:rPr>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土建工程土地平整</w:t>
            </w:r>
          </w:p>
        </w:tc>
        <w:tc>
          <w:tcPr>
            <w:tcW w:w="360" w:type="pct"/>
            <w:tcBorders>
              <w:tl2br w:val="nil"/>
              <w:tr2bl w:val="nil"/>
            </w:tcBorders>
            <w:vAlign w:val="center"/>
          </w:tcPr>
          <w:p w14:paraId="5D457F2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-2D</w:t>
            </w:r>
          </w:p>
        </w:tc>
        <w:tc>
          <w:tcPr>
            <w:tcW w:w="359" w:type="pct"/>
            <w:tcBorders>
              <w:tl2br w:val="nil"/>
              <w:tr2bl w:val="nil"/>
            </w:tcBorders>
            <w:vAlign w:val="center"/>
          </w:tcPr>
          <w:p w14:paraId="6CC4F1EE">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75" w:type="pct"/>
            <w:tcBorders>
              <w:tl2br w:val="nil"/>
              <w:tr2bl w:val="nil"/>
            </w:tcBorders>
            <w:vAlign w:val="center"/>
          </w:tcPr>
          <w:p w14:paraId="4DB636BA">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25" w:type="pct"/>
            <w:tcBorders>
              <w:tl2br w:val="nil"/>
              <w:tr2bl w:val="nil"/>
            </w:tcBorders>
            <w:vAlign w:val="center"/>
          </w:tcPr>
          <w:p w14:paraId="6252A30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400" w:type="pct"/>
            <w:tcBorders>
              <w:tl2br w:val="nil"/>
              <w:tr2bl w:val="nil"/>
            </w:tcBorders>
            <w:vAlign w:val="center"/>
          </w:tcPr>
          <w:p w14:paraId="4109A3C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612" w:type="pct"/>
            <w:tcBorders>
              <w:tl2br w:val="nil"/>
              <w:tr2bl w:val="nil"/>
            </w:tcBorders>
            <w:vAlign w:val="center"/>
          </w:tcPr>
          <w:p w14:paraId="78D1636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383" w:type="pct"/>
            <w:tcBorders>
              <w:tl2br w:val="nil"/>
              <w:tr2bl w:val="nil"/>
            </w:tcBorders>
            <w:vAlign w:val="center"/>
          </w:tcPr>
          <w:p w14:paraId="64E4AC7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366" w:type="pct"/>
            <w:tcBorders>
              <w:tl2br w:val="nil"/>
              <w:tr2bl w:val="nil"/>
            </w:tcBorders>
            <w:vAlign w:val="center"/>
          </w:tcPr>
          <w:p w14:paraId="4D919B4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387" w:type="pct"/>
            <w:tcBorders>
              <w:tl2br w:val="nil"/>
              <w:tr2bl w:val="nil"/>
            </w:tcBorders>
            <w:vAlign w:val="center"/>
          </w:tcPr>
          <w:p w14:paraId="18717B0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370" w:type="pct"/>
            <w:tcBorders>
              <w:tl2br w:val="nil"/>
              <w:tr2bl w:val="nil"/>
            </w:tcBorders>
            <w:vAlign w:val="center"/>
          </w:tcPr>
          <w:p w14:paraId="2D9AF13D">
            <w:pPr>
              <w:spacing w:line="360" w:lineRule="exact"/>
              <w:ind w:firstLine="0" w:firstLineChars="0"/>
              <w:jc w:val="center"/>
              <w:rPr>
                <w:color w:val="000000" w:themeColor="text1"/>
                <w:sz w:val="21"/>
                <w:szCs w:val="21"/>
                <w:highlight w:val="none"/>
                <w14:textFill>
                  <w14:solidFill>
                    <w14:schemeClr w14:val="tx1"/>
                  </w14:solidFill>
                </w14:textFill>
              </w:rPr>
            </w:pPr>
          </w:p>
        </w:tc>
      </w:tr>
      <w:tr w14:paraId="52931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416" w:type="pct"/>
            <w:vMerge w:val="continue"/>
            <w:tcBorders>
              <w:tl2br w:val="nil"/>
              <w:tr2bl w:val="nil"/>
            </w:tcBorders>
            <w:vAlign w:val="center"/>
          </w:tcPr>
          <w:p w14:paraId="4126DAA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642" w:type="pct"/>
            <w:tcBorders>
              <w:tl2br w:val="nil"/>
              <w:tr2bl w:val="nil"/>
            </w:tcBorders>
            <w:vAlign w:val="center"/>
          </w:tcPr>
          <w:p w14:paraId="55BA722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物料运输</w:t>
            </w:r>
          </w:p>
        </w:tc>
        <w:tc>
          <w:tcPr>
            <w:tcW w:w="360" w:type="pct"/>
            <w:tcBorders>
              <w:tl2br w:val="nil"/>
              <w:tr2bl w:val="nil"/>
            </w:tcBorders>
            <w:vAlign w:val="center"/>
          </w:tcPr>
          <w:p w14:paraId="0FA2F14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359" w:type="pct"/>
            <w:tcBorders>
              <w:tl2br w:val="nil"/>
              <w:tr2bl w:val="nil"/>
            </w:tcBorders>
            <w:vAlign w:val="center"/>
          </w:tcPr>
          <w:p w14:paraId="691D961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75" w:type="pct"/>
            <w:tcBorders>
              <w:tl2br w:val="nil"/>
              <w:tr2bl w:val="nil"/>
            </w:tcBorders>
            <w:vAlign w:val="center"/>
          </w:tcPr>
          <w:p w14:paraId="49E68EF6">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25" w:type="pct"/>
            <w:tcBorders>
              <w:tl2br w:val="nil"/>
              <w:tr2bl w:val="nil"/>
            </w:tcBorders>
            <w:vAlign w:val="center"/>
          </w:tcPr>
          <w:p w14:paraId="754141D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400" w:type="pct"/>
            <w:tcBorders>
              <w:tl2br w:val="nil"/>
              <w:tr2bl w:val="nil"/>
            </w:tcBorders>
            <w:vAlign w:val="center"/>
          </w:tcPr>
          <w:p w14:paraId="609962A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612" w:type="pct"/>
            <w:tcBorders>
              <w:tl2br w:val="nil"/>
              <w:tr2bl w:val="nil"/>
            </w:tcBorders>
            <w:vAlign w:val="center"/>
          </w:tcPr>
          <w:p w14:paraId="74B8BD3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83" w:type="pct"/>
            <w:tcBorders>
              <w:tl2br w:val="nil"/>
              <w:tr2bl w:val="nil"/>
            </w:tcBorders>
            <w:vAlign w:val="center"/>
          </w:tcPr>
          <w:p w14:paraId="30450D47">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66" w:type="pct"/>
            <w:tcBorders>
              <w:tl2br w:val="nil"/>
              <w:tr2bl w:val="nil"/>
            </w:tcBorders>
            <w:vAlign w:val="center"/>
          </w:tcPr>
          <w:p w14:paraId="46B54B1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87" w:type="pct"/>
            <w:tcBorders>
              <w:tl2br w:val="nil"/>
              <w:tr2bl w:val="nil"/>
            </w:tcBorders>
            <w:vAlign w:val="center"/>
          </w:tcPr>
          <w:p w14:paraId="5BA5963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370" w:type="pct"/>
            <w:tcBorders>
              <w:tl2br w:val="nil"/>
              <w:tr2bl w:val="nil"/>
            </w:tcBorders>
            <w:vAlign w:val="center"/>
          </w:tcPr>
          <w:p w14:paraId="23F600F6">
            <w:pPr>
              <w:spacing w:line="360" w:lineRule="exact"/>
              <w:ind w:firstLine="0" w:firstLineChars="0"/>
              <w:jc w:val="center"/>
              <w:rPr>
                <w:color w:val="000000" w:themeColor="text1"/>
                <w:sz w:val="21"/>
                <w:szCs w:val="21"/>
                <w:highlight w:val="none"/>
                <w14:textFill>
                  <w14:solidFill>
                    <w14:schemeClr w14:val="tx1"/>
                  </w14:solidFill>
                </w14:textFill>
              </w:rPr>
            </w:pPr>
          </w:p>
        </w:tc>
      </w:tr>
      <w:tr w14:paraId="4EEDE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6" w:type="pct"/>
            <w:vMerge w:val="continue"/>
            <w:tcBorders>
              <w:tl2br w:val="nil"/>
              <w:tr2bl w:val="nil"/>
            </w:tcBorders>
            <w:vAlign w:val="center"/>
          </w:tcPr>
          <w:p w14:paraId="4E7C6F9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642" w:type="pct"/>
            <w:tcBorders>
              <w:tl2br w:val="nil"/>
              <w:tr2bl w:val="nil"/>
            </w:tcBorders>
            <w:vAlign w:val="center"/>
          </w:tcPr>
          <w:p w14:paraId="7ECE447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施工安装</w:t>
            </w:r>
          </w:p>
        </w:tc>
        <w:tc>
          <w:tcPr>
            <w:tcW w:w="360" w:type="pct"/>
            <w:tcBorders>
              <w:tl2br w:val="nil"/>
              <w:tr2bl w:val="nil"/>
            </w:tcBorders>
            <w:vAlign w:val="center"/>
          </w:tcPr>
          <w:p w14:paraId="7A199DD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359" w:type="pct"/>
            <w:tcBorders>
              <w:tl2br w:val="nil"/>
              <w:tr2bl w:val="nil"/>
            </w:tcBorders>
            <w:vAlign w:val="center"/>
          </w:tcPr>
          <w:p w14:paraId="64411A6C">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75" w:type="pct"/>
            <w:tcBorders>
              <w:tl2br w:val="nil"/>
              <w:tr2bl w:val="nil"/>
            </w:tcBorders>
            <w:vAlign w:val="center"/>
          </w:tcPr>
          <w:p w14:paraId="04A6908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25" w:type="pct"/>
            <w:tcBorders>
              <w:tl2br w:val="nil"/>
              <w:tr2bl w:val="nil"/>
            </w:tcBorders>
            <w:vAlign w:val="center"/>
          </w:tcPr>
          <w:p w14:paraId="249DE23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400" w:type="pct"/>
            <w:tcBorders>
              <w:tl2br w:val="nil"/>
              <w:tr2bl w:val="nil"/>
            </w:tcBorders>
            <w:vAlign w:val="center"/>
          </w:tcPr>
          <w:p w14:paraId="67F23A1E">
            <w:pPr>
              <w:spacing w:line="360" w:lineRule="exact"/>
              <w:ind w:firstLine="0" w:firstLineChars="0"/>
              <w:jc w:val="center"/>
              <w:rPr>
                <w:color w:val="000000" w:themeColor="text1"/>
                <w:sz w:val="21"/>
                <w:szCs w:val="21"/>
                <w:highlight w:val="none"/>
                <w14:textFill>
                  <w14:solidFill>
                    <w14:schemeClr w14:val="tx1"/>
                  </w14:solidFill>
                </w14:textFill>
              </w:rPr>
            </w:pPr>
          </w:p>
        </w:tc>
        <w:tc>
          <w:tcPr>
            <w:tcW w:w="612" w:type="pct"/>
            <w:tcBorders>
              <w:tl2br w:val="nil"/>
              <w:tr2bl w:val="nil"/>
            </w:tcBorders>
            <w:vAlign w:val="center"/>
          </w:tcPr>
          <w:p w14:paraId="5BD6743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83" w:type="pct"/>
            <w:tcBorders>
              <w:tl2br w:val="nil"/>
              <w:tr2bl w:val="nil"/>
            </w:tcBorders>
            <w:vAlign w:val="center"/>
          </w:tcPr>
          <w:p w14:paraId="73E8A8FE">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66" w:type="pct"/>
            <w:tcBorders>
              <w:tl2br w:val="nil"/>
              <w:tr2bl w:val="nil"/>
            </w:tcBorders>
            <w:vAlign w:val="center"/>
          </w:tcPr>
          <w:p w14:paraId="484D5B1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387" w:type="pct"/>
            <w:tcBorders>
              <w:tl2br w:val="nil"/>
              <w:tr2bl w:val="nil"/>
            </w:tcBorders>
            <w:vAlign w:val="center"/>
          </w:tcPr>
          <w:p w14:paraId="3BE8C56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370" w:type="pct"/>
            <w:tcBorders>
              <w:tl2br w:val="nil"/>
              <w:tr2bl w:val="nil"/>
            </w:tcBorders>
            <w:vAlign w:val="center"/>
          </w:tcPr>
          <w:p w14:paraId="32E879FA">
            <w:pPr>
              <w:spacing w:line="360" w:lineRule="exact"/>
              <w:ind w:firstLine="0" w:firstLineChars="0"/>
              <w:jc w:val="center"/>
              <w:rPr>
                <w:color w:val="000000" w:themeColor="text1"/>
                <w:sz w:val="21"/>
                <w:szCs w:val="21"/>
                <w:highlight w:val="none"/>
                <w14:textFill>
                  <w14:solidFill>
                    <w14:schemeClr w14:val="tx1"/>
                  </w14:solidFill>
                </w14:textFill>
              </w:rPr>
            </w:pPr>
          </w:p>
        </w:tc>
      </w:tr>
      <w:tr w14:paraId="4E90C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6" w:type="pct"/>
            <w:vMerge w:val="restart"/>
            <w:tcBorders>
              <w:tl2br w:val="nil"/>
              <w:tr2bl w:val="nil"/>
            </w:tcBorders>
            <w:vAlign w:val="center"/>
          </w:tcPr>
          <w:p w14:paraId="50EB259F">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运营期</w:t>
            </w:r>
          </w:p>
        </w:tc>
        <w:tc>
          <w:tcPr>
            <w:tcW w:w="642" w:type="pct"/>
            <w:tcBorders>
              <w:tl2br w:val="nil"/>
              <w:tr2bl w:val="nil"/>
            </w:tcBorders>
            <w:vAlign w:val="center"/>
          </w:tcPr>
          <w:p w14:paraId="3844CFF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原料/成品运输</w:t>
            </w:r>
          </w:p>
        </w:tc>
        <w:tc>
          <w:tcPr>
            <w:tcW w:w="360" w:type="pct"/>
            <w:tcBorders>
              <w:tl2br w:val="nil"/>
              <w:tr2bl w:val="nil"/>
            </w:tcBorders>
            <w:vAlign w:val="center"/>
          </w:tcPr>
          <w:p w14:paraId="6D1F068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-1C</w:t>
            </w:r>
          </w:p>
        </w:tc>
        <w:tc>
          <w:tcPr>
            <w:tcW w:w="359" w:type="pct"/>
            <w:tcBorders>
              <w:tl2br w:val="nil"/>
              <w:tr2bl w:val="nil"/>
            </w:tcBorders>
            <w:vAlign w:val="center"/>
          </w:tcPr>
          <w:p w14:paraId="72B20457">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75" w:type="pct"/>
            <w:tcBorders>
              <w:tl2br w:val="nil"/>
              <w:tr2bl w:val="nil"/>
            </w:tcBorders>
            <w:vAlign w:val="center"/>
          </w:tcPr>
          <w:p w14:paraId="263F13DD">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25" w:type="pct"/>
            <w:tcBorders>
              <w:tl2br w:val="nil"/>
              <w:tr2bl w:val="nil"/>
            </w:tcBorders>
            <w:vAlign w:val="center"/>
          </w:tcPr>
          <w:p w14:paraId="75561F6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400" w:type="pct"/>
            <w:tcBorders>
              <w:tl2br w:val="nil"/>
              <w:tr2bl w:val="nil"/>
            </w:tcBorders>
            <w:vAlign w:val="center"/>
          </w:tcPr>
          <w:p w14:paraId="4F17812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612" w:type="pct"/>
            <w:tcBorders>
              <w:tl2br w:val="nil"/>
              <w:tr2bl w:val="nil"/>
            </w:tcBorders>
            <w:vAlign w:val="center"/>
          </w:tcPr>
          <w:p w14:paraId="4B6E0E81">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83" w:type="pct"/>
            <w:tcBorders>
              <w:tl2br w:val="nil"/>
              <w:tr2bl w:val="nil"/>
            </w:tcBorders>
            <w:vAlign w:val="center"/>
          </w:tcPr>
          <w:p w14:paraId="5D292A04">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66" w:type="pct"/>
            <w:tcBorders>
              <w:tl2br w:val="nil"/>
              <w:tr2bl w:val="nil"/>
            </w:tcBorders>
            <w:vAlign w:val="center"/>
          </w:tcPr>
          <w:p w14:paraId="5D39944D">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87" w:type="pct"/>
            <w:tcBorders>
              <w:tl2br w:val="nil"/>
              <w:tr2bl w:val="nil"/>
            </w:tcBorders>
            <w:vAlign w:val="center"/>
          </w:tcPr>
          <w:p w14:paraId="3F66B37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70" w:type="pct"/>
            <w:tcBorders>
              <w:tl2br w:val="nil"/>
              <w:tr2bl w:val="nil"/>
            </w:tcBorders>
            <w:vAlign w:val="center"/>
          </w:tcPr>
          <w:p w14:paraId="431AC997">
            <w:pPr>
              <w:spacing w:line="360" w:lineRule="exact"/>
              <w:ind w:firstLine="0" w:firstLineChars="0"/>
              <w:jc w:val="center"/>
              <w:rPr>
                <w:color w:val="000000" w:themeColor="text1"/>
                <w:sz w:val="21"/>
                <w:szCs w:val="21"/>
                <w:highlight w:val="none"/>
                <w14:textFill>
                  <w14:solidFill>
                    <w14:schemeClr w14:val="tx1"/>
                  </w14:solidFill>
                </w14:textFill>
              </w:rPr>
            </w:pPr>
          </w:p>
        </w:tc>
      </w:tr>
      <w:tr w14:paraId="40F1B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6" w:type="pct"/>
            <w:vMerge w:val="continue"/>
            <w:tcBorders>
              <w:tl2br w:val="nil"/>
              <w:tr2bl w:val="nil"/>
            </w:tcBorders>
            <w:vAlign w:val="center"/>
          </w:tcPr>
          <w:p w14:paraId="7C7464A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642" w:type="pct"/>
            <w:tcBorders>
              <w:tl2br w:val="nil"/>
              <w:tr2bl w:val="nil"/>
            </w:tcBorders>
            <w:vAlign w:val="center"/>
          </w:tcPr>
          <w:p w14:paraId="32F01B1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废气排放</w:t>
            </w:r>
          </w:p>
        </w:tc>
        <w:tc>
          <w:tcPr>
            <w:tcW w:w="360" w:type="pct"/>
            <w:tcBorders>
              <w:tl2br w:val="nil"/>
              <w:tr2bl w:val="nil"/>
            </w:tcBorders>
            <w:vAlign w:val="center"/>
          </w:tcPr>
          <w:p w14:paraId="03FDE4C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-2C</w:t>
            </w:r>
          </w:p>
        </w:tc>
        <w:tc>
          <w:tcPr>
            <w:tcW w:w="359" w:type="pct"/>
            <w:tcBorders>
              <w:tl2br w:val="nil"/>
              <w:tr2bl w:val="nil"/>
            </w:tcBorders>
            <w:vAlign w:val="center"/>
          </w:tcPr>
          <w:p w14:paraId="3B196DE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75" w:type="pct"/>
            <w:tcBorders>
              <w:tl2br w:val="nil"/>
              <w:tr2bl w:val="nil"/>
            </w:tcBorders>
            <w:vAlign w:val="center"/>
          </w:tcPr>
          <w:p w14:paraId="7AD7C04A">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25" w:type="pct"/>
            <w:tcBorders>
              <w:tl2br w:val="nil"/>
              <w:tr2bl w:val="nil"/>
            </w:tcBorders>
            <w:vAlign w:val="center"/>
          </w:tcPr>
          <w:p w14:paraId="4BEB132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400" w:type="pct"/>
            <w:tcBorders>
              <w:tl2br w:val="nil"/>
              <w:tr2bl w:val="nil"/>
            </w:tcBorders>
            <w:vAlign w:val="center"/>
          </w:tcPr>
          <w:p w14:paraId="5D1D14F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c>
          <w:tcPr>
            <w:tcW w:w="612" w:type="pct"/>
            <w:tcBorders>
              <w:tl2br w:val="nil"/>
              <w:tr2bl w:val="nil"/>
            </w:tcBorders>
            <w:vAlign w:val="center"/>
          </w:tcPr>
          <w:p w14:paraId="1CF7975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83" w:type="pct"/>
            <w:tcBorders>
              <w:tl2br w:val="nil"/>
              <w:tr2bl w:val="nil"/>
            </w:tcBorders>
            <w:vAlign w:val="center"/>
          </w:tcPr>
          <w:p w14:paraId="0D9266D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66" w:type="pct"/>
            <w:tcBorders>
              <w:tl2br w:val="nil"/>
              <w:tr2bl w:val="nil"/>
            </w:tcBorders>
            <w:vAlign w:val="center"/>
          </w:tcPr>
          <w:p w14:paraId="13B961F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87" w:type="pct"/>
            <w:tcBorders>
              <w:tl2br w:val="nil"/>
              <w:tr2bl w:val="nil"/>
            </w:tcBorders>
            <w:vAlign w:val="center"/>
          </w:tcPr>
          <w:p w14:paraId="2D917147">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70" w:type="pct"/>
            <w:tcBorders>
              <w:tl2br w:val="nil"/>
              <w:tr2bl w:val="nil"/>
            </w:tcBorders>
            <w:vAlign w:val="center"/>
          </w:tcPr>
          <w:p w14:paraId="1A4B6D6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r>
      <w:tr w14:paraId="0CA30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6" w:type="pct"/>
            <w:vMerge w:val="continue"/>
            <w:tcBorders>
              <w:tl2br w:val="nil"/>
              <w:tr2bl w:val="nil"/>
            </w:tcBorders>
            <w:vAlign w:val="center"/>
          </w:tcPr>
          <w:p w14:paraId="63377CD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642" w:type="pct"/>
            <w:tcBorders>
              <w:tl2br w:val="nil"/>
              <w:tr2bl w:val="nil"/>
            </w:tcBorders>
            <w:vAlign w:val="center"/>
          </w:tcPr>
          <w:p w14:paraId="7EC0ECC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废水排放</w:t>
            </w:r>
          </w:p>
        </w:tc>
        <w:tc>
          <w:tcPr>
            <w:tcW w:w="360" w:type="pct"/>
            <w:tcBorders>
              <w:tl2br w:val="nil"/>
              <w:tr2bl w:val="nil"/>
            </w:tcBorders>
            <w:vAlign w:val="center"/>
          </w:tcPr>
          <w:p w14:paraId="3542F55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59" w:type="pct"/>
            <w:tcBorders>
              <w:tl2br w:val="nil"/>
              <w:tr2bl w:val="nil"/>
            </w:tcBorders>
            <w:vAlign w:val="center"/>
          </w:tcPr>
          <w:p w14:paraId="764F3D5E">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75" w:type="pct"/>
            <w:tcBorders>
              <w:tl2br w:val="nil"/>
              <w:tr2bl w:val="nil"/>
            </w:tcBorders>
            <w:vAlign w:val="center"/>
          </w:tcPr>
          <w:p w14:paraId="67B38DD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-1C</w:t>
            </w:r>
          </w:p>
        </w:tc>
        <w:tc>
          <w:tcPr>
            <w:tcW w:w="325" w:type="pct"/>
            <w:tcBorders>
              <w:tl2br w:val="nil"/>
              <w:tr2bl w:val="nil"/>
            </w:tcBorders>
            <w:vAlign w:val="center"/>
          </w:tcPr>
          <w:p w14:paraId="5A7BAAE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400" w:type="pct"/>
            <w:tcBorders>
              <w:tl2br w:val="nil"/>
              <w:tr2bl w:val="nil"/>
            </w:tcBorders>
            <w:vAlign w:val="center"/>
          </w:tcPr>
          <w:p w14:paraId="67164681">
            <w:pPr>
              <w:spacing w:line="360" w:lineRule="exact"/>
              <w:ind w:firstLine="0" w:firstLineChars="0"/>
              <w:jc w:val="center"/>
              <w:rPr>
                <w:color w:val="000000" w:themeColor="text1"/>
                <w:sz w:val="21"/>
                <w:szCs w:val="21"/>
                <w:highlight w:val="none"/>
                <w14:textFill>
                  <w14:solidFill>
                    <w14:schemeClr w14:val="tx1"/>
                  </w14:solidFill>
                </w14:textFill>
              </w:rPr>
            </w:pPr>
          </w:p>
        </w:tc>
        <w:tc>
          <w:tcPr>
            <w:tcW w:w="612" w:type="pct"/>
            <w:tcBorders>
              <w:tl2br w:val="nil"/>
              <w:tr2bl w:val="nil"/>
            </w:tcBorders>
            <w:vAlign w:val="center"/>
          </w:tcPr>
          <w:p w14:paraId="59D707BA">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83" w:type="pct"/>
            <w:tcBorders>
              <w:tl2br w:val="nil"/>
              <w:tr2bl w:val="nil"/>
            </w:tcBorders>
            <w:vAlign w:val="center"/>
          </w:tcPr>
          <w:p w14:paraId="666E5501">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66" w:type="pct"/>
            <w:tcBorders>
              <w:tl2br w:val="nil"/>
              <w:tr2bl w:val="nil"/>
            </w:tcBorders>
            <w:vAlign w:val="center"/>
          </w:tcPr>
          <w:p w14:paraId="13493A74">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87" w:type="pct"/>
            <w:tcBorders>
              <w:tl2br w:val="nil"/>
              <w:tr2bl w:val="nil"/>
            </w:tcBorders>
            <w:vAlign w:val="center"/>
          </w:tcPr>
          <w:p w14:paraId="6BD203CC">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70" w:type="pct"/>
            <w:tcBorders>
              <w:tl2br w:val="nil"/>
              <w:tr2bl w:val="nil"/>
            </w:tcBorders>
            <w:vAlign w:val="center"/>
          </w:tcPr>
          <w:p w14:paraId="4AF37EB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-1D</w:t>
            </w:r>
          </w:p>
        </w:tc>
      </w:tr>
      <w:tr w14:paraId="09F97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6" w:type="pct"/>
            <w:vMerge w:val="continue"/>
            <w:tcBorders>
              <w:tl2br w:val="nil"/>
              <w:tr2bl w:val="nil"/>
            </w:tcBorders>
            <w:vAlign w:val="center"/>
          </w:tcPr>
          <w:p w14:paraId="180A85F3">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642" w:type="pct"/>
            <w:tcBorders>
              <w:tl2br w:val="nil"/>
              <w:tr2bl w:val="nil"/>
            </w:tcBorders>
            <w:vAlign w:val="center"/>
          </w:tcPr>
          <w:p w14:paraId="2B60F67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噪声排放</w:t>
            </w:r>
          </w:p>
        </w:tc>
        <w:tc>
          <w:tcPr>
            <w:tcW w:w="360" w:type="pct"/>
            <w:tcBorders>
              <w:tl2br w:val="nil"/>
              <w:tr2bl w:val="nil"/>
            </w:tcBorders>
            <w:vAlign w:val="center"/>
          </w:tcPr>
          <w:p w14:paraId="722DE42C">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59" w:type="pct"/>
            <w:tcBorders>
              <w:tl2br w:val="nil"/>
              <w:tr2bl w:val="nil"/>
            </w:tcBorders>
            <w:vAlign w:val="center"/>
          </w:tcPr>
          <w:p w14:paraId="6646B56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75" w:type="pct"/>
            <w:tcBorders>
              <w:tl2br w:val="nil"/>
              <w:tr2bl w:val="nil"/>
            </w:tcBorders>
            <w:vAlign w:val="center"/>
          </w:tcPr>
          <w:p w14:paraId="6C2303D3">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25" w:type="pct"/>
            <w:tcBorders>
              <w:tl2br w:val="nil"/>
              <w:tr2bl w:val="nil"/>
            </w:tcBorders>
            <w:vAlign w:val="center"/>
          </w:tcPr>
          <w:p w14:paraId="138FB66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-1C</w:t>
            </w:r>
          </w:p>
        </w:tc>
        <w:tc>
          <w:tcPr>
            <w:tcW w:w="400" w:type="pct"/>
            <w:tcBorders>
              <w:tl2br w:val="nil"/>
              <w:tr2bl w:val="nil"/>
            </w:tcBorders>
            <w:vAlign w:val="center"/>
          </w:tcPr>
          <w:p w14:paraId="23F78A36">
            <w:pPr>
              <w:spacing w:line="360" w:lineRule="exact"/>
              <w:ind w:firstLine="0" w:firstLineChars="0"/>
              <w:jc w:val="center"/>
              <w:rPr>
                <w:color w:val="000000" w:themeColor="text1"/>
                <w:sz w:val="21"/>
                <w:szCs w:val="21"/>
                <w:highlight w:val="none"/>
                <w14:textFill>
                  <w14:solidFill>
                    <w14:schemeClr w14:val="tx1"/>
                  </w14:solidFill>
                </w14:textFill>
              </w:rPr>
            </w:pPr>
          </w:p>
        </w:tc>
        <w:tc>
          <w:tcPr>
            <w:tcW w:w="612" w:type="pct"/>
            <w:tcBorders>
              <w:tl2br w:val="nil"/>
              <w:tr2bl w:val="nil"/>
            </w:tcBorders>
            <w:vAlign w:val="center"/>
          </w:tcPr>
          <w:p w14:paraId="37A1066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83" w:type="pct"/>
            <w:tcBorders>
              <w:tl2br w:val="nil"/>
              <w:tr2bl w:val="nil"/>
            </w:tcBorders>
            <w:vAlign w:val="center"/>
          </w:tcPr>
          <w:p w14:paraId="7C33F0A4">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66" w:type="pct"/>
            <w:tcBorders>
              <w:tl2br w:val="nil"/>
              <w:tr2bl w:val="nil"/>
            </w:tcBorders>
            <w:vAlign w:val="center"/>
          </w:tcPr>
          <w:p w14:paraId="0A29E90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87" w:type="pct"/>
            <w:tcBorders>
              <w:tl2br w:val="nil"/>
              <w:tr2bl w:val="nil"/>
            </w:tcBorders>
            <w:vAlign w:val="center"/>
          </w:tcPr>
          <w:p w14:paraId="054100A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-1C</w:t>
            </w:r>
          </w:p>
        </w:tc>
        <w:tc>
          <w:tcPr>
            <w:tcW w:w="370" w:type="pct"/>
            <w:tcBorders>
              <w:tl2br w:val="nil"/>
              <w:tr2bl w:val="nil"/>
            </w:tcBorders>
            <w:vAlign w:val="center"/>
          </w:tcPr>
          <w:p w14:paraId="1A59ED9E">
            <w:pPr>
              <w:spacing w:line="360" w:lineRule="exact"/>
              <w:ind w:firstLine="0" w:firstLineChars="0"/>
              <w:jc w:val="center"/>
              <w:rPr>
                <w:color w:val="000000" w:themeColor="text1"/>
                <w:sz w:val="21"/>
                <w:szCs w:val="21"/>
                <w:highlight w:val="none"/>
                <w14:textFill>
                  <w14:solidFill>
                    <w14:schemeClr w14:val="tx1"/>
                  </w14:solidFill>
                </w14:textFill>
              </w:rPr>
            </w:pPr>
          </w:p>
        </w:tc>
      </w:tr>
      <w:tr w14:paraId="70E2E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6" w:type="pct"/>
            <w:vMerge w:val="continue"/>
            <w:tcBorders>
              <w:tl2br w:val="nil"/>
              <w:tr2bl w:val="nil"/>
            </w:tcBorders>
            <w:vAlign w:val="center"/>
          </w:tcPr>
          <w:p w14:paraId="6B1865BD">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642" w:type="pct"/>
            <w:tcBorders>
              <w:tl2br w:val="nil"/>
              <w:tr2bl w:val="nil"/>
            </w:tcBorders>
            <w:vAlign w:val="center"/>
          </w:tcPr>
          <w:p w14:paraId="2859605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固废处置</w:t>
            </w:r>
          </w:p>
        </w:tc>
        <w:tc>
          <w:tcPr>
            <w:tcW w:w="360" w:type="pct"/>
            <w:tcBorders>
              <w:tl2br w:val="nil"/>
              <w:tr2bl w:val="nil"/>
            </w:tcBorders>
            <w:vAlign w:val="center"/>
          </w:tcPr>
          <w:p w14:paraId="755A624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-1C</w:t>
            </w:r>
          </w:p>
        </w:tc>
        <w:tc>
          <w:tcPr>
            <w:tcW w:w="359" w:type="pct"/>
            <w:tcBorders>
              <w:tl2br w:val="nil"/>
              <w:tr2bl w:val="nil"/>
            </w:tcBorders>
            <w:vAlign w:val="center"/>
          </w:tcPr>
          <w:p w14:paraId="04606B4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75" w:type="pct"/>
            <w:tcBorders>
              <w:tl2br w:val="nil"/>
              <w:tr2bl w:val="nil"/>
            </w:tcBorders>
            <w:vAlign w:val="center"/>
          </w:tcPr>
          <w:p w14:paraId="6F6D8D9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-1C</w:t>
            </w:r>
          </w:p>
        </w:tc>
        <w:tc>
          <w:tcPr>
            <w:tcW w:w="325" w:type="pct"/>
            <w:tcBorders>
              <w:tl2br w:val="nil"/>
              <w:tr2bl w:val="nil"/>
            </w:tcBorders>
            <w:vAlign w:val="center"/>
          </w:tcPr>
          <w:p w14:paraId="21E114A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400" w:type="pct"/>
            <w:tcBorders>
              <w:tl2br w:val="nil"/>
              <w:tr2bl w:val="nil"/>
            </w:tcBorders>
            <w:vAlign w:val="center"/>
          </w:tcPr>
          <w:p w14:paraId="5E26C0C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-1C</w:t>
            </w:r>
          </w:p>
        </w:tc>
        <w:tc>
          <w:tcPr>
            <w:tcW w:w="612" w:type="pct"/>
            <w:tcBorders>
              <w:tl2br w:val="nil"/>
              <w:tr2bl w:val="nil"/>
            </w:tcBorders>
            <w:vAlign w:val="center"/>
          </w:tcPr>
          <w:p w14:paraId="03DF13F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-1C</w:t>
            </w:r>
          </w:p>
        </w:tc>
        <w:tc>
          <w:tcPr>
            <w:tcW w:w="383" w:type="pct"/>
            <w:tcBorders>
              <w:tl2br w:val="nil"/>
              <w:tr2bl w:val="nil"/>
            </w:tcBorders>
            <w:vAlign w:val="center"/>
          </w:tcPr>
          <w:p w14:paraId="0EA3E38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-1C</w:t>
            </w:r>
          </w:p>
        </w:tc>
        <w:tc>
          <w:tcPr>
            <w:tcW w:w="366" w:type="pct"/>
            <w:tcBorders>
              <w:tl2br w:val="nil"/>
              <w:tr2bl w:val="nil"/>
            </w:tcBorders>
            <w:vAlign w:val="center"/>
          </w:tcPr>
          <w:p w14:paraId="500AE0A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-1C</w:t>
            </w:r>
          </w:p>
        </w:tc>
        <w:tc>
          <w:tcPr>
            <w:tcW w:w="387" w:type="pct"/>
            <w:tcBorders>
              <w:tl2br w:val="nil"/>
              <w:tr2bl w:val="nil"/>
            </w:tcBorders>
            <w:vAlign w:val="center"/>
          </w:tcPr>
          <w:p w14:paraId="36529A53">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70" w:type="pct"/>
            <w:tcBorders>
              <w:tl2br w:val="nil"/>
              <w:tr2bl w:val="nil"/>
            </w:tcBorders>
            <w:vAlign w:val="center"/>
          </w:tcPr>
          <w:p w14:paraId="712FF86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-1C</w:t>
            </w:r>
          </w:p>
        </w:tc>
      </w:tr>
      <w:tr w14:paraId="2976D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416" w:type="pct"/>
            <w:tcBorders>
              <w:tl2br w:val="nil"/>
              <w:tr2bl w:val="nil"/>
            </w:tcBorders>
            <w:vAlign w:val="center"/>
          </w:tcPr>
          <w:p w14:paraId="1EABA420">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退役期</w:t>
            </w:r>
          </w:p>
        </w:tc>
        <w:tc>
          <w:tcPr>
            <w:tcW w:w="642" w:type="pct"/>
            <w:tcBorders>
              <w:tl2br w:val="nil"/>
              <w:tr2bl w:val="nil"/>
            </w:tcBorders>
            <w:vAlign w:val="center"/>
          </w:tcPr>
          <w:p w14:paraId="75F58EB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生态恢复</w:t>
            </w:r>
          </w:p>
        </w:tc>
        <w:tc>
          <w:tcPr>
            <w:tcW w:w="360" w:type="pct"/>
            <w:tcBorders>
              <w:tl2br w:val="nil"/>
              <w:tr2bl w:val="nil"/>
            </w:tcBorders>
            <w:vAlign w:val="center"/>
          </w:tcPr>
          <w:p w14:paraId="3ECB961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59" w:type="pct"/>
            <w:tcBorders>
              <w:tl2br w:val="nil"/>
              <w:tr2bl w:val="nil"/>
            </w:tcBorders>
            <w:vAlign w:val="center"/>
          </w:tcPr>
          <w:p w14:paraId="36202D7C">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75" w:type="pct"/>
            <w:tcBorders>
              <w:tl2br w:val="nil"/>
              <w:tr2bl w:val="nil"/>
            </w:tcBorders>
            <w:vAlign w:val="center"/>
          </w:tcPr>
          <w:p w14:paraId="1DB2BB9E">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25" w:type="pct"/>
            <w:tcBorders>
              <w:tl2br w:val="nil"/>
              <w:tr2bl w:val="nil"/>
            </w:tcBorders>
            <w:vAlign w:val="center"/>
          </w:tcPr>
          <w:p w14:paraId="195AFB64">
            <w:pPr>
              <w:spacing w:line="360" w:lineRule="exact"/>
              <w:ind w:firstLine="0" w:firstLineChars="0"/>
              <w:jc w:val="center"/>
              <w:rPr>
                <w:color w:val="000000" w:themeColor="text1"/>
                <w:sz w:val="21"/>
                <w:szCs w:val="21"/>
                <w:highlight w:val="none"/>
                <w14:textFill>
                  <w14:solidFill>
                    <w14:schemeClr w14:val="tx1"/>
                  </w14:solidFill>
                </w14:textFill>
              </w:rPr>
            </w:pPr>
          </w:p>
        </w:tc>
        <w:tc>
          <w:tcPr>
            <w:tcW w:w="400" w:type="pct"/>
            <w:tcBorders>
              <w:tl2br w:val="nil"/>
              <w:tr2bl w:val="nil"/>
            </w:tcBorders>
            <w:vAlign w:val="center"/>
          </w:tcPr>
          <w:p w14:paraId="472E84C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+2C</w:t>
            </w:r>
          </w:p>
        </w:tc>
        <w:tc>
          <w:tcPr>
            <w:tcW w:w="612" w:type="pct"/>
            <w:tcBorders>
              <w:tl2br w:val="nil"/>
              <w:tr2bl w:val="nil"/>
            </w:tcBorders>
            <w:vAlign w:val="center"/>
          </w:tcPr>
          <w:p w14:paraId="036AB36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+2C</w:t>
            </w:r>
          </w:p>
        </w:tc>
        <w:tc>
          <w:tcPr>
            <w:tcW w:w="383" w:type="pct"/>
            <w:tcBorders>
              <w:tl2br w:val="nil"/>
              <w:tr2bl w:val="nil"/>
            </w:tcBorders>
            <w:vAlign w:val="center"/>
          </w:tcPr>
          <w:p w14:paraId="24991321">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66" w:type="pct"/>
            <w:tcBorders>
              <w:tl2br w:val="nil"/>
              <w:tr2bl w:val="nil"/>
            </w:tcBorders>
            <w:vAlign w:val="center"/>
          </w:tcPr>
          <w:p w14:paraId="7C57E04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87" w:type="pct"/>
            <w:tcBorders>
              <w:tl2br w:val="nil"/>
              <w:tr2bl w:val="nil"/>
            </w:tcBorders>
            <w:vAlign w:val="center"/>
          </w:tcPr>
          <w:p w14:paraId="79A04E4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+1C</w:t>
            </w:r>
          </w:p>
        </w:tc>
        <w:tc>
          <w:tcPr>
            <w:tcW w:w="370" w:type="pct"/>
            <w:tcBorders>
              <w:tl2br w:val="nil"/>
              <w:tr2bl w:val="nil"/>
            </w:tcBorders>
            <w:vAlign w:val="center"/>
          </w:tcPr>
          <w:p w14:paraId="3E38009D">
            <w:pPr>
              <w:spacing w:line="360" w:lineRule="exact"/>
              <w:ind w:firstLine="0" w:firstLineChars="0"/>
              <w:jc w:val="center"/>
              <w:rPr>
                <w:color w:val="000000" w:themeColor="text1"/>
                <w:sz w:val="21"/>
                <w:szCs w:val="21"/>
                <w:highlight w:val="none"/>
                <w14:textFill>
                  <w14:solidFill>
                    <w14:schemeClr w14:val="tx1"/>
                  </w14:solidFill>
                </w14:textFill>
              </w:rPr>
            </w:pPr>
          </w:p>
        </w:tc>
      </w:tr>
      <w:tr w14:paraId="4A885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12"/>
            <w:tcBorders>
              <w:tl2br w:val="nil"/>
              <w:tr2bl w:val="nil"/>
            </w:tcBorders>
            <w:vAlign w:val="center"/>
          </w:tcPr>
          <w:p w14:paraId="7EFF431C">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备注：</w:t>
            </w:r>
          </w:p>
          <w:p w14:paraId="286A8EE0">
            <w:pPr>
              <w:keepNext w:val="0"/>
              <w:keepLines w:val="0"/>
              <w:pageBreakBefore w:val="0"/>
              <w:widowControl w:val="0"/>
              <w:kinsoku/>
              <w:wordWrap/>
              <w:overflowPunct/>
              <w:topLinePunct w:val="0"/>
              <w:autoSpaceDE/>
              <w:autoSpaceDN/>
              <w:bidi w:val="0"/>
              <w:adjustRightInd w:val="0"/>
              <w:snapToGrid/>
              <w:spacing w:line="360" w:lineRule="exact"/>
              <w:ind w:firstLine="0" w:firstLineChars="0"/>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1、表中“＋”表示有利影响，“－”表示不利影响；</w:t>
            </w:r>
          </w:p>
          <w:p w14:paraId="5101BFDB">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2、表中数字表示影响的相对程度，“1”表示影响较小，“2”表示影响中等，“3”表示影响较大；</w:t>
            </w:r>
          </w:p>
          <w:p w14:paraId="68E2E5AD">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3、表中“D”表示短期影响，“C”表示长期影响。</w:t>
            </w:r>
          </w:p>
        </w:tc>
      </w:tr>
    </w:tbl>
    <w:p w14:paraId="0BE1D421">
      <w:pPr>
        <w:pStyle w:val="4"/>
        <w:rPr>
          <w:color w:val="000000" w:themeColor="text1"/>
          <w:highlight w:val="none"/>
          <w14:textFill>
            <w14:solidFill>
              <w14:schemeClr w14:val="tx1"/>
            </w14:solidFill>
          </w14:textFill>
        </w:rPr>
      </w:pPr>
      <w:bookmarkStart w:id="140" w:name="_Toc4614"/>
      <w:bookmarkStart w:id="141" w:name="_Toc27656"/>
      <w:bookmarkStart w:id="142" w:name="_Toc24657"/>
      <w:bookmarkStart w:id="143" w:name="_Toc24816"/>
      <w:bookmarkStart w:id="144" w:name="_Toc8949"/>
      <w:bookmarkStart w:id="145" w:name="_Toc6132"/>
      <w:bookmarkStart w:id="146" w:name="_Toc31497"/>
      <w:bookmarkStart w:id="147" w:name="_Toc5739"/>
      <w:bookmarkStart w:id="148" w:name="_Toc26910"/>
      <w:r>
        <w:rPr>
          <w:color w:val="000000" w:themeColor="text1"/>
          <w:highlight w:val="none"/>
          <w14:textFill>
            <w14:solidFill>
              <w14:schemeClr w14:val="tx1"/>
            </w14:solidFill>
          </w14:textFill>
        </w:rPr>
        <w:t>2.4.2主要污染因子筛选</w:t>
      </w:r>
      <w:bookmarkEnd w:id="140"/>
      <w:bookmarkEnd w:id="141"/>
      <w:bookmarkEnd w:id="142"/>
      <w:bookmarkEnd w:id="143"/>
      <w:bookmarkEnd w:id="144"/>
      <w:bookmarkEnd w:id="145"/>
      <w:bookmarkEnd w:id="146"/>
      <w:bookmarkEnd w:id="147"/>
      <w:bookmarkEnd w:id="148"/>
    </w:p>
    <w:p w14:paraId="63DC904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根据项目特点、污染物排放特征及所在地区环境质量状况，将最终对环境影响较大的污染因子作为主要污染因子，见表2.4-2。</w:t>
      </w:r>
    </w:p>
    <w:p w14:paraId="6505D180">
      <w:pPr>
        <w:pStyle w:val="4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表2.4-2    本项目主要污染因子识别</w:t>
      </w:r>
    </w:p>
    <w:tbl>
      <w:tblPr>
        <w:tblStyle w:val="32"/>
        <w:tblW w:w="86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57"/>
        <w:gridCol w:w="1000"/>
        <w:gridCol w:w="4452"/>
        <w:gridCol w:w="2394"/>
      </w:tblGrid>
      <w:tr w14:paraId="509A7B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blHeader/>
          <w:jc w:val="center"/>
        </w:trPr>
        <w:tc>
          <w:tcPr>
            <w:tcW w:w="757" w:type="dxa"/>
            <w:vAlign w:val="center"/>
          </w:tcPr>
          <w:p w14:paraId="48C4553C">
            <w:pPr>
              <w:spacing w:line="360" w:lineRule="exact"/>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阶段</w:t>
            </w:r>
          </w:p>
        </w:tc>
        <w:tc>
          <w:tcPr>
            <w:tcW w:w="1000" w:type="dxa"/>
            <w:vAlign w:val="center"/>
          </w:tcPr>
          <w:p w14:paraId="12A8CEC0">
            <w:pPr>
              <w:spacing w:line="360" w:lineRule="exact"/>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环境要素</w:t>
            </w:r>
          </w:p>
        </w:tc>
        <w:tc>
          <w:tcPr>
            <w:tcW w:w="4452" w:type="dxa"/>
            <w:vAlign w:val="center"/>
          </w:tcPr>
          <w:p w14:paraId="7A49E9C9">
            <w:pPr>
              <w:spacing w:line="360" w:lineRule="exact"/>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现状评价因子</w:t>
            </w:r>
          </w:p>
        </w:tc>
        <w:tc>
          <w:tcPr>
            <w:tcW w:w="2394" w:type="dxa"/>
            <w:vAlign w:val="center"/>
          </w:tcPr>
          <w:p w14:paraId="34E323B9">
            <w:pPr>
              <w:spacing w:line="360" w:lineRule="exact"/>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影响评价因子</w:t>
            </w:r>
          </w:p>
        </w:tc>
      </w:tr>
      <w:tr w14:paraId="128C5B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vMerge w:val="restart"/>
            <w:vAlign w:val="center"/>
          </w:tcPr>
          <w:p w14:paraId="59C2A09B">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运营期</w:t>
            </w:r>
          </w:p>
        </w:tc>
        <w:tc>
          <w:tcPr>
            <w:tcW w:w="1000" w:type="dxa"/>
            <w:vAlign w:val="center"/>
          </w:tcPr>
          <w:p w14:paraId="034CC796">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环境空气</w:t>
            </w:r>
          </w:p>
        </w:tc>
        <w:tc>
          <w:tcPr>
            <w:tcW w:w="4452" w:type="dxa"/>
            <w:vAlign w:val="center"/>
          </w:tcPr>
          <w:p w14:paraId="3734CFCD">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SO</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、NO</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、PM</w:t>
            </w:r>
            <w:r>
              <w:rPr>
                <w:color w:val="000000" w:themeColor="text1"/>
                <w:sz w:val="21"/>
                <w:szCs w:val="21"/>
                <w:highlight w:val="none"/>
                <w:vertAlign w:val="subscript"/>
                <w14:textFill>
                  <w14:solidFill>
                    <w14:schemeClr w14:val="tx1"/>
                  </w14:solidFill>
                </w14:textFill>
              </w:rPr>
              <w:t>10</w:t>
            </w:r>
            <w:r>
              <w:rPr>
                <w:color w:val="000000" w:themeColor="text1"/>
                <w:sz w:val="21"/>
                <w:szCs w:val="21"/>
                <w:highlight w:val="none"/>
                <w14:textFill>
                  <w14:solidFill>
                    <w14:schemeClr w14:val="tx1"/>
                  </w14:solidFill>
                </w14:textFill>
              </w:rPr>
              <w:t>、PM</w:t>
            </w:r>
            <w:r>
              <w:rPr>
                <w:color w:val="000000" w:themeColor="text1"/>
                <w:sz w:val="21"/>
                <w:szCs w:val="21"/>
                <w:highlight w:val="none"/>
                <w:vertAlign w:val="subscript"/>
                <w14:textFill>
                  <w14:solidFill>
                    <w14:schemeClr w14:val="tx1"/>
                  </w14:solidFill>
                </w14:textFill>
              </w:rPr>
              <w:t>2.5</w:t>
            </w:r>
            <w:r>
              <w:rPr>
                <w:color w:val="000000" w:themeColor="text1"/>
                <w:sz w:val="21"/>
                <w:szCs w:val="21"/>
                <w:highlight w:val="none"/>
                <w14:textFill>
                  <w14:solidFill>
                    <w14:schemeClr w14:val="tx1"/>
                  </w14:solidFill>
                </w14:textFill>
              </w:rPr>
              <w:t>、CO</w:t>
            </w:r>
            <w:r>
              <w:rPr>
                <w:color w:val="000000" w:themeColor="text1"/>
                <w:sz w:val="21"/>
                <w:szCs w:val="21"/>
                <w:highlight w:val="none"/>
                <w:lang w:val="zh-CN"/>
                <w14:textFill>
                  <w14:solidFill>
                    <w14:schemeClr w14:val="tx1"/>
                  </w14:solidFill>
                </w14:textFill>
              </w:rPr>
              <w:t>、</w:t>
            </w:r>
            <w:r>
              <w:rPr>
                <w:color w:val="000000" w:themeColor="text1"/>
                <w:sz w:val="21"/>
                <w:szCs w:val="21"/>
                <w:highlight w:val="none"/>
                <w14:textFill>
                  <w14:solidFill>
                    <w14:schemeClr w14:val="tx1"/>
                  </w14:solidFill>
                </w14:textFill>
              </w:rPr>
              <w:t>O</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、TSP</w:t>
            </w:r>
          </w:p>
        </w:tc>
        <w:tc>
          <w:tcPr>
            <w:tcW w:w="2394" w:type="dxa"/>
            <w:vAlign w:val="center"/>
          </w:tcPr>
          <w:p w14:paraId="1F624D85">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TSP、PM</w:t>
            </w:r>
            <w:r>
              <w:rPr>
                <w:color w:val="000000" w:themeColor="text1"/>
                <w:kern w:val="0"/>
                <w:sz w:val="21"/>
                <w:szCs w:val="21"/>
                <w:highlight w:val="none"/>
                <w:vertAlign w:val="subscript"/>
                <w14:textFill>
                  <w14:solidFill>
                    <w14:schemeClr w14:val="tx1"/>
                  </w14:solidFill>
                </w14:textFill>
              </w:rPr>
              <w:t>10</w:t>
            </w:r>
          </w:p>
        </w:tc>
      </w:tr>
      <w:tr w14:paraId="1D2498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vMerge w:val="continue"/>
            <w:vAlign w:val="center"/>
          </w:tcPr>
          <w:p w14:paraId="5655997D">
            <w:pPr>
              <w:spacing w:line="360" w:lineRule="exact"/>
              <w:ind w:firstLine="0" w:firstLineChars="0"/>
              <w:jc w:val="center"/>
              <w:rPr>
                <w:color w:val="000000" w:themeColor="text1"/>
                <w:kern w:val="0"/>
                <w:sz w:val="21"/>
                <w:szCs w:val="21"/>
                <w:highlight w:val="none"/>
                <w14:textFill>
                  <w14:solidFill>
                    <w14:schemeClr w14:val="tx1"/>
                  </w14:solidFill>
                </w14:textFill>
              </w:rPr>
            </w:pPr>
          </w:p>
        </w:tc>
        <w:tc>
          <w:tcPr>
            <w:tcW w:w="1000" w:type="dxa"/>
            <w:vAlign w:val="center"/>
          </w:tcPr>
          <w:p w14:paraId="5E937AA7">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地表水环境</w:t>
            </w:r>
          </w:p>
        </w:tc>
        <w:tc>
          <w:tcPr>
            <w:tcW w:w="4452" w:type="dxa"/>
            <w:vAlign w:val="center"/>
          </w:tcPr>
          <w:p w14:paraId="374EA19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pH、高锰酸盐指数、COD、BOD</w:t>
            </w:r>
            <w:r>
              <w:rPr>
                <w:color w:val="000000" w:themeColor="text1"/>
                <w:sz w:val="21"/>
                <w:szCs w:val="21"/>
                <w:highlight w:val="none"/>
                <w:vertAlign w:val="subscript"/>
                <w14:textFill>
                  <w14:solidFill>
                    <w14:schemeClr w14:val="tx1"/>
                  </w14:solidFill>
                </w14:textFill>
              </w:rPr>
              <w:t>5</w:t>
            </w:r>
            <w:r>
              <w:rPr>
                <w:color w:val="000000" w:themeColor="text1"/>
                <w:sz w:val="21"/>
                <w:szCs w:val="21"/>
                <w:highlight w:val="none"/>
                <w14:textFill>
                  <w14:solidFill>
                    <w14:schemeClr w14:val="tx1"/>
                  </w14:solidFill>
                </w14:textFill>
              </w:rPr>
              <w:t>、氨氮、总磷、总氮、铜、锌、氟化物、硒、砷、汞、镉、铬（六价）、铅、石油类、粪大肠杆菌、硫酸盐、氯化物、硝酸盐、铁、锰、悬浮物</w:t>
            </w:r>
          </w:p>
        </w:tc>
        <w:tc>
          <w:tcPr>
            <w:tcW w:w="2394" w:type="dxa"/>
            <w:vAlign w:val="center"/>
          </w:tcPr>
          <w:p w14:paraId="16354951">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default"/>
                <w:color w:val="000000" w:themeColor="text1"/>
                <w:kern w:val="0"/>
                <w:sz w:val="21"/>
                <w:szCs w:val="21"/>
                <w:highlight w:val="none"/>
                <w:lang w:val="en-US" w:eastAsia="zh-CN"/>
                <w14:textFill>
                  <w14:solidFill>
                    <w14:schemeClr w14:val="tx1"/>
                  </w14:solidFill>
                </w14:textFill>
              </w:rPr>
              <w:t>pH值、SS、COD、氨氮、总磷、总氮</w:t>
            </w:r>
          </w:p>
        </w:tc>
      </w:tr>
      <w:tr w14:paraId="50651B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vMerge w:val="continue"/>
            <w:vAlign w:val="center"/>
          </w:tcPr>
          <w:p w14:paraId="04E8FDFB">
            <w:pPr>
              <w:spacing w:line="360" w:lineRule="exact"/>
              <w:ind w:firstLine="0" w:firstLineChars="0"/>
              <w:jc w:val="center"/>
              <w:rPr>
                <w:color w:val="000000" w:themeColor="text1"/>
                <w:kern w:val="0"/>
                <w:sz w:val="21"/>
                <w:szCs w:val="21"/>
                <w:highlight w:val="none"/>
                <w14:textFill>
                  <w14:solidFill>
                    <w14:schemeClr w14:val="tx1"/>
                  </w14:solidFill>
                </w14:textFill>
              </w:rPr>
            </w:pPr>
          </w:p>
        </w:tc>
        <w:tc>
          <w:tcPr>
            <w:tcW w:w="1000" w:type="dxa"/>
            <w:vAlign w:val="center"/>
          </w:tcPr>
          <w:p w14:paraId="5168F706">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地下水环境</w:t>
            </w:r>
          </w:p>
        </w:tc>
        <w:tc>
          <w:tcPr>
            <w:tcW w:w="4452" w:type="dxa"/>
            <w:vAlign w:val="center"/>
          </w:tcPr>
          <w:p w14:paraId="74A769E6">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pH、高锰酸盐指数、溶解性总固体、总硬度、氨氮、氰化物、挥发酚类、亚硝酸盐、锌、氟化物、铅、砷、汞、镉、六价铬、K</w:t>
            </w:r>
            <w:r>
              <w:rPr>
                <w:rFonts w:hint="eastAsia"/>
                <w:color w:val="000000" w:themeColor="text1"/>
                <w:sz w:val="21"/>
                <w:szCs w:val="21"/>
                <w:highlight w:val="none"/>
                <w:vertAlign w:val="superscript"/>
                <w14:textFill>
                  <w14:solidFill>
                    <w14:schemeClr w14:val="tx1"/>
                  </w14:solidFill>
                </w14:textFill>
              </w:rPr>
              <w:t>+</w:t>
            </w:r>
            <w:r>
              <w:rPr>
                <w:rFonts w:hint="eastAsia"/>
                <w:color w:val="000000" w:themeColor="text1"/>
                <w:sz w:val="21"/>
                <w:szCs w:val="21"/>
                <w:highlight w:val="none"/>
                <w14:textFill>
                  <w14:solidFill>
                    <w14:schemeClr w14:val="tx1"/>
                  </w14:solidFill>
                </w14:textFill>
              </w:rPr>
              <w:t>、Na</w:t>
            </w:r>
            <w:r>
              <w:rPr>
                <w:rFonts w:hint="eastAsia"/>
                <w:color w:val="000000" w:themeColor="text1"/>
                <w:sz w:val="21"/>
                <w:szCs w:val="21"/>
                <w:highlight w:val="none"/>
                <w:vertAlign w:val="superscript"/>
                <w14:textFill>
                  <w14:solidFill>
                    <w14:schemeClr w14:val="tx1"/>
                  </w14:solidFill>
                </w14:textFill>
              </w:rPr>
              <w:t>+</w:t>
            </w:r>
            <w:r>
              <w:rPr>
                <w:rFonts w:hint="eastAsia"/>
                <w:color w:val="000000" w:themeColor="text1"/>
                <w:sz w:val="21"/>
                <w:szCs w:val="21"/>
                <w:highlight w:val="none"/>
                <w14:textFill>
                  <w14:solidFill>
                    <w14:schemeClr w14:val="tx1"/>
                  </w14:solidFill>
                </w14:textFill>
              </w:rPr>
              <w:t>、总大肠菌群、菌落总数、氯化物、硫酸盐、硝酸盐、铁、锰、Ca</w:t>
            </w:r>
            <w:r>
              <w:rPr>
                <w:rFonts w:hint="eastAsia"/>
                <w:color w:val="000000" w:themeColor="text1"/>
                <w:sz w:val="21"/>
                <w:szCs w:val="21"/>
                <w:highlight w:val="none"/>
                <w:vertAlign w:val="super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、Mg</w:t>
            </w:r>
            <w:r>
              <w:rPr>
                <w:rFonts w:hint="eastAsia"/>
                <w:color w:val="000000" w:themeColor="text1"/>
                <w:sz w:val="21"/>
                <w:szCs w:val="21"/>
                <w:highlight w:val="none"/>
                <w:vertAlign w:val="super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、碳酸盐、重碳酸盐。</w:t>
            </w:r>
          </w:p>
        </w:tc>
        <w:tc>
          <w:tcPr>
            <w:tcW w:w="2394" w:type="dxa"/>
            <w:vAlign w:val="center"/>
          </w:tcPr>
          <w:p w14:paraId="59433040">
            <w:pPr>
              <w:spacing w:line="360" w:lineRule="exact"/>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砷</w:t>
            </w:r>
          </w:p>
        </w:tc>
      </w:tr>
      <w:tr w14:paraId="5AF4AF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757" w:type="dxa"/>
            <w:vMerge w:val="continue"/>
            <w:vAlign w:val="center"/>
          </w:tcPr>
          <w:p w14:paraId="1B2A687B">
            <w:pPr>
              <w:spacing w:line="360" w:lineRule="exact"/>
              <w:ind w:firstLine="0" w:firstLineChars="0"/>
              <w:jc w:val="center"/>
              <w:rPr>
                <w:color w:val="000000" w:themeColor="text1"/>
                <w:kern w:val="0"/>
                <w:sz w:val="21"/>
                <w:szCs w:val="21"/>
                <w:highlight w:val="none"/>
                <w14:textFill>
                  <w14:solidFill>
                    <w14:schemeClr w14:val="tx1"/>
                  </w14:solidFill>
                </w14:textFill>
              </w:rPr>
            </w:pPr>
          </w:p>
        </w:tc>
        <w:tc>
          <w:tcPr>
            <w:tcW w:w="1000" w:type="dxa"/>
            <w:vAlign w:val="center"/>
          </w:tcPr>
          <w:p w14:paraId="0158B544">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声环境</w:t>
            </w:r>
          </w:p>
        </w:tc>
        <w:tc>
          <w:tcPr>
            <w:tcW w:w="4452" w:type="dxa"/>
            <w:vAlign w:val="center"/>
          </w:tcPr>
          <w:p w14:paraId="53B38C60">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连续等效A声级</w:t>
            </w:r>
          </w:p>
        </w:tc>
        <w:tc>
          <w:tcPr>
            <w:tcW w:w="2394" w:type="dxa"/>
            <w:vAlign w:val="center"/>
          </w:tcPr>
          <w:p w14:paraId="5B3D2D43">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连续等效A声级</w:t>
            </w:r>
          </w:p>
        </w:tc>
      </w:tr>
      <w:tr w14:paraId="3C016D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vMerge w:val="continue"/>
            <w:vAlign w:val="center"/>
          </w:tcPr>
          <w:p w14:paraId="5CE638AE">
            <w:pPr>
              <w:spacing w:line="360" w:lineRule="exact"/>
              <w:ind w:firstLine="0" w:firstLineChars="0"/>
              <w:jc w:val="center"/>
              <w:rPr>
                <w:color w:val="000000" w:themeColor="text1"/>
                <w:kern w:val="0"/>
                <w:sz w:val="21"/>
                <w:szCs w:val="21"/>
                <w:highlight w:val="none"/>
                <w14:textFill>
                  <w14:solidFill>
                    <w14:schemeClr w14:val="tx1"/>
                  </w14:solidFill>
                </w14:textFill>
              </w:rPr>
            </w:pPr>
          </w:p>
        </w:tc>
        <w:tc>
          <w:tcPr>
            <w:tcW w:w="1000" w:type="dxa"/>
            <w:vAlign w:val="center"/>
          </w:tcPr>
          <w:p w14:paraId="295D196A">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固体废物</w:t>
            </w:r>
          </w:p>
        </w:tc>
        <w:tc>
          <w:tcPr>
            <w:tcW w:w="4452" w:type="dxa"/>
            <w:vAlign w:val="center"/>
          </w:tcPr>
          <w:p w14:paraId="73327588">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w:t>
            </w:r>
          </w:p>
        </w:tc>
        <w:tc>
          <w:tcPr>
            <w:tcW w:w="2394" w:type="dxa"/>
            <w:vAlign w:val="center"/>
          </w:tcPr>
          <w:p w14:paraId="3685A111">
            <w:pPr>
              <w:spacing w:line="360" w:lineRule="exact"/>
              <w:ind w:firstLine="0" w:firstLineChars="0"/>
              <w:jc w:val="center"/>
              <w:rPr>
                <w:rFonts w:hint="eastAsia" w:eastAsia="宋体"/>
                <w:color w:val="000000" w:themeColor="text1"/>
                <w:kern w:val="0"/>
                <w:sz w:val="21"/>
                <w:szCs w:val="21"/>
                <w:highlight w:val="none"/>
                <w:lang w:eastAsia="zh-CN"/>
                <w14:textFill>
                  <w14:solidFill>
                    <w14:schemeClr w14:val="tx1"/>
                  </w14:solidFill>
                </w14:textFill>
              </w:rPr>
            </w:pPr>
            <w:r>
              <w:rPr>
                <w:color w:val="000000" w:themeColor="text1"/>
                <w:kern w:val="0"/>
                <w:sz w:val="21"/>
                <w:szCs w:val="21"/>
                <w:highlight w:val="none"/>
                <w14:textFill>
                  <w14:solidFill>
                    <w14:schemeClr w14:val="tx1"/>
                  </w14:solidFill>
                </w14:textFill>
              </w:rPr>
              <w:t>尾矿</w:t>
            </w:r>
            <w:r>
              <w:rPr>
                <w:rFonts w:hint="eastAsia"/>
                <w:color w:val="000000" w:themeColor="text1"/>
                <w:kern w:val="0"/>
                <w:sz w:val="21"/>
                <w:szCs w:val="21"/>
                <w:highlight w:val="none"/>
                <w14:textFill>
                  <w14:solidFill>
                    <w14:schemeClr w14:val="tx1"/>
                  </w14:solidFill>
                </w14:textFill>
              </w:rPr>
              <w:t>砂</w:t>
            </w:r>
            <w:r>
              <w:rPr>
                <w:color w:val="000000" w:themeColor="text1"/>
                <w:kern w:val="0"/>
                <w:sz w:val="21"/>
                <w:szCs w:val="21"/>
                <w:highlight w:val="none"/>
                <w14:textFill>
                  <w14:solidFill>
                    <w14:schemeClr w14:val="tx1"/>
                  </w14:solidFill>
                </w14:textFill>
              </w:rPr>
              <w:t>、除尘器</w:t>
            </w:r>
            <w:r>
              <w:rPr>
                <w:rFonts w:hint="eastAsia"/>
                <w:color w:val="000000" w:themeColor="text1"/>
                <w:kern w:val="0"/>
                <w:sz w:val="21"/>
                <w:szCs w:val="21"/>
                <w:highlight w:val="none"/>
                <w14:textFill>
                  <w14:solidFill>
                    <w14:schemeClr w14:val="tx1"/>
                  </w14:solidFill>
                </w14:textFill>
              </w:rPr>
              <w:t>除尘灰</w:t>
            </w:r>
            <w:r>
              <w:rPr>
                <w:color w:val="000000" w:themeColor="text1"/>
                <w:kern w:val="0"/>
                <w:sz w:val="21"/>
                <w:szCs w:val="21"/>
                <w:highlight w:val="none"/>
                <w14:textFill>
                  <w14:solidFill>
                    <w14:schemeClr w14:val="tx1"/>
                  </w14:solidFill>
                </w14:textFill>
              </w:rPr>
              <w:t>、生活垃圾、废机油</w:t>
            </w:r>
            <w:r>
              <w:rPr>
                <w:rFonts w:hint="eastAsia"/>
                <w:color w:val="000000" w:themeColor="text1"/>
                <w:kern w:val="0"/>
                <w:sz w:val="21"/>
                <w:szCs w:val="21"/>
                <w:highlight w:val="none"/>
                <w:lang w:eastAsia="zh-CN"/>
                <w14:textFill>
                  <w14:solidFill>
                    <w14:schemeClr w14:val="tx1"/>
                  </w14:solidFill>
                </w14:textFill>
              </w:rPr>
              <w:t>等</w:t>
            </w:r>
          </w:p>
        </w:tc>
      </w:tr>
      <w:tr w14:paraId="337D42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57" w:type="dxa"/>
            <w:vMerge w:val="continue"/>
            <w:vAlign w:val="center"/>
          </w:tcPr>
          <w:p w14:paraId="17F8B514">
            <w:pPr>
              <w:spacing w:line="360" w:lineRule="exact"/>
              <w:ind w:firstLine="0" w:firstLineChars="0"/>
              <w:jc w:val="center"/>
              <w:rPr>
                <w:color w:val="000000" w:themeColor="text1"/>
                <w:kern w:val="0"/>
                <w:sz w:val="21"/>
                <w:szCs w:val="21"/>
                <w:highlight w:val="none"/>
                <w14:textFill>
                  <w14:solidFill>
                    <w14:schemeClr w14:val="tx1"/>
                  </w14:solidFill>
                </w14:textFill>
              </w:rPr>
            </w:pPr>
          </w:p>
        </w:tc>
        <w:tc>
          <w:tcPr>
            <w:tcW w:w="1000" w:type="dxa"/>
            <w:vAlign w:val="center"/>
          </w:tcPr>
          <w:p w14:paraId="6BF75A86">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土壤环境</w:t>
            </w:r>
          </w:p>
        </w:tc>
        <w:tc>
          <w:tcPr>
            <w:tcW w:w="4452" w:type="dxa"/>
            <w:vAlign w:val="center"/>
          </w:tcPr>
          <w:p w14:paraId="31916CD6">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GB36600-2018表1中45项基本项+pH值</w:t>
            </w:r>
          </w:p>
        </w:tc>
        <w:tc>
          <w:tcPr>
            <w:tcW w:w="2394" w:type="dxa"/>
            <w:vAlign w:val="center"/>
          </w:tcPr>
          <w:p w14:paraId="2502590A">
            <w:pPr>
              <w:spacing w:line="360" w:lineRule="exact"/>
              <w:ind w:firstLine="0" w:firstLineChars="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砷</w:t>
            </w:r>
          </w:p>
        </w:tc>
      </w:tr>
      <w:tr w14:paraId="224E58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9" w:hRule="atLeast"/>
          <w:jc w:val="center"/>
        </w:trPr>
        <w:tc>
          <w:tcPr>
            <w:tcW w:w="757" w:type="dxa"/>
            <w:vMerge w:val="continue"/>
            <w:vAlign w:val="center"/>
          </w:tcPr>
          <w:p w14:paraId="3B82CE69">
            <w:pPr>
              <w:spacing w:line="360" w:lineRule="exact"/>
              <w:ind w:firstLine="0" w:firstLineChars="0"/>
              <w:jc w:val="center"/>
              <w:rPr>
                <w:color w:val="000000" w:themeColor="text1"/>
                <w:kern w:val="0"/>
                <w:sz w:val="21"/>
                <w:szCs w:val="21"/>
                <w:highlight w:val="none"/>
                <w14:textFill>
                  <w14:solidFill>
                    <w14:schemeClr w14:val="tx1"/>
                  </w14:solidFill>
                </w14:textFill>
              </w:rPr>
            </w:pPr>
          </w:p>
        </w:tc>
        <w:tc>
          <w:tcPr>
            <w:tcW w:w="1000" w:type="dxa"/>
            <w:vAlign w:val="center"/>
          </w:tcPr>
          <w:p w14:paraId="3C84C729">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环境风险</w:t>
            </w:r>
          </w:p>
        </w:tc>
        <w:tc>
          <w:tcPr>
            <w:tcW w:w="4452" w:type="dxa"/>
            <w:vAlign w:val="center"/>
          </w:tcPr>
          <w:p w14:paraId="725B35EF">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w:t>
            </w:r>
          </w:p>
        </w:tc>
        <w:tc>
          <w:tcPr>
            <w:tcW w:w="2394" w:type="dxa"/>
            <w:vAlign w:val="center"/>
          </w:tcPr>
          <w:p w14:paraId="0C4F9F72">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尾矿库溃坝、渗漏、管道破裂事故</w:t>
            </w:r>
          </w:p>
        </w:tc>
      </w:tr>
      <w:tr w14:paraId="2DA971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9" w:hRule="atLeast"/>
          <w:jc w:val="center"/>
        </w:trPr>
        <w:tc>
          <w:tcPr>
            <w:tcW w:w="757" w:type="dxa"/>
            <w:vMerge w:val="continue"/>
            <w:vAlign w:val="center"/>
          </w:tcPr>
          <w:p w14:paraId="01E2DF7B">
            <w:pPr>
              <w:spacing w:line="360" w:lineRule="exact"/>
              <w:ind w:firstLine="0" w:firstLineChars="0"/>
              <w:jc w:val="center"/>
              <w:rPr>
                <w:color w:val="000000" w:themeColor="text1"/>
                <w:kern w:val="0"/>
                <w:sz w:val="21"/>
                <w:szCs w:val="21"/>
                <w:highlight w:val="none"/>
                <w14:textFill>
                  <w14:solidFill>
                    <w14:schemeClr w14:val="tx1"/>
                  </w14:solidFill>
                </w14:textFill>
              </w:rPr>
            </w:pPr>
          </w:p>
        </w:tc>
        <w:tc>
          <w:tcPr>
            <w:tcW w:w="1000" w:type="dxa"/>
            <w:vAlign w:val="center"/>
          </w:tcPr>
          <w:p w14:paraId="77B12046">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生态环境</w:t>
            </w:r>
          </w:p>
        </w:tc>
        <w:tc>
          <w:tcPr>
            <w:tcW w:w="4452" w:type="dxa"/>
            <w:vAlign w:val="center"/>
          </w:tcPr>
          <w:p w14:paraId="30FA672C">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种群数量、种群结构、物种组成、植被覆盖度、生态系统功能、物种丰富度、主要保护对象、生态功能、景观多样性</w:t>
            </w:r>
          </w:p>
        </w:tc>
        <w:tc>
          <w:tcPr>
            <w:tcW w:w="2394" w:type="dxa"/>
            <w:vAlign w:val="center"/>
          </w:tcPr>
          <w:p w14:paraId="3FB6DC0E">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zh-CN"/>
                <w14:textFill>
                  <w14:solidFill>
                    <w14:schemeClr w14:val="tx1"/>
                  </w14:solidFill>
                </w14:textFill>
              </w:rPr>
              <w:t>种群数量、种群结构、物种组成、植被覆盖度、生态系统功能、物种丰富度、主要保护对象、生态功能、景观多样性</w:t>
            </w:r>
          </w:p>
        </w:tc>
      </w:tr>
      <w:tr w14:paraId="4B2E90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9" w:hRule="atLeast"/>
          <w:jc w:val="center"/>
        </w:trPr>
        <w:tc>
          <w:tcPr>
            <w:tcW w:w="757" w:type="dxa"/>
            <w:vAlign w:val="center"/>
          </w:tcPr>
          <w:p w14:paraId="38543537">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退役期</w:t>
            </w:r>
          </w:p>
        </w:tc>
        <w:tc>
          <w:tcPr>
            <w:tcW w:w="7846" w:type="dxa"/>
            <w:gridSpan w:val="3"/>
            <w:vAlign w:val="center"/>
          </w:tcPr>
          <w:p w14:paraId="5C70EB49">
            <w:pPr>
              <w:spacing w:line="360" w:lineRule="exact"/>
              <w:ind w:firstLine="0" w:firstLineChars="0"/>
              <w:jc w:val="center"/>
              <w:rPr>
                <w:color w:val="000000" w:themeColor="text1"/>
                <w:sz w:val="21"/>
                <w:szCs w:val="21"/>
                <w:highlight w:val="none"/>
                <w:lang w:val="zh-CN"/>
                <w14:textFill>
                  <w14:solidFill>
                    <w14:schemeClr w14:val="tx1"/>
                  </w14:solidFill>
                </w14:textFill>
              </w:rPr>
            </w:pPr>
            <w:r>
              <w:rPr>
                <w:rFonts w:hint="eastAsia"/>
                <w:color w:val="000000" w:themeColor="text1"/>
                <w:sz w:val="21"/>
                <w:szCs w:val="21"/>
                <w:highlight w:val="none"/>
                <w14:textFill>
                  <w14:solidFill>
                    <w14:schemeClr w14:val="tx1"/>
                  </w14:solidFill>
                </w14:textFill>
              </w:rPr>
              <w:t>选矿厂、尾矿库</w:t>
            </w:r>
            <w:r>
              <w:rPr>
                <w:color w:val="000000" w:themeColor="text1"/>
                <w:sz w:val="21"/>
                <w:szCs w:val="21"/>
                <w:highlight w:val="none"/>
                <w14:textFill>
                  <w14:solidFill>
                    <w14:schemeClr w14:val="tx1"/>
                  </w14:solidFill>
                </w14:textFill>
              </w:rPr>
              <w:t>土地复垦及生态恢复等</w:t>
            </w:r>
          </w:p>
        </w:tc>
      </w:tr>
    </w:tbl>
    <w:p w14:paraId="3912A49E">
      <w:pPr>
        <w:pStyle w:val="3"/>
        <w:rPr>
          <w:color w:val="000000" w:themeColor="text1"/>
          <w:highlight w:val="none"/>
          <w14:textFill>
            <w14:solidFill>
              <w14:schemeClr w14:val="tx1"/>
            </w14:solidFill>
          </w14:textFill>
        </w:rPr>
      </w:pPr>
      <w:bookmarkStart w:id="149" w:name="_Toc30587"/>
      <w:bookmarkStart w:id="150" w:name="_Toc16961"/>
      <w:bookmarkStart w:id="151" w:name="_Toc107413881"/>
      <w:bookmarkStart w:id="152" w:name="_Toc26176"/>
      <w:bookmarkStart w:id="153" w:name="_Toc11599"/>
      <w:bookmarkStart w:id="154" w:name="_Toc31241"/>
      <w:bookmarkStart w:id="155" w:name="_Toc107414648"/>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5环境功能区划和评价标准</w:t>
      </w:r>
      <w:bookmarkEnd w:id="149"/>
      <w:bookmarkEnd w:id="150"/>
      <w:bookmarkEnd w:id="151"/>
      <w:bookmarkEnd w:id="152"/>
      <w:bookmarkEnd w:id="153"/>
      <w:bookmarkEnd w:id="154"/>
      <w:bookmarkEnd w:id="155"/>
    </w:p>
    <w:p w14:paraId="30B48456">
      <w:pPr>
        <w:pStyle w:val="4"/>
        <w:rPr>
          <w:color w:val="000000" w:themeColor="text1"/>
          <w:highlight w:val="none"/>
          <w14:textFill>
            <w14:solidFill>
              <w14:schemeClr w14:val="tx1"/>
            </w14:solidFill>
          </w14:textFill>
        </w:rPr>
      </w:pPr>
      <w:bookmarkStart w:id="156" w:name="_Toc11648"/>
      <w:bookmarkStart w:id="157" w:name="_Toc13718"/>
      <w:bookmarkStart w:id="158" w:name="_Toc2756"/>
      <w:bookmarkStart w:id="159" w:name="_Toc4203"/>
      <w:bookmarkStart w:id="160" w:name="_Toc2407"/>
      <w:bookmarkStart w:id="161" w:name="_Toc15413"/>
      <w:bookmarkStart w:id="162" w:name="_Toc1486"/>
      <w:bookmarkStart w:id="163" w:name="_Toc16118"/>
      <w:bookmarkStart w:id="164" w:name="_Toc3134"/>
      <w:r>
        <w:rPr>
          <w:color w:val="000000" w:themeColor="text1"/>
          <w:highlight w:val="none"/>
          <w14:textFill>
            <w14:solidFill>
              <w14:schemeClr w14:val="tx1"/>
            </w14:solidFill>
          </w14:textFill>
        </w:rPr>
        <w:t>2.5.1环境功能区划</w:t>
      </w:r>
      <w:bookmarkEnd w:id="156"/>
      <w:bookmarkEnd w:id="157"/>
      <w:bookmarkEnd w:id="158"/>
      <w:bookmarkEnd w:id="159"/>
      <w:bookmarkEnd w:id="160"/>
      <w:bookmarkEnd w:id="161"/>
      <w:bookmarkEnd w:id="162"/>
      <w:bookmarkEnd w:id="163"/>
      <w:bookmarkEnd w:id="164"/>
    </w:p>
    <w:p w14:paraId="0D8A1432">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2.5.1.1空气环境功能区划</w:t>
      </w:r>
    </w:p>
    <w:p w14:paraId="232293E1">
      <w:pPr>
        <w:pStyle w:val="55"/>
        <w:overflowPunct w:val="0"/>
        <w:topLinePunct/>
        <w:adjustRightInd/>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根据《环境空气质量标准》（GB3095-20</w:t>
      </w:r>
      <w:r>
        <w:rPr>
          <w:rFonts w:hint="eastAsia"/>
          <w:color w:val="000000" w:themeColor="text1"/>
          <w:sz w:val="24"/>
          <w:szCs w:val="24"/>
          <w:lang w:val="en-US" w:eastAsia="zh-CN"/>
          <w14:textFill>
            <w14:solidFill>
              <w14:schemeClr w14:val="tx1"/>
            </w14:solidFill>
          </w14:textFill>
        </w:rPr>
        <w:t>26</w:t>
      </w:r>
      <w:r>
        <w:rPr>
          <w:color w:val="000000" w:themeColor="text1"/>
          <w:sz w:val="24"/>
          <w:szCs w:val="24"/>
          <w14:textFill>
            <w14:solidFill>
              <w14:schemeClr w14:val="tx1"/>
            </w14:solidFill>
          </w14:textFill>
        </w:rPr>
        <w:t>），项目所在区域不在</w:t>
      </w:r>
      <w:r>
        <w:rPr>
          <w:rFonts w:hint="eastAsia"/>
          <w:color w:val="000000" w:themeColor="text1"/>
          <w:sz w:val="24"/>
          <w:szCs w:val="24"/>
          <w:lang w:val="en-US" w:eastAsia="zh-CN"/>
          <w14:textFill>
            <w14:solidFill>
              <w14:schemeClr w14:val="tx1"/>
            </w14:solidFill>
          </w14:textFill>
        </w:rPr>
        <w:t>国家公园、</w:t>
      </w:r>
      <w:r>
        <w:rPr>
          <w:color w:val="000000" w:themeColor="text1"/>
          <w:sz w:val="24"/>
          <w:szCs w:val="24"/>
          <w14:textFill>
            <w14:solidFill>
              <w14:schemeClr w14:val="tx1"/>
            </w14:solidFill>
          </w14:textFill>
        </w:rPr>
        <w:t>自然保护区、</w:t>
      </w:r>
      <w:r>
        <w:rPr>
          <w:rFonts w:hint="eastAsia"/>
          <w:color w:val="000000" w:themeColor="text1"/>
          <w:sz w:val="24"/>
          <w:szCs w:val="24"/>
          <w:lang w:val="en-US" w:eastAsia="zh-CN"/>
          <w14:textFill>
            <w14:solidFill>
              <w14:schemeClr w14:val="tx1"/>
            </w14:solidFill>
          </w14:textFill>
        </w:rPr>
        <w:t>自然公园</w:t>
      </w:r>
      <w:r>
        <w:rPr>
          <w:color w:val="000000" w:themeColor="text1"/>
          <w:sz w:val="24"/>
          <w:szCs w:val="24"/>
          <w14:textFill>
            <w14:solidFill>
              <w14:schemeClr w14:val="tx1"/>
            </w14:solidFill>
          </w14:textFill>
        </w:rPr>
        <w:t>和其他需要特殊保护的区域范围内，为环境空气功能二类区。</w:t>
      </w:r>
    </w:p>
    <w:p w14:paraId="7AAC2956">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2.5.1.2水环境功能区划</w:t>
      </w:r>
    </w:p>
    <w:p w14:paraId="19EB255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rFonts w:hint="eastAsia"/>
          <w:color w:val="000000" w:themeColor="text1"/>
          <w:highlight w:val="none"/>
          <w:lang w:eastAsia="zh-CN"/>
          <w14:textFill>
            <w14:solidFill>
              <w14:schemeClr w14:val="tx1"/>
            </w14:solidFill>
          </w14:textFill>
        </w:rPr>
        <w:t>项目</w:t>
      </w:r>
      <w:r>
        <w:rPr>
          <w:rFonts w:hint="eastAsia"/>
          <w:color w:val="000000" w:themeColor="text1"/>
          <w:highlight w:val="none"/>
          <w14:textFill>
            <w14:solidFill>
              <w14:schemeClr w14:val="tx1"/>
            </w14:solidFill>
          </w14:textFill>
        </w:rPr>
        <w:t>周边无地表水体，距项目区最近的地表水体库如克郭勒河约153.8km。</w:t>
      </w:r>
    </w:p>
    <w:p w14:paraId="1618298F">
      <w:pPr>
        <w:pStyle w:val="55"/>
        <w:overflowPunct w:val="0"/>
        <w:topLinePunct/>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项目所在区域地下水未进行功能区划分，根据其用途执行《地下水质量标准》（GB/T14848-2017）Ⅲ类标准。</w:t>
      </w:r>
      <w:r>
        <w:rPr>
          <w:rFonts w:hint="eastAsia"/>
          <w:color w:val="000000" w:themeColor="text1"/>
          <w:highlight w:val="none"/>
          <w14:textFill>
            <w14:solidFill>
              <w14:schemeClr w14:val="tx1"/>
            </w14:solidFill>
          </w14:textFill>
        </w:rPr>
        <w:t>区域水系图见图2</w:t>
      </w:r>
      <w:r>
        <w:rPr>
          <w:color w:val="000000" w:themeColor="text1"/>
          <w:highlight w:val="none"/>
          <w14:textFill>
            <w14:solidFill>
              <w14:schemeClr w14:val="tx1"/>
            </w14:solidFill>
          </w14:textFill>
        </w:rPr>
        <w:t>.5-1</w:t>
      </w:r>
      <w:r>
        <w:rPr>
          <w:rFonts w:hint="eastAsia"/>
          <w:color w:val="000000" w:themeColor="text1"/>
          <w:highlight w:val="none"/>
          <w14:textFill>
            <w14:solidFill>
              <w14:schemeClr w14:val="tx1"/>
            </w14:solidFill>
          </w14:textFill>
        </w:rPr>
        <w:t>。</w:t>
      </w:r>
    </w:p>
    <w:p w14:paraId="219A4A27">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2.5.1.3声环境功能区划</w:t>
      </w:r>
    </w:p>
    <w:p w14:paraId="29304E86">
      <w:pPr>
        <w:pStyle w:val="55"/>
        <w:overflowPunct w:val="0"/>
        <w:topLinePunct/>
        <w:ind w:firstLine="476" w:firstLineChars="200"/>
        <w:rPr>
          <w:rFonts w:cs="宋体"/>
          <w:color w:val="000000" w:themeColor="text1"/>
          <w:spacing w:val="-1"/>
          <w:highlight w:val="none"/>
          <w14:textFill>
            <w14:solidFill>
              <w14:schemeClr w14:val="tx1"/>
            </w14:solidFill>
          </w14:textFill>
        </w:rPr>
      </w:pPr>
      <w:r>
        <w:rPr>
          <w:rFonts w:hint="eastAsia"/>
          <w:color w:val="000000" w:themeColor="text1"/>
          <w:spacing w:val="-1"/>
          <w:highlight w:val="none"/>
          <w14:textFill>
            <w14:solidFill>
              <w14:schemeClr w14:val="tx1"/>
            </w14:solidFill>
          </w14:textFill>
        </w:rPr>
        <w:t>本</w:t>
      </w:r>
      <w:r>
        <w:rPr>
          <w:color w:val="000000" w:themeColor="text1"/>
          <w:spacing w:val="-1"/>
          <w:highlight w:val="none"/>
          <w14:textFill>
            <w14:solidFill>
              <w14:schemeClr w14:val="tx1"/>
            </w14:solidFill>
          </w14:textFill>
        </w:rPr>
        <w:t>项目</w:t>
      </w:r>
      <w:r>
        <w:rPr>
          <w:rFonts w:hint="eastAsia"/>
          <w:color w:val="000000" w:themeColor="text1"/>
          <w:spacing w:val="-1"/>
          <w:highlight w:val="none"/>
          <w14:textFill>
            <w14:solidFill>
              <w14:schemeClr w14:val="tx1"/>
            </w14:solidFill>
          </w14:textFill>
        </w:rPr>
        <w:t>为铁选矿工程，</w:t>
      </w:r>
      <w:r>
        <w:rPr>
          <w:rFonts w:hint="eastAsia" w:cs="宋体"/>
          <w:color w:val="000000" w:themeColor="text1"/>
          <w:spacing w:val="-1"/>
          <w:highlight w:val="none"/>
          <w14:textFill>
            <w14:solidFill>
              <w14:schemeClr w14:val="tx1"/>
            </w14:solidFill>
          </w14:textFill>
        </w:rPr>
        <w:t>以工业生产为主要功能，项目区远离市区、村镇，根据《声环境功能区划分技术规范》（GB/T15190-2014）中声环境功能区划分原则、方法和《声环境质量标准》（GB3096-2008）中声环境功能区分类要求，本项目属于2类声环境功能区</w:t>
      </w:r>
      <w:r>
        <w:rPr>
          <w:rFonts w:hint="eastAsia"/>
          <w:color w:val="000000" w:themeColor="text1"/>
          <w:spacing w:val="-1"/>
          <w:highlight w:val="none"/>
          <w14:textFill>
            <w14:solidFill>
              <w14:schemeClr w14:val="tx1"/>
            </w14:solidFill>
          </w14:textFill>
        </w:rPr>
        <w:t>。</w:t>
      </w:r>
    </w:p>
    <w:p w14:paraId="5970D8C2">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2.5.1.4</w:t>
      </w:r>
      <w:r>
        <w:rPr>
          <w:color w:val="000000" w:themeColor="text1"/>
          <w:highlight w:val="none"/>
          <w14:textFill>
            <w14:solidFill>
              <w14:schemeClr w14:val="tx1"/>
            </w14:solidFill>
          </w14:textFill>
        </w:rPr>
        <w:t>生态环境功能区划</w:t>
      </w:r>
    </w:p>
    <w:p w14:paraId="1A3A4782">
      <w:pPr>
        <w:overflowPunct w:val="0"/>
        <w:topLinePunct/>
        <w:ind w:firstLine="480"/>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根据《全国生态功能区划（修编版）》（2015年），本项目位于I-04-20吐鲁番-哈密盆地防风固沙功能区。</w:t>
      </w:r>
    </w:p>
    <w:p w14:paraId="70EA686E">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val="zh-CN"/>
          <w14:textFill>
            <w14:solidFill>
              <w14:schemeClr w14:val="tx1"/>
            </w14:solidFill>
          </w14:textFill>
        </w:rPr>
        <w:t>根据《新疆生态功能区划》，本项目位于Ⅲ天山山地温性草原、森林生态区——Ⅲ4天山南坡吐鲁番—哈密盆地戈壁荒漠、绿洲农业生态亚区——53.嘎顺—南湖戈壁荒漠风蚀敏感生态功能区。</w:t>
      </w:r>
    </w:p>
    <w:p w14:paraId="01BA8AE7">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2.5.1.5土壤环境功能区划</w:t>
      </w:r>
    </w:p>
    <w:p w14:paraId="6B480CB1">
      <w:pPr>
        <w:overflowPunct w:val="0"/>
        <w:topLinePunct/>
        <w:ind w:firstLine="476"/>
        <w:rPr>
          <w:color w:val="000000" w:themeColor="text1"/>
          <w:highlight w:val="none"/>
          <w14:textFill>
            <w14:solidFill>
              <w14:schemeClr w14:val="tx1"/>
            </w14:solidFill>
          </w14:textFill>
        </w:rPr>
      </w:pPr>
      <w:r>
        <w:rPr>
          <w:rFonts w:hint="eastAsia"/>
          <w:color w:val="000000" w:themeColor="text1"/>
          <w:spacing w:val="-1"/>
          <w:highlight w:val="none"/>
          <w:lang w:val="en-US" w:eastAsia="zh-CN"/>
          <w14:textFill>
            <w14:solidFill>
              <w14:schemeClr w14:val="tx1"/>
            </w14:solidFill>
          </w14:textFill>
        </w:rPr>
        <w:t>本</w:t>
      </w:r>
      <w:r>
        <w:rPr>
          <w:color w:val="000000" w:themeColor="text1"/>
          <w:spacing w:val="-1"/>
          <w:highlight w:val="none"/>
          <w14:textFill>
            <w14:solidFill>
              <w14:schemeClr w14:val="tx1"/>
            </w14:solidFill>
          </w14:textFill>
        </w:rPr>
        <w:t>项目</w:t>
      </w:r>
      <w:r>
        <w:rPr>
          <w:rFonts w:hint="eastAsia"/>
          <w:color w:val="000000" w:themeColor="text1"/>
          <w:spacing w:val="-1"/>
          <w:highlight w:val="none"/>
          <w:lang w:val="en-US" w:eastAsia="zh-CN"/>
          <w14:textFill>
            <w14:solidFill>
              <w14:schemeClr w14:val="tx1"/>
            </w14:solidFill>
          </w14:textFill>
        </w:rPr>
        <w:t>用地</w:t>
      </w:r>
      <w:r>
        <w:rPr>
          <w:color w:val="000000" w:themeColor="text1"/>
          <w:spacing w:val="-1"/>
          <w:highlight w:val="none"/>
          <w14:textFill>
            <w14:solidFill>
              <w14:schemeClr w14:val="tx1"/>
            </w14:solidFill>
          </w14:textFill>
        </w:rPr>
        <w:t>属于工业用地，根据《土壤环境质量 建设用地土壤污染风险管控标准（试行）》（GB36600-2018），本项目属于第二类用地中的工业用地（M）。</w:t>
      </w:r>
    </w:p>
    <w:p w14:paraId="38E22D7A">
      <w:pPr>
        <w:pStyle w:val="4"/>
        <w:rPr>
          <w:color w:val="000000" w:themeColor="text1"/>
          <w:highlight w:val="none"/>
          <w14:textFill>
            <w14:solidFill>
              <w14:schemeClr w14:val="tx1"/>
            </w14:solidFill>
          </w14:textFill>
        </w:rPr>
      </w:pPr>
      <w:bookmarkStart w:id="165" w:name="_Toc16394"/>
      <w:bookmarkStart w:id="166" w:name="_Toc20204"/>
      <w:bookmarkStart w:id="167" w:name="_Toc31747"/>
      <w:bookmarkStart w:id="168" w:name="_Toc24772"/>
      <w:bookmarkStart w:id="169" w:name="_Toc7992"/>
      <w:bookmarkStart w:id="170" w:name="_Toc12662"/>
      <w:bookmarkStart w:id="171" w:name="_Toc16621"/>
      <w:bookmarkStart w:id="172" w:name="_Toc29325"/>
      <w:bookmarkStart w:id="173" w:name="_Toc31745"/>
      <w:r>
        <w:rPr>
          <w:color w:val="000000" w:themeColor="text1"/>
          <w:highlight w:val="none"/>
          <w14:textFill>
            <w14:solidFill>
              <w14:schemeClr w14:val="tx1"/>
            </w14:solidFill>
          </w14:textFill>
        </w:rPr>
        <w:t>2.5.2评价标准</w:t>
      </w:r>
      <w:bookmarkEnd w:id="165"/>
      <w:bookmarkEnd w:id="166"/>
      <w:bookmarkEnd w:id="167"/>
      <w:bookmarkEnd w:id="168"/>
      <w:bookmarkEnd w:id="169"/>
      <w:bookmarkEnd w:id="170"/>
      <w:bookmarkEnd w:id="171"/>
      <w:bookmarkEnd w:id="172"/>
      <w:bookmarkEnd w:id="173"/>
    </w:p>
    <w:p w14:paraId="2C2C8AD4">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2.5.2.1环境质量标准</w:t>
      </w:r>
    </w:p>
    <w:p w14:paraId="677D954F">
      <w:pPr>
        <w:pStyle w:val="55"/>
        <w:overflowPunct w:val="0"/>
        <w:topLinePunct/>
        <w:adjustRightInd/>
        <w:ind w:firstLine="476" w:firstLineChars="200"/>
        <w:rPr>
          <w:color w:val="000000" w:themeColor="text1"/>
          <w:spacing w:val="-1"/>
          <w:highlight w:val="none"/>
          <w14:textFill>
            <w14:solidFill>
              <w14:schemeClr w14:val="tx1"/>
            </w14:solidFill>
          </w14:textFill>
        </w:rPr>
      </w:pPr>
      <w:r>
        <w:rPr>
          <w:color w:val="000000" w:themeColor="text1"/>
          <w:spacing w:val="-1"/>
          <w:highlight w:val="none"/>
          <w14:textFill>
            <w14:solidFill>
              <w14:schemeClr w14:val="tx1"/>
            </w14:solidFill>
          </w14:textFill>
        </w:rPr>
        <w:t>（1）大气环境</w:t>
      </w:r>
    </w:p>
    <w:p w14:paraId="7A95F78E">
      <w:pPr>
        <w:pStyle w:val="55"/>
        <w:widowControl/>
        <w:overflowPunct w:val="0"/>
        <w:topLinePunct/>
        <w:adjustRightInd/>
        <w:ind w:firstLine="480" w:firstLineChars="200"/>
        <w:rPr>
          <w:color w:val="000000" w:themeColor="text1"/>
          <w:spacing w:val="-1"/>
          <w:highlight w:val="none"/>
          <w14:textFill>
            <w14:solidFill>
              <w14:schemeClr w14:val="tx1"/>
            </w14:solidFill>
          </w14:textFill>
        </w:rPr>
      </w:pPr>
      <w:r>
        <w:rPr>
          <w:color w:val="000000" w:themeColor="text1"/>
          <w:sz w:val="24"/>
          <w:szCs w:val="24"/>
          <w14:textFill>
            <w14:solidFill>
              <w14:schemeClr w14:val="tx1"/>
            </w14:solidFill>
          </w14:textFill>
        </w:rPr>
        <w:t>本项目所在地为环境空气二类功能区，故</w:t>
      </w:r>
      <w:r>
        <w:rPr>
          <w:rFonts w:hint="eastAsia"/>
          <w:color w:val="000000" w:themeColor="text1"/>
          <w:sz w:val="24"/>
          <w:szCs w:val="24"/>
          <w:lang w:val="en-US" w:eastAsia="zh-CN"/>
          <w14:textFill>
            <w14:solidFill>
              <w14:schemeClr w14:val="tx1"/>
            </w14:solidFill>
          </w14:textFill>
        </w:rPr>
        <w:t>基本污染物</w:t>
      </w:r>
      <w:r>
        <w:rPr>
          <w:color w:val="000000" w:themeColor="text1"/>
          <w:sz w:val="24"/>
          <w:szCs w:val="24"/>
          <w14:textFill>
            <w14:solidFill>
              <w14:schemeClr w14:val="tx1"/>
            </w14:solidFill>
          </w14:textFill>
        </w:rPr>
        <w:t>执行《环境空气质量标准》（GB3095-20</w:t>
      </w:r>
      <w:r>
        <w:rPr>
          <w:rFonts w:hint="eastAsia"/>
          <w:color w:val="000000" w:themeColor="text1"/>
          <w:sz w:val="24"/>
          <w:szCs w:val="24"/>
          <w:lang w:val="en-US" w:eastAsia="zh-CN"/>
          <w14:textFill>
            <w14:solidFill>
              <w14:schemeClr w14:val="tx1"/>
            </w14:solidFill>
          </w14:textFill>
        </w:rPr>
        <w:t>26</w:t>
      </w:r>
      <w:r>
        <w:rPr>
          <w:color w:val="000000" w:themeColor="text1"/>
          <w:sz w:val="24"/>
          <w:szCs w:val="24"/>
          <w14:textFill>
            <w14:solidFill>
              <w14:schemeClr w14:val="tx1"/>
            </w14:solidFill>
          </w14:textFill>
        </w:rPr>
        <w:t>）中的</w:t>
      </w:r>
      <w:r>
        <w:rPr>
          <w:rFonts w:hint="eastAsia"/>
          <w:color w:val="000000" w:themeColor="text1"/>
          <w:sz w:val="24"/>
          <w:szCs w:val="24"/>
          <w:lang w:val="en-US" w:eastAsia="zh-CN"/>
          <w14:textFill>
            <w14:solidFill>
              <w14:schemeClr w14:val="tx1"/>
            </w14:solidFill>
          </w14:textFill>
        </w:rPr>
        <w:t>过渡阶段</w:t>
      </w:r>
      <w:r>
        <w:rPr>
          <w:color w:val="000000" w:themeColor="text1"/>
          <w:sz w:val="24"/>
          <w:szCs w:val="24"/>
          <w14:textFill>
            <w14:solidFill>
              <w14:schemeClr w14:val="tx1"/>
            </w14:solidFill>
          </w14:textFill>
        </w:rPr>
        <w:t>二级</w:t>
      </w:r>
      <w:r>
        <w:rPr>
          <w:rFonts w:hint="eastAsia"/>
          <w:color w:val="000000" w:themeColor="text1"/>
          <w:sz w:val="24"/>
          <w:szCs w:val="24"/>
          <w:lang w:val="en-US" w:eastAsia="zh-CN"/>
          <w14:textFill>
            <w14:solidFill>
              <w14:schemeClr w14:val="tx1"/>
            </w14:solidFill>
          </w14:textFill>
        </w:rPr>
        <w:t>浓度限值</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TSP执行</w:t>
      </w:r>
      <w:r>
        <w:rPr>
          <w:color w:val="000000" w:themeColor="text1"/>
          <w:sz w:val="24"/>
          <w:szCs w:val="24"/>
          <w14:textFill>
            <w14:solidFill>
              <w14:schemeClr w14:val="tx1"/>
            </w14:solidFill>
          </w14:textFill>
        </w:rPr>
        <w:t>《环境空气质量标准》（GB3095-20</w:t>
      </w:r>
      <w:r>
        <w:rPr>
          <w:rFonts w:hint="eastAsia"/>
          <w:color w:val="000000" w:themeColor="text1"/>
          <w:sz w:val="24"/>
          <w:szCs w:val="24"/>
          <w:lang w:val="en-US" w:eastAsia="zh-CN"/>
          <w14:textFill>
            <w14:solidFill>
              <w14:schemeClr w14:val="tx1"/>
            </w14:solidFill>
          </w14:textFill>
        </w:rPr>
        <w:t>26</w:t>
      </w:r>
      <w:r>
        <w:rPr>
          <w:color w:val="000000" w:themeColor="text1"/>
          <w:sz w:val="24"/>
          <w:szCs w:val="24"/>
          <w14:textFill>
            <w14:solidFill>
              <w14:schemeClr w14:val="tx1"/>
            </w14:solidFill>
          </w14:textFill>
        </w:rPr>
        <w:t>）二级</w:t>
      </w:r>
      <w:r>
        <w:rPr>
          <w:rFonts w:hint="eastAsia"/>
          <w:color w:val="000000" w:themeColor="text1"/>
          <w:sz w:val="24"/>
          <w:szCs w:val="24"/>
          <w:lang w:val="en-US" w:eastAsia="zh-CN"/>
          <w14:textFill>
            <w14:solidFill>
              <w14:schemeClr w14:val="tx1"/>
            </w14:solidFill>
          </w14:textFill>
        </w:rPr>
        <w:t>浓度限值</w:t>
      </w:r>
      <w:r>
        <w:rPr>
          <w:color w:val="000000" w:themeColor="text1"/>
          <w:sz w:val="24"/>
          <w:szCs w:val="24"/>
          <w14:textFill>
            <w14:solidFill>
              <w14:schemeClr w14:val="tx1"/>
            </w14:solidFill>
          </w14:textFill>
        </w:rPr>
        <w:t>，</w:t>
      </w:r>
      <w:r>
        <w:rPr>
          <w:color w:val="000000" w:themeColor="text1"/>
          <w:spacing w:val="-1"/>
          <w:highlight w:val="none"/>
          <w14:textFill>
            <w14:solidFill>
              <w14:schemeClr w14:val="tx1"/>
            </w14:solidFill>
          </w14:textFill>
        </w:rPr>
        <w:t>具体标准值见表2.5-1。</w:t>
      </w:r>
    </w:p>
    <w:p w14:paraId="15DD1E30">
      <w:pPr>
        <w:pStyle w:val="47"/>
        <w:widowControl w:val="0"/>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表</w:t>
      </w:r>
      <w:r>
        <w:rPr>
          <w:rFonts w:hint="eastAsia"/>
          <w:color w:val="000000" w:themeColor="text1"/>
          <w:highlight w:val="none"/>
          <w14:textFill>
            <w14:solidFill>
              <w14:schemeClr w14:val="tx1"/>
            </w14:solidFill>
          </w14:textFill>
        </w:rPr>
        <w:t>2</w:t>
      </w:r>
      <w:r>
        <w:rPr>
          <w:color w:val="000000" w:themeColor="text1"/>
          <w:highlight w:val="none"/>
          <w:lang w:val="zh-CN"/>
          <w14:textFill>
            <w14:solidFill>
              <w14:schemeClr w14:val="tx1"/>
            </w14:solidFill>
          </w14:textFill>
        </w:rPr>
        <w:t>.</w:t>
      </w:r>
      <w:r>
        <w:rPr>
          <w:color w:val="000000" w:themeColor="text1"/>
          <w:highlight w:val="none"/>
          <w14:textFill>
            <w14:solidFill>
              <w14:schemeClr w14:val="tx1"/>
            </w14:solidFill>
          </w14:textFill>
        </w:rPr>
        <w:t>5-1</w:t>
      </w:r>
      <w:r>
        <w:rPr>
          <w:color w:val="000000" w:themeColor="text1"/>
          <w:highlight w:val="none"/>
          <w:lang w:val="zh-CN"/>
          <w14:textFill>
            <w14:solidFill>
              <w14:schemeClr w14:val="tx1"/>
            </w14:solidFill>
          </w14:textFill>
        </w:rPr>
        <w:t xml:space="preserve">    </w:t>
      </w:r>
      <w:r>
        <w:rPr>
          <w:b/>
          <w:bCs/>
          <w:color w:val="000000" w:themeColor="text1"/>
          <w:sz w:val="24"/>
          <w:szCs w:val="24"/>
          <w14:textFill>
            <w14:solidFill>
              <w14:schemeClr w14:val="tx1"/>
            </w14:solidFill>
          </w14:textFill>
        </w:rPr>
        <w:t>环境空气质量执行标准（单位：μg/m</w:t>
      </w:r>
      <w:r>
        <w:rPr>
          <w:b/>
          <w:bCs/>
          <w:color w:val="000000" w:themeColor="text1"/>
          <w:sz w:val="24"/>
          <w:szCs w:val="24"/>
          <w:vertAlign w:val="superscript"/>
          <w14:textFill>
            <w14:solidFill>
              <w14:schemeClr w14:val="tx1"/>
            </w14:solidFill>
          </w14:textFill>
        </w:rPr>
        <w:t>3</w:t>
      </w:r>
      <w:r>
        <w:rPr>
          <w:b/>
          <w:bCs/>
          <w:color w:val="000000" w:themeColor="text1"/>
          <w:sz w:val="24"/>
          <w:szCs w:val="24"/>
          <w14:textFill>
            <w14:solidFill>
              <w14:schemeClr w14:val="tx1"/>
            </w14:solidFill>
          </w14:textFill>
        </w:rPr>
        <w:t>）</w:t>
      </w:r>
    </w:p>
    <w:tbl>
      <w:tblPr>
        <w:tblStyle w:val="32"/>
        <w:tblW w:w="49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911"/>
        <w:gridCol w:w="1344"/>
        <w:gridCol w:w="2534"/>
        <w:gridCol w:w="2277"/>
      </w:tblGrid>
      <w:tr w14:paraId="41894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95" w:type="pct"/>
            <w:noWrap w:val="0"/>
            <w:vAlign w:val="center"/>
          </w:tcPr>
          <w:p w14:paraId="53FBDA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类别</w:t>
            </w:r>
          </w:p>
        </w:tc>
        <w:tc>
          <w:tcPr>
            <w:tcW w:w="542" w:type="pct"/>
            <w:noWrap w:val="0"/>
            <w:vAlign w:val="center"/>
          </w:tcPr>
          <w:p w14:paraId="5BAFF8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污染物</w:t>
            </w:r>
          </w:p>
        </w:tc>
        <w:tc>
          <w:tcPr>
            <w:tcW w:w="799" w:type="pct"/>
            <w:noWrap w:val="0"/>
            <w:vAlign w:val="center"/>
          </w:tcPr>
          <w:p w14:paraId="7E2F02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取值时间</w:t>
            </w:r>
          </w:p>
        </w:tc>
        <w:tc>
          <w:tcPr>
            <w:tcW w:w="1507" w:type="pct"/>
            <w:noWrap w:val="0"/>
            <w:vAlign w:val="center"/>
          </w:tcPr>
          <w:p w14:paraId="1CB18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过渡阶段</w:t>
            </w:r>
            <w:r>
              <w:rPr>
                <w:rFonts w:hint="default" w:ascii="Times New Roman" w:hAnsi="Times New Roman" w:eastAsia="宋体" w:cs="Times New Roman"/>
                <w:b/>
                <w:bCs/>
                <w:color w:val="000000" w:themeColor="text1"/>
                <w:kern w:val="0"/>
                <w:sz w:val="21"/>
                <w:szCs w:val="21"/>
                <w14:textFill>
                  <w14:solidFill>
                    <w14:schemeClr w14:val="tx1"/>
                  </w14:solidFill>
                </w14:textFill>
              </w:rPr>
              <w:t>二级浓度限值</w:t>
            </w:r>
          </w:p>
        </w:tc>
        <w:tc>
          <w:tcPr>
            <w:tcW w:w="1354" w:type="pct"/>
            <w:noWrap w:val="0"/>
            <w:vAlign w:val="center"/>
          </w:tcPr>
          <w:p w14:paraId="64B433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二级浓度限值</w:t>
            </w:r>
          </w:p>
        </w:tc>
      </w:tr>
      <w:tr w14:paraId="17CC6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restart"/>
            <w:noWrap w:val="0"/>
            <w:vAlign w:val="center"/>
          </w:tcPr>
          <w:p w14:paraId="773C16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基本污染物</w:t>
            </w:r>
          </w:p>
        </w:tc>
        <w:tc>
          <w:tcPr>
            <w:tcW w:w="542" w:type="pct"/>
            <w:vMerge w:val="restart"/>
            <w:noWrap w:val="0"/>
            <w:vAlign w:val="center"/>
          </w:tcPr>
          <w:p w14:paraId="5B2E4F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SO</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2</w:t>
            </w:r>
          </w:p>
        </w:tc>
        <w:tc>
          <w:tcPr>
            <w:tcW w:w="799" w:type="pct"/>
            <w:noWrap w:val="0"/>
            <w:vAlign w:val="center"/>
          </w:tcPr>
          <w:p w14:paraId="2C219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年平均</w:t>
            </w:r>
          </w:p>
        </w:tc>
        <w:tc>
          <w:tcPr>
            <w:tcW w:w="1507" w:type="pct"/>
            <w:noWrap w:val="0"/>
            <w:vAlign w:val="center"/>
          </w:tcPr>
          <w:p w14:paraId="58D59C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60</w:t>
            </w:r>
          </w:p>
        </w:tc>
        <w:tc>
          <w:tcPr>
            <w:tcW w:w="1354" w:type="pct"/>
            <w:noWrap w:val="0"/>
            <w:vAlign w:val="center"/>
          </w:tcPr>
          <w:p w14:paraId="1345F9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r>
      <w:tr w14:paraId="2DED1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657FAB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continue"/>
            <w:noWrap w:val="0"/>
            <w:vAlign w:val="center"/>
          </w:tcPr>
          <w:p w14:paraId="157AE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99" w:type="pct"/>
            <w:noWrap w:val="0"/>
            <w:vAlign w:val="center"/>
          </w:tcPr>
          <w:p w14:paraId="5BC536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日平均</w:t>
            </w:r>
          </w:p>
        </w:tc>
        <w:tc>
          <w:tcPr>
            <w:tcW w:w="1507" w:type="pct"/>
            <w:noWrap w:val="0"/>
            <w:vAlign w:val="center"/>
          </w:tcPr>
          <w:p w14:paraId="790DB2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150</w:t>
            </w:r>
          </w:p>
        </w:tc>
        <w:tc>
          <w:tcPr>
            <w:tcW w:w="1354" w:type="pct"/>
            <w:noWrap w:val="0"/>
            <w:vAlign w:val="center"/>
          </w:tcPr>
          <w:p w14:paraId="0B1E29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50</w:t>
            </w:r>
          </w:p>
        </w:tc>
      </w:tr>
      <w:tr w14:paraId="034DA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251CAA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continue"/>
            <w:noWrap w:val="0"/>
            <w:vAlign w:val="center"/>
          </w:tcPr>
          <w:p w14:paraId="2F9D4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99" w:type="pct"/>
            <w:noWrap w:val="0"/>
            <w:vAlign w:val="center"/>
          </w:tcPr>
          <w:p w14:paraId="617F6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小时</w:t>
            </w:r>
          </w:p>
        </w:tc>
        <w:tc>
          <w:tcPr>
            <w:tcW w:w="1507" w:type="pct"/>
            <w:noWrap w:val="0"/>
            <w:vAlign w:val="center"/>
          </w:tcPr>
          <w:p w14:paraId="028A6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500</w:t>
            </w:r>
          </w:p>
        </w:tc>
        <w:tc>
          <w:tcPr>
            <w:tcW w:w="1354" w:type="pct"/>
            <w:noWrap w:val="0"/>
            <w:vAlign w:val="center"/>
          </w:tcPr>
          <w:p w14:paraId="2678F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150</w:t>
            </w:r>
          </w:p>
        </w:tc>
      </w:tr>
      <w:tr w14:paraId="6116D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5830C3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restart"/>
            <w:noWrap w:val="0"/>
            <w:vAlign w:val="center"/>
          </w:tcPr>
          <w:p w14:paraId="051FDD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NO</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2</w:t>
            </w:r>
          </w:p>
        </w:tc>
        <w:tc>
          <w:tcPr>
            <w:tcW w:w="799" w:type="pct"/>
            <w:noWrap w:val="0"/>
            <w:vAlign w:val="center"/>
          </w:tcPr>
          <w:p w14:paraId="3A42F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年平均</w:t>
            </w:r>
          </w:p>
        </w:tc>
        <w:tc>
          <w:tcPr>
            <w:tcW w:w="1507" w:type="pct"/>
            <w:noWrap w:val="0"/>
            <w:vAlign w:val="center"/>
          </w:tcPr>
          <w:p w14:paraId="159026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40</w:t>
            </w:r>
          </w:p>
        </w:tc>
        <w:tc>
          <w:tcPr>
            <w:tcW w:w="1354" w:type="pct"/>
            <w:noWrap w:val="0"/>
            <w:vAlign w:val="center"/>
          </w:tcPr>
          <w:p w14:paraId="5BE75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30</w:t>
            </w:r>
          </w:p>
        </w:tc>
      </w:tr>
      <w:tr w14:paraId="55FAD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2FD88F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continue"/>
            <w:noWrap w:val="0"/>
            <w:vAlign w:val="center"/>
          </w:tcPr>
          <w:p w14:paraId="3E5A04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99" w:type="pct"/>
            <w:noWrap w:val="0"/>
            <w:vAlign w:val="center"/>
          </w:tcPr>
          <w:p w14:paraId="4B61F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日平均</w:t>
            </w:r>
          </w:p>
        </w:tc>
        <w:tc>
          <w:tcPr>
            <w:tcW w:w="1507" w:type="pct"/>
            <w:noWrap w:val="0"/>
            <w:vAlign w:val="center"/>
          </w:tcPr>
          <w:p w14:paraId="6F33B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80</w:t>
            </w:r>
          </w:p>
        </w:tc>
        <w:tc>
          <w:tcPr>
            <w:tcW w:w="1354" w:type="pct"/>
            <w:noWrap w:val="0"/>
            <w:vAlign w:val="center"/>
          </w:tcPr>
          <w:p w14:paraId="2202FB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50</w:t>
            </w:r>
          </w:p>
        </w:tc>
      </w:tr>
      <w:tr w14:paraId="37420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541060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continue"/>
            <w:noWrap w:val="0"/>
            <w:vAlign w:val="center"/>
          </w:tcPr>
          <w:p w14:paraId="0EEBE9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99" w:type="pct"/>
            <w:noWrap w:val="0"/>
            <w:vAlign w:val="center"/>
          </w:tcPr>
          <w:p w14:paraId="4609B6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小时</w:t>
            </w:r>
          </w:p>
        </w:tc>
        <w:tc>
          <w:tcPr>
            <w:tcW w:w="1507" w:type="pct"/>
            <w:noWrap w:val="0"/>
            <w:vAlign w:val="center"/>
          </w:tcPr>
          <w:p w14:paraId="6D703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200</w:t>
            </w:r>
          </w:p>
        </w:tc>
        <w:tc>
          <w:tcPr>
            <w:tcW w:w="1354" w:type="pct"/>
            <w:noWrap w:val="0"/>
            <w:vAlign w:val="center"/>
          </w:tcPr>
          <w:p w14:paraId="3EF160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200</w:t>
            </w:r>
          </w:p>
        </w:tc>
      </w:tr>
      <w:tr w14:paraId="06F2C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7AED0B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restart"/>
            <w:noWrap w:val="0"/>
            <w:vAlign w:val="center"/>
          </w:tcPr>
          <w:p w14:paraId="6EB7C3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PM</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10</w:t>
            </w:r>
          </w:p>
        </w:tc>
        <w:tc>
          <w:tcPr>
            <w:tcW w:w="799" w:type="pct"/>
            <w:noWrap w:val="0"/>
            <w:vAlign w:val="center"/>
          </w:tcPr>
          <w:p w14:paraId="172C4B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年平均</w:t>
            </w:r>
          </w:p>
        </w:tc>
        <w:tc>
          <w:tcPr>
            <w:tcW w:w="1507" w:type="pct"/>
            <w:noWrap w:val="0"/>
            <w:vAlign w:val="center"/>
          </w:tcPr>
          <w:p w14:paraId="01DC8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60</w:t>
            </w:r>
          </w:p>
        </w:tc>
        <w:tc>
          <w:tcPr>
            <w:tcW w:w="1354" w:type="pct"/>
            <w:noWrap w:val="0"/>
            <w:vAlign w:val="center"/>
          </w:tcPr>
          <w:p w14:paraId="7C583B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50</w:t>
            </w:r>
          </w:p>
        </w:tc>
      </w:tr>
      <w:tr w14:paraId="3AE4E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5036B6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continue"/>
            <w:noWrap w:val="0"/>
            <w:vAlign w:val="center"/>
          </w:tcPr>
          <w:p w14:paraId="5C20D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99" w:type="pct"/>
            <w:noWrap w:val="0"/>
            <w:vAlign w:val="center"/>
          </w:tcPr>
          <w:p w14:paraId="30C7E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日平均</w:t>
            </w:r>
          </w:p>
        </w:tc>
        <w:tc>
          <w:tcPr>
            <w:tcW w:w="1507" w:type="pct"/>
            <w:noWrap w:val="0"/>
            <w:vAlign w:val="center"/>
          </w:tcPr>
          <w:p w14:paraId="11EE0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120</w:t>
            </w:r>
          </w:p>
        </w:tc>
        <w:tc>
          <w:tcPr>
            <w:tcW w:w="1354" w:type="pct"/>
            <w:noWrap w:val="0"/>
            <w:vAlign w:val="center"/>
          </w:tcPr>
          <w:p w14:paraId="18230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100</w:t>
            </w:r>
          </w:p>
        </w:tc>
      </w:tr>
      <w:tr w14:paraId="469ED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398F8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restart"/>
            <w:noWrap w:val="0"/>
            <w:vAlign w:val="center"/>
          </w:tcPr>
          <w:p w14:paraId="4B57D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PM</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2.5</w:t>
            </w:r>
          </w:p>
        </w:tc>
        <w:tc>
          <w:tcPr>
            <w:tcW w:w="799" w:type="pct"/>
            <w:noWrap w:val="0"/>
            <w:vAlign w:val="center"/>
          </w:tcPr>
          <w:p w14:paraId="78D32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年平均</w:t>
            </w:r>
          </w:p>
        </w:tc>
        <w:tc>
          <w:tcPr>
            <w:tcW w:w="1507" w:type="pct"/>
            <w:noWrap w:val="0"/>
            <w:vAlign w:val="center"/>
          </w:tcPr>
          <w:p w14:paraId="47DB4D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30</w:t>
            </w:r>
          </w:p>
        </w:tc>
        <w:tc>
          <w:tcPr>
            <w:tcW w:w="1354" w:type="pct"/>
            <w:noWrap w:val="0"/>
            <w:vAlign w:val="center"/>
          </w:tcPr>
          <w:p w14:paraId="4640F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25</w:t>
            </w:r>
          </w:p>
        </w:tc>
      </w:tr>
      <w:tr w14:paraId="1E48F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2CA5AF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continue"/>
            <w:noWrap w:val="0"/>
            <w:vAlign w:val="center"/>
          </w:tcPr>
          <w:p w14:paraId="455E1A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99" w:type="pct"/>
            <w:noWrap w:val="0"/>
            <w:vAlign w:val="center"/>
          </w:tcPr>
          <w:p w14:paraId="7537EA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日平均</w:t>
            </w:r>
          </w:p>
        </w:tc>
        <w:tc>
          <w:tcPr>
            <w:tcW w:w="1507" w:type="pct"/>
            <w:noWrap w:val="0"/>
            <w:vAlign w:val="center"/>
          </w:tcPr>
          <w:p w14:paraId="163BF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60</w:t>
            </w:r>
          </w:p>
        </w:tc>
        <w:tc>
          <w:tcPr>
            <w:tcW w:w="1354" w:type="pct"/>
            <w:noWrap w:val="0"/>
            <w:vAlign w:val="center"/>
          </w:tcPr>
          <w:p w14:paraId="654CC0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50</w:t>
            </w:r>
          </w:p>
        </w:tc>
      </w:tr>
      <w:tr w14:paraId="73D7B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170B94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restart"/>
            <w:noWrap w:val="0"/>
            <w:vAlign w:val="center"/>
          </w:tcPr>
          <w:p w14:paraId="0DC47B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CO</w:t>
            </w:r>
          </w:p>
        </w:tc>
        <w:tc>
          <w:tcPr>
            <w:tcW w:w="799" w:type="pct"/>
            <w:noWrap w:val="0"/>
            <w:vAlign w:val="center"/>
          </w:tcPr>
          <w:p w14:paraId="3DED56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24小时平均</w:t>
            </w:r>
          </w:p>
        </w:tc>
        <w:tc>
          <w:tcPr>
            <w:tcW w:w="1507" w:type="pct"/>
            <w:noWrap w:val="0"/>
            <w:vAlign w:val="center"/>
          </w:tcPr>
          <w:p w14:paraId="3ABEB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4mg/m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p>
        </w:tc>
        <w:tc>
          <w:tcPr>
            <w:tcW w:w="1354" w:type="pct"/>
            <w:noWrap w:val="0"/>
            <w:vAlign w:val="center"/>
          </w:tcPr>
          <w:p w14:paraId="11628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4mg/m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p>
        </w:tc>
      </w:tr>
      <w:tr w14:paraId="54D3F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5AE4D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continue"/>
            <w:noWrap w:val="0"/>
            <w:vAlign w:val="center"/>
          </w:tcPr>
          <w:p w14:paraId="621EC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99" w:type="pct"/>
            <w:noWrap w:val="0"/>
            <w:vAlign w:val="center"/>
          </w:tcPr>
          <w:p w14:paraId="4037CF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1小时平均</w:t>
            </w:r>
          </w:p>
        </w:tc>
        <w:tc>
          <w:tcPr>
            <w:tcW w:w="1507" w:type="pct"/>
            <w:noWrap w:val="0"/>
            <w:vAlign w:val="center"/>
          </w:tcPr>
          <w:p w14:paraId="04C1E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10mg/m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p>
        </w:tc>
        <w:tc>
          <w:tcPr>
            <w:tcW w:w="1354" w:type="pct"/>
            <w:noWrap w:val="0"/>
            <w:vAlign w:val="center"/>
          </w:tcPr>
          <w:p w14:paraId="28CBA6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10mg/m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p>
        </w:tc>
      </w:tr>
      <w:tr w14:paraId="5B860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1FD90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restart"/>
            <w:noWrap w:val="0"/>
            <w:vAlign w:val="center"/>
          </w:tcPr>
          <w:p w14:paraId="7FF182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O</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3</w:t>
            </w:r>
          </w:p>
        </w:tc>
        <w:tc>
          <w:tcPr>
            <w:tcW w:w="799" w:type="pct"/>
            <w:noWrap w:val="0"/>
            <w:vAlign w:val="center"/>
          </w:tcPr>
          <w:p w14:paraId="0058F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24小时平均</w:t>
            </w:r>
          </w:p>
        </w:tc>
        <w:tc>
          <w:tcPr>
            <w:tcW w:w="1507" w:type="pct"/>
            <w:noWrap w:val="0"/>
            <w:vAlign w:val="center"/>
          </w:tcPr>
          <w:p w14:paraId="728F4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160</w:t>
            </w:r>
          </w:p>
        </w:tc>
        <w:tc>
          <w:tcPr>
            <w:tcW w:w="1354" w:type="pct"/>
            <w:noWrap w:val="0"/>
            <w:vAlign w:val="center"/>
          </w:tcPr>
          <w:p w14:paraId="55F0A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160</w:t>
            </w:r>
          </w:p>
        </w:tc>
      </w:tr>
      <w:tr w14:paraId="7FDDC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124DC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continue"/>
            <w:noWrap w:val="0"/>
            <w:vAlign w:val="center"/>
          </w:tcPr>
          <w:p w14:paraId="33A97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799" w:type="pct"/>
            <w:noWrap w:val="0"/>
            <w:vAlign w:val="center"/>
          </w:tcPr>
          <w:p w14:paraId="1CB74A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1小时平均</w:t>
            </w:r>
          </w:p>
        </w:tc>
        <w:tc>
          <w:tcPr>
            <w:tcW w:w="1507" w:type="pct"/>
            <w:noWrap w:val="0"/>
            <w:vAlign w:val="center"/>
          </w:tcPr>
          <w:p w14:paraId="568B4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200</w:t>
            </w:r>
          </w:p>
        </w:tc>
        <w:tc>
          <w:tcPr>
            <w:tcW w:w="1354" w:type="pct"/>
            <w:noWrap w:val="0"/>
            <w:vAlign w:val="center"/>
          </w:tcPr>
          <w:p w14:paraId="7704E3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200</w:t>
            </w:r>
          </w:p>
        </w:tc>
      </w:tr>
      <w:tr w14:paraId="28DB4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restart"/>
            <w:noWrap w:val="0"/>
            <w:vAlign w:val="center"/>
          </w:tcPr>
          <w:p w14:paraId="70EEA0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其他污染物</w:t>
            </w:r>
          </w:p>
        </w:tc>
        <w:tc>
          <w:tcPr>
            <w:tcW w:w="542" w:type="pct"/>
            <w:vMerge w:val="restart"/>
            <w:noWrap w:val="0"/>
            <w:vAlign w:val="center"/>
          </w:tcPr>
          <w:p w14:paraId="2BF5C3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TSP</w:t>
            </w:r>
          </w:p>
        </w:tc>
        <w:tc>
          <w:tcPr>
            <w:tcW w:w="799" w:type="pct"/>
            <w:noWrap w:val="0"/>
            <w:vAlign w:val="center"/>
          </w:tcPr>
          <w:p w14:paraId="5137DA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年平均</w:t>
            </w:r>
          </w:p>
        </w:tc>
        <w:tc>
          <w:tcPr>
            <w:tcW w:w="1507" w:type="pct"/>
            <w:noWrap w:val="0"/>
            <w:vAlign w:val="center"/>
          </w:tcPr>
          <w:p w14:paraId="68D92E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354" w:type="pct"/>
            <w:shd w:val="clear" w:color="auto" w:fill="auto"/>
            <w:noWrap w:val="0"/>
            <w:vAlign w:val="center"/>
          </w:tcPr>
          <w:p w14:paraId="7BCBE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200</w:t>
            </w:r>
          </w:p>
        </w:tc>
      </w:tr>
      <w:tr w14:paraId="38D94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5" w:type="pct"/>
            <w:vMerge w:val="continue"/>
            <w:noWrap w:val="0"/>
            <w:vAlign w:val="center"/>
          </w:tcPr>
          <w:p w14:paraId="44182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14:textFill>
                  <w14:solidFill>
                    <w14:schemeClr w14:val="tx1"/>
                  </w14:solidFill>
                </w14:textFill>
              </w:rPr>
            </w:pPr>
          </w:p>
        </w:tc>
        <w:tc>
          <w:tcPr>
            <w:tcW w:w="542" w:type="pct"/>
            <w:vMerge w:val="continue"/>
            <w:noWrap w:val="0"/>
            <w:vAlign w:val="center"/>
          </w:tcPr>
          <w:p w14:paraId="2E653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14:textFill>
                  <w14:solidFill>
                    <w14:schemeClr w14:val="tx1"/>
                  </w14:solidFill>
                </w14:textFill>
              </w:rPr>
            </w:pPr>
          </w:p>
        </w:tc>
        <w:tc>
          <w:tcPr>
            <w:tcW w:w="799" w:type="pct"/>
            <w:noWrap w:val="0"/>
            <w:vAlign w:val="center"/>
          </w:tcPr>
          <w:p w14:paraId="0E9552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24小时平均</w:t>
            </w:r>
          </w:p>
        </w:tc>
        <w:tc>
          <w:tcPr>
            <w:tcW w:w="1507" w:type="pct"/>
            <w:noWrap w:val="0"/>
            <w:vAlign w:val="center"/>
          </w:tcPr>
          <w:p w14:paraId="79036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354" w:type="pct"/>
            <w:shd w:val="clear" w:color="auto" w:fill="auto"/>
            <w:noWrap w:val="0"/>
            <w:vAlign w:val="center"/>
          </w:tcPr>
          <w:p w14:paraId="30F70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14:textFill>
                  <w14:solidFill>
                    <w14:schemeClr w14:val="tx1"/>
                  </w14:solidFill>
                </w14:textFill>
              </w:rPr>
              <w:t>300</w:t>
            </w:r>
          </w:p>
        </w:tc>
      </w:tr>
    </w:tbl>
    <w:p w14:paraId="7017C740">
      <w:pPr>
        <w:pStyle w:val="55"/>
        <w:overflowPunct w:val="0"/>
        <w:topLinePunct/>
        <w:adjustRightInd/>
        <w:ind w:firstLine="476" w:firstLineChars="200"/>
        <w:rPr>
          <w:color w:val="000000" w:themeColor="text1"/>
          <w:spacing w:val="-1"/>
          <w:highlight w:val="none"/>
          <w14:textFill>
            <w14:solidFill>
              <w14:schemeClr w14:val="tx1"/>
            </w14:solidFill>
          </w14:textFill>
        </w:rPr>
      </w:pPr>
      <w:r>
        <w:rPr>
          <w:color w:val="000000" w:themeColor="text1"/>
          <w:spacing w:val="-1"/>
          <w:highlight w:val="none"/>
          <w14:textFill>
            <w14:solidFill>
              <w14:schemeClr w14:val="tx1"/>
            </w14:solidFill>
          </w14:textFill>
        </w:rPr>
        <w:t>（</w:t>
      </w:r>
      <w:r>
        <w:rPr>
          <w:rFonts w:hint="eastAsia"/>
          <w:color w:val="000000" w:themeColor="text1"/>
          <w:spacing w:val="-1"/>
          <w:highlight w:val="none"/>
          <w14:textFill>
            <w14:solidFill>
              <w14:schemeClr w14:val="tx1"/>
            </w14:solidFill>
          </w14:textFill>
        </w:rPr>
        <w:t>2</w:t>
      </w:r>
      <w:r>
        <w:rPr>
          <w:color w:val="000000" w:themeColor="text1"/>
          <w:spacing w:val="-1"/>
          <w:highlight w:val="none"/>
          <w14:textFill>
            <w14:solidFill>
              <w14:schemeClr w14:val="tx1"/>
            </w14:solidFill>
          </w14:textFill>
        </w:rPr>
        <w:t>）</w:t>
      </w:r>
      <w:r>
        <w:rPr>
          <w:rFonts w:hint="eastAsia"/>
          <w:color w:val="000000" w:themeColor="text1"/>
          <w:spacing w:val="-1"/>
          <w:highlight w:val="none"/>
          <w14:textFill>
            <w14:solidFill>
              <w14:schemeClr w14:val="tx1"/>
            </w14:solidFill>
          </w14:textFill>
        </w:rPr>
        <w:t>地表水</w:t>
      </w:r>
      <w:r>
        <w:rPr>
          <w:color w:val="000000" w:themeColor="text1"/>
          <w:spacing w:val="-1"/>
          <w:highlight w:val="none"/>
          <w14:textFill>
            <w14:solidFill>
              <w14:schemeClr w14:val="tx1"/>
            </w14:solidFill>
          </w14:textFill>
        </w:rPr>
        <w:t>环境</w:t>
      </w:r>
    </w:p>
    <w:p w14:paraId="75A41596">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项目区周边区域无地表水体</w:t>
      </w:r>
      <w:r>
        <w:rPr>
          <w:color w:val="000000" w:themeColor="text1"/>
          <w:highlight w:val="none"/>
          <w14:textFill>
            <w14:solidFill>
              <w14:schemeClr w14:val="tx1"/>
            </w14:solidFill>
          </w14:textFill>
        </w:rPr>
        <w:t>。</w:t>
      </w:r>
    </w:p>
    <w:p w14:paraId="607BDF82">
      <w:pPr>
        <w:pStyle w:val="55"/>
        <w:overflowPunct w:val="0"/>
        <w:topLinePunct/>
        <w:adjustRightInd/>
        <w:ind w:firstLine="476" w:firstLineChars="200"/>
        <w:rPr>
          <w:color w:val="000000" w:themeColor="text1"/>
          <w:spacing w:val="-1"/>
          <w:highlight w:val="none"/>
          <w14:textFill>
            <w14:solidFill>
              <w14:schemeClr w14:val="tx1"/>
            </w14:solidFill>
          </w14:textFill>
        </w:rPr>
      </w:pPr>
      <w:r>
        <w:rPr>
          <w:color w:val="000000" w:themeColor="text1"/>
          <w:spacing w:val="-1"/>
          <w:highlight w:val="none"/>
          <w14:textFill>
            <w14:solidFill>
              <w14:schemeClr w14:val="tx1"/>
            </w14:solidFill>
          </w14:textFill>
        </w:rPr>
        <w:t>（3）地下水环境</w:t>
      </w:r>
    </w:p>
    <w:p w14:paraId="47A80069">
      <w:pPr>
        <w:overflowPunct w:val="0"/>
        <w:topLinePunct/>
        <w:ind w:firstLine="47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项目区地下水执行《地下水质量标准》（GB/T14848-2017）Ⅲ类标准。具体标准值见表2.5-</w:t>
      </w:r>
      <w:r>
        <w:rPr>
          <w:rFonts w:hint="eastAsia"/>
          <w:color w:val="000000" w:themeColor="text1"/>
          <w:spacing w:val="-1"/>
          <w:highlight w:val="none"/>
          <w:lang w:val="en-US" w:eastAsia="zh-CN"/>
          <w14:textFill>
            <w14:solidFill>
              <w14:schemeClr w14:val="tx1"/>
            </w14:solidFill>
          </w14:textFill>
        </w:rPr>
        <w:t>2</w:t>
      </w:r>
      <w:r>
        <w:rPr>
          <w:color w:val="000000" w:themeColor="text1"/>
          <w:spacing w:val="-1"/>
          <w:highlight w:val="none"/>
          <w14:textFill>
            <w14:solidFill>
              <w14:schemeClr w14:val="tx1"/>
            </w14:solidFill>
          </w14:textFill>
        </w:rPr>
        <w:t>。</w:t>
      </w:r>
    </w:p>
    <w:p w14:paraId="0BAC8CB4">
      <w:pPr>
        <w:pStyle w:val="47"/>
        <w:widowControl w:val="0"/>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表</w:t>
      </w:r>
      <w:r>
        <w:rPr>
          <w:rFonts w:hint="eastAsia"/>
          <w:color w:val="000000" w:themeColor="text1"/>
          <w:highlight w:val="none"/>
          <w14:textFill>
            <w14:solidFill>
              <w14:schemeClr w14:val="tx1"/>
            </w14:solidFill>
          </w14:textFill>
        </w:rPr>
        <w:t>2</w:t>
      </w:r>
      <w:r>
        <w:rPr>
          <w:color w:val="000000" w:themeColor="text1"/>
          <w:highlight w:val="none"/>
          <w:lang w:val="zh-CN"/>
          <w14:textFill>
            <w14:solidFill>
              <w14:schemeClr w14:val="tx1"/>
            </w14:solidFill>
          </w14:textFill>
        </w:rPr>
        <w:t>.</w:t>
      </w:r>
      <w:r>
        <w:rPr>
          <w:color w:val="000000" w:themeColor="text1"/>
          <w:highlight w:val="none"/>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2</w:t>
      </w:r>
      <w:r>
        <w:rPr>
          <w:color w:val="000000" w:themeColor="text1"/>
          <w:highlight w:val="none"/>
          <w:lang w:val="zh-CN"/>
          <w14:textFill>
            <w14:solidFill>
              <w14:schemeClr w14:val="tx1"/>
            </w14:solidFill>
          </w14:textFill>
        </w:rPr>
        <w:t xml:space="preserve">    《地下水质量标准》（</w:t>
      </w:r>
      <w:r>
        <w:rPr>
          <w:color w:val="000000" w:themeColor="text1"/>
          <w:highlight w:val="none"/>
          <w14:textFill>
            <w14:solidFill>
              <w14:schemeClr w14:val="tx1"/>
            </w14:solidFill>
          </w14:textFill>
        </w:rPr>
        <w:t>部分</w:t>
      </w:r>
      <w:r>
        <w:rPr>
          <w:color w:val="000000" w:themeColor="text1"/>
          <w:highlight w:val="none"/>
          <w:lang w:val="zh-CN"/>
          <w14:textFill>
            <w14:solidFill>
              <w14:schemeClr w14:val="tx1"/>
            </w14:solidFill>
          </w14:textFill>
        </w:rPr>
        <w:t>）</w:t>
      </w:r>
      <w:r>
        <w:rPr>
          <w:color w:val="000000" w:themeColor="text1"/>
          <w:highlight w:val="none"/>
          <w14:textFill>
            <w14:solidFill>
              <w14:schemeClr w14:val="tx1"/>
            </w14:solidFill>
          </w14:textFill>
        </w:rPr>
        <w:t>单位：mg/L</w:t>
      </w:r>
    </w:p>
    <w:tbl>
      <w:tblPr>
        <w:tblStyle w:val="32"/>
        <w:tblW w:w="50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44"/>
        <w:gridCol w:w="2297"/>
        <w:gridCol w:w="1285"/>
        <w:gridCol w:w="704"/>
        <w:gridCol w:w="2226"/>
        <w:gridCol w:w="1197"/>
      </w:tblGrid>
      <w:tr w14:paraId="7FB5F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40" w:type="pct"/>
            <w:noWrap w:val="0"/>
            <w:vAlign w:val="center"/>
          </w:tcPr>
          <w:p w14:paraId="5C367F4C">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1"/>
                <w:kern w:val="2"/>
                <w:sz w:val="21"/>
                <w:szCs w:val="22"/>
                <w:lang w:val="en-US" w:eastAsia="zh-CN" w:bidi="ar-SA"/>
                <w14:textFill>
                  <w14:solidFill>
                    <w14:schemeClr w14:val="tx1"/>
                  </w14:solidFill>
                </w14:textFill>
              </w:rPr>
              <w:t>序号</w:t>
            </w:r>
          </w:p>
        </w:tc>
        <w:tc>
          <w:tcPr>
            <w:tcW w:w="1358" w:type="pct"/>
            <w:noWrap w:val="0"/>
            <w:vAlign w:val="center"/>
          </w:tcPr>
          <w:p w14:paraId="33D3C4B0">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1"/>
                <w:kern w:val="2"/>
                <w:sz w:val="21"/>
                <w:szCs w:val="22"/>
                <w:lang w:val="en-US" w:eastAsia="zh-CN" w:bidi="ar-SA"/>
                <w14:textFill>
                  <w14:solidFill>
                    <w14:schemeClr w14:val="tx1"/>
                  </w14:solidFill>
                </w14:textFill>
              </w:rPr>
              <w:t>项目</w:t>
            </w:r>
          </w:p>
        </w:tc>
        <w:tc>
          <w:tcPr>
            <w:tcW w:w="760" w:type="pct"/>
            <w:noWrap w:val="0"/>
            <w:vAlign w:val="center"/>
          </w:tcPr>
          <w:p w14:paraId="289B4D6A">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1"/>
                <w:kern w:val="2"/>
                <w:sz w:val="21"/>
                <w:szCs w:val="22"/>
                <w:lang w:val="en-US" w:eastAsia="zh-CN" w:bidi="ar-SA"/>
                <w14:textFill>
                  <w14:solidFill>
                    <w14:schemeClr w14:val="tx1"/>
                  </w14:solidFill>
                </w14:textFill>
              </w:rPr>
              <w:t>标准值</w:t>
            </w:r>
          </w:p>
        </w:tc>
        <w:tc>
          <w:tcPr>
            <w:tcW w:w="416" w:type="pct"/>
            <w:noWrap w:val="0"/>
            <w:vAlign w:val="center"/>
          </w:tcPr>
          <w:p w14:paraId="466CC90F">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1"/>
                <w:kern w:val="2"/>
                <w:sz w:val="21"/>
                <w:szCs w:val="22"/>
                <w:lang w:val="en-US" w:eastAsia="zh-CN" w:bidi="ar-SA"/>
                <w14:textFill>
                  <w14:solidFill>
                    <w14:schemeClr w14:val="tx1"/>
                  </w14:solidFill>
                </w14:textFill>
              </w:rPr>
              <w:t>序号</w:t>
            </w:r>
          </w:p>
        </w:tc>
        <w:tc>
          <w:tcPr>
            <w:tcW w:w="1316" w:type="pct"/>
            <w:noWrap w:val="0"/>
            <w:vAlign w:val="center"/>
          </w:tcPr>
          <w:p w14:paraId="7D0BA94B">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1"/>
                <w:kern w:val="2"/>
                <w:sz w:val="21"/>
                <w:szCs w:val="22"/>
                <w:lang w:val="en-US" w:eastAsia="zh-CN" w:bidi="ar-SA"/>
                <w14:textFill>
                  <w14:solidFill>
                    <w14:schemeClr w14:val="tx1"/>
                  </w14:solidFill>
                </w14:textFill>
              </w:rPr>
              <w:t>项目</w:t>
            </w:r>
          </w:p>
        </w:tc>
        <w:tc>
          <w:tcPr>
            <w:tcW w:w="708" w:type="pct"/>
            <w:noWrap w:val="0"/>
            <w:vAlign w:val="center"/>
          </w:tcPr>
          <w:p w14:paraId="52B92B71">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1"/>
                <w:kern w:val="2"/>
                <w:sz w:val="21"/>
                <w:szCs w:val="22"/>
                <w:lang w:val="en-US" w:eastAsia="zh-CN" w:bidi="ar-SA"/>
                <w14:textFill>
                  <w14:solidFill>
                    <w14:schemeClr w14:val="tx1"/>
                  </w14:solidFill>
                </w14:textFill>
              </w:rPr>
              <w:t>标准值</w:t>
            </w:r>
          </w:p>
        </w:tc>
      </w:tr>
      <w:tr w14:paraId="5BF07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18AED809">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1</w:t>
            </w:r>
          </w:p>
        </w:tc>
        <w:tc>
          <w:tcPr>
            <w:tcW w:w="1358" w:type="pct"/>
            <w:noWrap w:val="0"/>
            <w:vAlign w:val="center"/>
          </w:tcPr>
          <w:p w14:paraId="424387B0">
            <w:pPr>
              <w:keepNext w:val="0"/>
              <w:keepLines w:val="0"/>
              <w:suppressLineNumbers w:val="0"/>
              <w:snapToGrid w:val="0"/>
              <w:spacing w:before="0" w:beforeAutospacing="0" w:after="0" w:afterAutospacing="0" w:line="360" w:lineRule="exact"/>
              <w:ind w:left="0" w:right="0" w:firstLine="0" w:firstLineChars="0"/>
              <w:contextualSpacing/>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pH（无量纲）</w:t>
            </w:r>
          </w:p>
        </w:tc>
        <w:tc>
          <w:tcPr>
            <w:tcW w:w="760" w:type="pct"/>
            <w:noWrap w:val="0"/>
            <w:vAlign w:val="center"/>
          </w:tcPr>
          <w:p w14:paraId="3E138605">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r>
              <w:rPr>
                <w:rFonts w:hint="eastAsia" w:ascii="Times New Roman" w:hAnsi="Times New Roman" w:eastAsia="宋体" w:cs="Times New Roman"/>
                <w:color w:val="000000" w:themeColor="text1"/>
                <w:sz w:val="21"/>
                <w:szCs w:val="21"/>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8.5</w:t>
            </w:r>
          </w:p>
        </w:tc>
        <w:tc>
          <w:tcPr>
            <w:tcW w:w="416" w:type="pct"/>
            <w:noWrap w:val="0"/>
            <w:vAlign w:val="center"/>
          </w:tcPr>
          <w:p w14:paraId="5FD83D6A">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15</w:t>
            </w:r>
          </w:p>
        </w:tc>
        <w:tc>
          <w:tcPr>
            <w:tcW w:w="1316" w:type="pct"/>
            <w:noWrap w:val="0"/>
            <w:vAlign w:val="center"/>
          </w:tcPr>
          <w:p w14:paraId="2A45726E">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锰</w:t>
            </w:r>
          </w:p>
        </w:tc>
        <w:tc>
          <w:tcPr>
            <w:tcW w:w="708" w:type="pct"/>
            <w:noWrap w:val="0"/>
            <w:vAlign w:val="center"/>
          </w:tcPr>
          <w:p w14:paraId="1A6DE269">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≤0.1</w:t>
            </w:r>
          </w:p>
        </w:tc>
      </w:tr>
      <w:tr w14:paraId="072EC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5307F07C">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2</w:t>
            </w:r>
          </w:p>
        </w:tc>
        <w:tc>
          <w:tcPr>
            <w:tcW w:w="1358" w:type="pct"/>
            <w:noWrap w:val="0"/>
            <w:vAlign w:val="center"/>
          </w:tcPr>
          <w:p w14:paraId="7385EDBB">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高锰酸盐指数</w:t>
            </w:r>
          </w:p>
        </w:tc>
        <w:tc>
          <w:tcPr>
            <w:tcW w:w="760" w:type="pct"/>
            <w:noWrap w:val="0"/>
            <w:vAlign w:val="center"/>
          </w:tcPr>
          <w:p w14:paraId="73ED8953">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≤3.0</w:t>
            </w:r>
          </w:p>
        </w:tc>
        <w:tc>
          <w:tcPr>
            <w:tcW w:w="416" w:type="pct"/>
            <w:noWrap w:val="0"/>
            <w:vAlign w:val="center"/>
          </w:tcPr>
          <w:p w14:paraId="7441B4C8">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16</w:t>
            </w:r>
          </w:p>
        </w:tc>
        <w:tc>
          <w:tcPr>
            <w:tcW w:w="1316" w:type="pct"/>
            <w:noWrap w:val="0"/>
            <w:vAlign w:val="center"/>
          </w:tcPr>
          <w:p w14:paraId="05025AA1">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铅</w:t>
            </w:r>
          </w:p>
        </w:tc>
        <w:tc>
          <w:tcPr>
            <w:tcW w:w="708" w:type="pct"/>
            <w:noWrap w:val="0"/>
            <w:vAlign w:val="center"/>
          </w:tcPr>
          <w:p w14:paraId="124AA798">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≤0.01</w:t>
            </w:r>
          </w:p>
        </w:tc>
      </w:tr>
      <w:tr w14:paraId="1C4E1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48BC5A8D">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3</w:t>
            </w:r>
          </w:p>
        </w:tc>
        <w:tc>
          <w:tcPr>
            <w:tcW w:w="1358" w:type="pct"/>
            <w:noWrap w:val="0"/>
            <w:vAlign w:val="center"/>
          </w:tcPr>
          <w:p w14:paraId="4008C926">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氟化物</w:t>
            </w:r>
          </w:p>
        </w:tc>
        <w:tc>
          <w:tcPr>
            <w:tcW w:w="760" w:type="pct"/>
            <w:noWrap w:val="0"/>
            <w:vAlign w:val="center"/>
          </w:tcPr>
          <w:p w14:paraId="6FFB0E7F">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≤1.0</w:t>
            </w:r>
          </w:p>
        </w:tc>
        <w:tc>
          <w:tcPr>
            <w:tcW w:w="416" w:type="pct"/>
            <w:noWrap w:val="0"/>
            <w:vAlign w:val="center"/>
          </w:tcPr>
          <w:p w14:paraId="1286DC9A">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17</w:t>
            </w:r>
          </w:p>
        </w:tc>
        <w:tc>
          <w:tcPr>
            <w:tcW w:w="1316" w:type="pct"/>
            <w:noWrap w:val="0"/>
            <w:vAlign w:val="center"/>
          </w:tcPr>
          <w:p w14:paraId="3F6086C5">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镉</w:t>
            </w:r>
          </w:p>
        </w:tc>
        <w:tc>
          <w:tcPr>
            <w:tcW w:w="708" w:type="pct"/>
            <w:noWrap w:val="0"/>
            <w:vAlign w:val="center"/>
          </w:tcPr>
          <w:p w14:paraId="0D3E35B1">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≤0.005</w:t>
            </w:r>
          </w:p>
        </w:tc>
      </w:tr>
      <w:tr w14:paraId="2C660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742BAFE5">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4</w:t>
            </w:r>
          </w:p>
        </w:tc>
        <w:tc>
          <w:tcPr>
            <w:tcW w:w="1358" w:type="pct"/>
            <w:noWrap w:val="0"/>
            <w:vAlign w:val="center"/>
          </w:tcPr>
          <w:p w14:paraId="04E42A44">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氯化物</w:t>
            </w:r>
          </w:p>
        </w:tc>
        <w:tc>
          <w:tcPr>
            <w:tcW w:w="760" w:type="pct"/>
            <w:noWrap w:val="0"/>
            <w:vAlign w:val="center"/>
          </w:tcPr>
          <w:p w14:paraId="6EE8D0ED">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≤250</w:t>
            </w:r>
          </w:p>
        </w:tc>
        <w:tc>
          <w:tcPr>
            <w:tcW w:w="416" w:type="pct"/>
            <w:noWrap w:val="0"/>
            <w:vAlign w:val="center"/>
          </w:tcPr>
          <w:p w14:paraId="23FB47A3">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18</w:t>
            </w:r>
          </w:p>
        </w:tc>
        <w:tc>
          <w:tcPr>
            <w:tcW w:w="1316" w:type="pct"/>
            <w:noWrap w:val="0"/>
            <w:vAlign w:val="center"/>
          </w:tcPr>
          <w:p w14:paraId="6328F462">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总大肠菌群MPN/100mL</w:t>
            </w:r>
          </w:p>
        </w:tc>
        <w:tc>
          <w:tcPr>
            <w:tcW w:w="708" w:type="pct"/>
            <w:noWrap w:val="0"/>
            <w:vAlign w:val="center"/>
          </w:tcPr>
          <w:p w14:paraId="1468EDDA">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≤3.0</w:t>
            </w:r>
          </w:p>
        </w:tc>
      </w:tr>
      <w:tr w14:paraId="163D0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40" w:type="pct"/>
            <w:noWrap w:val="0"/>
            <w:vAlign w:val="center"/>
          </w:tcPr>
          <w:p w14:paraId="4773EB18">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5</w:t>
            </w:r>
          </w:p>
        </w:tc>
        <w:tc>
          <w:tcPr>
            <w:tcW w:w="1358" w:type="pct"/>
            <w:noWrap w:val="0"/>
            <w:vAlign w:val="center"/>
          </w:tcPr>
          <w:p w14:paraId="24388504">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硝酸盐</w:t>
            </w:r>
          </w:p>
        </w:tc>
        <w:tc>
          <w:tcPr>
            <w:tcW w:w="760" w:type="pct"/>
            <w:noWrap w:val="0"/>
            <w:vAlign w:val="center"/>
          </w:tcPr>
          <w:p w14:paraId="685A611F">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≤20.0</w:t>
            </w:r>
          </w:p>
        </w:tc>
        <w:tc>
          <w:tcPr>
            <w:tcW w:w="416" w:type="pct"/>
            <w:noWrap w:val="0"/>
            <w:vAlign w:val="center"/>
          </w:tcPr>
          <w:p w14:paraId="7E20865D">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19</w:t>
            </w:r>
          </w:p>
        </w:tc>
        <w:tc>
          <w:tcPr>
            <w:tcW w:w="1316" w:type="pct"/>
            <w:noWrap w:val="0"/>
            <w:vAlign w:val="center"/>
          </w:tcPr>
          <w:p w14:paraId="1B1C75B0">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细菌总数CFU/mL</w:t>
            </w:r>
          </w:p>
        </w:tc>
        <w:tc>
          <w:tcPr>
            <w:tcW w:w="708" w:type="pct"/>
            <w:noWrap w:val="0"/>
            <w:vAlign w:val="center"/>
          </w:tcPr>
          <w:p w14:paraId="1DC2564E">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≤100</w:t>
            </w:r>
          </w:p>
        </w:tc>
      </w:tr>
      <w:tr w14:paraId="324DC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4B97C4B1">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t>6</w:t>
            </w:r>
          </w:p>
        </w:tc>
        <w:tc>
          <w:tcPr>
            <w:tcW w:w="1358" w:type="pct"/>
            <w:noWrap w:val="0"/>
            <w:vAlign w:val="center"/>
          </w:tcPr>
          <w:p w14:paraId="5C0690AD">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硫酸盐</w:t>
            </w:r>
          </w:p>
        </w:tc>
        <w:tc>
          <w:tcPr>
            <w:tcW w:w="760" w:type="pct"/>
            <w:noWrap w:val="0"/>
            <w:vAlign w:val="center"/>
          </w:tcPr>
          <w:p w14:paraId="2232644F">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≤250</w:t>
            </w:r>
          </w:p>
        </w:tc>
        <w:tc>
          <w:tcPr>
            <w:tcW w:w="416" w:type="pct"/>
            <w:noWrap w:val="0"/>
            <w:vAlign w:val="center"/>
          </w:tcPr>
          <w:p w14:paraId="0B8A41BD">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20</w:t>
            </w:r>
          </w:p>
        </w:tc>
        <w:tc>
          <w:tcPr>
            <w:tcW w:w="1316" w:type="pct"/>
            <w:noWrap w:val="0"/>
            <w:vAlign w:val="center"/>
          </w:tcPr>
          <w:p w14:paraId="2F22659A">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汞</w:t>
            </w:r>
          </w:p>
        </w:tc>
        <w:tc>
          <w:tcPr>
            <w:tcW w:w="708" w:type="pct"/>
            <w:noWrap w:val="0"/>
            <w:vAlign w:val="center"/>
          </w:tcPr>
          <w:p w14:paraId="39E0600E">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≤0.001</w:t>
            </w:r>
          </w:p>
        </w:tc>
      </w:tr>
      <w:tr w14:paraId="68E28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13412BA9">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t>7</w:t>
            </w:r>
          </w:p>
        </w:tc>
        <w:tc>
          <w:tcPr>
            <w:tcW w:w="1358" w:type="pct"/>
            <w:noWrap w:val="0"/>
            <w:vAlign w:val="center"/>
          </w:tcPr>
          <w:p w14:paraId="641C8928">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亚硝酸盐</w:t>
            </w:r>
          </w:p>
        </w:tc>
        <w:tc>
          <w:tcPr>
            <w:tcW w:w="760" w:type="pct"/>
            <w:noWrap w:val="0"/>
            <w:vAlign w:val="center"/>
          </w:tcPr>
          <w:p w14:paraId="3E8728CF">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≤1.00</w:t>
            </w:r>
          </w:p>
        </w:tc>
        <w:tc>
          <w:tcPr>
            <w:tcW w:w="416" w:type="pct"/>
            <w:noWrap w:val="0"/>
            <w:vAlign w:val="center"/>
          </w:tcPr>
          <w:p w14:paraId="59508A51">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21</w:t>
            </w:r>
          </w:p>
        </w:tc>
        <w:tc>
          <w:tcPr>
            <w:tcW w:w="1316" w:type="pct"/>
            <w:noWrap w:val="0"/>
            <w:vAlign w:val="center"/>
          </w:tcPr>
          <w:p w14:paraId="4D180DD6">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砷</w:t>
            </w:r>
          </w:p>
        </w:tc>
        <w:tc>
          <w:tcPr>
            <w:tcW w:w="708" w:type="pct"/>
            <w:noWrap w:val="0"/>
            <w:vAlign w:val="center"/>
          </w:tcPr>
          <w:p w14:paraId="7F0FA455">
            <w:pPr>
              <w:keepNext w:val="0"/>
              <w:keepLines w:val="0"/>
              <w:suppressLineNumbers w:val="0"/>
              <w:snapToGrid w:val="0"/>
              <w:spacing w:before="0" w:beforeAutospacing="0" w:after="0" w:afterAutospacing="0" w:line="360" w:lineRule="exact"/>
              <w:ind w:left="0" w:right="0" w:firstLine="0" w:firstLineChars="0"/>
              <w:contextualSpacing/>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≤0.01</w:t>
            </w:r>
          </w:p>
        </w:tc>
      </w:tr>
      <w:tr w14:paraId="4F399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13AE8D08">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t>8</w:t>
            </w:r>
          </w:p>
        </w:tc>
        <w:tc>
          <w:tcPr>
            <w:tcW w:w="1358" w:type="pct"/>
            <w:noWrap w:val="0"/>
            <w:vAlign w:val="center"/>
          </w:tcPr>
          <w:p w14:paraId="5966D2AE">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总硬度</w:t>
            </w:r>
          </w:p>
        </w:tc>
        <w:tc>
          <w:tcPr>
            <w:tcW w:w="760" w:type="pct"/>
            <w:noWrap w:val="0"/>
            <w:vAlign w:val="center"/>
          </w:tcPr>
          <w:p w14:paraId="6E21579D">
            <w:pPr>
              <w:keepNext w:val="0"/>
              <w:keepLines w:val="0"/>
              <w:suppressLineNumbers w:val="0"/>
              <w:snapToGrid w:val="0"/>
              <w:spacing w:before="0" w:beforeAutospacing="0" w:after="0" w:afterAutospacing="0" w:line="360" w:lineRule="exact"/>
              <w:ind w:left="0" w:right="0" w:firstLine="0" w:firstLineChars="0"/>
              <w:contextualSpacing/>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≤450</w:t>
            </w:r>
          </w:p>
        </w:tc>
        <w:tc>
          <w:tcPr>
            <w:tcW w:w="416" w:type="pct"/>
            <w:noWrap w:val="0"/>
            <w:vAlign w:val="center"/>
          </w:tcPr>
          <w:p w14:paraId="355B7E5C">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22</w:t>
            </w:r>
          </w:p>
        </w:tc>
        <w:tc>
          <w:tcPr>
            <w:tcW w:w="1316" w:type="pct"/>
            <w:noWrap w:val="0"/>
            <w:vAlign w:val="center"/>
          </w:tcPr>
          <w:p w14:paraId="60EA22ED">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钾</w:t>
            </w:r>
          </w:p>
        </w:tc>
        <w:tc>
          <w:tcPr>
            <w:tcW w:w="708" w:type="pct"/>
            <w:noWrap w:val="0"/>
            <w:vAlign w:val="center"/>
          </w:tcPr>
          <w:p w14:paraId="2C3E4CF2">
            <w:pPr>
              <w:keepNext w:val="0"/>
              <w:keepLines w:val="0"/>
              <w:suppressLineNumbers w:val="0"/>
              <w:snapToGrid w:val="0"/>
              <w:spacing w:before="0" w:beforeAutospacing="0" w:after="0" w:afterAutospacing="0" w:line="360" w:lineRule="exact"/>
              <w:ind w:left="0" w:right="0" w:firstLine="0" w:firstLineChars="0"/>
              <w:contextualSpacing/>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1A052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0884E7D4">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t>9</w:t>
            </w:r>
          </w:p>
        </w:tc>
        <w:tc>
          <w:tcPr>
            <w:tcW w:w="1358" w:type="pct"/>
            <w:noWrap w:val="0"/>
            <w:vAlign w:val="center"/>
          </w:tcPr>
          <w:p w14:paraId="4A5C3807">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溶解性总固体</w:t>
            </w:r>
          </w:p>
        </w:tc>
        <w:tc>
          <w:tcPr>
            <w:tcW w:w="760" w:type="pct"/>
            <w:noWrap w:val="0"/>
            <w:vAlign w:val="center"/>
          </w:tcPr>
          <w:p w14:paraId="1C61C191">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≤1000</w:t>
            </w:r>
          </w:p>
        </w:tc>
        <w:tc>
          <w:tcPr>
            <w:tcW w:w="416" w:type="pct"/>
            <w:noWrap w:val="0"/>
            <w:vAlign w:val="center"/>
          </w:tcPr>
          <w:p w14:paraId="4DCE8EE1">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23</w:t>
            </w:r>
          </w:p>
        </w:tc>
        <w:tc>
          <w:tcPr>
            <w:tcW w:w="1316" w:type="pct"/>
            <w:noWrap w:val="0"/>
            <w:vAlign w:val="center"/>
          </w:tcPr>
          <w:p w14:paraId="33F0E576">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钠</w:t>
            </w:r>
          </w:p>
        </w:tc>
        <w:tc>
          <w:tcPr>
            <w:tcW w:w="708" w:type="pct"/>
            <w:noWrap w:val="0"/>
            <w:vAlign w:val="center"/>
          </w:tcPr>
          <w:p w14:paraId="701F9E36">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w:t>
            </w:r>
            <w:r>
              <w:rPr>
                <w:rFonts w:hint="eastAsia" w:ascii="Times New Roman" w:hAnsi="Times New Roman" w:eastAsia="宋体" w:cs="Times New Roman"/>
                <w:color w:val="000000" w:themeColor="text1"/>
                <w:sz w:val="21"/>
                <w:szCs w:val="22"/>
                <w14:textFill>
                  <w14:solidFill>
                    <w14:schemeClr w14:val="tx1"/>
                  </w14:solidFill>
                </w14:textFill>
              </w:rPr>
              <w:t>200</w:t>
            </w:r>
          </w:p>
        </w:tc>
      </w:tr>
      <w:tr w14:paraId="66773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006FB83C">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t>10</w:t>
            </w:r>
          </w:p>
        </w:tc>
        <w:tc>
          <w:tcPr>
            <w:tcW w:w="1358" w:type="pct"/>
            <w:noWrap w:val="0"/>
            <w:vAlign w:val="center"/>
          </w:tcPr>
          <w:p w14:paraId="23E09B51">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氨氮</w:t>
            </w:r>
          </w:p>
        </w:tc>
        <w:tc>
          <w:tcPr>
            <w:tcW w:w="760" w:type="pct"/>
            <w:noWrap w:val="0"/>
            <w:vAlign w:val="center"/>
          </w:tcPr>
          <w:p w14:paraId="19B58971">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≤0.5</w:t>
            </w:r>
          </w:p>
        </w:tc>
        <w:tc>
          <w:tcPr>
            <w:tcW w:w="416" w:type="pct"/>
            <w:noWrap w:val="0"/>
            <w:vAlign w:val="center"/>
          </w:tcPr>
          <w:p w14:paraId="630CB7D9">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t>24</w:t>
            </w:r>
          </w:p>
        </w:tc>
        <w:tc>
          <w:tcPr>
            <w:tcW w:w="1316" w:type="pct"/>
            <w:noWrap w:val="0"/>
            <w:vAlign w:val="center"/>
          </w:tcPr>
          <w:p w14:paraId="24E502F1">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钙</w:t>
            </w:r>
          </w:p>
        </w:tc>
        <w:tc>
          <w:tcPr>
            <w:tcW w:w="708" w:type="pct"/>
            <w:noWrap w:val="0"/>
            <w:vAlign w:val="center"/>
          </w:tcPr>
          <w:p w14:paraId="2814CC6C">
            <w:pPr>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606FE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3CD31327">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t>11</w:t>
            </w:r>
          </w:p>
        </w:tc>
        <w:tc>
          <w:tcPr>
            <w:tcW w:w="1358" w:type="pct"/>
            <w:noWrap w:val="0"/>
            <w:vAlign w:val="center"/>
          </w:tcPr>
          <w:p w14:paraId="1A653C3C">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六价铬</w:t>
            </w:r>
          </w:p>
        </w:tc>
        <w:tc>
          <w:tcPr>
            <w:tcW w:w="760" w:type="pct"/>
            <w:noWrap w:val="0"/>
            <w:vAlign w:val="center"/>
          </w:tcPr>
          <w:p w14:paraId="0CA7A08F">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≤0.05</w:t>
            </w:r>
          </w:p>
        </w:tc>
        <w:tc>
          <w:tcPr>
            <w:tcW w:w="416" w:type="pct"/>
            <w:noWrap w:val="0"/>
            <w:vAlign w:val="center"/>
          </w:tcPr>
          <w:p w14:paraId="4D0648BB">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t>25</w:t>
            </w:r>
          </w:p>
        </w:tc>
        <w:tc>
          <w:tcPr>
            <w:tcW w:w="1316" w:type="pct"/>
            <w:noWrap w:val="0"/>
            <w:vAlign w:val="center"/>
          </w:tcPr>
          <w:p w14:paraId="2C77F48D">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镁</w:t>
            </w:r>
          </w:p>
        </w:tc>
        <w:tc>
          <w:tcPr>
            <w:tcW w:w="708" w:type="pct"/>
            <w:noWrap w:val="0"/>
            <w:vAlign w:val="center"/>
          </w:tcPr>
          <w:p w14:paraId="3F77101E">
            <w:pPr>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09058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43FD4B9B">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t>12</w:t>
            </w:r>
          </w:p>
        </w:tc>
        <w:tc>
          <w:tcPr>
            <w:tcW w:w="1358" w:type="pct"/>
            <w:noWrap w:val="0"/>
            <w:vAlign w:val="center"/>
          </w:tcPr>
          <w:p w14:paraId="42E4C0FC">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挥发酚</w:t>
            </w:r>
          </w:p>
        </w:tc>
        <w:tc>
          <w:tcPr>
            <w:tcW w:w="760" w:type="pct"/>
            <w:noWrap w:val="0"/>
            <w:vAlign w:val="center"/>
          </w:tcPr>
          <w:p w14:paraId="50A0D89E">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≤0.002</w:t>
            </w:r>
          </w:p>
        </w:tc>
        <w:tc>
          <w:tcPr>
            <w:tcW w:w="416" w:type="pct"/>
            <w:noWrap w:val="0"/>
            <w:vAlign w:val="center"/>
          </w:tcPr>
          <w:p w14:paraId="4D2A94E7">
            <w:pPr>
              <w:keepNext w:val="0"/>
              <w:keepLines w:val="0"/>
              <w:widowControl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t>26</w:t>
            </w:r>
          </w:p>
        </w:tc>
        <w:tc>
          <w:tcPr>
            <w:tcW w:w="1316" w:type="pct"/>
            <w:noWrap w:val="0"/>
            <w:vAlign w:val="center"/>
          </w:tcPr>
          <w:p w14:paraId="1D28E905">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碳酸盐</w:t>
            </w:r>
          </w:p>
        </w:tc>
        <w:tc>
          <w:tcPr>
            <w:tcW w:w="708" w:type="pct"/>
            <w:noWrap w:val="0"/>
            <w:vAlign w:val="center"/>
          </w:tcPr>
          <w:p w14:paraId="49F2E988">
            <w:pPr>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32176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5043B846">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13</w:t>
            </w:r>
          </w:p>
        </w:tc>
        <w:tc>
          <w:tcPr>
            <w:tcW w:w="1358" w:type="pct"/>
            <w:noWrap w:val="0"/>
            <w:vAlign w:val="center"/>
          </w:tcPr>
          <w:p w14:paraId="28988F78">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氰化物</w:t>
            </w:r>
          </w:p>
        </w:tc>
        <w:tc>
          <w:tcPr>
            <w:tcW w:w="760" w:type="pct"/>
            <w:noWrap w:val="0"/>
            <w:vAlign w:val="center"/>
          </w:tcPr>
          <w:p w14:paraId="2C58E0C8">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≤0.05</w:t>
            </w:r>
          </w:p>
        </w:tc>
        <w:tc>
          <w:tcPr>
            <w:tcW w:w="416" w:type="pct"/>
            <w:noWrap w:val="0"/>
            <w:vAlign w:val="center"/>
          </w:tcPr>
          <w:p w14:paraId="570F644E">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t>27</w:t>
            </w:r>
          </w:p>
        </w:tc>
        <w:tc>
          <w:tcPr>
            <w:tcW w:w="1316" w:type="pct"/>
            <w:noWrap w:val="0"/>
            <w:vAlign w:val="center"/>
          </w:tcPr>
          <w:p w14:paraId="64FE9894">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重碳酸盐</w:t>
            </w:r>
          </w:p>
        </w:tc>
        <w:tc>
          <w:tcPr>
            <w:tcW w:w="708" w:type="pct"/>
            <w:noWrap w:val="0"/>
            <w:vAlign w:val="center"/>
          </w:tcPr>
          <w:p w14:paraId="33B02163">
            <w:pPr>
              <w:keepNext w:val="0"/>
              <w:keepLines w:val="0"/>
              <w:suppressLineNumbers w:val="0"/>
              <w:kinsoku w:val="0"/>
              <w:overflowPunct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eastAsia" w:ascii="Times New Roman" w:hAnsi="Times New Roman" w:eastAsia="宋体" w:cs="Times New Roman"/>
                <w:color w:val="000000" w:themeColor="text1"/>
                <w:sz w:val="21"/>
                <w:szCs w:val="22"/>
                <w14:textFill>
                  <w14:solidFill>
                    <w14:schemeClr w14:val="tx1"/>
                  </w14:solidFill>
                </w14:textFill>
              </w:rPr>
              <w:t>/</w:t>
            </w:r>
          </w:p>
        </w:tc>
      </w:tr>
      <w:tr w14:paraId="3535B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0" w:type="pct"/>
            <w:noWrap w:val="0"/>
            <w:vAlign w:val="center"/>
          </w:tcPr>
          <w:p w14:paraId="2D07771C">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2"/>
                <w:lang w:val="en-US" w:eastAsia="zh-CN" w:bidi="ar-SA"/>
                <w14:textFill>
                  <w14:solidFill>
                    <w14:schemeClr w14:val="tx1"/>
                  </w14:solidFill>
                </w14:textFill>
              </w:rPr>
              <w:t>14</w:t>
            </w:r>
          </w:p>
        </w:tc>
        <w:tc>
          <w:tcPr>
            <w:tcW w:w="1358" w:type="pct"/>
            <w:noWrap w:val="0"/>
            <w:vAlign w:val="center"/>
          </w:tcPr>
          <w:p w14:paraId="5F98BF86">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铁</w:t>
            </w:r>
          </w:p>
        </w:tc>
        <w:tc>
          <w:tcPr>
            <w:tcW w:w="760" w:type="pct"/>
            <w:noWrap w:val="0"/>
            <w:vAlign w:val="center"/>
          </w:tcPr>
          <w:p w14:paraId="1626CE7F">
            <w:pPr>
              <w:keepNext w:val="0"/>
              <w:keepLines w:val="0"/>
              <w:suppressLineNumbers w:val="0"/>
              <w:snapToGrid w:val="0"/>
              <w:spacing w:before="0" w:beforeAutospacing="0" w:after="0" w:afterAutospacing="0" w:line="360" w:lineRule="exact"/>
              <w:ind w:left="0" w:right="0" w:firstLine="0" w:firstLineChars="0"/>
              <w:contextualSpacing/>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≤0.3</w:t>
            </w:r>
          </w:p>
        </w:tc>
        <w:tc>
          <w:tcPr>
            <w:tcW w:w="416" w:type="pct"/>
            <w:noWrap w:val="0"/>
            <w:vAlign w:val="center"/>
          </w:tcPr>
          <w:p w14:paraId="1B2A0AFA">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2"/>
                <w:sz w:val="21"/>
                <w:szCs w:val="24"/>
                <w:lang w:val="en-US" w:eastAsia="zh-CN" w:bidi="ar-SA"/>
                <w14:textFill>
                  <w14:solidFill>
                    <w14:schemeClr w14:val="tx1"/>
                  </w14:solidFill>
                </w14:textFill>
              </w:rPr>
              <w:t>-</w:t>
            </w:r>
          </w:p>
        </w:tc>
        <w:tc>
          <w:tcPr>
            <w:tcW w:w="1316" w:type="pct"/>
            <w:noWrap w:val="0"/>
            <w:vAlign w:val="center"/>
          </w:tcPr>
          <w:p w14:paraId="4892466B">
            <w:pPr>
              <w:keepNext w:val="0"/>
              <w:keepLines w:val="0"/>
              <w:suppressLineNumbers w:val="0"/>
              <w:snapToGrid w:val="0"/>
              <w:spacing w:before="0" w:beforeAutospacing="0" w:after="0" w:afterAutospacing="0" w:line="360" w:lineRule="exact"/>
              <w:ind w:left="0" w:right="0" w:firstLine="0" w:firstLineChars="0"/>
              <w:contextualSpacing/>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708" w:type="pct"/>
            <w:noWrap w:val="0"/>
            <w:vAlign w:val="center"/>
          </w:tcPr>
          <w:p w14:paraId="046386E8">
            <w:pPr>
              <w:keepNext w:val="0"/>
              <w:keepLines w:val="0"/>
              <w:suppressLineNumbers w:val="0"/>
              <w:snapToGrid w:val="0"/>
              <w:spacing w:before="0" w:beforeAutospacing="0" w:after="0" w:afterAutospacing="0" w:line="360" w:lineRule="exact"/>
              <w:ind w:left="0" w:right="0" w:firstLine="0" w:firstLineChars="0"/>
              <w:contextualSpacing/>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bl>
    <w:p w14:paraId="4C352CF2">
      <w:pPr>
        <w:pStyle w:val="55"/>
        <w:overflowPunct w:val="0"/>
        <w:topLinePunct/>
        <w:adjustRightInd/>
        <w:ind w:firstLine="476" w:firstLineChars="200"/>
        <w:rPr>
          <w:color w:val="000000" w:themeColor="text1"/>
          <w:spacing w:val="-1"/>
          <w:highlight w:val="none"/>
          <w14:textFill>
            <w14:solidFill>
              <w14:schemeClr w14:val="tx1"/>
            </w14:solidFill>
          </w14:textFill>
        </w:rPr>
      </w:pPr>
      <w:r>
        <w:rPr>
          <w:color w:val="000000" w:themeColor="text1"/>
          <w:spacing w:val="-1"/>
          <w:highlight w:val="none"/>
          <w14:textFill>
            <w14:solidFill>
              <w14:schemeClr w14:val="tx1"/>
            </w14:solidFill>
          </w14:textFill>
        </w:rPr>
        <w:t>（4）声环境</w:t>
      </w:r>
    </w:p>
    <w:p w14:paraId="578BB0EF">
      <w:pPr>
        <w:overflowPunct w:val="0"/>
        <w:topLinePunct/>
        <w:ind w:firstLine="476"/>
        <w:rPr>
          <w:color w:val="000000" w:themeColor="text1"/>
          <w:highlight w:val="none"/>
          <w14:textFill>
            <w14:solidFill>
              <w14:schemeClr w14:val="tx1"/>
            </w14:solidFill>
          </w14:textFill>
        </w:rPr>
      </w:pPr>
      <w:r>
        <w:rPr>
          <w:rFonts w:hint="eastAsia"/>
          <w:color w:val="000000" w:themeColor="text1"/>
          <w:spacing w:val="-1"/>
          <w:highlight w:val="none"/>
          <w:lang w:eastAsia="zh-CN"/>
          <w14:textFill>
            <w14:solidFill>
              <w14:schemeClr w14:val="tx1"/>
            </w14:solidFill>
          </w14:textFill>
        </w:rPr>
        <w:t>本</w:t>
      </w:r>
      <w:r>
        <w:rPr>
          <w:color w:val="000000" w:themeColor="text1"/>
          <w:spacing w:val="-1"/>
          <w:highlight w:val="none"/>
          <w14:textFill>
            <w14:solidFill>
              <w14:schemeClr w14:val="tx1"/>
            </w14:solidFill>
          </w14:textFill>
        </w:rPr>
        <w:t>项目声环境执行《声环境质量标准》（GB3096-2008）</w:t>
      </w:r>
      <w:r>
        <w:rPr>
          <w:rFonts w:hint="eastAsia"/>
          <w:color w:val="000000" w:themeColor="text1"/>
          <w:spacing w:val="-1"/>
          <w:highlight w:val="none"/>
          <w:lang w:val="en-US" w:eastAsia="zh-CN"/>
          <w14:textFill>
            <w14:solidFill>
              <w14:schemeClr w14:val="tx1"/>
            </w14:solidFill>
          </w14:textFill>
        </w:rPr>
        <w:t>2</w:t>
      </w:r>
      <w:r>
        <w:rPr>
          <w:color w:val="000000" w:themeColor="text1"/>
          <w:spacing w:val="-1"/>
          <w:highlight w:val="none"/>
          <w14:textFill>
            <w14:solidFill>
              <w14:schemeClr w14:val="tx1"/>
            </w14:solidFill>
          </w14:textFill>
        </w:rPr>
        <w:t>类标准，评价标准限值见表2.5-</w:t>
      </w:r>
      <w:r>
        <w:rPr>
          <w:rFonts w:hint="eastAsia"/>
          <w:color w:val="000000" w:themeColor="text1"/>
          <w:spacing w:val="-1"/>
          <w:highlight w:val="none"/>
          <w:lang w:val="en-US" w:eastAsia="zh-CN"/>
          <w14:textFill>
            <w14:solidFill>
              <w14:schemeClr w14:val="tx1"/>
            </w14:solidFill>
          </w14:textFill>
        </w:rPr>
        <w:t>3</w:t>
      </w:r>
      <w:r>
        <w:rPr>
          <w:color w:val="000000" w:themeColor="text1"/>
          <w:spacing w:val="-1"/>
          <w:highlight w:val="none"/>
          <w14:textFill>
            <w14:solidFill>
              <w14:schemeClr w14:val="tx1"/>
            </w14:solidFill>
          </w14:textFill>
        </w:rPr>
        <w:t>。</w:t>
      </w:r>
    </w:p>
    <w:p w14:paraId="17EB15A5">
      <w:pPr>
        <w:ind w:firstLine="0" w:firstLineChars="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表2.5-</w:t>
      </w:r>
      <w:r>
        <w:rPr>
          <w:rFonts w:hint="eastAsia"/>
          <w:b/>
          <w:color w:val="000000" w:themeColor="text1"/>
          <w:highlight w:val="none"/>
          <w:lang w:val="en-US" w:eastAsia="zh-CN"/>
          <w14:textFill>
            <w14:solidFill>
              <w14:schemeClr w14:val="tx1"/>
            </w14:solidFill>
          </w14:textFill>
        </w:rPr>
        <w:t>3</w:t>
      </w:r>
      <w:r>
        <w:rPr>
          <w:b/>
          <w:color w:val="000000" w:themeColor="text1"/>
          <w:highlight w:val="none"/>
          <w14:textFill>
            <w14:solidFill>
              <w14:schemeClr w14:val="tx1"/>
            </w14:solidFill>
          </w14:textFill>
        </w:rPr>
        <w:t xml:space="preserve">    声环境质量标准    单位：dB（A）</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5679"/>
        <w:gridCol w:w="1098"/>
        <w:gridCol w:w="1028"/>
      </w:tblGrid>
      <w:tr w14:paraId="0C22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tcBorders>
              <w:top w:val="single" w:color="auto" w:sz="12" w:space="0"/>
              <w:left w:val="single" w:color="auto" w:sz="12" w:space="0"/>
            </w:tcBorders>
            <w:noWrap w:val="0"/>
            <w:vAlign w:val="center"/>
          </w:tcPr>
          <w:p w14:paraId="0FC42A3F">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类别</w:t>
            </w:r>
          </w:p>
        </w:tc>
        <w:tc>
          <w:tcPr>
            <w:tcW w:w="3332" w:type="pct"/>
            <w:tcBorders>
              <w:top w:val="single" w:color="auto" w:sz="12" w:space="0"/>
            </w:tcBorders>
            <w:noWrap w:val="0"/>
            <w:vAlign w:val="center"/>
          </w:tcPr>
          <w:p w14:paraId="111CFBA1">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适用区域</w:t>
            </w:r>
          </w:p>
        </w:tc>
        <w:tc>
          <w:tcPr>
            <w:tcW w:w="644" w:type="pct"/>
            <w:tcBorders>
              <w:top w:val="single" w:color="auto" w:sz="12" w:space="0"/>
            </w:tcBorders>
            <w:noWrap w:val="0"/>
            <w:vAlign w:val="center"/>
          </w:tcPr>
          <w:p w14:paraId="6E2A651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昼间</w:t>
            </w:r>
          </w:p>
        </w:tc>
        <w:tc>
          <w:tcPr>
            <w:tcW w:w="603" w:type="pct"/>
            <w:tcBorders>
              <w:top w:val="single" w:color="auto" w:sz="12" w:space="0"/>
              <w:right w:val="single" w:color="auto" w:sz="12" w:space="0"/>
            </w:tcBorders>
            <w:noWrap w:val="0"/>
            <w:vAlign w:val="center"/>
          </w:tcPr>
          <w:p w14:paraId="4AE9B3C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夜间</w:t>
            </w:r>
          </w:p>
        </w:tc>
      </w:tr>
      <w:tr w14:paraId="6802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tcBorders>
              <w:left w:val="single" w:color="auto" w:sz="12" w:space="0"/>
              <w:bottom w:val="single" w:color="auto" w:sz="12" w:space="0"/>
            </w:tcBorders>
            <w:noWrap w:val="0"/>
            <w:vAlign w:val="center"/>
          </w:tcPr>
          <w:p w14:paraId="2C34E4E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2类</w:t>
            </w:r>
          </w:p>
        </w:tc>
        <w:tc>
          <w:tcPr>
            <w:tcW w:w="3332" w:type="pct"/>
            <w:tcBorders>
              <w:bottom w:val="single" w:color="auto" w:sz="12" w:space="0"/>
            </w:tcBorders>
            <w:noWrap w:val="0"/>
            <w:vAlign w:val="center"/>
          </w:tcPr>
          <w:p w14:paraId="6D5C5BB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以商业金融、集市贸易为主要功能，或者居住、商业、工业混杂，需要维护住宅安静的区域</w:t>
            </w:r>
          </w:p>
        </w:tc>
        <w:tc>
          <w:tcPr>
            <w:tcW w:w="644" w:type="pct"/>
            <w:tcBorders>
              <w:bottom w:val="single" w:color="auto" w:sz="12" w:space="0"/>
            </w:tcBorders>
            <w:noWrap w:val="0"/>
            <w:vAlign w:val="center"/>
          </w:tcPr>
          <w:p w14:paraId="52BDE16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60</w:t>
            </w:r>
          </w:p>
        </w:tc>
        <w:tc>
          <w:tcPr>
            <w:tcW w:w="603" w:type="pct"/>
            <w:tcBorders>
              <w:bottom w:val="single" w:color="auto" w:sz="12" w:space="0"/>
              <w:right w:val="single" w:color="auto" w:sz="12" w:space="0"/>
            </w:tcBorders>
            <w:noWrap w:val="0"/>
            <w:vAlign w:val="center"/>
          </w:tcPr>
          <w:p w14:paraId="194DF56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50</w:t>
            </w:r>
          </w:p>
        </w:tc>
      </w:tr>
    </w:tbl>
    <w:p w14:paraId="2CBA5F7E">
      <w:pPr>
        <w:overflowPunct w:val="0"/>
        <w:topLinePunct/>
        <w:ind w:firstLine="476"/>
        <w:rPr>
          <w:color w:val="000000" w:themeColor="text1"/>
          <w:spacing w:val="-1"/>
          <w:highlight w:val="none"/>
          <w14:textFill>
            <w14:solidFill>
              <w14:schemeClr w14:val="tx1"/>
            </w14:solidFill>
          </w14:textFill>
        </w:rPr>
      </w:pPr>
      <w:r>
        <w:rPr>
          <w:rFonts w:hint="eastAsia"/>
          <w:color w:val="000000" w:themeColor="text1"/>
          <w:spacing w:val="-1"/>
          <w:highlight w:val="none"/>
          <w14:textFill>
            <w14:solidFill>
              <w14:schemeClr w14:val="tx1"/>
            </w14:solidFill>
          </w14:textFill>
        </w:rPr>
        <w:t>（5）土壤环境</w:t>
      </w:r>
    </w:p>
    <w:p w14:paraId="6DF74CA3">
      <w:pPr>
        <w:overflowPunct w:val="0"/>
        <w:topLinePunct/>
        <w:ind w:firstLine="476"/>
        <w:rPr>
          <w:color w:val="000000" w:themeColor="text1"/>
          <w:highlight w:val="none"/>
          <w14:textFill>
            <w14:solidFill>
              <w14:schemeClr w14:val="tx1"/>
            </w14:solidFill>
          </w14:textFill>
        </w:rPr>
      </w:pPr>
      <w:r>
        <w:rPr>
          <w:rFonts w:hint="eastAsia"/>
          <w:color w:val="000000" w:themeColor="text1"/>
          <w:spacing w:val="-1"/>
          <w:highlight w:val="none"/>
          <w14:textFill>
            <w14:solidFill>
              <w14:schemeClr w14:val="tx1"/>
            </w14:solidFill>
          </w14:textFill>
        </w:rPr>
        <w:t>本项目用地属于《城市用地分类与规划建设用地标准》（GB50137-2011）中规定的二类工业用地（M2），评价区土地利用现状为戈壁、裸岩石砾地，土壤类型为石膏盐盘棕漠土，土壤环境质量执行《土壤环境质量 建设用地土壤污染风险管控标准（试行）》（GB36600-2018）中的第二类筛选值标准；评价标准限值</w:t>
      </w:r>
      <w:r>
        <w:rPr>
          <w:color w:val="000000" w:themeColor="text1"/>
          <w:spacing w:val="-1"/>
          <w:highlight w:val="none"/>
          <w14:textFill>
            <w14:solidFill>
              <w14:schemeClr w14:val="tx1"/>
            </w14:solidFill>
          </w14:textFill>
        </w:rPr>
        <w:t>见表2.5-</w:t>
      </w:r>
      <w:r>
        <w:rPr>
          <w:rFonts w:hint="eastAsia"/>
          <w:color w:val="000000" w:themeColor="text1"/>
          <w:spacing w:val="-1"/>
          <w:highlight w:val="none"/>
          <w:lang w:val="en-US" w:eastAsia="zh-CN"/>
          <w14:textFill>
            <w14:solidFill>
              <w14:schemeClr w14:val="tx1"/>
            </w14:solidFill>
          </w14:textFill>
        </w:rPr>
        <w:t>4</w:t>
      </w:r>
      <w:r>
        <w:rPr>
          <w:color w:val="000000" w:themeColor="text1"/>
          <w:spacing w:val="-1"/>
          <w:highlight w:val="none"/>
          <w14:textFill>
            <w14:solidFill>
              <w14:schemeClr w14:val="tx1"/>
            </w14:solidFill>
          </w14:textFill>
        </w:rPr>
        <w:t>。</w:t>
      </w:r>
    </w:p>
    <w:p w14:paraId="6D9F0030">
      <w:pPr>
        <w:pStyle w:val="47"/>
        <w:widowControl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土壤环境质量 建设用地土壤污染风险管控标</w:t>
      </w:r>
      <w:r>
        <w:rPr>
          <w:color w:val="000000" w:themeColor="text1"/>
          <w:highlight w:val="none"/>
          <w:lang w:val="zh-CN"/>
          <w14:textFill>
            <w14:solidFill>
              <w14:schemeClr w14:val="tx1"/>
            </w14:solidFill>
          </w14:textFill>
        </w:rPr>
        <w:t>准</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单位：mg/kg</w:t>
      </w:r>
    </w:p>
    <w:tbl>
      <w:tblPr>
        <w:tblStyle w:val="32"/>
        <w:tblW w:w="83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58"/>
        <w:gridCol w:w="669"/>
        <w:gridCol w:w="2311"/>
        <w:gridCol w:w="2066"/>
        <w:gridCol w:w="2258"/>
      </w:tblGrid>
      <w:tr w14:paraId="4B39E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058" w:type="dxa"/>
            <w:tcBorders>
              <w:tl2br w:val="nil"/>
              <w:tr2bl w:val="nil"/>
            </w:tcBorders>
            <w:vAlign w:val="center"/>
          </w:tcPr>
          <w:p w14:paraId="66E59C0B">
            <w:pPr>
              <w:spacing w:line="360" w:lineRule="atLeast"/>
              <w:ind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类别</w:t>
            </w:r>
          </w:p>
        </w:tc>
        <w:tc>
          <w:tcPr>
            <w:tcW w:w="669" w:type="dxa"/>
            <w:tcBorders>
              <w:tl2br w:val="nil"/>
              <w:tr2bl w:val="nil"/>
            </w:tcBorders>
            <w:vAlign w:val="center"/>
          </w:tcPr>
          <w:p w14:paraId="11D014BE">
            <w:pPr>
              <w:spacing w:line="360" w:lineRule="atLeast"/>
              <w:ind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序号</w:t>
            </w:r>
          </w:p>
        </w:tc>
        <w:tc>
          <w:tcPr>
            <w:tcW w:w="2311" w:type="dxa"/>
            <w:tcBorders>
              <w:tl2br w:val="nil"/>
              <w:tr2bl w:val="nil"/>
            </w:tcBorders>
            <w:vAlign w:val="center"/>
          </w:tcPr>
          <w:p w14:paraId="7566072F">
            <w:pPr>
              <w:spacing w:line="360" w:lineRule="atLeast"/>
              <w:ind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污染物项目</w:t>
            </w:r>
          </w:p>
        </w:tc>
        <w:tc>
          <w:tcPr>
            <w:tcW w:w="2066" w:type="dxa"/>
            <w:tcBorders>
              <w:tl2br w:val="nil"/>
              <w:tr2bl w:val="nil"/>
            </w:tcBorders>
            <w:vAlign w:val="center"/>
          </w:tcPr>
          <w:p w14:paraId="6B0471DA">
            <w:pPr>
              <w:spacing w:line="360" w:lineRule="atLeast"/>
              <w:ind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标准值</w:t>
            </w:r>
          </w:p>
        </w:tc>
        <w:tc>
          <w:tcPr>
            <w:tcW w:w="2258" w:type="dxa"/>
            <w:tcBorders>
              <w:tl2br w:val="nil"/>
              <w:tr2bl w:val="nil"/>
            </w:tcBorders>
            <w:vAlign w:val="center"/>
          </w:tcPr>
          <w:p w14:paraId="7AD21EE2">
            <w:pPr>
              <w:spacing w:line="360" w:lineRule="atLeast"/>
              <w:ind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执行标准</w:t>
            </w:r>
          </w:p>
        </w:tc>
      </w:tr>
      <w:tr w14:paraId="721A0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62" w:type="dxa"/>
            <w:gridSpan w:val="5"/>
            <w:tcBorders>
              <w:tl2br w:val="nil"/>
              <w:tr2bl w:val="nil"/>
            </w:tcBorders>
            <w:vAlign w:val="center"/>
          </w:tcPr>
          <w:p w14:paraId="2FD0693F">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重金属和无机物</w:t>
            </w:r>
          </w:p>
        </w:tc>
      </w:tr>
      <w:tr w14:paraId="6DDDC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restart"/>
            <w:tcBorders>
              <w:tl2br w:val="nil"/>
              <w:tr2bl w:val="nil"/>
            </w:tcBorders>
            <w:vAlign w:val="center"/>
          </w:tcPr>
          <w:p w14:paraId="6F883629">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第二类用地筛选值</w:t>
            </w:r>
          </w:p>
        </w:tc>
        <w:tc>
          <w:tcPr>
            <w:tcW w:w="669" w:type="dxa"/>
            <w:tcBorders>
              <w:tl2br w:val="nil"/>
              <w:tr2bl w:val="nil"/>
            </w:tcBorders>
            <w:vAlign w:val="center"/>
          </w:tcPr>
          <w:p w14:paraId="4761FEC7">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w:t>
            </w:r>
          </w:p>
        </w:tc>
        <w:tc>
          <w:tcPr>
            <w:tcW w:w="2311" w:type="dxa"/>
            <w:tcBorders>
              <w:tl2br w:val="nil"/>
              <w:tr2bl w:val="nil"/>
            </w:tcBorders>
            <w:vAlign w:val="center"/>
          </w:tcPr>
          <w:p w14:paraId="36115F7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砷</w:t>
            </w:r>
          </w:p>
        </w:tc>
        <w:tc>
          <w:tcPr>
            <w:tcW w:w="2066" w:type="dxa"/>
            <w:tcBorders>
              <w:tl2br w:val="nil"/>
              <w:tr2bl w:val="nil"/>
            </w:tcBorders>
            <w:vAlign w:val="center"/>
          </w:tcPr>
          <w:p w14:paraId="2F0F93F8">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60</w:t>
            </w:r>
          </w:p>
        </w:tc>
        <w:tc>
          <w:tcPr>
            <w:tcW w:w="2258" w:type="dxa"/>
            <w:vMerge w:val="restart"/>
            <w:tcBorders>
              <w:tl2br w:val="nil"/>
              <w:tr2bl w:val="nil"/>
            </w:tcBorders>
            <w:vAlign w:val="center"/>
          </w:tcPr>
          <w:p w14:paraId="5768120F">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《土壤环境质量 建设用地土壤污染风险管控标准》（GB36600-2018）</w:t>
            </w:r>
          </w:p>
        </w:tc>
      </w:tr>
      <w:tr w14:paraId="43009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ADD6A85">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35B2F87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w:t>
            </w:r>
          </w:p>
        </w:tc>
        <w:tc>
          <w:tcPr>
            <w:tcW w:w="2311" w:type="dxa"/>
            <w:tcBorders>
              <w:tl2br w:val="nil"/>
              <w:tr2bl w:val="nil"/>
            </w:tcBorders>
            <w:vAlign w:val="center"/>
          </w:tcPr>
          <w:p w14:paraId="70D4A87C">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镉</w:t>
            </w:r>
          </w:p>
        </w:tc>
        <w:tc>
          <w:tcPr>
            <w:tcW w:w="2066" w:type="dxa"/>
            <w:tcBorders>
              <w:tl2br w:val="nil"/>
              <w:tr2bl w:val="nil"/>
            </w:tcBorders>
            <w:vAlign w:val="center"/>
          </w:tcPr>
          <w:p w14:paraId="12444DB7">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65</w:t>
            </w:r>
          </w:p>
        </w:tc>
        <w:tc>
          <w:tcPr>
            <w:tcW w:w="2258" w:type="dxa"/>
            <w:vMerge w:val="continue"/>
            <w:tcBorders>
              <w:tl2br w:val="nil"/>
              <w:tr2bl w:val="nil"/>
            </w:tcBorders>
            <w:vAlign w:val="center"/>
          </w:tcPr>
          <w:p w14:paraId="7BB36BAC">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12CB4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4FB53B49">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53B2ED5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3</w:t>
            </w:r>
          </w:p>
        </w:tc>
        <w:tc>
          <w:tcPr>
            <w:tcW w:w="2311" w:type="dxa"/>
            <w:tcBorders>
              <w:tl2br w:val="nil"/>
              <w:tr2bl w:val="nil"/>
            </w:tcBorders>
            <w:vAlign w:val="center"/>
          </w:tcPr>
          <w:p w14:paraId="149E94D0">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铬（六价）</w:t>
            </w:r>
          </w:p>
        </w:tc>
        <w:tc>
          <w:tcPr>
            <w:tcW w:w="2066" w:type="dxa"/>
            <w:tcBorders>
              <w:tl2br w:val="nil"/>
              <w:tr2bl w:val="nil"/>
            </w:tcBorders>
            <w:vAlign w:val="center"/>
          </w:tcPr>
          <w:p w14:paraId="6978736B">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5.7</w:t>
            </w:r>
          </w:p>
        </w:tc>
        <w:tc>
          <w:tcPr>
            <w:tcW w:w="2258" w:type="dxa"/>
            <w:vMerge w:val="continue"/>
            <w:tcBorders>
              <w:tl2br w:val="nil"/>
              <w:tr2bl w:val="nil"/>
            </w:tcBorders>
            <w:vAlign w:val="center"/>
          </w:tcPr>
          <w:p w14:paraId="228EA410">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2AACB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58079C1C">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79E1F0B4">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4</w:t>
            </w:r>
          </w:p>
        </w:tc>
        <w:tc>
          <w:tcPr>
            <w:tcW w:w="2311" w:type="dxa"/>
            <w:tcBorders>
              <w:tl2br w:val="nil"/>
              <w:tr2bl w:val="nil"/>
            </w:tcBorders>
            <w:vAlign w:val="center"/>
          </w:tcPr>
          <w:p w14:paraId="1370F677">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铜</w:t>
            </w:r>
          </w:p>
        </w:tc>
        <w:tc>
          <w:tcPr>
            <w:tcW w:w="2066" w:type="dxa"/>
            <w:tcBorders>
              <w:tl2br w:val="nil"/>
              <w:tr2bl w:val="nil"/>
            </w:tcBorders>
            <w:vAlign w:val="center"/>
          </w:tcPr>
          <w:p w14:paraId="2F2DB4C9">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18000</w:t>
            </w:r>
          </w:p>
        </w:tc>
        <w:tc>
          <w:tcPr>
            <w:tcW w:w="2258" w:type="dxa"/>
            <w:vMerge w:val="continue"/>
            <w:tcBorders>
              <w:tl2br w:val="nil"/>
              <w:tr2bl w:val="nil"/>
            </w:tcBorders>
            <w:vAlign w:val="center"/>
          </w:tcPr>
          <w:p w14:paraId="03D5F7A2">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726DD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0C5243A">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777F133D">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5</w:t>
            </w:r>
          </w:p>
        </w:tc>
        <w:tc>
          <w:tcPr>
            <w:tcW w:w="2311" w:type="dxa"/>
            <w:tcBorders>
              <w:tl2br w:val="nil"/>
              <w:tr2bl w:val="nil"/>
            </w:tcBorders>
            <w:vAlign w:val="center"/>
          </w:tcPr>
          <w:p w14:paraId="17A70D40">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铅</w:t>
            </w:r>
          </w:p>
        </w:tc>
        <w:tc>
          <w:tcPr>
            <w:tcW w:w="2066" w:type="dxa"/>
            <w:tcBorders>
              <w:tl2br w:val="nil"/>
              <w:tr2bl w:val="nil"/>
            </w:tcBorders>
            <w:vAlign w:val="center"/>
          </w:tcPr>
          <w:p w14:paraId="64521810">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800</w:t>
            </w:r>
          </w:p>
        </w:tc>
        <w:tc>
          <w:tcPr>
            <w:tcW w:w="2258" w:type="dxa"/>
            <w:vMerge w:val="continue"/>
            <w:tcBorders>
              <w:tl2br w:val="nil"/>
              <w:tr2bl w:val="nil"/>
            </w:tcBorders>
            <w:vAlign w:val="center"/>
          </w:tcPr>
          <w:p w14:paraId="42DECDEA">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3D33B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D0FF6A7">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1C54A795">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6</w:t>
            </w:r>
          </w:p>
        </w:tc>
        <w:tc>
          <w:tcPr>
            <w:tcW w:w="2311" w:type="dxa"/>
            <w:tcBorders>
              <w:tl2br w:val="nil"/>
              <w:tr2bl w:val="nil"/>
            </w:tcBorders>
            <w:vAlign w:val="center"/>
          </w:tcPr>
          <w:p w14:paraId="51C48A3F">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汞</w:t>
            </w:r>
          </w:p>
        </w:tc>
        <w:tc>
          <w:tcPr>
            <w:tcW w:w="2066" w:type="dxa"/>
            <w:tcBorders>
              <w:tl2br w:val="nil"/>
              <w:tr2bl w:val="nil"/>
            </w:tcBorders>
            <w:vAlign w:val="center"/>
          </w:tcPr>
          <w:p w14:paraId="365E8AF8">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38</w:t>
            </w:r>
          </w:p>
        </w:tc>
        <w:tc>
          <w:tcPr>
            <w:tcW w:w="2258" w:type="dxa"/>
            <w:vMerge w:val="continue"/>
            <w:tcBorders>
              <w:tl2br w:val="nil"/>
              <w:tr2bl w:val="nil"/>
            </w:tcBorders>
            <w:vAlign w:val="center"/>
          </w:tcPr>
          <w:p w14:paraId="5968F774">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2F97E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872DE5F">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7893E3D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7</w:t>
            </w:r>
          </w:p>
        </w:tc>
        <w:tc>
          <w:tcPr>
            <w:tcW w:w="2311" w:type="dxa"/>
            <w:tcBorders>
              <w:tl2br w:val="nil"/>
              <w:tr2bl w:val="nil"/>
            </w:tcBorders>
            <w:vAlign w:val="center"/>
          </w:tcPr>
          <w:p w14:paraId="4760067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镍</w:t>
            </w:r>
          </w:p>
        </w:tc>
        <w:tc>
          <w:tcPr>
            <w:tcW w:w="2066" w:type="dxa"/>
            <w:tcBorders>
              <w:tl2br w:val="nil"/>
              <w:tr2bl w:val="nil"/>
            </w:tcBorders>
            <w:vAlign w:val="center"/>
          </w:tcPr>
          <w:p w14:paraId="65C3260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900</w:t>
            </w:r>
          </w:p>
        </w:tc>
        <w:tc>
          <w:tcPr>
            <w:tcW w:w="2258" w:type="dxa"/>
            <w:vMerge w:val="continue"/>
            <w:tcBorders>
              <w:tl2br w:val="nil"/>
              <w:tr2bl w:val="nil"/>
            </w:tcBorders>
            <w:vAlign w:val="center"/>
          </w:tcPr>
          <w:p w14:paraId="130FDE8C">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68FE7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62" w:type="dxa"/>
            <w:gridSpan w:val="5"/>
            <w:tcBorders>
              <w:tl2br w:val="nil"/>
              <w:tr2bl w:val="nil"/>
            </w:tcBorders>
            <w:vAlign w:val="center"/>
          </w:tcPr>
          <w:p w14:paraId="1C71504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挥发性有机物</w:t>
            </w:r>
          </w:p>
        </w:tc>
      </w:tr>
      <w:tr w14:paraId="01950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restart"/>
            <w:tcBorders>
              <w:tl2br w:val="nil"/>
              <w:tr2bl w:val="nil"/>
            </w:tcBorders>
            <w:vAlign w:val="center"/>
          </w:tcPr>
          <w:p w14:paraId="63A3DB41">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第二类用地筛选值</w:t>
            </w:r>
          </w:p>
        </w:tc>
        <w:tc>
          <w:tcPr>
            <w:tcW w:w="669" w:type="dxa"/>
            <w:tcBorders>
              <w:tl2br w:val="nil"/>
              <w:tr2bl w:val="nil"/>
            </w:tcBorders>
            <w:vAlign w:val="center"/>
          </w:tcPr>
          <w:p w14:paraId="69E488AD">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8</w:t>
            </w:r>
          </w:p>
        </w:tc>
        <w:tc>
          <w:tcPr>
            <w:tcW w:w="2311" w:type="dxa"/>
            <w:tcBorders>
              <w:tl2br w:val="nil"/>
              <w:tr2bl w:val="nil"/>
            </w:tcBorders>
            <w:vAlign w:val="center"/>
          </w:tcPr>
          <w:p w14:paraId="08CF9702">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四氯化碳</w:t>
            </w:r>
          </w:p>
        </w:tc>
        <w:tc>
          <w:tcPr>
            <w:tcW w:w="2066" w:type="dxa"/>
            <w:tcBorders>
              <w:tl2br w:val="nil"/>
              <w:tr2bl w:val="nil"/>
            </w:tcBorders>
            <w:vAlign w:val="center"/>
          </w:tcPr>
          <w:p w14:paraId="4B2F2DBC">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2.8</w:t>
            </w:r>
          </w:p>
        </w:tc>
        <w:tc>
          <w:tcPr>
            <w:tcW w:w="2258" w:type="dxa"/>
            <w:vMerge w:val="restart"/>
            <w:tcBorders>
              <w:tl2br w:val="nil"/>
              <w:tr2bl w:val="nil"/>
            </w:tcBorders>
            <w:vAlign w:val="center"/>
          </w:tcPr>
          <w:p w14:paraId="35C4C7B5">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《土壤环境质量 建设用地土壤污染风险管控标准》（GB36600-2018）</w:t>
            </w:r>
          </w:p>
        </w:tc>
      </w:tr>
      <w:tr w14:paraId="204DE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E7CE7EA">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1D99A1C4">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9</w:t>
            </w:r>
          </w:p>
        </w:tc>
        <w:tc>
          <w:tcPr>
            <w:tcW w:w="2311" w:type="dxa"/>
            <w:tcBorders>
              <w:tl2br w:val="nil"/>
              <w:tr2bl w:val="nil"/>
            </w:tcBorders>
            <w:vAlign w:val="center"/>
          </w:tcPr>
          <w:p w14:paraId="3C6B02D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氯仿</w:t>
            </w:r>
          </w:p>
        </w:tc>
        <w:tc>
          <w:tcPr>
            <w:tcW w:w="2066" w:type="dxa"/>
            <w:tcBorders>
              <w:tl2br w:val="nil"/>
              <w:tr2bl w:val="nil"/>
            </w:tcBorders>
            <w:vAlign w:val="center"/>
          </w:tcPr>
          <w:p w14:paraId="6A3F6DB2">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0.9</w:t>
            </w:r>
          </w:p>
        </w:tc>
        <w:tc>
          <w:tcPr>
            <w:tcW w:w="2258" w:type="dxa"/>
            <w:vMerge w:val="continue"/>
            <w:tcBorders>
              <w:tl2br w:val="nil"/>
              <w:tr2bl w:val="nil"/>
            </w:tcBorders>
            <w:vAlign w:val="center"/>
          </w:tcPr>
          <w:p w14:paraId="7CC0C4D6">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7ECBC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CDD968B">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122545A7">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10</w:t>
            </w:r>
          </w:p>
        </w:tc>
        <w:tc>
          <w:tcPr>
            <w:tcW w:w="2311" w:type="dxa"/>
            <w:tcBorders>
              <w:tl2br w:val="nil"/>
              <w:tr2bl w:val="nil"/>
            </w:tcBorders>
            <w:vAlign w:val="center"/>
          </w:tcPr>
          <w:p w14:paraId="2B79D972">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氯甲烷</w:t>
            </w:r>
          </w:p>
        </w:tc>
        <w:tc>
          <w:tcPr>
            <w:tcW w:w="2066" w:type="dxa"/>
            <w:tcBorders>
              <w:tl2br w:val="nil"/>
              <w:tr2bl w:val="nil"/>
            </w:tcBorders>
            <w:vAlign w:val="center"/>
          </w:tcPr>
          <w:p w14:paraId="26932438">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37</w:t>
            </w:r>
          </w:p>
        </w:tc>
        <w:tc>
          <w:tcPr>
            <w:tcW w:w="2258" w:type="dxa"/>
            <w:vMerge w:val="continue"/>
            <w:tcBorders>
              <w:tl2br w:val="nil"/>
              <w:tr2bl w:val="nil"/>
            </w:tcBorders>
            <w:vAlign w:val="center"/>
          </w:tcPr>
          <w:p w14:paraId="4B92DF75">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693B5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55E0634A">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4DECF21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11</w:t>
            </w:r>
          </w:p>
        </w:tc>
        <w:tc>
          <w:tcPr>
            <w:tcW w:w="2311" w:type="dxa"/>
            <w:tcBorders>
              <w:tl2br w:val="nil"/>
              <w:tr2bl w:val="nil"/>
            </w:tcBorders>
            <w:vAlign w:val="center"/>
          </w:tcPr>
          <w:p w14:paraId="07BFBE18">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1，1-二氯乙烷</w:t>
            </w:r>
          </w:p>
        </w:tc>
        <w:tc>
          <w:tcPr>
            <w:tcW w:w="2066" w:type="dxa"/>
            <w:tcBorders>
              <w:tl2br w:val="nil"/>
              <w:tr2bl w:val="nil"/>
            </w:tcBorders>
            <w:vAlign w:val="center"/>
          </w:tcPr>
          <w:p w14:paraId="6ABB686E">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9</w:t>
            </w:r>
          </w:p>
        </w:tc>
        <w:tc>
          <w:tcPr>
            <w:tcW w:w="2258" w:type="dxa"/>
            <w:vMerge w:val="continue"/>
            <w:tcBorders>
              <w:tl2br w:val="nil"/>
              <w:tr2bl w:val="nil"/>
            </w:tcBorders>
            <w:vAlign w:val="center"/>
          </w:tcPr>
          <w:p w14:paraId="0B19A966">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7889F7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90200B7">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03EF0334">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12</w:t>
            </w:r>
          </w:p>
        </w:tc>
        <w:tc>
          <w:tcPr>
            <w:tcW w:w="2311" w:type="dxa"/>
            <w:tcBorders>
              <w:tl2br w:val="nil"/>
              <w:tr2bl w:val="nil"/>
            </w:tcBorders>
            <w:vAlign w:val="center"/>
          </w:tcPr>
          <w:p w14:paraId="1DB9E180">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1.2-二氯乙烷</w:t>
            </w:r>
          </w:p>
        </w:tc>
        <w:tc>
          <w:tcPr>
            <w:tcW w:w="2066" w:type="dxa"/>
            <w:tcBorders>
              <w:tl2br w:val="nil"/>
              <w:tr2bl w:val="nil"/>
            </w:tcBorders>
            <w:vAlign w:val="center"/>
          </w:tcPr>
          <w:p w14:paraId="23F64119">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5</w:t>
            </w:r>
          </w:p>
        </w:tc>
        <w:tc>
          <w:tcPr>
            <w:tcW w:w="2258" w:type="dxa"/>
            <w:vMerge w:val="continue"/>
            <w:tcBorders>
              <w:tl2br w:val="nil"/>
              <w:tr2bl w:val="nil"/>
            </w:tcBorders>
            <w:vAlign w:val="center"/>
          </w:tcPr>
          <w:p w14:paraId="7D89A29D">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4B566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BB54592">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5ED7FD0D">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13</w:t>
            </w:r>
          </w:p>
        </w:tc>
        <w:tc>
          <w:tcPr>
            <w:tcW w:w="2311" w:type="dxa"/>
            <w:tcBorders>
              <w:tl2br w:val="nil"/>
              <w:tr2bl w:val="nil"/>
            </w:tcBorders>
            <w:vAlign w:val="center"/>
          </w:tcPr>
          <w:p w14:paraId="57094E6E">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1，1-二氯乙烯</w:t>
            </w:r>
          </w:p>
        </w:tc>
        <w:tc>
          <w:tcPr>
            <w:tcW w:w="2066" w:type="dxa"/>
            <w:tcBorders>
              <w:tl2br w:val="nil"/>
              <w:tr2bl w:val="nil"/>
            </w:tcBorders>
            <w:vAlign w:val="center"/>
          </w:tcPr>
          <w:p w14:paraId="5D85E310">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66</w:t>
            </w:r>
          </w:p>
        </w:tc>
        <w:tc>
          <w:tcPr>
            <w:tcW w:w="2258" w:type="dxa"/>
            <w:vMerge w:val="continue"/>
            <w:tcBorders>
              <w:tl2br w:val="nil"/>
              <w:tr2bl w:val="nil"/>
            </w:tcBorders>
            <w:vAlign w:val="center"/>
          </w:tcPr>
          <w:p w14:paraId="7F13A701">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11D12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9CBD407">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2AC0D4D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14</w:t>
            </w:r>
          </w:p>
        </w:tc>
        <w:tc>
          <w:tcPr>
            <w:tcW w:w="2311" w:type="dxa"/>
            <w:tcBorders>
              <w:tl2br w:val="nil"/>
              <w:tr2bl w:val="nil"/>
            </w:tcBorders>
            <w:vAlign w:val="center"/>
          </w:tcPr>
          <w:p w14:paraId="6C079029">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顺-1，2-二氯乙烯</w:t>
            </w:r>
          </w:p>
        </w:tc>
        <w:tc>
          <w:tcPr>
            <w:tcW w:w="2066" w:type="dxa"/>
            <w:tcBorders>
              <w:tl2br w:val="nil"/>
              <w:tr2bl w:val="nil"/>
            </w:tcBorders>
            <w:vAlign w:val="center"/>
          </w:tcPr>
          <w:p w14:paraId="51EA6B8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596</w:t>
            </w:r>
          </w:p>
        </w:tc>
        <w:tc>
          <w:tcPr>
            <w:tcW w:w="2258" w:type="dxa"/>
            <w:vMerge w:val="continue"/>
            <w:tcBorders>
              <w:tl2br w:val="nil"/>
              <w:tr2bl w:val="nil"/>
            </w:tcBorders>
            <w:vAlign w:val="center"/>
          </w:tcPr>
          <w:p w14:paraId="5FCCAF33">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5A588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5FA8F38B">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3E8B81CF">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15</w:t>
            </w:r>
          </w:p>
        </w:tc>
        <w:tc>
          <w:tcPr>
            <w:tcW w:w="2311" w:type="dxa"/>
            <w:tcBorders>
              <w:tl2br w:val="nil"/>
              <w:tr2bl w:val="nil"/>
            </w:tcBorders>
            <w:vAlign w:val="center"/>
          </w:tcPr>
          <w:p w14:paraId="432C9A11">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反-1.2-二氯乙烯</w:t>
            </w:r>
          </w:p>
        </w:tc>
        <w:tc>
          <w:tcPr>
            <w:tcW w:w="2066" w:type="dxa"/>
            <w:tcBorders>
              <w:tl2br w:val="nil"/>
              <w:tr2bl w:val="nil"/>
            </w:tcBorders>
            <w:vAlign w:val="center"/>
          </w:tcPr>
          <w:p w14:paraId="407B21B0">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54</w:t>
            </w:r>
          </w:p>
        </w:tc>
        <w:tc>
          <w:tcPr>
            <w:tcW w:w="2258" w:type="dxa"/>
            <w:vMerge w:val="continue"/>
            <w:tcBorders>
              <w:tl2br w:val="nil"/>
              <w:tr2bl w:val="nil"/>
            </w:tcBorders>
            <w:vAlign w:val="center"/>
          </w:tcPr>
          <w:p w14:paraId="188EF199">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46719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763A988">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3958B8F5">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16</w:t>
            </w:r>
          </w:p>
        </w:tc>
        <w:tc>
          <w:tcPr>
            <w:tcW w:w="2311" w:type="dxa"/>
            <w:tcBorders>
              <w:tl2br w:val="nil"/>
              <w:tr2bl w:val="nil"/>
            </w:tcBorders>
            <w:vAlign w:val="center"/>
          </w:tcPr>
          <w:p w14:paraId="4965C6EB">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二氯</w:t>
            </w:r>
            <w:r>
              <w:rPr>
                <w:rFonts w:hint="eastAsia"/>
                <w:bCs/>
                <w:color w:val="000000" w:themeColor="text1"/>
                <w:sz w:val="21"/>
                <w:szCs w:val="21"/>
                <w:highlight w:val="none"/>
                <w14:textFill>
                  <w14:solidFill>
                    <w14:schemeClr w14:val="tx1"/>
                  </w14:solidFill>
                </w14:textFill>
              </w:rPr>
              <w:t>甲</w:t>
            </w:r>
            <w:r>
              <w:rPr>
                <w:bCs/>
                <w:color w:val="000000" w:themeColor="text1"/>
                <w:sz w:val="21"/>
                <w:szCs w:val="21"/>
                <w:highlight w:val="none"/>
                <w14:textFill>
                  <w14:solidFill>
                    <w14:schemeClr w14:val="tx1"/>
                  </w14:solidFill>
                </w14:textFill>
              </w:rPr>
              <w:t>烷</w:t>
            </w:r>
          </w:p>
        </w:tc>
        <w:tc>
          <w:tcPr>
            <w:tcW w:w="2066" w:type="dxa"/>
            <w:tcBorders>
              <w:tl2br w:val="nil"/>
              <w:tr2bl w:val="nil"/>
            </w:tcBorders>
            <w:vAlign w:val="center"/>
          </w:tcPr>
          <w:p w14:paraId="2EA5FB5F">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616</w:t>
            </w:r>
          </w:p>
        </w:tc>
        <w:tc>
          <w:tcPr>
            <w:tcW w:w="2258" w:type="dxa"/>
            <w:vMerge w:val="continue"/>
            <w:tcBorders>
              <w:tl2br w:val="nil"/>
              <w:tr2bl w:val="nil"/>
            </w:tcBorders>
            <w:vAlign w:val="center"/>
          </w:tcPr>
          <w:p w14:paraId="5518A9BB">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7DCFB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90BC478">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79E6301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17</w:t>
            </w:r>
          </w:p>
        </w:tc>
        <w:tc>
          <w:tcPr>
            <w:tcW w:w="2311" w:type="dxa"/>
            <w:tcBorders>
              <w:tl2br w:val="nil"/>
              <w:tr2bl w:val="nil"/>
            </w:tcBorders>
            <w:vAlign w:val="center"/>
          </w:tcPr>
          <w:p w14:paraId="2E5C2341">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1，2-二氯丙烷</w:t>
            </w:r>
          </w:p>
        </w:tc>
        <w:tc>
          <w:tcPr>
            <w:tcW w:w="2066" w:type="dxa"/>
            <w:tcBorders>
              <w:tl2br w:val="nil"/>
              <w:tr2bl w:val="nil"/>
            </w:tcBorders>
            <w:vAlign w:val="center"/>
          </w:tcPr>
          <w:p w14:paraId="5977F765">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5</w:t>
            </w:r>
          </w:p>
        </w:tc>
        <w:tc>
          <w:tcPr>
            <w:tcW w:w="2258" w:type="dxa"/>
            <w:vMerge w:val="continue"/>
            <w:tcBorders>
              <w:tl2br w:val="nil"/>
              <w:tr2bl w:val="nil"/>
            </w:tcBorders>
            <w:vAlign w:val="center"/>
          </w:tcPr>
          <w:p w14:paraId="06C1BD2B">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22189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4D3D2ED">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5FA634CD">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18</w:t>
            </w:r>
          </w:p>
        </w:tc>
        <w:tc>
          <w:tcPr>
            <w:tcW w:w="2311" w:type="dxa"/>
            <w:tcBorders>
              <w:tl2br w:val="nil"/>
              <w:tr2bl w:val="nil"/>
            </w:tcBorders>
            <w:vAlign w:val="center"/>
          </w:tcPr>
          <w:p w14:paraId="2BBBE7B0">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1，1，1，2-四氯乙烷</w:t>
            </w:r>
          </w:p>
        </w:tc>
        <w:tc>
          <w:tcPr>
            <w:tcW w:w="2066" w:type="dxa"/>
            <w:tcBorders>
              <w:tl2br w:val="nil"/>
              <w:tr2bl w:val="nil"/>
            </w:tcBorders>
            <w:vAlign w:val="center"/>
          </w:tcPr>
          <w:p w14:paraId="4314FE1B">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10</w:t>
            </w:r>
          </w:p>
        </w:tc>
        <w:tc>
          <w:tcPr>
            <w:tcW w:w="2258" w:type="dxa"/>
            <w:vMerge w:val="continue"/>
            <w:tcBorders>
              <w:tl2br w:val="nil"/>
              <w:tr2bl w:val="nil"/>
            </w:tcBorders>
            <w:vAlign w:val="center"/>
          </w:tcPr>
          <w:p w14:paraId="693C017F">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1C5E7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5D80107E">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72CD6D0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19</w:t>
            </w:r>
          </w:p>
        </w:tc>
        <w:tc>
          <w:tcPr>
            <w:tcW w:w="2311" w:type="dxa"/>
            <w:tcBorders>
              <w:tl2br w:val="nil"/>
              <w:tr2bl w:val="nil"/>
            </w:tcBorders>
            <w:vAlign w:val="center"/>
          </w:tcPr>
          <w:p w14:paraId="15581CA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1，1，2，2-四氯乙烷</w:t>
            </w:r>
          </w:p>
        </w:tc>
        <w:tc>
          <w:tcPr>
            <w:tcW w:w="2066" w:type="dxa"/>
            <w:tcBorders>
              <w:tl2br w:val="nil"/>
              <w:tr2bl w:val="nil"/>
            </w:tcBorders>
            <w:vAlign w:val="center"/>
          </w:tcPr>
          <w:p w14:paraId="677A977B">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6.8</w:t>
            </w:r>
          </w:p>
        </w:tc>
        <w:tc>
          <w:tcPr>
            <w:tcW w:w="2258" w:type="dxa"/>
            <w:vMerge w:val="continue"/>
            <w:tcBorders>
              <w:tl2br w:val="nil"/>
              <w:tr2bl w:val="nil"/>
            </w:tcBorders>
            <w:vAlign w:val="center"/>
          </w:tcPr>
          <w:p w14:paraId="2D657E77">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17955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2BB60A9">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301B3039">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20</w:t>
            </w:r>
          </w:p>
        </w:tc>
        <w:tc>
          <w:tcPr>
            <w:tcW w:w="2311" w:type="dxa"/>
            <w:tcBorders>
              <w:tl2br w:val="nil"/>
              <w:tr2bl w:val="nil"/>
            </w:tcBorders>
            <w:vAlign w:val="center"/>
          </w:tcPr>
          <w:p w14:paraId="1E85CFD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四氯乙烯</w:t>
            </w:r>
          </w:p>
        </w:tc>
        <w:tc>
          <w:tcPr>
            <w:tcW w:w="2066" w:type="dxa"/>
            <w:tcBorders>
              <w:tl2br w:val="nil"/>
              <w:tr2bl w:val="nil"/>
            </w:tcBorders>
            <w:vAlign w:val="center"/>
          </w:tcPr>
          <w:p w14:paraId="1B53B0A6">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53</w:t>
            </w:r>
          </w:p>
        </w:tc>
        <w:tc>
          <w:tcPr>
            <w:tcW w:w="2258" w:type="dxa"/>
            <w:vMerge w:val="continue"/>
            <w:tcBorders>
              <w:tl2br w:val="nil"/>
              <w:tr2bl w:val="nil"/>
            </w:tcBorders>
            <w:vAlign w:val="center"/>
          </w:tcPr>
          <w:p w14:paraId="40024B75">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42AE9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DBE434D">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0546C6EC">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21</w:t>
            </w:r>
          </w:p>
        </w:tc>
        <w:tc>
          <w:tcPr>
            <w:tcW w:w="2311" w:type="dxa"/>
            <w:tcBorders>
              <w:tl2br w:val="nil"/>
              <w:tr2bl w:val="nil"/>
            </w:tcBorders>
            <w:vAlign w:val="center"/>
          </w:tcPr>
          <w:p w14:paraId="4C8E3F20">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1，1，1-三氯乙烷</w:t>
            </w:r>
          </w:p>
        </w:tc>
        <w:tc>
          <w:tcPr>
            <w:tcW w:w="2066" w:type="dxa"/>
            <w:tcBorders>
              <w:tl2br w:val="nil"/>
              <w:tr2bl w:val="nil"/>
            </w:tcBorders>
            <w:vAlign w:val="center"/>
          </w:tcPr>
          <w:p w14:paraId="4B9C20F6">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840</w:t>
            </w:r>
          </w:p>
        </w:tc>
        <w:tc>
          <w:tcPr>
            <w:tcW w:w="2258" w:type="dxa"/>
            <w:vMerge w:val="continue"/>
            <w:tcBorders>
              <w:tl2br w:val="nil"/>
              <w:tr2bl w:val="nil"/>
            </w:tcBorders>
            <w:vAlign w:val="center"/>
          </w:tcPr>
          <w:p w14:paraId="12ABD141">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2F4E6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AAE93CE">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0888682B">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22</w:t>
            </w:r>
          </w:p>
        </w:tc>
        <w:tc>
          <w:tcPr>
            <w:tcW w:w="2311" w:type="dxa"/>
            <w:tcBorders>
              <w:tl2br w:val="nil"/>
              <w:tr2bl w:val="nil"/>
            </w:tcBorders>
            <w:vAlign w:val="center"/>
          </w:tcPr>
          <w:p w14:paraId="376E9C08">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1，1，2-三氯乙烷</w:t>
            </w:r>
          </w:p>
        </w:tc>
        <w:tc>
          <w:tcPr>
            <w:tcW w:w="2066" w:type="dxa"/>
            <w:tcBorders>
              <w:tl2br w:val="nil"/>
              <w:tr2bl w:val="nil"/>
            </w:tcBorders>
            <w:vAlign w:val="center"/>
          </w:tcPr>
          <w:p w14:paraId="18C3FDCE">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2.8</w:t>
            </w:r>
          </w:p>
        </w:tc>
        <w:tc>
          <w:tcPr>
            <w:tcW w:w="2258" w:type="dxa"/>
            <w:vMerge w:val="continue"/>
            <w:tcBorders>
              <w:tl2br w:val="nil"/>
              <w:tr2bl w:val="nil"/>
            </w:tcBorders>
            <w:vAlign w:val="center"/>
          </w:tcPr>
          <w:p w14:paraId="1577EB69">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41051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AB3C12C">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283C1A4E">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23</w:t>
            </w:r>
          </w:p>
        </w:tc>
        <w:tc>
          <w:tcPr>
            <w:tcW w:w="2311" w:type="dxa"/>
            <w:tcBorders>
              <w:tl2br w:val="nil"/>
              <w:tr2bl w:val="nil"/>
            </w:tcBorders>
            <w:vAlign w:val="center"/>
          </w:tcPr>
          <w:p w14:paraId="320DDBC1">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三氯乙烯</w:t>
            </w:r>
          </w:p>
        </w:tc>
        <w:tc>
          <w:tcPr>
            <w:tcW w:w="2066" w:type="dxa"/>
            <w:tcBorders>
              <w:tl2br w:val="nil"/>
              <w:tr2bl w:val="nil"/>
            </w:tcBorders>
            <w:vAlign w:val="center"/>
          </w:tcPr>
          <w:p w14:paraId="0B735C05">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2.8</w:t>
            </w:r>
          </w:p>
        </w:tc>
        <w:tc>
          <w:tcPr>
            <w:tcW w:w="2258" w:type="dxa"/>
            <w:vMerge w:val="continue"/>
            <w:tcBorders>
              <w:tl2br w:val="nil"/>
              <w:tr2bl w:val="nil"/>
            </w:tcBorders>
            <w:vAlign w:val="center"/>
          </w:tcPr>
          <w:p w14:paraId="48B46634">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44957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3AE5F07">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0082739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24</w:t>
            </w:r>
          </w:p>
        </w:tc>
        <w:tc>
          <w:tcPr>
            <w:tcW w:w="2311" w:type="dxa"/>
            <w:tcBorders>
              <w:tl2br w:val="nil"/>
              <w:tr2bl w:val="nil"/>
            </w:tcBorders>
            <w:vAlign w:val="center"/>
          </w:tcPr>
          <w:p w14:paraId="364BA5A8">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1，2，3-三氯丙烷</w:t>
            </w:r>
          </w:p>
        </w:tc>
        <w:tc>
          <w:tcPr>
            <w:tcW w:w="2066" w:type="dxa"/>
            <w:tcBorders>
              <w:tl2br w:val="nil"/>
              <w:tr2bl w:val="nil"/>
            </w:tcBorders>
            <w:vAlign w:val="center"/>
          </w:tcPr>
          <w:p w14:paraId="11E6BB4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0.5</w:t>
            </w:r>
          </w:p>
        </w:tc>
        <w:tc>
          <w:tcPr>
            <w:tcW w:w="2258" w:type="dxa"/>
            <w:vMerge w:val="continue"/>
            <w:tcBorders>
              <w:tl2br w:val="nil"/>
              <w:tr2bl w:val="nil"/>
            </w:tcBorders>
            <w:vAlign w:val="center"/>
          </w:tcPr>
          <w:p w14:paraId="3261F017">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693AF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ECCA6D6">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67EAD06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25</w:t>
            </w:r>
          </w:p>
        </w:tc>
        <w:tc>
          <w:tcPr>
            <w:tcW w:w="2311" w:type="dxa"/>
            <w:tcBorders>
              <w:tl2br w:val="nil"/>
              <w:tr2bl w:val="nil"/>
            </w:tcBorders>
            <w:vAlign w:val="center"/>
          </w:tcPr>
          <w:p w14:paraId="2E20712D">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氯乙烯</w:t>
            </w:r>
          </w:p>
        </w:tc>
        <w:tc>
          <w:tcPr>
            <w:tcW w:w="2066" w:type="dxa"/>
            <w:tcBorders>
              <w:tl2br w:val="nil"/>
              <w:tr2bl w:val="nil"/>
            </w:tcBorders>
            <w:vAlign w:val="center"/>
          </w:tcPr>
          <w:p w14:paraId="2261912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0.43</w:t>
            </w:r>
          </w:p>
        </w:tc>
        <w:tc>
          <w:tcPr>
            <w:tcW w:w="2258" w:type="dxa"/>
            <w:vMerge w:val="continue"/>
            <w:tcBorders>
              <w:tl2br w:val="nil"/>
              <w:tr2bl w:val="nil"/>
            </w:tcBorders>
            <w:vAlign w:val="center"/>
          </w:tcPr>
          <w:p w14:paraId="634A0037">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3DDEC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246C5AB">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472D07C1">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26</w:t>
            </w:r>
          </w:p>
        </w:tc>
        <w:tc>
          <w:tcPr>
            <w:tcW w:w="2311" w:type="dxa"/>
            <w:tcBorders>
              <w:tl2br w:val="nil"/>
              <w:tr2bl w:val="nil"/>
            </w:tcBorders>
            <w:vAlign w:val="center"/>
          </w:tcPr>
          <w:p w14:paraId="527E6EA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苯</w:t>
            </w:r>
          </w:p>
        </w:tc>
        <w:tc>
          <w:tcPr>
            <w:tcW w:w="2066" w:type="dxa"/>
            <w:tcBorders>
              <w:tl2br w:val="nil"/>
              <w:tr2bl w:val="nil"/>
            </w:tcBorders>
            <w:vAlign w:val="center"/>
          </w:tcPr>
          <w:p w14:paraId="705CC775">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4</w:t>
            </w:r>
          </w:p>
        </w:tc>
        <w:tc>
          <w:tcPr>
            <w:tcW w:w="2258" w:type="dxa"/>
            <w:vMerge w:val="continue"/>
            <w:tcBorders>
              <w:tl2br w:val="nil"/>
              <w:tr2bl w:val="nil"/>
            </w:tcBorders>
            <w:vAlign w:val="center"/>
          </w:tcPr>
          <w:p w14:paraId="071A3036">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095BE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C981D1D">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5983F6A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27</w:t>
            </w:r>
          </w:p>
        </w:tc>
        <w:tc>
          <w:tcPr>
            <w:tcW w:w="2311" w:type="dxa"/>
            <w:tcBorders>
              <w:tl2br w:val="nil"/>
              <w:tr2bl w:val="nil"/>
            </w:tcBorders>
            <w:vAlign w:val="center"/>
          </w:tcPr>
          <w:p w14:paraId="70E0C779">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氯苯</w:t>
            </w:r>
          </w:p>
        </w:tc>
        <w:tc>
          <w:tcPr>
            <w:tcW w:w="2066" w:type="dxa"/>
            <w:tcBorders>
              <w:tl2br w:val="nil"/>
              <w:tr2bl w:val="nil"/>
            </w:tcBorders>
            <w:vAlign w:val="center"/>
          </w:tcPr>
          <w:p w14:paraId="049209A2">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270</w:t>
            </w:r>
          </w:p>
        </w:tc>
        <w:tc>
          <w:tcPr>
            <w:tcW w:w="2258" w:type="dxa"/>
            <w:vMerge w:val="continue"/>
            <w:tcBorders>
              <w:tl2br w:val="nil"/>
              <w:tr2bl w:val="nil"/>
            </w:tcBorders>
            <w:vAlign w:val="center"/>
          </w:tcPr>
          <w:p w14:paraId="7911A92A">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50029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F8C99DD">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39A089B6">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28</w:t>
            </w:r>
          </w:p>
        </w:tc>
        <w:tc>
          <w:tcPr>
            <w:tcW w:w="2311" w:type="dxa"/>
            <w:tcBorders>
              <w:tl2br w:val="nil"/>
              <w:tr2bl w:val="nil"/>
            </w:tcBorders>
            <w:vAlign w:val="center"/>
          </w:tcPr>
          <w:p w14:paraId="6339C90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1，2-二氯苯</w:t>
            </w:r>
          </w:p>
        </w:tc>
        <w:tc>
          <w:tcPr>
            <w:tcW w:w="2066" w:type="dxa"/>
            <w:tcBorders>
              <w:tl2br w:val="nil"/>
              <w:tr2bl w:val="nil"/>
            </w:tcBorders>
            <w:vAlign w:val="center"/>
          </w:tcPr>
          <w:p w14:paraId="06E8F4E0">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560</w:t>
            </w:r>
          </w:p>
        </w:tc>
        <w:tc>
          <w:tcPr>
            <w:tcW w:w="2258" w:type="dxa"/>
            <w:vMerge w:val="continue"/>
            <w:tcBorders>
              <w:tl2br w:val="nil"/>
              <w:tr2bl w:val="nil"/>
            </w:tcBorders>
            <w:vAlign w:val="center"/>
          </w:tcPr>
          <w:p w14:paraId="4C6E9870">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6D155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8DECF9E">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69A0067D">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29</w:t>
            </w:r>
          </w:p>
        </w:tc>
        <w:tc>
          <w:tcPr>
            <w:tcW w:w="2311" w:type="dxa"/>
            <w:tcBorders>
              <w:tl2br w:val="nil"/>
              <w:tr2bl w:val="nil"/>
            </w:tcBorders>
            <w:vAlign w:val="center"/>
          </w:tcPr>
          <w:p w14:paraId="14F5A174">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1，4-二氯苯</w:t>
            </w:r>
          </w:p>
        </w:tc>
        <w:tc>
          <w:tcPr>
            <w:tcW w:w="2066" w:type="dxa"/>
            <w:tcBorders>
              <w:tl2br w:val="nil"/>
              <w:tr2bl w:val="nil"/>
            </w:tcBorders>
            <w:vAlign w:val="center"/>
          </w:tcPr>
          <w:p w14:paraId="1F2B93DE">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20</w:t>
            </w:r>
          </w:p>
        </w:tc>
        <w:tc>
          <w:tcPr>
            <w:tcW w:w="2258" w:type="dxa"/>
            <w:vMerge w:val="continue"/>
            <w:tcBorders>
              <w:tl2br w:val="nil"/>
              <w:tr2bl w:val="nil"/>
            </w:tcBorders>
            <w:vAlign w:val="center"/>
          </w:tcPr>
          <w:p w14:paraId="1D325F5F">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57A8C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A6D373F">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72DA7E6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30</w:t>
            </w:r>
          </w:p>
        </w:tc>
        <w:tc>
          <w:tcPr>
            <w:tcW w:w="2311" w:type="dxa"/>
            <w:tcBorders>
              <w:tl2br w:val="nil"/>
              <w:tr2bl w:val="nil"/>
            </w:tcBorders>
            <w:vAlign w:val="center"/>
          </w:tcPr>
          <w:p w14:paraId="034EF16E">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乙苯</w:t>
            </w:r>
          </w:p>
        </w:tc>
        <w:tc>
          <w:tcPr>
            <w:tcW w:w="2066" w:type="dxa"/>
            <w:tcBorders>
              <w:tl2br w:val="nil"/>
              <w:tr2bl w:val="nil"/>
            </w:tcBorders>
            <w:vAlign w:val="center"/>
          </w:tcPr>
          <w:p w14:paraId="3BB6360D">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28</w:t>
            </w:r>
          </w:p>
        </w:tc>
        <w:tc>
          <w:tcPr>
            <w:tcW w:w="2258" w:type="dxa"/>
            <w:vMerge w:val="continue"/>
            <w:tcBorders>
              <w:tl2br w:val="nil"/>
              <w:tr2bl w:val="nil"/>
            </w:tcBorders>
            <w:vAlign w:val="center"/>
          </w:tcPr>
          <w:p w14:paraId="516CE15B">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16148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2D32A7E">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0CF3F3C2">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31</w:t>
            </w:r>
          </w:p>
        </w:tc>
        <w:tc>
          <w:tcPr>
            <w:tcW w:w="2311" w:type="dxa"/>
            <w:tcBorders>
              <w:tl2br w:val="nil"/>
              <w:tr2bl w:val="nil"/>
            </w:tcBorders>
            <w:vAlign w:val="center"/>
          </w:tcPr>
          <w:p w14:paraId="0964F740">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苯乙烯</w:t>
            </w:r>
          </w:p>
        </w:tc>
        <w:tc>
          <w:tcPr>
            <w:tcW w:w="2066" w:type="dxa"/>
            <w:tcBorders>
              <w:tl2br w:val="nil"/>
              <w:tr2bl w:val="nil"/>
            </w:tcBorders>
            <w:vAlign w:val="center"/>
          </w:tcPr>
          <w:p w14:paraId="1C4BB4C1">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1290</w:t>
            </w:r>
          </w:p>
        </w:tc>
        <w:tc>
          <w:tcPr>
            <w:tcW w:w="2258" w:type="dxa"/>
            <w:vMerge w:val="continue"/>
            <w:tcBorders>
              <w:tl2br w:val="nil"/>
              <w:tr2bl w:val="nil"/>
            </w:tcBorders>
            <w:vAlign w:val="center"/>
          </w:tcPr>
          <w:p w14:paraId="3D44C072">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40251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292E384">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72E61BB6">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32</w:t>
            </w:r>
          </w:p>
        </w:tc>
        <w:tc>
          <w:tcPr>
            <w:tcW w:w="2311" w:type="dxa"/>
            <w:tcBorders>
              <w:tl2br w:val="nil"/>
              <w:tr2bl w:val="nil"/>
            </w:tcBorders>
            <w:vAlign w:val="center"/>
          </w:tcPr>
          <w:p w14:paraId="643CA6EC">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甲苯</w:t>
            </w:r>
          </w:p>
        </w:tc>
        <w:tc>
          <w:tcPr>
            <w:tcW w:w="2066" w:type="dxa"/>
            <w:tcBorders>
              <w:tl2br w:val="nil"/>
              <w:tr2bl w:val="nil"/>
            </w:tcBorders>
            <w:vAlign w:val="center"/>
          </w:tcPr>
          <w:p w14:paraId="082EACBF">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1200</w:t>
            </w:r>
          </w:p>
        </w:tc>
        <w:tc>
          <w:tcPr>
            <w:tcW w:w="2258" w:type="dxa"/>
            <w:vMerge w:val="continue"/>
            <w:tcBorders>
              <w:tl2br w:val="nil"/>
              <w:tr2bl w:val="nil"/>
            </w:tcBorders>
            <w:vAlign w:val="center"/>
          </w:tcPr>
          <w:p w14:paraId="2123F3BD">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79D1F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425ECF7B">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004C3C42">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33</w:t>
            </w:r>
          </w:p>
        </w:tc>
        <w:tc>
          <w:tcPr>
            <w:tcW w:w="2311" w:type="dxa"/>
            <w:tcBorders>
              <w:tl2br w:val="nil"/>
              <w:tr2bl w:val="nil"/>
            </w:tcBorders>
            <w:vAlign w:val="center"/>
          </w:tcPr>
          <w:p w14:paraId="50778CF7">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间二甲苯+对二甲苯</w:t>
            </w:r>
          </w:p>
        </w:tc>
        <w:tc>
          <w:tcPr>
            <w:tcW w:w="2066" w:type="dxa"/>
            <w:tcBorders>
              <w:tl2br w:val="nil"/>
              <w:tr2bl w:val="nil"/>
            </w:tcBorders>
            <w:vAlign w:val="center"/>
          </w:tcPr>
          <w:p w14:paraId="6B7FF84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570</w:t>
            </w:r>
          </w:p>
        </w:tc>
        <w:tc>
          <w:tcPr>
            <w:tcW w:w="2258" w:type="dxa"/>
            <w:vMerge w:val="continue"/>
            <w:tcBorders>
              <w:tl2br w:val="nil"/>
              <w:tr2bl w:val="nil"/>
            </w:tcBorders>
            <w:vAlign w:val="center"/>
          </w:tcPr>
          <w:p w14:paraId="23B1A158">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70463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B130F15">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6E5DB2D9">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34</w:t>
            </w:r>
          </w:p>
        </w:tc>
        <w:tc>
          <w:tcPr>
            <w:tcW w:w="2311" w:type="dxa"/>
            <w:tcBorders>
              <w:tl2br w:val="nil"/>
              <w:tr2bl w:val="nil"/>
            </w:tcBorders>
            <w:vAlign w:val="center"/>
          </w:tcPr>
          <w:p w14:paraId="68E721F2">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邻二甲苯</w:t>
            </w:r>
          </w:p>
        </w:tc>
        <w:tc>
          <w:tcPr>
            <w:tcW w:w="2066" w:type="dxa"/>
            <w:tcBorders>
              <w:tl2br w:val="nil"/>
              <w:tr2bl w:val="nil"/>
            </w:tcBorders>
            <w:vAlign w:val="center"/>
          </w:tcPr>
          <w:p w14:paraId="758AFC80">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640</w:t>
            </w:r>
          </w:p>
        </w:tc>
        <w:tc>
          <w:tcPr>
            <w:tcW w:w="2258" w:type="dxa"/>
            <w:vMerge w:val="continue"/>
            <w:tcBorders>
              <w:tl2br w:val="nil"/>
              <w:tr2bl w:val="nil"/>
            </w:tcBorders>
            <w:vAlign w:val="center"/>
          </w:tcPr>
          <w:p w14:paraId="73D9475B">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2CC89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62" w:type="dxa"/>
            <w:gridSpan w:val="5"/>
            <w:tcBorders>
              <w:tl2br w:val="nil"/>
              <w:tr2bl w:val="nil"/>
            </w:tcBorders>
            <w:vAlign w:val="center"/>
          </w:tcPr>
          <w:p w14:paraId="4D6CFFA9">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半挥发性有机物</w:t>
            </w:r>
          </w:p>
        </w:tc>
      </w:tr>
      <w:tr w14:paraId="704A4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restart"/>
            <w:tcBorders>
              <w:tl2br w:val="nil"/>
              <w:tr2bl w:val="nil"/>
            </w:tcBorders>
            <w:vAlign w:val="center"/>
          </w:tcPr>
          <w:p w14:paraId="3A043981">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第二类用地筛选值</w:t>
            </w:r>
          </w:p>
        </w:tc>
        <w:tc>
          <w:tcPr>
            <w:tcW w:w="669" w:type="dxa"/>
            <w:tcBorders>
              <w:tl2br w:val="nil"/>
              <w:tr2bl w:val="nil"/>
            </w:tcBorders>
            <w:vAlign w:val="center"/>
          </w:tcPr>
          <w:p w14:paraId="59FDBADF">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35</w:t>
            </w:r>
          </w:p>
        </w:tc>
        <w:tc>
          <w:tcPr>
            <w:tcW w:w="2311" w:type="dxa"/>
            <w:tcBorders>
              <w:tl2br w:val="nil"/>
              <w:tr2bl w:val="nil"/>
            </w:tcBorders>
            <w:vAlign w:val="center"/>
          </w:tcPr>
          <w:p w14:paraId="4F46A924">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硝基苯</w:t>
            </w:r>
          </w:p>
        </w:tc>
        <w:tc>
          <w:tcPr>
            <w:tcW w:w="2066" w:type="dxa"/>
            <w:tcBorders>
              <w:tl2br w:val="nil"/>
              <w:tr2bl w:val="nil"/>
            </w:tcBorders>
            <w:vAlign w:val="center"/>
          </w:tcPr>
          <w:p w14:paraId="41777A9B">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76</w:t>
            </w:r>
          </w:p>
        </w:tc>
        <w:tc>
          <w:tcPr>
            <w:tcW w:w="2258" w:type="dxa"/>
            <w:vMerge w:val="restart"/>
            <w:tcBorders>
              <w:tl2br w:val="nil"/>
              <w:tr2bl w:val="nil"/>
            </w:tcBorders>
            <w:vAlign w:val="center"/>
          </w:tcPr>
          <w:p w14:paraId="7351C5DC">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《土壤环境质量 建设用地土壤污染风险管控标准》（GB36600-2018）</w:t>
            </w:r>
          </w:p>
        </w:tc>
      </w:tr>
      <w:tr w14:paraId="37A1B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56596044">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003B5F7D">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36</w:t>
            </w:r>
          </w:p>
        </w:tc>
        <w:tc>
          <w:tcPr>
            <w:tcW w:w="2311" w:type="dxa"/>
            <w:tcBorders>
              <w:tl2br w:val="nil"/>
              <w:tr2bl w:val="nil"/>
            </w:tcBorders>
            <w:vAlign w:val="center"/>
          </w:tcPr>
          <w:p w14:paraId="40091D12">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苯胺</w:t>
            </w:r>
          </w:p>
        </w:tc>
        <w:tc>
          <w:tcPr>
            <w:tcW w:w="2066" w:type="dxa"/>
            <w:tcBorders>
              <w:tl2br w:val="nil"/>
              <w:tr2bl w:val="nil"/>
            </w:tcBorders>
            <w:vAlign w:val="center"/>
          </w:tcPr>
          <w:p w14:paraId="03E0A042">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260</w:t>
            </w:r>
          </w:p>
        </w:tc>
        <w:tc>
          <w:tcPr>
            <w:tcW w:w="2258" w:type="dxa"/>
            <w:vMerge w:val="continue"/>
            <w:tcBorders>
              <w:tl2br w:val="nil"/>
              <w:tr2bl w:val="nil"/>
            </w:tcBorders>
            <w:vAlign w:val="center"/>
          </w:tcPr>
          <w:p w14:paraId="4D18D6BA">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5650D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35268A4">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773A1B79">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37</w:t>
            </w:r>
          </w:p>
        </w:tc>
        <w:tc>
          <w:tcPr>
            <w:tcW w:w="2311" w:type="dxa"/>
            <w:tcBorders>
              <w:tl2br w:val="nil"/>
              <w:tr2bl w:val="nil"/>
            </w:tcBorders>
            <w:vAlign w:val="center"/>
          </w:tcPr>
          <w:p w14:paraId="0EE7228F">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2-氯酚</w:t>
            </w:r>
          </w:p>
        </w:tc>
        <w:tc>
          <w:tcPr>
            <w:tcW w:w="2066" w:type="dxa"/>
            <w:tcBorders>
              <w:tl2br w:val="nil"/>
              <w:tr2bl w:val="nil"/>
            </w:tcBorders>
            <w:vAlign w:val="center"/>
          </w:tcPr>
          <w:p w14:paraId="72DC7896">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2256</w:t>
            </w:r>
          </w:p>
        </w:tc>
        <w:tc>
          <w:tcPr>
            <w:tcW w:w="2258" w:type="dxa"/>
            <w:vMerge w:val="continue"/>
            <w:tcBorders>
              <w:tl2br w:val="nil"/>
              <w:tr2bl w:val="nil"/>
            </w:tcBorders>
            <w:vAlign w:val="center"/>
          </w:tcPr>
          <w:p w14:paraId="17C81272">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26966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95A7112">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77693315">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38</w:t>
            </w:r>
          </w:p>
        </w:tc>
        <w:tc>
          <w:tcPr>
            <w:tcW w:w="2311" w:type="dxa"/>
            <w:tcBorders>
              <w:tl2br w:val="nil"/>
              <w:tr2bl w:val="nil"/>
            </w:tcBorders>
            <w:vAlign w:val="center"/>
          </w:tcPr>
          <w:p w14:paraId="103A9A69">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苯并[a]蒽</w:t>
            </w:r>
          </w:p>
        </w:tc>
        <w:tc>
          <w:tcPr>
            <w:tcW w:w="2066" w:type="dxa"/>
            <w:tcBorders>
              <w:tl2br w:val="nil"/>
              <w:tr2bl w:val="nil"/>
            </w:tcBorders>
            <w:vAlign w:val="center"/>
          </w:tcPr>
          <w:p w14:paraId="6F638DA2">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15</w:t>
            </w:r>
          </w:p>
        </w:tc>
        <w:tc>
          <w:tcPr>
            <w:tcW w:w="2258" w:type="dxa"/>
            <w:vMerge w:val="continue"/>
            <w:tcBorders>
              <w:tl2br w:val="nil"/>
              <w:tr2bl w:val="nil"/>
            </w:tcBorders>
            <w:vAlign w:val="center"/>
          </w:tcPr>
          <w:p w14:paraId="094EBA6E">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53BA3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D5FF13F">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1259B199">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39</w:t>
            </w:r>
          </w:p>
        </w:tc>
        <w:tc>
          <w:tcPr>
            <w:tcW w:w="2311" w:type="dxa"/>
            <w:tcBorders>
              <w:tl2br w:val="nil"/>
              <w:tr2bl w:val="nil"/>
            </w:tcBorders>
            <w:vAlign w:val="center"/>
          </w:tcPr>
          <w:p w14:paraId="08A71442">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苯并[a]芘</w:t>
            </w:r>
          </w:p>
        </w:tc>
        <w:tc>
          <w:tcPr>
            <w:tcW w:w="2066" w:type="dxa"/>
            <w:tcBorders>
              <w:tl2br w:val="nil"/>
              <w:tr2bl w:val="nil"/>
            </w:tcBorders>
            <w:vAlign w:val="center"/>
          </w:tcPr>
          <w:p w14:paraId="28B299E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1.5</w:t>
            </w:r>
          </w:p>
        </w:tc>
        <w:tc>
          <w:tcPr>
            <w:tcW w:w="2258" w:type="dxa"/>
            <w:vMerge w:val="continue"/>
            <w:tcBorders>
              <w:tl2br w:val="nil"/>
              <w:tr2bl w:val="nil"/>
            </w:tcBorders>
            <w:vAlign w:val="center"/>
          </w:tcPr>
          <w:p w14:paraId="5D0E5AEE">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11305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F6B1369">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7924A3B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40</w:t>
            </w:r>
          </w:p>
        </w:tc>
        <w:tc>
          <w:tcPr>
            <w:tcW w:w="2311" w:type="dxa"/>
            <w:tcBorders>
              <w:tl2br w:val="nil"/>
              <w:tr2bl w:val="nil"/>
            </w:tcBorders>
            <w:vAlign w:val="center"/>
          </w:tcPr>
          <w:p w14:paraId="35B2D0A5">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苯并[b]荧蒽</w:t>
            </w:r>
          </w:p>
        </w:tc>
        <w:tc>
          <w:tcPr>
            <w:tcW w:w="2066" w:type="dxa"/>
            <w:tcBorders>
              <w:tl2br w:val="nil"/>
              <w:tr2bl w:val="nil"/>
            </w:tcBorders>
            <w:vAlign w:val="center"/>
          </w:tcPr>
          <w:p w14:paraId="03DF2B58">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15</w:t>
            </w:r>
          </w:p>
        </w:tc>
        <w:tc>
          <w:tcPr>
            <w:tcW w:w="2258" w:type="dxa"/>
            <w:vMerge w:val="continue"/>
            <w:tcBorders>
              <w:tl2br w:val="nil"/>
              <w:tr2bl w:val="nil"/>
            </w:tcBorders>
            <w:vAlign w:val="center"/>
          </w:tcPr>
          <w:p w14:paraId="509B0FFB">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37DA8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F3DDF55">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4467D3A9">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41</w:t>
            </w:r>
          </w:p>
        </w:tc>
        <w:tc>
          <w:tcPr>
            <w:tcW w:w="2311" w:type="dxa"/>
            <w:tcBorders>
              <w:tl2br w:val="nil"/>
              <w:tr2bl w:val="nil"/>
            </w:tcBorders>
            <w:vAlign w:val="center"/>
          </w:tcPr>
          <w:p w14:paraId="7861902D">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苯并[k]荧蒽</w:t>
            </w:r>
          </w:p>
        </w:tc>
        <w:tc>
          <w:tcPr>
            <w:tcW w:w="2066" w:type="dxa"/>
            <w:tcBorders>
              <w:tl2br w:val="nil"/>
              <w:tr2bl w:val="nil"/>
            </w:tcBorders>
            <w:vAlign w:val="center"/>
          </w:tcPr>
          <w:p w14:paraId="4CCA3FE2">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151</w:t>
            </w:r>
          </w:p>
        </w:tc>
        <w:tc>
          <w:tcPr>
            <w:tcW w:w="2258" w:type="dxa"/>
            <w:vMerge w:val="continue"/>
            <w:tcBorders>
              <w:tl2br w:val="nil"/>
              <w:tr2bl w:val="nil"/>
            </w:tcBorders>
            <w:vAlign w:val="center"/>
          </w:tcPr>
          <w:p w14:paraId="09A7D8FC">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02ACC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AC3686A">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31DFDCB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42</w:t>
            </w:r>
          </w:p>
        </w:tc>
        <w:tc>
          <w:tcPr>
            <w:tcW w:w="2311" w:type="dxa"/>
            <w:tcBorders>
              <w:tl2br w:val="nil"/>
              <w:tr2bl w:val="nil"/>
            </w:tcBorders>
            <w:vAlign w:val="center"/>
          </w:tcPr>
          <w:p w14:paraId="767C068F">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䓛</w:t>
            </w:r>
          </w:p>
        </w:tc>
        <w:tc>
          <w:tcPr>
            <w:tcW w:w="2066" w:type="dxa"/>
            <w:tcBorders>
              <w:tl2br w:val="nil"/>
              <w:tr2bl w:val="nil"/>
            </w:tcBorders>
            <w:vAlign w:val="center"/>
          </w:tcPr>
          <w:p w14:paraId="16F658DE">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1293</w:t>
            </w:r>
          </w:p>
        </w:tc>
        <w:tc>
          <w:tcPr>
            <w:tcW w:w="2258" w:type="dxa"/>
            <w:vMerge w:val="continue"/>
            <w:tcBorders>
              <w:tl2br w:val="nil"/>
              <w:tr2bl w:val="nil"/>
            </w:tcBorders>
            <w:vAlign w:val="center"/>
          </w:tcPr>
          <w:p w14:paraId="34A0D5C0">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13C9B5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D65B941">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7393BFB0">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43</w:t>
            </w:r>
          </w:p>
        </w:tc>
        <w:tc>
          <w:tcPr>
            <w:tcW w:w="2311" w:type="dxa"/>
            <w:tcBorders>
              <w:tl2br w:val="nil"/>
              <w:tr2bl w:val="nil"/>
            </w:tcBorders>
            <w:vAlign w:val="center"/>
          </w:tcPr>
          <w:p w14:paraId="2857E7BF">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二苯并[a，h]蒽</w:t>
            </w:r>
          </w:p>
        </w:tc>
        <w:tc>
          <w:tcPr>
            <w:tcW w:w="2066" w:type="dxa"/>
            <w:tcBorders>
              <w:tl2br w:val="nil"/>
              <w:tr2bl w:val="nil"/>
            </w:tcBorders>
            <w:vAlign w:val="center"/>
          </w:tcPr>
          <w:p w14:paraId="4A8DB88B">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1.5</w:t>
            </w:r>
          </w:p>
        </w:tc>
        <w:tc>
          <w:tcPr>
            <w:tcW w:w="2258" w:type="dxa"/>
            <w:vMerge w:val="continue"/>
            <w:tcBorders>
              <w:tl2br w:val="nil"/>
              <w:tr2bl w:val="nil"/>
            </w:tcBorders>
            <w:vAlign w:val="center"/>
          </w:tcPr>
          <w:p w14:paraId="06E9DE50">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4CCE9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4F1F04E4">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768FAF58">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44</w:t>
            </w:r>
          </w:p>
        </w:tc>
        <w:tc>
          <w:tcPr>
            <w:tcW w:w="2311" w:type="dxa"/>
            <w:tcBorders>
              <w:tl2br w:val="nil"/>
              <w:tr2bl w:val="nil"/>
            </w:tcBorders>
            <w:vAlign w:val="center"/>
          </w:tcPr>
          <w:p w14:paraId="3E1B9808">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茚并[1，2，3-cd]芘</w:t>
            </w:r>
          </w:p>
        </w:tc>
        <w:tc>
          <w:tcPr>
            <w:tcW w:w="2066" w:type="dxa"/>
            <w:tcBorders>
              <w:tl2br w:val="nil"/>
              <w:tr2bl w:val="nil"/>
            </w:tcBorders>
            <w:vAlign w:val="center"/>
          </w:tcPr>
          <w:p w14:paraId="6BEA91F7">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15</w:t>
            </w:r>
          </w:p>
        </w:tc>
        <w:tc>
          <w:tcPr>
            <w:tcW w:w="2258" w:type="dxa"/>
            <w:vMerge w:val="continue"/>
            <w:tcBorders>
              <w:tl2br w:val="nil"/>
              <w:tr2bl w:val="nil"/>
            </w:tcBorders>
            <w:vAlign w:val="center"/>
          </w:tcPr>
          <w:p w14:paraId="4CA94C07">
            <w:pPr>
              <w:spacing w:line="360" w:lineRule="atLeast"/>
              <w:ind w:firstLine="0" w:firstLineChars="0"/>
              <w:jc w:val="center"/>
              <w:rPr>
                <w:bCs/>
                <w:color w:val="000000" w:themeColor="text1"/>
                <w:sz w:val="21"/>
                <w:szCs w:val="21"/>
                <w:highlight w:val="none"/>
                <w14:textFill>
                  <w14:solidFill>
                    <w14:schemeClr w14:val="tx1"/>
                  </w14:solidFill>
                </w14:textFill>
              </w:rPr>
            </w:pPr>
          </w:p>
        </w:tc>
      </w:tr>
      <w:tr w14:paraId="393DA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741B99D">
            <w:pPr>
              <w:spacing w:line="360" w:lineRule="atLeast"/>
              <w:ind w:firstLine="0" w:firstLineChars="0"/>
              <w:jc w:val="center"/>
              <w:rPr>
                <w:bCs/>
                <w:color w:val="000000" w:themeColor="text1"/>
                <w:sz w:val="21"/>
                <w:szCs w:val="21"/>
                <w:highlight w:val="none"/>
                <w14:textFill>
                  <w14:solidFill>
                    <w14:schemeClr w14:val="tx1"/>
                  </w14:solidFill>
                </w14:textFill>
              </w:rPr>
            </w:pPr>
          </w:p>
        </w:tc>
        <w:tc>
          <w:tcPr>
            <w:tcW w:w="669" w:type="dxa"/>
            <w:tcBorders>
              <w:tl2br w:val="nil"/>
              <w:tr2bl w:val="nil"/>
            </w:tcBorders>
            <w:vAlign w:val="center"/>
          </w:tcPr>
          <w:p w14:paraId="268F608A">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45</w:t>
            </w:r>
          </w:p>
        </w:tc>
        <w:tc>
          <w:tcPr>
            <w:tcW w:w="2311" w:type="dxa"/>
            <w:tcBorders>
              <w:tl2br w:val="nil"/>
              <w:tr2bl w:val="nil"/>
            </w:tcBorders>
            <w:vAlign w:val="center"/>
          </w:tcPr>
          <w:p w14:paraId="04AAE3B3">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萘</w:t>
            </w:r>
          </w:p>
        </w:tc>
        <w:tc>
          <w:tcPr>
            <w:tcW w:w="2066" w:type="dxa"/>
            <w:tcBorders>
              <w:tl2br w:val="nil"/>
              <w:tr2bl w:val="nil"/>
            </w:tcBorders>
            <w:vAlign w:val="center"/>
          </w:tcPr>
          <w:p w14:paraId="6A33642E">
            <w:pPr>
              <w:spacing w:line="360" w:lineRule="atLeas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70</w:t>
            </w:r>
          </w:p>
        </w:tc>
        <w:tc>
          <w:tcPr>
            <w:tcW w:w="2258" w:type="dxa"/>
            <w:vMerge w:val="continue"/>
            <w:tcBorders>
              <w:tl2br w:val="nil"/>
              <w:tr2bl w:val="nil"/>
            </w:tcBorders>
            <w:vAlign w:val="center"/>
          </w:tcPr>
          <w:p w14:paraId="75E2CB20">
            <w:pPr>
              <w:spacing w:line="360" w:lineRule="atLeast"/>
              <w:ind w:firstLine="0" w:firstLineChars="0"/>
              <w:jc w:val="center"/>
              <w:rPr>
                <w:bCs/>
                <w:color w:val="000000" w:themeColor="text1"/>
                <w:sz w:val="21"/>
                <w:szCs w:val="21"/>
                <w:highlight w:val="none"/>
                <w14:textFill>
                  <w14:solidFill>
                    <w14:schemeClr w14:val="tx1"/>
                  </w14:solidFill>
                </w14:textFill>
              </w:rPr>
            </w:pPr>
          </w:p>
        </w:tc>
      </w:tr>
    </w:tbl>
    <w:p w14:paraId="671EB586">
      <w:pPr>
        <w:pStyle w:val="5"/>
        <w:tabs>
          <w:tab w:val="left" w:pos="2041"/>
          <w:tab w:val="left" w:pos="3402"/>
        </w:tabs>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.2污染物排放标准</w:t>
      </w:r>
    </w:p>
    <w:p w14:paraId="54D22E91">
      <w:pPr>
        <w:pStyle w:val="55"/>
        <w:overflowPunct w:val="0"/>
        <w:topLinePunct/>
        <w:adjustRightInd/>
        <w:ind w:firstLine="476" w:firstLineChars="200"/>
        <w:rPr>
          <w:color w:val="000000" w:themeColor="text1"/>
          <w:spacing w:val="-1"/>
          <w:highlight w:val="none"/>
          <w14:textFill>
            <w14:solidFill>
              <w14:schemeClr w14:val="tx1"/>
            </w14:solidFill>
          </w14:textFill>
        </w:rPr>
      </w:pPr>
      <w:r>
        <w:rPr>
          <w:color w:val="000000" w:themeColor="text1"/>
          <w:spacing w:val="-1"/>
          <w:highlight w:val="none"/>
          <w14:textFill>
            <w14:solidFill>
              <w14:schemeClr w14:val="tx1"/>
            </w14:solidFill>
          </w14:textFill>
        </w:rPr>
        <w:t>（1）废气</w:t>
      </w:r>
    </w:p>
    <w:p w14:paraId="1DD6AFC7">
      <w:pPr>
        <w:overflowPunct w:val="0"/>
        <w:topLinePunct/>
        <w:ind w:firstLine="47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施工期产生的无组织粉尘有关标准限值见表2.5-</w:t>
      </w:r>
      <w:r>
        <w:rPr>
          <w:rFonts w:hint="eastAsia"/>
          <w:color w:val="000000" w:themeColor="text1"/>
          <w:spacing w:val="-1"/>
          <w:highlight w:val="none"/>
          <w:lang w:val="en-US" w:eastAsia="zh-CN"/>
          <w14:textFill>
            <w14:solidFill>
              <w14:schemeClr w14:val="tx1"/>
            </w14:solidFill>
          </w14:textFill>
        </w:rPr>
        <w:t>5</w:t>
      </w:r>
      <w:r>
        <w:rPr>
          <w:color w:val="000000" w:themeColor="text1"/>
          <w:spacing w:val="-1"/>
          <w:highlight w:val="none"/>
          <w14:textFill>
            <w14:solidFill>
              <w14:schemeClr w14:val="tx1"/>
            </w14:solidFill>
          </w14:textFill>
        </w:rPr>
        <w:t>。</w:t>
      </w:r>
    </w:p>
    <w:p w14:paraId="31289D12">
      <w:pPr>
        <w:ind w:firstLine="0" w:firstLineChars="0"/>
        <w:jc w:val="center"/>
        <w:rPr>
          <w:color w:val="000000" w:themeColor="text1"/>
          <w:highlight w:val="none"/>
          <w14:textFill>
            <w14:solidFill>
              <w14:schemeClr w14:val="tx1"/>
            </w14:solidFill>
          </w14:textFill>
        </w:rPr>
      </w:pPr>
      <w:r>
        <w:rPr>
          <w:b/>
          <w:bCs/>
          <w:color w:val="000000" w:themeColor="text1"/>
          <w:kern w:val="0"/>
          <w:highlight w:val="none"/>
          <w14:textFill>
            <w14:solidFill>
              <w14:schemeClr w14:val="tx1"/>
            </w14:solidFill>
          </w14:textFill>
        </w:rPr>
        <w:t>表2.5-</w:t>
      </w:r>
      <w:r>
        <w:rPr>
          <w:rFonts w:hint="eastAsia"/>
          <w:b/>
          <w:bCs/>
          <w:color w:val="000000" w:themeColor="text1"/>
          <w:kern w:val="0"/>
          <w:highlight w:val="none"/>
          <w:lang w:val="en-US" w:eastAsia="zh-CN"/>
          <w14:textFill>
            <w14:solidFill>
              <w14:schemeClr w14:val="tx1"/>
            </w14:solidFill>
          </w14:textFill>
        </w:rPr>
        <w:t>5</w:t>
      </w:r>
      <w:r>
        <w:rPr>
          <w:b/>
          <w:bCs/>
          <w:color w:val="000000" w:themeColor="text1"/>
          <w:kern w:val="0"/>
          <w:highlight w:val="none"/>
          <w14:textFill>
            <w14:solidFill>
              <w14:schemeClr w14:val="tx1"/>
            </w14:solidFill>
          </w14:textFill>
        </w:rPr>
        <w:t xml:space="preserve">    大气污染物综合排放标准</w:t>
      </w:r>
      <w:r>
        <w:rPr>
          <w:b/>
          <w:color w:val="000000" w:themeColor="text1"/>
          <w:kern w:val="0"/>
          <w:highlight w:val="none"/>
          <w14:textFill>
            <w14:solidFill>
              <w14:schemeClr w14:val="tx1"/>
            </w14:solidFill>
          </w14:textFill>
        </w:rPr>
        <w:t xml:space="preserve">    单位：</w:t>
      </w:r>
      <w:r>
        <w:rPr>
          <w:color w:val="000000" w:themeColor="text1"/>
          <w:kern w:val="0"/>
          <w:highlight w:val="none"/>
          <w:lang w:val="zh-CN"/>
          <w14:textFill>
            <w14:solidFill>
              <w14:schemeClr w14:val="tx1"/>
            </w14:solidFill>
          </w14:textFill>
        </w:rPr>
        <w:t>mg/m</w:t>
      </w:r>
      <w:r>
        <w:rPr>
          <w:color w:val="000000" w:themeColor="text1"/>
          <w:kern w:val="0"/>
          <w:highlight w:val="none"/>
          <w:vertAlign w:val="superscript"/>
          <w:lang w:val="zh-CN"/>
          <w14:textFill>
            <w14:solidFill>
              <w14:schemeClr w14:val="tx1"/>
            </w14:solidFill>
          </w14:textFill>
        </w:rPr>
        <w:t>3</w:t>
      </w:r>
    </w:p>
    <w:tbl>
      <w:tblPr>
        <w:tblStyle w:val="32"/>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280"/>
        <w:gridCol w:w="2161"/>
        <w:gridCol w:w="4162"/>
      </w:tblGrid>
      <w:tr w14:paraId="11953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916" w:type="dxa"/>
            <w:tcBorders>
              <w:tl2br w:val="nil"/>
              <w:tr2bl w:val="nil"/>
            </w:tcBorders>
            <w:vAlign w:val="center"/>
          </w:tcPr>
          <w:p w14:paraId="2049379D">
            <w:pPr>
              <w:spacing w:line="360" w:lineRule="atLeast"/>
              <w:ind w:firstLine="0" w:firstLineChars="0"/>
              <w:jc w:val="center"/>
              <w:rPr>
                <w:b/>
                <w:bCs/>
                <w:color w:val="000000" w:themeColor="text1"/>
                <w:kern w:val="0"/>
                <w:sz w:val="21"/>
                <w:szCs w:val="21"/>
                <w:highlight w:val="none"/>
                <w:lang w:val="zh-CN"/>
                <w14:textFill>
                  <w14:solidFill>
                    <w14:schemeClr w14:val="tx1"/>
                  </w14:solidFill>
                </w14:textFill>
              </w:rPr>
            </w:pPr>
            <w:r>
              <w:rPr>
                <w:b/>
                <w:bCs/>
                <w:color w:val="000000" w:themeColor="text1"/>
                <w:kern w:val="0"/>
                <w:sz w:val="21"/>
                <w:szCs w:val="21"/>
                <w:highlight w:val="none"/>
                <w:lang w:val="zh-CN"/>
                <w14:textFill>
                  <w14:solidFill>
                    <w14:schemeClr w14:val="tx1"/>
                  </w14:solidFill>
                </w14:textFill>
              </w:rPr>
              <w:t>污染源</w:t>
            </w:r>
          </w:p>
        </w:tc>
        <w:tc>
          <w:tcPr>
            <w:tcW w:w="1280" w:type="dxa"/>
            <w:tcBorders>
              <w:tl2br w:val="nil"/>
              <w:tr2bl w:val="nil"/>
            </w:tcBorders>
            <w:vAlign w:val="center"/>
          </w:tcPr>
          <w:p w14:paraId="07B9E3A0">
            <w:pPr>
              <w:spacing w:line="360" w:lineRule="atLeast"/>
              <w:ind w:firstLine="0" w:firstLineChars="0"/>
              <w:jc w:val="center"/>
              <w:rPr>
                <w:b/>
                <w:bCs/>
                <w:color w:val="000000" w:themeColor="text1"/>
                <w:kern w:val="0"/>
                <w:sz w:val="21"/>
                <w:szCs w:val="21"/>
                <w:highlight w:val="none"/>
                <w:lang w:val="zh-CN"/>
                <w14:textFill>
                  <w14:solidFill>
                    <w14:schemeClr w14:val="tx1"/>
                  </w14:solidFill>
                </w14:textFill>
              </w:rPr>
            </w:pPr>
            <w:r>
              <w:rPr>
                <w:b/>
                <w:bCs/>
                <w:color w:val="000000" w:themeColor="text1"/>
                <w:kern w:val="0"/>
                <w:sz w:val="21"/>
                <w:szCs w:val="21"/>
                <w:highlight w:val="none"/>
                <w:lang w:val="zh-CN"/>
                <w14:textFill>
                  <w14:solidFill>
                    <w14:schemeClr w14:val="tx1"/>
                  </w14:solidFill>
                </w14:textFill>
              </w:rPr>
              <w:t>污染物类型</w:t>
            </w:r>
          </w:p>
        </w:tc>
        <w:tc>
          <w:tcPr>
            <w:tcW w:w="2161" w:type="dxa"/>
            <w:tcBorders>
              <w:tl2br w:val="nil"/>
              <w:tr2bl w:val="nil"/>
            </w:tcBorders>
            <w:vAlign w:val="center"/>
          </w:tcPr>
          <w:p w14:paraId="0FEB57B2">
            <w:pPr>
              <w:spacing w:line="360" w:lineRule="atLeast"/>
              <w:ind w:firstLine="0" w:firstLineChars="0"/>
              <w:jc w:val="center"/>
              <w:rPr>
                <w:b/>
                <w:bCs/>
                <w:color w:val="000000" w:themeColor="text1"/>
                <w:kern w:val="0"/>
                <w:sz w:val="21"/>
                <w:szCs w:val="21"/>
                <w:highlight w:val="none"/>
                <w:lang w:val="zh-CN"/>
                <w14:textFill>
                  <w14:solidFill>
                    <w14:schemeClr w14:val="tx1"/>
                  </w14:solidFill>
                </w14:textFill>
              </w:rPr>
            </w:pPr>
            <w:r>
              <w:rPr>
                <w:b/>
                <w:bCs/>
                <w:color w:val="000000" w:themeColor="text1"/>
                <w:sz w:val="21"/>
                <w:szCs w:val="21"/>
                <w:highlight w:val="none"/>
                <w14:textFill>
                  <w14:solidFill>
                    <w14:schemeClr w14:val="tx1"/>
                  </w14:solidFill>
                </w14:textFill>
              </w:rPr>
              <w:t>污染物排放浓度限值</w:t>
            </w:r>
          </w:p>
        </w:tc>
        <w:tc>
          <w:tcPr>
            <w:tcW w:w="4162" w:type="dxa"/>
            <w:tcBorders>
              <w:tl2br w:val="nil"/>
              <w:tr2bl w:val="nil"/>
            </w:tcBorders>
            <w:vAlign w:val="center"/>
          </w:tcPr>
          <w:p w14:paraId="053EC5E7">
            <w:pPr>
              <w:spacing w:line="360" w:lineRule="atLeast"/>
              <w:ind w:firstLine="0" w:firstLineChars="0"/>
              <w:jc w:val="center"/>
              <w:rPr>
                <w:b/>
                <w:bCs/>
                <w:color w:val="000000" w:themeColor="text1"/>
                <w:kern w:val="0"/>
                <w:sz w:val="21"/>
                <w:szCs w:val="21"/>
                <w:highlight w:val="none"/>
                <w:lang w:val="zh-CN"/>
                <w14:textFill>
                  <w14:solidFill>
                    <w14:schemeClr w14:val="tx1"/>
                  </w14:solidFill>
                </w14:textFill>
              </w:rPr>
            </w:pPr>
            <w:r>
              <w:rPr>
                <w:b/>
                <w:bCs/>
                <w:color w:val="000000" w:themeColor="text1"/>
                <w:sz w:val="21"/>
                <w:szCs w:val="21"/>
                <w:highlight w:val="none"/>
                <w14:textFill>
                  <w14:solidFill>
                    <w14:schemeClr w14:val="tx1"/>
                  </w14:solidFill>
                </w14:textFill>
              </w:rPr>
              <w:t>标准来源</w:t>
            </w:r>
          </w:p>
        </w:tc>
      </w:tr>
      <w:tr w14:paraId="448D4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916" w:type="dxa"/>
            <w:tcBorders>
              <w:tl2br w:val="nil"/>
              <w:tr2bl w:val="nil"/>
            </w:tcBorders>
            <w:vAlign w:val="center"/>
          </w:tcPr>
          <w:p w14:paraId="37E9BCA2">
            <w:pPr>
              <w:spacing w:line="360" w:lineRule="atLeas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无组织</w:t>
            </w:r>
          </w:p>
        </w:tc>
        <w:tc>
          <w:tcPr>
            <w:tcW w:w="1280" w:type="dxa"/>
            <w:tcBorders>
              <w:tl2br w:val="nil"/>
              <w:tr2bl w:val="nil"/>
            </w:tcBorders>
            <w:vAlign w:val="center"/>
          </w:tcPr>
          <w:p w14:paraId="6BBCAAD6">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颗粒物</w:t>
            </w:r>
          </w:p>
        </w:tc>
        <w:tc>
          <w:tcPr>
            <w:tcW w:w="2161" w:type="dxa"/>
            <w:tcBorders>
              <w:tl2br w:val="nil"/>
              <w:tr2bl w:val="nil"/>
            </w:tcBorders>
            <w:vAlign w:val="center"/>
          </w:tcPr>
          <w:p w14:paraId="5224D480">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r>
              <w:rPr>
                <w:color w:val="000000" w:themeColor="text1"/>
                <w:kern w:val="0"/>
                <w:sz w:val="21"/>
                <w:szCs w:val="21"/>
                <w:highlight w:val="none"/>
                <w:lang w:val="zh-CN"/>
                <w14:textFill>
                  <w14:solidFill>
                    <w14:schemeClr w14:val="tx1"/>
                  </w14:solidFill>
                </w14:textFill>
              </w:rPr>
              <w:t>mg/m</w:t>
            </w:r>
            <w:r>
              <w:rPr>
                <w:color w:val="000000" w:themeColor="text1"/>
                <w:kern w:val="0"/>
                <w:sz w:val="21"/>
                <w:szCs w:val="21"/>
                <w:highlight w:val="none"/>
                <w:vertAlign w:val="superscript"/>
                <w:lang w:val="zh-CN"/>
                <w14:textFill>
                  <w14:solidFill>
                    <w14:schemeClr w14:val="tx1"/>
                  </w14:solidFill>
                </w14:textFill>
              </w:rPr>
              <w:t>3</w:t>
            </w:r>
          </w:p>
        </w:tc>
        <w:tc>
          <w:tcPr>
            <w:tcW w:w="4162" w:type="dxa"/>
            <w:tcBorders>
              <w:tl2br w:val="nil"/>
              <w:tr2bl w:val="nil"/>
            </w:tcBorders>
            <w:vAlign w:val="center"/>
          </w:tcPr>
          <w:p w14:paraId="6365A485">
            <w:pPr>
              <w:spacing w:line="360" w:lineRule="atLeast"/>
              <w:ind w:firstLine="0" w:firstLineChars="0"/>
              <w:jc w:val="center"/>
              <w:rPr>
                <w:color w:val="000000" w:themeColor="text1"/>
                <w:sz w:val="21"/>
                <w:szCs w:val="21"/>
                <w:highlight w:val="none"/>
                <w14:textFill>
                  <w14:solidFill>
                    <w14:schemeClr w14:val="tx1"/>
                  </w14:solidFill>
                </w14:textFill>
              </w:rPr>
            </w:pPr>
            <w:r>
              <w:rPr>
                <w:color w:val="000000" w:themeColor="text1"/>
                <w:spacing w:val="-6"/>
                <w:sz w:val="21"/>
                <w:szCs w:val="21"/>
                <w:highlight w:val="none"/>
                <w14:textFill>
                  <w14:solidFill>
                    <w14:schemeClr w14:val="tx1"/>
                  </w14:solidFill>
                </w14:textFill>
              </w:rPr>
              <w:t>《大气污染物综合排放标准》</w:t>
            </w:r>
            <w:r>
              <w:rPr>
                <w:rFonts w:hint="eastAsia"/>
                <w:color w:val="000000" w:themeColor="text1"/>
                <w:spacing w:val="-6"/>
                <w:sz w:val="21"/>
                <w:szCs w:val="21"/>
                <w:highlight w:val="none"/>
                <w14:textFill>
                  <w14:solidFill>
                    <w14:schemeClr w14:val="tx1"/>
                  </w14:solidFill>
                </w14:textFill>
              </w:rPr>
              <w:t>（</w:t>
            </w:r>
            <w:r>
              <w:rPr>
                <w:color w:val="000000" w:themeColor="text1"/>
                <w:spacing w:val="-6"/>
                <w:sz w:val="21"/>
                <w:szCs w:val="21"/>
                <w:highlight w:val="none"/>
                <w14:textFill>
                  <w14:solidFill>
                    <w14:schemeClr w14:val="tx1"/>
                  </w14:solidFill>
                </w14:textFill>
              </w:rPr>
              <w:t>GB16297-1996</w:t>
            </w:r>
            <w:r>
              <w:rPr>
                <w:rFonts w:hint="eastAsia"/>
                <w:color w:val="000000" w:themeColor="text1"/>
                <w:spacing w:val="-6"/>
                <w:sz w:val="21"/>
                <w:szCs w:val="21"/>
                <w:highlight w:val="none"/>
                <w14:textFill>
                  <w14:solidFill>
                    <w14:schemeClr w14:val="tx1"/>
                  </w14:solidFill>
                </w14:textFill>
              </w:rPr>
              <w:t>）</w:t>
            </w:r>
          </w:p>
        </w:tc>
      </w:tr>
    </w:tbl>
    <w:p w14:paraId="211917C2">
      <w:pPr>
        <w:pStyle w:val="55"/>
        <w:overflowPunct w:val="0"/>
        <w:topLinePunct/>
        <w:adjustRightInd/>
        <w:ind w:firstLine="476" w:firstLineChars="200"/>
        <w:rPr>
          <w:color w:val="000000" w:themeColor="text1"/>
          <w:spacing w:val="-1"/>
          <w:highlight w:val="none"/>
          <w14:textFill>
            <w14:solidFill>
              <w14:schemeClr w14:val="tx1"/>
            </w14:solidFill>
          </w14:textFill>
        </w:rPr>
      </w:pPr>
      <w:r>
        <w:rPr>
          <w:rFonts w:hint="eastAsia"/>
          <w:color w:val="000000" w:themeColor="text1"/>
          <w:spacing w:val="-1"/>
          <w:highlight w:val="none"/>
          <w14:textFill>
            <w14:solidFill>
              <w14:schemeClr w14:val="tx1"/>
            </w14:solidFill>
          </w14:textFill>
        </w:rPr>
        <w:t>本项目</w:t>
      </w:r>
      <w:r>
        <w:rPr>
          <w:rFonts w:hint="eastAsia"/>
          <w:color w:val="000000" w:themeColor="text1"/>
          <w:spacing w:val="-1"/>
          <w:highlight w:val="none"/>
          <w:lang w:eastAsia="zh-CN"/>
          <w14:textFill>
            <w14:solidFill>
              <w14:schemeClr w14:val="tx1"/>
            </w14:solidFill>
          </w14:textFill>
        </w:rPr>
        <w:t>选矿厂、尾矿库</w:t>
      </w:r>
      <w:r>
        <w:rPr>
          <w:rFonts w:hint="eastAsia"/>
          <w:color w:val="000000" w:themeColor="text1"/>
          <w:spacing w:val="-1"/>
          <w:highlight w:val="none"/>
          <w14:textFill>
            <w14:solidFill>
              <w14:schemeClr w14:val="tx1"/>
            </w14:solidFill>
          </w14:textFill>
        </w:rPr>
        <w:t>运营期废气</w:t>
      </w:r>
      <w:r>
        <w:rPr>
          <w:rFonts w:hint="eastAsia"/>
          <w:color w:val="000000" w:themeColor="text1"/>
          <w:spacing w:val="-1"/>
          <w:highlight w:val="none"/>
          <w:lang w:eastAsia="zh-CN"/>
          <w14:textFill>
            <w14:solidFill>
              <w14:schemeClr w14:val="tx1"/>
            </w14:solidFill>
          </w14:textFill>
        </w:rPr>
        <w:t>执行《铁矿采选工业污染物排放标准》（GB28661-2012），具体</w:t>
      </w:r>
      <w:r>
        <w:rPr>
          <w:color w:val="000000" w:themeColor="text1"/>
          <w:spacing w:val="-1"/>
          <w:highlight w:val="none"/>
          <w14:textFill>
            <w14:solidFill>
              <w14:schemeClr w14:val="tx1"/>
            </w14:solidFill>
          </w14:textFill>
        </w:rPr>
        <w:t>标准限值见表2.5-</w:t>
      </w:r>
      <w:r>
        <w:rPr>
          <w:rFonts w:hint="eastAsia"/>
          <w:color w:val="000000" w:themeColor="text1"/>
          <w:spacing w:val="-1"/>
          <w:highlight w:val="none"/>
          <w:lang w:val="en-US" w:eastAsia="zh-CN"/>
          <w14:textFill>
            <w14:solidFill>
              <w14:schemeClr w14:val="tx1"/>
            </w14:solidFill>
          </w14:textFill>
        </w:rPr>
        <w:t>6</w:t>
      </w:r>
      <w:r>
        <w:rPr>
          <w:color w:val="000000" w:themeColor="text1"/>
          <w:spacing w:val="-1"/>
          <w:highlight w:val="none"/>
          <w14:textFill>
            <w14:solidFill>
              <w14:schemeClr w14:val="tx1"/>
            </w14:solidFill>
          </w14:textFill>
        </w:rPr>
        <w:t>。</w:t>
      </w:r>
    </w:p>
    <w:p w14:paraId="7E92E87F">
      <w:pPr>
        <w:ind w:firstLine="0" w:firstLineChars="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表2.5-</w:t>
      </w:r>
      <w:r>
        <w:rPr>
          <w:rFonts w:hint="eastAsia"/>
          <w:b/>
          <w:color w:val="000000" w:themeColor="text1"/>
          <w:highlight w:val="none"/>
          <w:lang w:val="en-US" w:eastAsia="zh-CN"/>
          <w14:textFill>
            <w14:solidFill>
              <w14:schemeClr w14:val="tx1"/>
            </w14:solidFill>
          </w14:textFill>
        </w:rPr>
        <w:t>6</w:t>
      </w:r>
      <w:r>
        <w:rPr>
          <w:b/>
          <w:color w:val="000000" w:themeColor="text1"/>
          <w:highlight w:val="none"/>
          <w14:textFill>
            <w14:solidFill>
              <w14:schemeClr w14:val="tx1"/>
            </w14:solidFill>
          </w14:textFill>
        </w:rPr>
        <w:t xml:space="preserve">    </w:t>
      </w:r>
      <w:r>
        <w:rPr>
          <w:b/>
          <w:color w:val="000000" w:themeColor="text1"/>
          <w:kern w:val="0"/>
          <w:highlight w:val="none"/>
          <w14:textFill>
            <w14:solidFill>
              <w14:schemeClr w14:val="tx1"/>
            </w14:solidFill>
          </w14:textFill>
        </w:rPr>
        <w:t>铁矿采选工业大气污染物排放标准</w:t>
      </w:r>
    </w:p>
    <w:tbl>
      <w:tblPr>
        <w:tblStyle w:val="32"/>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574"/>
        <w:gridCol w:w="2167"/>
        <w:gridCol w:w="3462"/>
      </w:tblGrid>
      <w:tr w14:paraId="6E6D7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16" w:type="dxa"/>
            <w:tcBorders>
              <w:tl2br w:val="nil"/>
              <w:tr2bl w:val="nil"/>
            </w:tcBorders>
            <w:vAlign w:val="center"/>
          </w:tcPr>
          <w:p w14:paraId="2310ECEB">
            <w:pPr>
              <w:spacing w:line="360" w:lineRule="atLeast"/>
              <w:ind w:firstLine="0" w:firstLineChars="0"/>
              <w:jc w:val="center"/>
              <w:rPr>
                <w:b/>
                <w:bCs/>
                <w:color w:val="000000" w:themeColor="text1"/>
                <w:kern w:val="0"/>
                <w:sz w:val="21"/>
                <w:szCs w:val="21"/>
                <w:highlight w:val="none"/>
                <w:lang w:val="zh-CN"/>
                <w14:textFill>
                  <w14:solidFill>
                    <w14:schemeClr w14:val="tx1"/>
                  </w14:solidFill>
                </w14:textFill>
              </w:rPr>
            </w:pPr>
            <w:r>
              <w:rPr>
                <w:b/>
                <w:bCs/>
                <w:color w:val="000000" w:themeColor="text1"/>
                <w:kern w:val="0"/>
                <w:sz w:val="21"/>
                <w:szCs w:val="21"/>
                <w:highlight w:val="none"/>
                <w:lang w:val="zh-CN"/>
                <w14:textFill>
                  <w14:solidFill>
                    <w14:schemeClr w14:val="tx1"/>
                  </w14:solidFill>
                </w14:textFill>
              </w:rPr>
              <w:t>污染源</w:t>
            </w:r>
          </w:p>
        </w:tc>
        <w:tc>
          <w:tcPr>
            <w:tcW w:w="1574" w:type="dxa"/>
            <w:tcBorders>
              <w:tl2br w:val="nil"/>
              <w:tr2bl w:val="nil"/>
            </w:tcBorders>
            <w:vAlign w:val="center"/>
          </w:tcPr>
          <w:p w14:paraId="3979A2B6">
            <w:pPr>
              <w:spacing w:line="360" w:lineRule="atLeast"/>
              <w:ind w:firstLine="0" w:firstLineChars="0"/>
              <w:jc w:val="center"/>
              <w:rPr>
                <w:b/>
                <w:bCs/>
                <w:color w:val="000000" w:themeColor="text1"/>
                <w:kern w:val="0"/>
                <w:sz w:val="21"/>
                <w:szCs w:val="21"/>
                <w:highlight w:val="none"/>
                <w:lang w:val="zh-CN"/>
                <w14:textFill>
                  <w14:solidFill>
                    <w14:schemeClr w14:val="tx1"/>
                  </w14:solidFill>
                </w14:textFill>
              </w:rPr>
            </w:pPr>
            <w:r>
              <w:rPr>
                <w:b/>
                <w:bCs/>
                <w:color w:val="000000" w:themeColor="text1"/>
                <w:kern w:val="0"/>
                <w:sz w:val="21"/>
                <w:szCs w:val="21"/>
                <w:highlight w:val="none"/>
                <w:lang w:val="zh-CN"/>
                <w14:textFill>
                  <w14:solidFill>
                    <w14:schemeClr w14:val="tx1"/>
                  </w14:solidFill>
                </w14:textFill>
              </w:rPr>
              <w:t>污染物类型</w:t>
            </w:r>
          </w:p>
        </w:tc>
        <w:tc>
          <w:tcPr>
            <w:tcW w:w="2167" w:type="dxa"/>
            <w:tcBorders>
              <w:tl2br w:val="nil"/>
              <w:tr2bl w:val="nil"/>
            </w:tcBorders>
            <w:vAlign w:val="center"/>
          </w:tcPr>
          <w:p w14:paraId="0A3C2ED8">
            <w:pPr>
              <w:spacing w:line="360" w:lineRule="atLeast"/>
              <w:ind w:firstLine="0" w:firstLineChars="0"/>
              <w:jc w:val="center"/>
              <w:rPr>
                <w:b/>
                <w:bCs/>
                <w:color w:val="000000" w:themeColor="text1"/>
                <w:kern w:val="0"/>
                <w:sz w:val="21"/>
                <w:szCs w:val="21"/>
                <w:highlight w:val="none"/>
                <w:lang w:val="zh-CN"/>
                <w14:textFill>
                  <w14:solidFill>
                    <w14:schemeClr w14:val="tx1"/>
                  </w14:solidFill>
                </w14:textFill>
              </w:rPr>
            </w:pPr>
            <w:r>
              <w:rPr>
                <w:b/>
                <w:bCs/>
                <w:color w:val="000000" w:themeColor="text1"/>
                <w:sz w:val="21"/>
                <w:szCs w:val="21"/>
                <w:highlight w:val="none"/>
                <w14:textFill>
                  <w14:solidFill>
                    <w14:schemeClr w14:val="tx1"/>
                  </w14:solidFill>
                </w14:textFill>
              </w:rPr>
              <w:t>污染物排放浓度限值</w:t>
            </w:r>
          </w:p>
        </w:tc>
        <w:tc>
          <w:tcPr>
            <w:tcW w:w="3462" w:type="dxa"/>
            <w:tcBorders>
              <w:tl2br w:val="nil"/>
              <w:tr2bl w:val="nil"/>
            </w:tcBorders>
            <w:vAlign w:val="center"/>
          </w:tcPr>
          <w:p w14:paraId="65C9170E">
            <w:pPr>
              <w:spacing w:line="360" w:lineRule="atLeast"/>
              <w:ind w:firstLine="0" w:firstLineChars="0"/>
              <w:jc w:val="center"/>
              <w:rPr>
                <w:b/>
                <w:bCs/>
                <w:color w:val="000000" w:themeColor="text1"/>
                <w:kern w:val="0"/>
                <w:sz w:val="21"/>
                <w:szCs w:val="21"/>
                <w:highlight w:val="none"/>
                <w:lang w:val="zh-CN"/>
                <w14:textFill>
                  <w14:solidFill>
                    <w14:schemeClr w14:val="tx1"/>
                  </w14:solidFill>
                </w14:textFill>
              </w:rPr>
            </w:pPr>
            <w:r>
              <w:rPr>
                <w:b/>
                <w:bCs/>
                <w:color w:val="000000" w:themeColor="text1"/>
                <w:sz w:val="21"/>
                <w:szCs w:val="21"/>
                <w:highlight w:val="none"/>
                <w14:textFill>
                  <w14:solidFill>
                    <w14:schemeClr w14:val="tx1"/>
                  </w14:solidFill>
                </w14:textFill>
              </w:rPr>
              <w:t>标准来源</w:t>
            </w:r>
          </w:p>
        </w:tc>
      </w:tr>
      <w:tr w14:paraId="59C0A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16" w:type="dxa"/>
            <w:tcBorders>
              <w:tl2br w:val="nil"/>
              <w:tr2bl w:val="nil"/>
            </w:tcBorders>
            <w:vAlign w:val="center"/>
          </w:tcPr>
          <w:p w14:paraId="31ADB0EA">
            <w:pPr>
              <w:spacing w:line="360" w:lineRule="atLeast"/>
              <w:ind w:firstLine="0" w:firstLineChars="0"/>
              <w:jc w:val="center"/>
              <w:rPr>
                <w:color w:val="000000" w:themeColor="text1"/>
                <w:kern w:val="0"/>
                <w:sz w:val="21"/>
                <w:szCs w:val="21"/>
                <w:highlight w:val="none"/>
                <w:lang w:val="zh-CN"/>
                <w14:textFill>
                  <w14:solidFill>
                    <w14:schemeClr w14:val="tx1"/>
                  </w14:solidFill>
                </w14:textFill>
              </w:rPr>
            </w:pPr>
            <w:r>
              <w:rPr>
                <w:color w:val="000000" w:themeColor="text1"/>
                <w:kern w:val="0"/>
                <w:sz w:val="21"/>
                <w:szCs w:val="21"/>
                <w:highlight w:val="none"/>
                <w:lang w:val="zh-CN"/>
                <w14:textFill>
                  <w14:solidFill>
                    <w14:schemeClr w14:val="tx1"/>
                  </w14:solidFill>
                </w14:textFill>
              </w:rPr>
              <w:t>有组织</w:t>
            </w:r>
          </w:p>
        </w:tc>
        <w:tc>
          <w:tcPr>
            <w:tcW w:w="1574" w:type="dxa"/>
            <w:tcBorders>
              <w:tl2br w:val="nil"/>
              <w:tr2bl w:val="nil"/>
            </w:tcBorders>
            <w:vAlign w:val="center"/>
          </w:tcPr>
          <w:p w14:paraId="0CC678B0">
            <w:pPr>
              <w:spacing w:line="360" w:lineRule="atLeast"/>
              <w:ind w:firstLine="0" w:firstLineChars="0"/>
              <w:jc w:val="center"/>
              <w:rPr>
                <w:color w:val="000000" w:themeColor="text1"/>
                <w:kern w:val="0"/>
                <w:sz w:val="21"/>
                <w:szCs w:val="21"/>
                <w:highlight w:val="none"/>
                <w:lang w:val="zh-CN"/>
                <w14:textFill>
                  <w14:solidFill>
                    <w14:schemeClr w14:val="tx1"/>
                  </w14:solidFill>
                </w14:textFill>
              </w:rPr>
            </w:pPr>
            <w:r>
              <w:rPr>
                <w:color w:val="000000" w:themeColor="text1"/>
                <w:kern w:val="0"/>
                <w:sz w:val="21"/>
                <w:szCs w:val="21"/>
                <w:highlight w:val="none"/>
                <w:lang w:val="zh-CN"/>
                <w14:textFill>
                  <w14:solidFill>
                    <w14:schemeClr w14:val="tx1"/>
                  </w14:solidFill>
                </w14:textFill>
              </w:rPr>
              <w:t>颗粒物</w:t>
            </w:r>
          </w:p>
        </w:tc>
        <w:tc>
          <w:tcPr>
            <w:tcW w:w="2167" w:type="dxa"/>
            <w:tcBorders>
              <w:tl2br w:val="nil"/>
              <w:tr2bl w:val="nil"/>
            </w:tcBorders>
            <w:vAlign w:val="center"/>
          </w:tcPr>
          <w:p w14:paraId="183DFFF6">
            <w:pPr>
              <w:spacing w:line="360" w:lineRule="atLeas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w:t>
            </w:r>
            <w:r>
              <w:rPr>
                <w:color w:val="000000" w:themeColor="text1"/>
                <w:kern w:val="0"/>
                <w:sz w:val="21"/>
                <w:szCs w:val="21"/>
                <w:highlight w:val="none"/>
                <w:lang w:val="zh-CN"/>
                <w14:textFill>
                  <w14:solidFill>
                    <w14:schemeClr w14:val="tx1"/>
                  </w14:solidFill>
                </w14:textFill>
              </w:rPr>
              <w:t>mg/m</w:t>
            </w:r>
            <w:r>
              <w:rPr>
                <w:color w:val="000000" w:themeColor="text1"/>
                <w:kern w:val="0"/>
                <w:sz w:val="21"/>
                <w:szCs w:val="21"/>
                <w:highlight w:val="none"/>
                <w:vertAlign w:val="superscript"/>
                <w:lang w:val="zh-CN"/>
                <w14:textFill>
                  <w14:solidFill>
                    <w14:schemeClr w14:val="tx1"/>
                  </w14:solidFill>
                </w14:textFill>
              </w:rPr>
              <w:t>3</w:t>
            </w:r>
          </w:p>
        </w:tc>
        <w:tc>
          <w:tcPr>
            <w:tcW w:w="3462" w:type="dxa"/>
            <w:vMerge w:val="restart"/>
            <w:tcBorders>
              <w:tl2br w:val="nil"/>
              <w:tr2bl w:val="nil"/>
            </w:tcBorders>
            <w:vAlign w:val="center"/>
          </w:tcPr>
          <w:p w14:paraId="54A02804">
            <w:pPr>
              <w:spacing w:line="360" w:lineRule="atLeas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《铁矿采选工业污染物排放标准》</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GB28661-2012</w:t>
            </w:r>
            <w:r>
              <w:rPr>
                <w:rFonts w:hint="eastAsia"/>
                <w:color w:val="000000" w:themeColor="text1"/>
                <w:sz w:val="21"/>
                <w:szCs w:val="21"/>
                <w:highlight w:val="none"/>
                <w14:textFill>
                  <w14:solidFill>
                    <w14:schemeClr w14:val="tx1"/>
                  </w14:solidFill>
                </w14:textFill>
              </w:rPr>
              <w:t>）</w:t>
            </w:r>
          </w:p>
        </w:tc>
      </w:tr>
      <w:tr w14:paraId="1B2FF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16" w:type="dxa"/>
            <w:tcBorders>
              <w:tl2br w:val="nil"/>
              <w:tr2bl w:val="nil"/>
            </w:tcBorders>
            <w:vAlign w:val="center"/>
          </w:tcPr>
          <w:p w14:paraId="2E23B805">
            <w:pPr>
              <w:spacing w:line="360" w:lineRule="atLeas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无组织</w:t>
            </w:r>
          </w:p>
        </w:tc>
        <w:tc>
          <w:tcPr>
            <w:tcW w:w="1574" w:type="dxa"/>
            <w:tcBorders>
              <w:tl2br w:val="nil"/>
              <w:tr2bl w:val="nil"/>
            </w:tcBorders>
            <w:vAlign w:val="center"/>
          </w:tcPr>
          <w:p w14:paraId="2E79BC7C">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颗粒物</w:t>
            </w:r>
          </w:p>
        </w:tc>
        <w:tc>
          <w:tcPr>
            <w:tcW w:w="2167" w:type="dxa"/>
            <w:tcBorders>
              <w:tl2br w:val="nil"/>
              <w:tr2bl w:val="nil"/>
            </w:tcBorders>
            <w:vAlign w:val="center"/>
          </w:tcPr>
          <w:p w14:paraId="66312E40">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r>
              <w:rPr>
                <w:color w:val="000000" w:themeColor="text1"/>
                <w:kern w:val="0"/>
                <w:sz w:val="21"/>
                <w:szCs w:val="21"/>
                <w:highlight w:val="none"/>
                <w:lang w:val="zh-CN"/>
                <w14:textFill>
                  <w14:solidFill>
                    <w14:schemeClr w14:val="tx1"/>
                  </w14:solidFill>
                </w14:textFill>
              </w:rPr>
              <w:t>mg/m</w:t>
            </w:r>
            <w:r>
              <w:rPr>
                <w:color w:val="000000" w:themeColor="text1"/>
                <w:kern w:val="0"/>
                <w:sz w:val="21"/>
                <w:szCs w:val="21"/>
                <w:highlight w:val="none"/>
                <w:vertAlign w:val="superscript"/>
                <w:lang w:val="zh-CN"/>
                <w14:textFill>
                  <w14:solidFill>
                    <w14:schemeClr w14:val="tx1"/>
                  </w14:solidFill>
                </w14:textFill>
              </w:rPr>
              <w:t>3</w:t>
            </w:r>
          </w:p>
        </w:tc>
        <w:tc>
          <w:tcPr>
            <w:tcW w:w="3462" w:type="dxa"/>
            <w:vMerge w:val="continue"/>
            <w:tcBorders>
              <w:tl2br w:val="nil"/>
              <w:tr2bl w:val="nil"/>
            </w:tcBorders>
            <w:vAlign w:val="center"/>
          </w:tcPr>
          <w:p w14:paraId="0F4E7332">
            <w:pPr>
              <w:spacing w:line="360" w:lineRule="atLeast"/>
              <w:ind w:firstLine="0" w:firstLineChars="0"/>
              <w:jc w:val="center"/>
              <w:rPr>
                <w:color w:val="000000" w:themeColor="text1"/>
                <w:sz w:val="21"/>
                <w:szCs w:val="21"/>
                <w:highlight w:val="none"/>
                <w14:textFill>
                  <w14:solidFill>
                    <w14:schemeClr w14:val="tx1"/>
                  </w14:solidFill>
                </w14:textFill>
              </w:rPr>
            </w:pPr>
          </w:p>
        </w:tc>
      </w:tr>
    </w:tbl>
    <w:p w14:paraId="1438E8A6">
      <w:pPr>
        <w:overflowPunct w:val="0"/>
        <w:topLinePunct/>
        <w:ind w:firstLine="480"/>
        <w:rPr>
          <w:color w:val="000000" w:themeColor="text1"/>
          <w:szCs w:val="20"/>
          <w:highlight w:val="none"/>
          <w14:textFill>
            <w14:solidFill>
              <w14:schemeClr w14:val="tx1"/>
            </w14:solidFill>
          </w14:textFill>
        </w:rPr>
      </w:pPr>
      <w:r>
        <w:rPr>
          <w:color w:val="000000" w:themeColor="text1"/>
          <w:szCs w:val="20"/>
          <w:highlight w:val="none"/>
          <w14:textFill>
            <w14:solidFill>
              <w14:schemeClr w14:val="tx1"/>
            </w14:solidFill>
          </w14:textFill>
        </w:rPr>
        <w:t>（2）废水</w:t>
      </w:r>
    </w:p>
    <w:p w14:paraId="020D97DE">
      <w:pPr>
        <w:pStyle w:val="10"/>
        <w:overflowPunct w:val="0"/>
        <w:topLinePunct/>
        <w:spacing w:after="0"/>
        <w:ind w:firstLine="480"/>
        <w:jc w:val="both"/>
        <w:rPr>
          <w:rFonts w:hint="eastAsia"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选矿工艺废水</w:t>
      </w:r>
      <w:r>
        <w:rPr>
          <w:rFonts w:hint="eastAsia" w:ascii="Times New Roman" w:hAnsi="Times New Roman" w:cs="Times New Roman"/>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闭路循环</w:t>
      </w:r>
      <w:r>
        <w:rPr>
          <w:rFonts w:hint="eastAsia" w:ascii="Times New Roman" w:hAnsi="Times New Roman" w:cs="Times New Roman"/>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，正常工况下不外排；非正常工况下，选矿水溢出，立即停止生产，溢出水排入车间排水沟，最终由车间回水泵排入防渗循环水池，保证不外排；环评要求生活污水采用地埋式一体化污水处理设备</w:t>
      </w:r>
      <w:r>
        <w:rPr>
          <w:rFonts w:hint="eastAsia" w:ascii="Times New Roman" w:hAnsi="Times New Roman" w:cs="Times New Roman"/>
          <w:color w:val="000000" w:themeColor="text1"/>
          <w:highlight w:val="none"/>
          <w14:textFill>
            <w14:solidFill>
              <w14:schemeClr w14:val="tx1"/>
            </w14:solidFill>
          </w14:textFill>
        </w:rPr>
        <w:t>处理</w:t>
      </w:r>
      <w:r>
        <w:rPr>
          <w:rFonts w:ascii="Times New Roman" w:hAnsi="Times New Roman" w:cs="Times New Roman"/>
          <w:color w:val="000000" w:themeColor="text1"/>
          <w:highlight w:val="none"/>
          <w14:textFill>
            <w14:solidFill>
              <w14:schemeClr w14:val="tx1"/>
            </w14:solidFill>
          </w14:textFill>
        </w:rPr>
        <w:t>，经处理满足</w:t>
      </w:r>
      <w:r>
        <w:rPr>
          <w:rFonts w:hint="eastAsia" w:ascii="Times New Roman" w:hAnsi="Times New Roman" w:cs="Times New Roman"/>
          <w:color w:val="000000" w:themeColor="text1"/>
          <w:highlight w:val="none"/>
          <w14:textFill>
            <w14:solidFill>
              <w14:schemeClr w14:val="tx1"/>
            </w14:solidFill>
          </w14:textFill>
        </w:rPr>
        <w:t>《农村生活污水处理排放标准》（DB65 4275-2019）表2规定的A级排放限值以及《城市污水再生利用 城市杂用水水质》（GB/T18920-2020）中的城市绿化、道路清扫、消防、建筑施工限值后，</w:t>
      </w:r>
      <w:r>
        <w:rPr>
          <w:rFonts w:hint="eastAsia"/>
          <w:color w:val="000000" w:themeColor="text1"/>
          <w:highlight w:val="none"/>
          <w:lang w:val="en-US" w:eastAsia="zh-CN"/>
          <w14:textFill>
            <w14:solidFill>
              <w14:schemeClr w14:val="tx1"/>
            </w14:solidFill>
          </w14:textFill>
        </w:rPr>
        <w:t>灌溉期用于选矿厂绿化，非灌溉期</w:t>
      </w:r>
      <w:r>
        <w:rPr>
          <w:rFonts w:hint="eastAsia" w:ascii="宋体" w:hAnsi="宋体" w:cs="宋体"/>
          <w:color w:val="000000" w:themeColor="text1"/>
          <w:spacing w:val="-1"/>
          <w:highlight w:val="none"/>
          <w14:textFill>
            <w14:solidFill>
              <w14:schemeClr w14:val="tx1"/>
            </w14:solidFill>
          </w14:textFill>
        </w:rPr>
        <w:t>用于选矿生产</w:t>
      </w:r>
      <w:r>
        <w:rPr>
          <w:rFonts w:hint="eastAsia"/>
          <w:color w:val="000000" w:themeColor="text1"/>
          <w:highlight w:val="none"/>
          <w14:textFill>
            <w14:solidFill>
              <w14:schemeClr w14:val="tx1"/>
            </w14:solidFill>
          </w14:textFill>
        </w:rPr>
        <w:t>，不外排</w:t>
      </w:r>
      <w:r>
        <w:rPr>
          <w:rFonts w:ascii="Times New Roman" w:hAnsi="Times New Roman" w:cs="Times New Roman"/>
          <w:color w:val="000000" w:themeColor="text1"/>
          <w:highlight w:val="none"/>
          <w14:textFill>
            <w14:solidFill>
              <w14:schemeClr w14:val="tx1"/>
            </w14:solidFill>
          </w14:textFill>
        </w:rPr>
        <w:t>。主要污染物标准浓度限值见表2.5-</w:t>
      </w: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ascii="Times New Roman" w:hAnsi="Times New Roman" w:cs="Times New Roman"/>
          <w:color w:val="000000" w:themeColor="text1"/>
          <w:highlight w:val="none"/>
          <w14:textFill>
            <w14:solidFill>
              <w14:schemeClr w14:val="tx1"/>
            </w14:solidFill>
          </w14:textFill>
        </w:rPr>
        <w:t>，2.5-</w:t>
      </w:r>
      <w:r>
        <w:rPr>
          <w:rFonts w:hint="eastAsia" w:ascii="Times New Roman" w:hAnsi="Times New Roman" w:cs="Times New Roman"/>
          <w:color w:val="000000" w:themeColor="text1"/>
          <w:highlight w:val="none"/>
          <w:lang w:val="en-US" w:eastAsia="zh-CN"/>
          <w14:textFill>
            <w14:solidFill>
              <w14:schemeClr w14:val="tx1"/>
            </w14:solidFill>
          </w14:textFill>
        </w:rPr>
        <w:t>8</w:t>
      </w:r>
      <w:r>
        <w:rPr>
          <w:rFonts w:hint="eastAsia" w:ascii="Times New Roman" w:hAnsi="Times New Roman" w:cs="Times New Roman"/>
          <w:color w:val="000000" w:themeColor="text1"/>
          <w:highlight w:val="none"/>
          <w14:textFill>
            <w14:solidFill>
              <w14:schemeClr w14:val="tx1"/>
            </w14:solidFill>
          </w14:textFill>
        </w:rPr>
        <w:t>、2</w:t>
      </w:r>
      <w:r>
        <w:rPr>
          <w:rFonts w:ascii="Times New Roman" w:hAnsi="Times New Roman" w:cs="Times New Roman"/>
          <w:color w:val="000000" w:themeColor="text1"/>
          <w:highlight w:val="none"/>
          <w14:textFill>
            <w14:solidFill>
              <w14:schemeClr w14:val="tx1"/>
            </w14:solidFill>
          </w14:textFill>
        </w:rPr>
        <w:t>.5-</w:t>
      </w:r>
      <w:r>
        <w:rPr>
          <w:rFonts w:hint="eastAsia" w:ascii="Times New Roman" w:hAnsi="Times New Roman" w:cs="Times New Roman"/>
          <w:color w:val="000000" w:themeColor="text1"/>
          <w:highlight w:val="none"/>
          <w:lang w:val="en-US" w:eastAsia="zh-CN"/>
          <w14:textFill>
            <w14:solidFill>
              <w14:schemeClr w14:val="tx1"/>
            </w14:solidFill>
          </w14:textFill>
        </w:rPr>
        <w:t>9</w:t>
      </w:r>
      <w:r>
        <w:rPr>
          <w:rFonts w:hint="eastAsia" w:ascii="Times New Roman" w:hAnsi="Times New Roman" w:cs="Times New Roman"/>
          <w:color w:val="000000" w:themeColor="text1"/>
          <w:highlight w:val="none"/>
          <w14:textFill>
            <w14:solidFill>
              <w14:schemeClr w14:val="tx1"/>
            </w14:solidFill>
          </w14:textFill>
        </w:rPr>
        <w:t>。</w:t>
      </w:r>
    </w:p>
    <w:p w14:paraId="5F7DC83E">
      <w:pPr>
        <w:pStyle w:val="10"/>
        <w:spacing w:after="0"/>
        <w:ind w:firstLine="0" w:firstLineChars="0"/>
        <w:jc w:val="center"/>
        <w:rPr>
          <w:rFonts w:ascii="Times New Roman" w:hAnsi="Times New Roman" w:cs="Times New Roman"/>
          <w:b/>
          <w:color w:val="000000" w:themeColor="text1"/>
          <w:highlight w:val="none"/>
          <w14:textFill>
            <w14:solidFill>
              <w14:schemeClr w14:val="tx1"/>
            </w14:solidFill>
          </w14:textFill>
        </w:rPr>
      </w:pPr>
      <w:r>
        <w:rPr>
          <w:rFonts w:ascii="Times New Roman" w:hAnsi="Times New Roman" w:cs="Times New Roman"/>
          <w:b/>
          <w:color w:val="000000" w:themeColor="text1"/>
          <w:highlight w:val="none"/>
          <w14:textFill>
            <w14:solidFill>
              <w14:schemeClr w14:val="tx1"/>
            </w14:solidFill>
          </w14:textFill>
        </w:rPr>
        <w:t>表2.5-</w:t>
      </w:r>
      <w:r>
        <w:rPr>
          <w:rFonts w:hint="eastAsia" w:ascii="Times New Roman" w:hAnsi="Times New Roman" w:cs="Times New Roman"/>
          <w:b/>
          <w:color w:val="000000" w:themeColor="text1"/>
          <w:highlight w:val="none"/>
          <w:lang w:val="en-US" w:eastAsia="zh-CN"/>
          <w14:textFill>
            <w14:solidFill>
              <w14:schemeClr w14:val="tx1"/>
            </w14:solidFill>
          </w14:textFill>
        </w:rPr>
        <w:t>7</w:t>
      </w:r>
      <w:r>
        <w:rPr>
          <w:rFonts w:ascii="Times New Roman" w:hAnsi="Times New Roman" w:cs="Times New Roman"/>
          <w:b/>
          <w:color w:val="000000" w:themeColor="text1"/>
          <w:highlight w:val="none"/>
          <w14:textFill>
            <w14:solidFill>
              <w14:schemeClr w14:val="tx1"/>
            </w14:solidFill>
          </w14:textFill>
        </w:rPr>
        <w:t xml:space="preserve">    铁矿采选工业污染物排放标准</w:t>
      </w:r>
      <w:r>
        <w:rPr>
          <w:rFonts w:ascii="Times New Roman" w:hAnsi="Times New Roman" w:cs="Times New Roman"/>
          <w:b/>
          <w:bCs/>
          <w:color w:val="000000" w:themeColor="text1"/>
          <w:highlight w:val="none"/>
          <w14:textFill>
            <w14:solidFill>
              <w14:schemeClr w14:val="tx1"/>
            </w14:solidFill>
          </w14:textFill>
        </w:rPr>
        <w:t xml:space="preserve">  </w:t>
      </w:r>
      <w:r>
        <w:rPr>
          <w:rFonts w:ascii="Times New Roman" w:hAnsi="Times New Roman" w:cs="Times New Roman"/>
          <w:b/>
          <w:color w:val="000000" w:themeColor="text1"/>
          <w:highlight w:val="none"/>
          <w14:textFill>
            <w14:solidFill>
              <w14:schemeClr w14:val="tx1"/>
            </w14:solidFill>
          </w14:textFill>
        </w:rPr>
        <w:t xml:space="preserve">  单位mg/L（pH除外）</w:t>
      </w:r>
    </w:p>
    <w:tbl>
      <w:tblPr>
        <w:tblStyle w:val="32"/>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3543"/>
        <w:gridCol w:w="2742"/>
      </w:tblGrid>
      <w:tr w14:paraId="2CC39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34" w:type="dxa"/>
            <w:vMerge w:val="restart"/>
            <w:vAlign w:val="center"/>
          </w:tcPr>
          <w:p w14:paraId="50F8A155">
            <w:pPr>
              <w:pStyle w:val="53"/>
              <w:spacing w:after="0" w:line="360" w:lineRule="exact"/>
              <w:ind w:firstLine="0" w:firstLineChars="0"/>
              <w:outlineLvl w:val="9"/>
              <w:rPr>
                <w:rFonts w:ascii="Times New Roman" w:hAnsi="Times New Roman" w:eastAsia="宋体" w:cs="Times New Roman"/>
                <w:color w:val="000000" w:themeColor="text1"/>
                <w:sz w:val="21"/>
                <w:highlight w:val="none"/>
                <w:lang w:eastAsia="zh-CN"/>
                <w14:textFill>
                  <w14:solidFill>
                    <w14:schemeClr w14:val="tx1"/>
                  </w14:solidFill>
                </w14:textFill>
              </w:rPr>
            </w:pPr>
            <w:bookmarkStart w:id="174" w:name="_Toc24926"/>
            <w:bookmarkStart w:id="175" w:name="_Toc3101"/>
            <w:bookmarkStart w:id="176" w:name="_Toc30748"/>
            <w:r>
              <w:rPr>
                <w:rFonts w:ascii="Times New Roman" w:hAnsi="Times New Roman" w:eastAsia="宋体" w:cs="Times New Roman"/>
                <w:bCs/>
                <w:color w:val="000000" w:themeColor="text1"/>
                <w:sz w:val="21"/>
                <w:highlight w:val="none"/>
                <w:lang w:eastAsia="zh-CN" w:bidi="ar-SA"/>
                <w14:textFill>
                  <w14:solidFill>
                    <w14:schemeClr w14:val="tx1"/>
                  </w14:solidFill>
                </w14:textFill>
              </w:rPr>
              <w:t>车间或生产设施废水排放口</w:t>
            </w:r>
            <w:bookmarkEnd w:id="174"/>
            <w:bookmarkEnd w:id="175"/>
            <w:bookmarkEnd w:id="176"/>
          </w:p>
        </w:tc>
        <w:tc>
          <w:tcPr>
            <w:tcW w:w="3543" w:type="dxa"/>
            <w:vAlign w:val="center"/>
          </w:tcPr>
          <w:p w14:paraId="0ED0A1E0">
            <w:pPr>
              <w:pStyle w:val="53"/>
              <w:spacing w:after="0" w:line="360" w:lineRule="exact"/>
              <w:ind w:firstLine="0" w:firstLineChars="0"/>
              <w:outlineLvl w:val="9"/>
              <w:rPr>
                <w:rFonts w:ascii="Times New Roman" w:hAnsi="Times New Roman" w:eastAsia="宋体" w:cs="Times New Roman"/>
                <w:bCs/>
                <w:color w:val="000000" w:themeColor="text1"/>
                <w:sz w:val="21"/>
                <w:highlight w:val="none"/>
                <w14:textFill>
                  <w14:solidFill>
                    <w14:schemeClr w14:val="tx1"/>
                  </w14:solidFill>
                </w14:textFill>
              </w:rPr>
            </w:pPr>
            <w:bookmarkStart w:id="177" w:name="_Toc5573"/>
            <w:bookmarkStart w:id="178" w:name="_Toc5626"/>
            <w:bookmarkStart w:id="179" w:name="_Toc26450"/>
            <w:r>
              <w:rPr>
                <w:rFonts w:ascii="Times New Roman" w:hAnsi="Times New Roman" w:eastAsia="宋体" w:cs="Times New Roman"/>
                <w:bCs/>
                <w:color w:val="000000" w:themeColor="text1"/>
                <w:sz w:val="21"/>
                <w:highlight w:val="none"/>
                <w14:textFill>
                  <w14:solidFill>
                    <w14:schemeClr w14:val="tx1"/>
                  </w14:solidFill>
                </w14:textFill>
              </w:rPr>
              <w:t>项目</w:t>
            </w:r>
            <w:bookmarkEnd w:id="177"/>
            <w:bookmarkEnd w:id="178"/>
            <w:bookmarkEnd w:id="179"/>
          </w:p>
        </w:tc>
        <w:tc>
          <w:tcPr>
            <w:tcW w:w="2742" w:type="dxa"/>
            <w:vAlign w:val="center"/>
          </w:tcPr>
          <w:p w14:paraId="351DD665">
            <w:pPr>
              <w:pStyle w:val="53"/>
              <w:spacing w:after="0" w:line="360" w:lineRule="exact"/>
              <w:ind w:firstLine="0" w:firstLineChars="0"/>
              <w:outlineLvl w:val="9"/>
              <w:rPr>
                <w:rFonts w:ascii="Times New Roman" w:hAnsi="Times New Roman" w:eastAsia="宋体" w:cs="Times New Roman"/>
                <w:bCs/>
                <w:color w:val="000000" w:themeColor="text1"/>
                <w:sz w:val="21"/>
                <w:highlight w:val="none"/>
                <w14:textFill>
                  <w14:solidFill>
                    <w14:schemeClr w14:val="tx1"/>
                  </w14:solidFill>
                </w14:textFill>
              </w:rPr>
            </w:pPr>
            <w:bookmarkStart w:id="180" w:name="_Toc10925"/>
            <w:bookmarkStart w:id="181" w:name="_Toc595"/>
            <w:bookmarkStart w:id="182" w:name="_Toc27316"/>
            <w:r>
              <w:rPr>
                <w:rFonts w:ascii="Times New Roman" w:hAnsi="Times New Roman" w:eastAsia="宋体" w:cs="Times New Roman"/>
                <w:bCs/>
                <w:color w:val="000000" w:themeColor="text1"/>
                <w:sz w:val="21"/>
                <w:highlight w:val="none"/>
                <w14:textFill>
                  <w14:solidFill>
                    <w14:schemeClr w14:val="tx1"/>
                  </w14:solidFill>
                </w14:textFill>
              </w:rPr>
              <w:t>标准值</w:t>
            </w:r>
            <w:bookmarkEnd w:id="180"/>
            <w:bookmarkEnd w:id="181"/>
            <w:bookmarkEnd w:id="182"/>
          </w:p>
        </w:tc>
      </w:tr>
      <w:tr w14:paraId="20933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34" w:type="dxa"/>
            <w:vMerge w:val="continue"/>
            <w:vAlign w:val="center"/>
          </w:tcPr>
          <w:p w14:paraId="4489F9DC">
            <w:pPr>
              <w:pStyle w:val="53"/>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3543" w:type="dxa"/>
            <w:vAlign w:val="center"/>
          </w:tcPr>
          <w:p w14:paraId="6EB59005">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总汞</w:t>
            </w:r>
          </w:p>
        </w:tc>
        <w:tc>
          <w:tcPr>
            <w:tcW w:w="2742" w:type="dxa"/>
            <w:vAlign w:val="center"/>
          </w:tcPr>
          <w:p w14:paraId="5E5DEEBE">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0.05</w:t>
            </w:r>
          </w:p>
        </w:tc>
      </w:tr>
      <w:tr w14:paraId="6D7F6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34" w:type="dxa"/>
            <w:vMerge w:val="continue"/>
            <w:vAlign w:val="center"/>
          </w:tcPr>
          <w:p w14:paraId="71A56D0D">
            <w:pPr>
              <w:pStyle w:val="53"/>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3543" w:type="dxa"/>
            <w:vAlign w:val="center"/>
          </w:tcPr>
          <w:p w14:paraId="0AAA5313">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总镉</w:t>
            </w:r>
          </w:p>
        </w:tc>
        <w:tc>
          <w:tcPr>
            <w:tcW w:w="2742" w:type="dxa"/>
            <w:vAlign w:val="center"/>
          </w:tcPr>
          <w:p w14:paraId="0A3E793C">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0.1</w:t>
            </w:r>
          </w:p>
        </w:tc>
      </w:tr>
      <w:tr w14:paraId="22330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34" w:type="dxa"/>
            <w:vMerge w:val="continue"/>
            <w:vAlign w:val="center"/>
          </w:tcPr>
          <w:p w14:paraId="2222809C">
            <w:pPr>
              <w:pStyle w:val="53"/>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3543" w:type="dxa"/>
            <w:vAlign w:val="center"/>
          </w:tcPr>
          <w:p w14:paraId="6D4FD60A">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总铬</w:t>
            </w:r>
          </w:p>
        </w:tc>
        <w:tc>
          <w:tcPr>
            <w:tcW w:w="2742" w:type="dxa"/>
            <w:vAlign w:val="center"/>
          </w:tcPr>
          <w:p w14:paraId="76F6BD8D">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1.5</w:t>
            </w:r>
          </w:p>
        </w:tc>
      </w:tr>
      <w:tr w14:paraId="1BFB6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34" w:type="dxa"/>
            <w:vMerge w:val="continue"/>
            <w:vAlign w:val="center"/>
          </w:tcPr>
          <w:p w14:paraId="2AB1C36D">
            <w:pPr>
              <w:pStyle w:val="53"/>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3543" w:type="dxa"/>
            <w:vAlign w:val="center"/>
          </w:tcPr>
          <w:p w14:paraId="5DA60DBB">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六价铬</w:t>
            </w:r>
          </w:p>
        </w:tc>
        <w:tc>
          <w:tcPr>
            <w:tcW w:w="2742" w:type="dxa"/>
            <w:vAlign w:val="center"/>
          </w:tcPr>
          <w:p w14:paraId="5C3C3FED">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0.5</w:t>
            </w:r>
          </w:p>
        </w:tc>
      </w:tr>
      <w:tr w14:paraId="1624F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34" w:type="dxa"/>
            <w:vMerge w:val="continue"/>
            <w:vAlign w:val="center"/>
          </w:tcPr>
          <w:p w14:paraId="45D41A2E">
            <w:pPr>
              <w:pStyle w:val="53"/>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3543" w:type="dxa"/>
            <w:vAlign w:val="center"/>
          </w:tcPr>
          <w:p w14:paraId="44ED8652">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总砷</w:t>
            </w:r>
          </w:p>
        </w:tc>
        <w:tc>
          <w:tcPr>
            <w:tcW w:w="2742" w:type="dxa"/>
            <w:vAlign w:val="center"/>
          </w:tcPr>
          <w:p w14:paraId="4D786155">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0.5</w:t>
            </w:r>
          </w:p>
        </w:tc>
      </w:tr>
      <w:tr w14:paraId="7322F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34" w:type="dxa"/>
            <w:vMerge w:val="continue"/>
            <w:vAlign w:val="center"/>
          </w:tcPr>
          <w:p w14:paraId="7988A852">
            <w:pPr>
              <w:pStyle w:val="53"/>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3543" w:type="dxa"/>
            <w:vAlign w:val="center"/>
          </w:tcPr>
          <w:p w14:paraId="7FDA9C62">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总铅</w:t>
            </w:r>
          </w:p>
        </w:tc>
        <w:tc>
          <w:tcPr>
            <w:tcW w:w="2742" w:type="dxa"/>
            <w:vAlign w:val="center"/>
          </w:tcPr>
          <w:p w14:paraId="4DCC4B31">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1.0</w:t>
            </w:r>
          </w:p>
        </w:tc>
      </w:tr>
      <w:tr w14:paraId="09D35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34" w:type="dxa"/>
            <w:vMerge w:val="continue"/>
            <w:vAlign w:val="center"/>
          </w:tcPr>
          <w:p w14:paraId="2A234F4D">
            <w:pPr>
              <w:pStyle w:val="53"/>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3543" w:type="dxa"/>
            <w:vAlign w:val="center"/>
          </w:tcPr>
          <w:p w14:paraId="5BDF3D86">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总镍</w:t>
            </w:r>
          </w:p>
        </w:tc>
        <w:tc>
          <w:tcPr>
            <w:tcW w:w="2742" w:type="dxa"/>
            <w:vAlign w:val="center"/>
          </w:tcPr>
          <w:p w14:paraId="6A13299B">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1.0</w:t>
            </w:r>
          </w:p>
        </w:tc>
      </w:tr>
      <w:tr w14:paraId="74B2D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34" w:type="dxa"/>
            <w:vMerge w:val="continue"/>
            <w:vAlign w:val="center"/>
          </w:tcPr>
          <w:p w14:paraId="12B51447">
            <w:pPr>
              <w:pStyle w:val="53"/>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3543" w:type="dxa"/>
            <w:vAlign w:val="center"/>
          </w:tcPr>
          <w:p w14:paraId="4D4DC452">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总铍</w:t>
            </w:r>
          </w:p>
        </w:tc>
        <w:tc>
          <w:tcPr>
            <w:tcW w:w="2742" w:type="dxa"/>
            <w:vAlign w:val="center"/>
          </w:tcPr>
          <w:p w14:paraId="57E7B33C">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0.005</w:t>
            </w:r>
          </w:p>
        </w:tc>
      </w:tr>
      <w:tr w14:paraId="64C51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34" w:type="dxa"/>
            <w:vMerge w:val="continue"/>
            <w:vAlign w:val="center"/>
          </w:tcPr>
          <w:p w14:paraId="3E2F4A9F">
            <w:pPr>
              <w:pStyle w:val="53"/>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3543" w:type="dxa"/>
            <w:vAlign w:val="center"/>
          </w:tcPr>
          <w:p w14:paraId="27E313E3">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总银</w:t>
            </w:r>
          </w:p>
        </w:tc>
        <w:tc>
          <w:tcPr>
            <w:tcW w:w="2742" w:type="dxa"/>
            <w:vAlign w:val="center"/>
          </w:tcPr>
          <w:p w14:paraId="7E69F3CA">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0.5</w:t>
            </w:r>
          </w:p>
        </w:tc>
      </w:tr>
    </w:tbl>
    <w:p w14:paraId="04A8F1C6">
      <w:pPr>
        <w:pStyle w:val="10"/>
        <w:spacing w:after="0"/>
        <w:ind w:firstLine="0" w:firstLineChars="0"/>
        <w:jc w:val="center"/>
        <w:rPr>
          <w:rFonts w:ascii="Times New Roman" w:hAnsi="Times New Roman" w:cs="Times New Roman"/>
          <w:b/>
          <w:color w:val="000000" w:themeColor="text1"/>
          <w:highlight w:val="none"/>
          <w14:textFill>
            <w14:solidFill>
              <w14:schemeClr w14:val="tx1"/>
            </w14:solidFill>
          </w14:textFill>
        </w:rPr>
      </w:pPr>
      <w:r>
        <w:rPr>
          <w:rFonts w:ascii="Times New Roman" w:hAnsi="Times New Roman" w:cs="Times New Roman"/>
          <w:b/>
          <w:color w:val="000000" w:themeColor="text1"/>
          <w:highlight w:val="none"/>
          <w14:textFill>
            <w14:solidFill>
              <w14:schemeClr w14:val="tx1"/>
            </w14:solidFill>
          </w14:textFill>
        </w:rPr>
        <w:t>表2.5-</w:t>
      </w:r>
      <w:r>
        <w:rPr>
          <w:rFonts w:hint="eastAsia" w:ascii="Times New Roman" w:hAnsi="Times New Roman" w:cs="Times New Roman"/>
          <w:b/>
          <w:color w:val="000000" w:themeColor="text1"/>
          <w:highlight w:val="none"/>
          <w:lang w:val="en-US" w:eastAsia="zh-CN"/>
          <w14:textFill>
            <w14:solidFill>
              <w14:schemeClr w14:val="tx1"/>
            </w14:solidFill>
          </w14:textFill>
        </w:rPr>
        <w:t>8</w:t>
      </w:r>
      <w:r>
        <w:rPr>
          <w:rFonts w:ascii="Times New Roman" w:hAnsi="Times New Roman" w:cs="Times New Roman"/>
          <w:b/>
          <w:color w:val="000000" w:themeColor="text1"/>
          <w:highlight w:val="none"/>
          <w14:textFill>
            <w14:solidFill>
              <w14:schemeClr w14:val="tx1"/>
            </w14:solidFill>
          </w14:textFill>
        </w:rPr>
        <w:t xml:space="preserve">    </w:t>
      </w:r>
      <w:r>
        <w:rPr>
          <w:rFonts w:hint="eastAsia" w:ascii="Times New Roman" w:hAnsi="Times New Roman" w:cs="Times New Roman"/>
          <w:b/>
          <w:color w:val="000000" w:themeColor="text1"/>
          <w:highlight w:val="none"/>
          <w14:textFill>
            <w14:solidFill>
              <w14:schemeClr w14:val="tx1"/>
            </w14:solidFill>
          </w14:textFill>
        </w:rPr>
        <w:t>《</w:t>
      </w:r>
      <w:r>
        <w:rPr>
          <w:rFonts w:hint="eastAsia"/>
          <w:b/>
          <w:color w:val="000000" w:themeColor="text1"/>
          <w:highlight w:val="none"/>
          <w14:textFill>
            <w14:solidFill>
              <w14:schemeClr w14:val="tx1"/>
            </w14:solidFill>
          </w14:textFill>
        </w:rPr>
        <w:t>农村生活污水处理排放标准</w:t>
      </w:r>
      <w:r>
        <w:rPr>
          <w:rFonts w:hint="eastAsia" w:ascii="Times New Roman" w:hAnsi="Times New Roman" w:cs="Times New Roman"/>
          <w:b/>
          <w:color w:val="000000" w:themeColor="text1"/>
          <w:highlight w:val="none"/>
          <w14:textFill>
            <w14:solidFill>
              <w14:schemeClr w14:val="tx1"/>
            </w14:solidFill>
          </w14:textFill>
        </w:rPr>
        <w:t>》</w:t>
      </w:r>
      <w:r>
        <w:rPr>
          <w:rFonts w:ascii="Times New Roman" w:hAnsi="Times New Roman" w:cs="Times New Roman"/>
          <w:b/>
          <w:bCs/>
          <w:color w:val="000000" w:themeColor="text1"/>
          <w:highlight w:val="none"/>
          <w14:textFill>
            <w14:solidFill>
              <w14:schemeClr w14:val="tx1"/>
            </w14:solidFill>
          </w14:textFill>
        </w:rPr>
        <w:t xml:space="preserve">  </w:t>
      </w:r>
      <w:r>
        <w:rPr>
          <w:rFonts w:ascii="Times New Roman" w:hAnsi="Times New Roman" w:cs="Times New Roman"/>
          <w:b/>
          <w:color w:val="000000" w:themeColor="text1"/>
          <w:highlight w:val="none"/>
          <w14:textFill>
            <w14:solidFill>
              <w14:schemeClr w14:val="tx1"/>
            </w14:solidFill>
          </w14:textFill>
        </w:rPr>
        <w:t xml:space="preserve">  单位mg/L（pH除外）</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992"/>
        <w:gridCol w:w="1134"/>
        <w:gridCol w:w="3878"/>
      </w:tblGrid>
      <w:tr w14:paraId="56653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817" w:type="dxa"/>
            <w:vAlign w:val="center"/>
          </w:tcPr>
          <w:p w14:paraId="47E3DD03">
            <w:pPr>
              <w:spacing w:line="360" w:lineRule="atLeast"/>
              <w:ind w:firstLine="0" w:firstLineChars="0"/>
              <w:jc w:val="center"/>
              <w:rPr>
                <w:b/>
                <w:bCs/>
                <w:color w:val="000000" w:themeColor="text1"/>
                <w:kern w:val="0"/>
                <w:sz w:val="21"/>
                <w:szCs w:val="21"/>
                <w:highlight w:val="none"/>
                <w:lang w:val="zh-CN"/>
                <w14:textFill>
                  <w14:solidFill>
                    <w14:schemeClr w14:val="tx1"/>
                  </w14:solidFill>
                </w14:textFill>
              </w:rPr>
            </w:pPr>
            <w:r>
              <w:rPr>
                <w:rFonts w:hint="eastAsia"/>
                <w:b/>
                <w:bCs/>
                <w:color w:val="000000" w:themeColor="text1"/>
                <w:kern w:val="0"/>
                <w:sz w:val="21"/>
                <w:szCs w:val="21"/>
                <w:highlight w:val="none"/>
                <w:lang w:val="zh-CN"/>
                <w14:textFill>
                  <w14:solidFill>
                    <w14:schemeClr w14:val="tx1"/>
                  </w14:solidFill>
                </w14:textFill>
              </w:rPr>
              <w:t>序号</w:t>
            </w:r>
          </w:p>
        </w:tc>
        <w:tc>
          <w:tcPr>
            <w:tcW w:w="1701" w:type="dxa"/>
            <w:vAlign w:val="center"/>
          </w:tcPr>
          <w:p w14:paraId="163A315C">
            <w:pPr>
              <w:spacing w:line="360" w:lineRule="atLeast"/>
              <w:ind w:firstLine="0" w:firstLineChars="0"/>
              <w:jc w:val="center"/>
              <w:rPr>
                <w:b/>
                <w:bCs/>
                <w:color w:val="000000" w:themeColor="text1"/>
                <w:kern w:val="0"/>
                <w:sz w:val="21"/>
                <w:szCs w:val="21"/>
                <w:highlight w:val="none"/>
                <w:lang w:val="zh-CN"/>
                <w14:textFill>
                  <w14:solidFill>
                    <w14:schemeClr w14:val="tx1"/>
                  </w14:solidFill>
                </w14:textFill>
              </w:rPr>
            </w:pPr>
            <w:r>
              <w:rPr>
                <w:rFonts w:hint="eastAsia"/>
                <w:b/>
                <w:bCs/>
                <w:color w:val="000000" w:themeColor="text1"/>
                <w:kern w:val="0"/>
                <w:sz w:val="21"/>
                <w:szCs w:val="21"/>
                <w:highlight w:val="none"/>
                <w:lang w:val="zh-CN"/>
                <w14:textFill>
                  <w14:solidFill>
                    <w14:schemeClr w14:val="tx1"/>
                  </w14:solidFill>
                </w14:textFill>
              </w:rPr>
              <w:t>出水水质</w:t>
            </w:r>
          </w:p>
        </w:tc>
        <w:tc>
          <w:tcPr>
            <w:tcW w:w="992" w:type="dxa"/>
            <w:vAlign w:val="center"/>
          </w:tcPr>
          <w:p w14:paraId="3DE67AA6">
            <w:pPr>
              <w:spacing w:line="360" w:lineRule="atLeast"/>
              <w:ind w:firstLine="0" w:firstLineChars="0"/>
              <w:jc w:val="center"/>
              <w:rPr>
                <w:b/>
                <w:bCs/>
                <w:color w:val="000000" w:themeColor="text1"/>
                <w:kern w:val="0"/>
                <w:sz w:val="21"/>
                <w:szCs w:val="21"/>
                <w:highlight w:val="none"/>
                <w:lang w:val="zh-CN"/>
                <w14:textFill>
                  <w14:solidFill>
                    <w14:schemeClr w14:val="tx1"/>
                  </w14:solidFill>
                </w14:textFill>
              </w:rPr>
            </w:pPr>
            <w:r>
              <w:rPr>
                <w:rFonts w:hint="eastAsia"/>
                <w:b/>
                <w:bCs/>
                <w:color w:val="000000" w:themeColor="text1"/>
                <w:kern w:val="0"/>
                <w:sz w:val="21"/>
                <w:szCs w:val="21"/>
                <w:highlight w:val="none"/>
                <w:lang w:val="zh-CN"/>
                <w14:textFill>
                  <w14:solidFill>
                    <w14:schemeClr w14:val="tx1"/>
                  </w14:solidFill>
                </w14:textFill>
              </w:rPr>
              <w:t>单位</w:t>
            </w:r>
          </w:p>
        </w:tc>
        <w:tc>
          <w:tcPr>
            <w:tcW w:w="1134" w:type="dxa"/>
            <w:vAlign w:val="center"/>
          </w:tcPr>
          <w:p w14:paraId="039FFF88">
            <w:pPr>
              <w:spacing w:line="360" w:lineRule="atLeast"/>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限值</w:t>
            </w:r>
          </w:p>
        </w:tc>
        <w:tc>
          <w:tcPr>
            <w:tcW w:w="3878" w:type="dxa"/>
            <w:vAlign w:val="center"/>
          </w:tcPr>
          <w:p w14:paraId="3FBEF13C">
            <w:pPr>
              <w:spacing w:line="360" w:lineRule="atLeast"/>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标准来源</w:t>
            </w:r>
          </w:p>
        </w:tc>
      </w:tr>
      <w:tr w14:paraId="5F749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7" w:type="dxa"/>
            <w:vAlign w:val="center"/>
          </w:tcPr>
          <w:p w14:paraId="42D645AC">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701" w:type="dxa"/>
            <w:vAlign w:val="center"/>
          </w:tcPr>
          <w:p w14:paraId="4DDC88C7">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pH</w:t>
            </w:r>
          </w:p>
        </w:tc>
        <w:tc>
          <w:tcPr>
            <w:tcW w:w="992" w:type="dxa"/>
            <w:vAlign w:val="center"/>
          </w:tcPr>
          <w:p w14:paraId="69CF17F5">
            <w:pPr>
              <w:spacing w:line="360" w:lineRule="atLeast"/>
              <w:ind w:firstLine="0" w:firstLineChars="0"/>
              <w:jc w:val="center"/>
              <w:rPr>
                <w:color w:val="000000" w:themeColor="text1"/>
                <w:kern w:val="0"/>
                <w:sz w:val="21"/>
                <w:szCs w:val="21"/>
                <w:highlight w:val="none"/>
                <w:lang w:val="zh-CN"/>
                <w14:textFill>
                  <w14:solidFill>
                    <w14:schemeClr w14:val="tx1"/>
                  </w14:solidFill>
                </w14:textFill>
              </w:rPr>
            </w:pPr>
            <w:r>
              <w:rPr>
                <w:rFonts w:hint="eastAsia"/>
                <w:color w:val="000000" w:themeColor="text1"/>
                <w:kern w:val="0"/>
                <w:sz w:val="21"/>
                <w:szCs w:val="21"/>
                <w:highlight w:val="none"/>
                <w:lang w:val="zh-CN"/>
                <w14:textFill>
                  <w14:solidFill>
                    <w14:schemeClr w14:val="tx1"/>
                  </w14:solidFill>
                </w14:textFill>
              </w:rPr>
              <w:t>/</w:t>
            </w:r>
          </w:p>
        </w:tc>
        <w:tc>
          <w:tcPr>
            <w:tcW w:w="1134" w:type="dxa"/>
            <w:vAlign w:val="center"/>
          </w:tcPr>
          <w:p w14:paraId="27BDEFF6">
            <w:pPr>
              <w:spacing w:line="360" w:lineRule="atLeast"/>
              <w:ind w:firstLine="0" w:firstLineChars="0"/>
              <w:jc w:val="center"/>
              <w:rPr>
                <w:color w:val="000000" w:themeColor="text1"/>
                <w:kern w:val="0"/>
                <w:sz w:val="21"/>
                <w:szCs w:val="21"/>
                <w:highlight w:val="none"/>
                <w:lang w:val="zh-CN"/>
                <w14:textFill>
                  <w14:solidFill>
                    <w14:schemeClr w14:val="tx1"/>
                  </w14:solidFill>
                </w14:textFill>
              </w:rPr>
            </w:pPr>
            <w:r>
              <w:rPr>
                <w:rFonts w:hint="eastAsia"/>
                <w:color w:val="000000" w:themeColor="text1"/>
                <w:kern w:val="0"/>
                <w:sz w:val="21"/>
                <w:szCs w:val="21"/>
                <w:highlight w:val="none"/>
                <w:lang w:val="zh-CN"/>
                <w14:textFill>
                  <w14:solidFill>
                    <w14:schemeClr w14:val="tx1"/>
                  </w14:solidFill>
                </w14:textFill>
              </w:rPr>
              <w:t>6.0~9.0</w:t>
            </w:r>
          </w:p>
        </w:tc>
        <w:tc>
          <w:tcPr>
            <w:tcW w:w="3878" w:type="dxa"/>
            <w:vMerge w:val="restart"/>
            <w:vAlign w:val="center"/>
          </w:tcPr>
          <w:p w14:paraId="7CB9E220">
            <w:pPr>
              <w:spacing w:line="360" w:lineRule="atLeast"/>
              <w:ind w:firstLine="0" w:firstLineChars="0"/>
              <w:jc w:val="center"/>
              <w:rPr>
                <w:color w:val="000000" w:themeColor="text1"/>
                <w:kern w:val="0"/>
                <w:sz w:val="21"/>
                <w:szCs w:val="21"/>
                <w:highlight w:val="none"/>
                <w:lang w:val="zh-CN"/>
                <w14:textFill>
                  <w14:solidFill>
                    <w14:schemeClr w14:val="tx1"/>
                  </w14:solidFill>
                </w14:textFill>
              </w:rPr>
            </w:pPr>
            <w:r>
              <w:rPr>
                <w:rFonts w:hint="eastAsia"/>
                <w:color w:val="000000" w:themeColor="text1"/>
                <w:kern w:val="0"/>
                <w:sz w:val="21"/>
                <w:szCs w:val="21"/>
                <w:highlight w:val="none"/>
                <w:lang w:val="zh-CN"/>
                <w14:textFill>
                  <w14:solidFill>
                    <w14:schemeClr w14:val="tx1"/>
                  </w14:solidFill>
                </w14:textFill>
              </w:rPr>
              <w:t>《农村生活污水处理排放标准》（DB65 4275-2019）表2规定的A级排放限值</w:t>
            </w:r>
          </w:p>
        </w:tc>
      </w:tr>
      <w:tr w14:paraId="00A5B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7" w:type="dxa"/>
            <w:vAlign w:val="center"/>
          </w:tcPr>
          <w:p w14:paraId="073B5A2C">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701" w:type="dxa"/>
            <w:vAlign w:val="center"/>
          </w:tcPr>
          <w:p w14:paraId="6672A442">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COD</w:t>
            </w:r>
          </w:p>
        </w:tc>
        <w:tc>
          <w:tcPr>
            <w:tcW w:w="992" w:type="dxa"/>
            <w:vAlign w:val="center"/>
          </w:tcPr>
          <w:p w14:paraId="4F67D6E8">
            <w:pPr>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zh-CN"/>
                <w14:textFill>
                  <w14:solidFill>
                    <w14:schemeClr w14:val="tx1"/>
                  </w14:solidFill>
                </w14:textFill>
              </w:rPr>
              <w:t>mg/L</w:t>
            </w:r>
          </w:p>
        </w:tc>
        <w:tc>
          <w:tcPr>
            <w:tcW w:w="1134" w:type="dxa"/>
            <w:vAlign w:val="center"/>
          </w:tcPr>
          <w:p w14:paraId="31FE8ACC">
            <w:pPr>
              <w:spacing w:line="360" w:lineRule="atLeas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zh-CN"/>
                <w14:textFill>
                  <w14:solidFill>
                    <w14:schemeClr w14:val="tx1"/>
                  </w14:solidFill>
                </w14:textFill>
              </w:rPr>
              <w:t>≤60</w:t>
            </w:r>
          </w:p>
        </w:tc>
        <w:tc>
          <w:tcPr>
            <w:tcW w:w="3878" w:type="dxa"/>
            <w:vMerge w:val="continue"/>
            <w:vAlign w:val="center"/>
          </w:tcPr>
          <w:p w14:paraId="2E9C0399">
            <w:pPr>
              <w:spacing w:line="360" w:lineRule="atLeast"/>
              <w:ind w:firstLine="0" w:firstLineChars="0"/>
              <w:jc w:val="center"/>
              <w:rPr>
                <w:color w:val="000000" w:themeColor="text1"/>
                <w:kern w:val="0"/>
                <w:sz w:val="21"/>
                <w:szCs w:val="21"/>
                <w:highlight w:val="none"/>
                <w:lang w:val="zh-CN"/>
                <w14:textFill>
                  <w14:solidFill>
                    <w14:schemeClr w14:val="tx1"/>
                  </w14:solidFill>
                </w14:textFill>
              </w:rPr>
            </w:pPr>
          </w:p>
        </w:tc>
      </w:tr>
      <w:tr w14:paraId="726CB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7" w:type="dxa"/>
            <w:vAlign w:val="center"/>
          </w:tcPr>
          <w:p w14:paraId="0E016091">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1701" w:type="dxa"/>
            <w:vAlign w:val="center"/>
          </w:tcPr>
          <w:p w14:paraId="2335E40F">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SS</w:t>
            </w:r>
          </w:p>
        </w:tc>
        <w:tc>
          <w:tcPr>
            <w:tcW w:w="992" w:type="dxa"/>
            <w:vAlign w:val="center"/>
          </w:tcPr>
          <w:p w14:paraId="77444D38">
            <w:pPr>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zh-CN"/>
                <w14:textFill>
                  <w14:solidFill>
                    <w14:schemeClr w14:val="tx1"/>
                  </w14:solidFill>
                </w14:textFill>
              </w:rPr>
              <w:t>mg/L</w:t>
            </w:r>
          </w:p>
        </w:tc>
        <w:tc>
          <w:tcPr>
            <w:tcW w:w="1134" w:type="dxa"/>
            <w:vAlign w:val="center"/>
          </w:tcPr>
          <w:p w14:paraId="5C5AEF05">
            <w:pPr>
              <w:spacing w:line="360" w:lineRule="atLeas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zh-CN"/>
                <w14:textFill>
                  <w14:solidFill>
                    <w14:schemeClr w14:val="tx1"/>
                  </w14:solidFill>
                </w14:textFill>
              </w:rPr>
              <w:t>≤30</w:t>
            </w:r>
          </w:p>
        </w:tc>
        <w:tc>
          <w:tcPr>
            <w:tcW w:w="3878" w:type="dxa"/>
            <w:vMerge w:val="continue"/>
            <w:vAlign w:val="center"/>
          </w:tcPr>
          <w:p w14:paraId="366564B9">
            <w:pPr>
              <w:spacing w:line="360" w:lineRule="atLeast"/>
              <w:ind w:firstLine="0" w:firstLineChars="0"/>
              <w:jc w:val="center"/>
              <w:rPr>
                <w:color w:val="000000" w:themeColor="text1"/>
                <w:kern w:val="0"/>
                <w:sz w:val="21"/>
                <w:szCs w:val="21"/>
                <w:highlight w:val="none"/>
                <w:lang w:val="zh-CN"/>
                <w14:textFill>
                  <w14:solidFill>
                    <w14:schemeClr w14:val="tx1"/>
                  </w14:solidFill>
                </w14:textFill>
              </w:rPr>
            </w:pPr>
          </w:p>
        </w:tc>
      </w:tr>
      <w:tr w14:paraId="36E44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7" w:type="dxa"/>
            <w:vAlign w:val="center"/>
          </w:tcPr>
          <w:p w14:paraId="728645DB">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1701" w:type="dxa"/>
            <w:vAlign w:val="center"/>
          </w:tcPr>
          <w:p w14:paraId="18AE0401">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粪大肠菌群</w:t>
            </w:r>
          </w:p>
        </w:tc>
        <w:tc>
          <w:tcPr>
            <w:tcW w:w="992" w:type="dxa"/>
            <w:vAlign w:val="center"/>
          </w:tcPr>
          <w:p w14:paraId="0612038C">
            <w:pPr>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zh-CN"/>
                <w14:textFill>
                  <w14:solidFill>
                    <w14:schemeClr w14:val="tx1"/>
                  </w14:solidFill>
                </w14:textFill>
              </w:rPr>
              <w:t>MPN/L</w:t>
            </w:r>
          </w:p>
        </w:tc>
        <w:tc>
          <w:tcPr>
            <w:tcW w:w="1134" w:type="dxa"/>
            <w:vAlign w:val="center"/>
          </w:tcPr>
          <w:p w14:paraId="06B44966">
            <w:pPr>
              <w:spacing w:line="360" w:lineRule="atLeas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zh-CN"/>
                <w14:textFill>
                  <w14:solidFill>
                    <w14:schemeClr w14:val="tx1"/>
                  </w14:solidFill>
                </w14:textFill>
              </w:rPr>
              <w:t>10000</w:t>
            </w:r>
          </w:p>
        </w:tc>
        <w:tc>
          <w:tcPr>
            <w:tcW w:w="3878" w:type="dxa"/>
            <w:vMerge w:val="continue"/>
            <w:vAlign w:val="center"/>
          </w:tcPr>
          <w:p w14:paraId="2A43BDB0">
            <w:pPr>
              <w:spacing w:line="360" w:lineRule="atLeast"/>
              <w:ind w:firstLine="0" w:firstLineChars="0"/>
              <w:jc w:val="center"/>
              <w:rPr>
                <w:color w:val="000000" w:themeColor="text1"/>
                <w:kern w:val="0"/>
                <w:sz w:val="21"/>
                <w:szCs w:val="21"/>
                <w:highlight w:val="none"/>
                <w:lang w:val="zh-CN"/>
                <w14:textFill>
                  <w14:solidFill>
                    <w14:schemeClr w14:val="tx1"/>
                  </w14:solidFill>
                </w14:textFill>
              </w:rPr>
            </w:pPr>
          </w:p>
        </w:tc>
      </w:tr>
      <w:tr w14:paraId="640ED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17" w:type="dxa"/>
            <w:vAlign w:val="center"/>
          </w:tcPr>
          <w:p w14:paraId="739734D5">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c>
          <w:tcPr>
            <w:tcW w:w="1701" w:type="dxa"/>
            <w:vAlign w:val="center"/>
          </w:tcPr>
          <w:p w14:paraId="697DDDBE">
            <w:pPr>
              <w:adjustRightInd w:val="0"/>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蛔虫卵个数</w:t>
            </w:r>
          </w:p>
        </w:tc>
        <w:tc>
          <w:tcPr>
            <w:tcW w:w="992" w:type="dxa"/>
            <w:vAlign w:val="center"/>
          </w:tcPr>
          <w:p w14:paraId="16F93637">
            <w:pPr>
              <w:spacing w:line="360" w:lineRule="atLeas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zh-CN"/>
                <w14:textFill>
                  <w14:solidFill>
                    <w14:schemeClr w14:val="tx1"/>
                  </w14:solidFill>
                </w14:textFill>
              </w:rPr>
              <w:t>个/L</w:t>
            </w:r>
          </w:p>
        </w:tc>
        <w:tc>
          <w:tcPr>
            <w:tcW w:w="1134" w:type="dxa"/>
            <w:vAlign w:val="center"/>
          </w:tcPr>
          <w:p w14:paraId="1DAA58D8">
            <w:pPr>
              <w:spacing w:line="360" w:lineRule="atLeas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zh-CN"/>
                <w14:textFill>
                  <w14:solidFill>
                    <w14:schemeClr w14:val="tx1"/>
                  </w14:solidFill>
                </w14:textFill>
              </w:rPr>
              <w:t>2</w:t>
            </w:r>
          </w:p>
        </w:tc>
        <w:tc>
          <w:tcPr>
            <w:tcW w:w="3878" w:type="dxa"/>
            <w:vMerge w:val="continue"/>
            <w:vAlign w:val="center"/>
          </w:tcPr>
          <w:p w14:paraId="5FB23330">
            <w:pPr>
              <w:spacing w:line="360" w:lineRule="atLeast"/>
              <w:ind w:firstLine="0" w:firstLineChars="0"/>
              <w:jc w:val="center"/>
              <w:rPr>
                <w:color w:val="000000" w:themeColor="text1"/>
                <w:kern w:val="0"/>
                <w:sz w:val="21"/>
                <w:szCs w:val="21"/>
                <w:highlight w:val="none"/>
                <w:lang w:val="zh-CN"/>
                <w14:textFill>
                  <w14:solidFill>
                    <w14:schemeClr w14:val="tx1"/>
                  </w14:solidFill>
                </w14:textFill>
              </w:rPr>
            </w:pPr>
          </w:p>
        </w:tc>
      </w:tr>
    </w:tbl>
    <w:p w14:paraId="583001D0">
      <w:pPr>
        <w:pStyle w:val="10"/>
        <w:spacing w:after="0"/>
        <w:ind w:firstLine="0" w:firstLineChars="0"/>
        <w:jc w:val="center"/>
        <w:rPr>
          <w:rFonts w:ascii="Times New Roman" w:hAnsi="Times New Roman" w:cs="Times New Roman"/>
          <w:b/>
          <w:color w:val="000000" w:themeColor="text1"/>
          <w:highlight w:val="none"/>
          <w14:textFill>
            <w14:solidFill>
              <w14:schemeClr w14:val="tx1"/>
            </w14:solidFill>
          </w14:textFill>
        </w:rPr>
      </w:pPr>
      <w:r>
        <w:rPr>
          <w:rFonts w:hint="eastAsia" w:ascii="Times New Roman" w:hAnsi="Times New Roman" w:cs="Times New Roman"/>
          <w:b/>
          <w:color w:val="000000" w:themeColor="text1"/>
          <w:highlight w:val="none"/>
          <w14:textFill>
            <w14:solidFill>
              <w14:schemeClr w14:val="tx1"/>
            </w14:solidFill>
          </w14:textFill>
        </w:rPr>
        <w:t>表2</w:t>
      </w:r>
      <w:r>
        <w:rPr>
          <w:rFonts w:ascii="Times New Roman" w:hAnsi="Times New Roman" w:cs="Times New Roman"/>
          <w:b/>
          <w:color w:val="000000" w:themeColor="text1"/>
          <w:highlight w:val="none"/>
          <w14:textFill>
            <w14:solidFill>
              <w14:schemeClr w14:val="tx1"/>
            </w14:solidFill>
          </w14:textFill>
        </w:rPr>
        <w:t>.5-</w:t>
      </w:r>
      <w:r>
        <w:rPr>
          <w:rFonts w:hint="eastAsia" w:ascii="Times New Roman" w:hAnsi="Times New Roman" w:cs="Times New Roman"/>
          <w:b/>
          <w:color w:val="000000" w:themeColor="text1"/>
          <w:highlight w:val="none"/>
          <w:lang w:val="en-US" w:eastAsia="zh-CN"/>
          <w14:textFill>
            <w14:solidFill>
              <w14:schemeClr w14:val="tx1"/>
            </w14:solidFill>
          </w14:textFill>
        </w:rPr>
        <w:t>9</w:t>
      </w:r>
      <w:r>
        <w:rPr>
          <w:rFonts w:ascii="Times New Roman" w:hAnsi="Times New Roman" w:cs="Times New Roman"/>
          <w:b/>
          <w:color w:val="000000" w:themeColor="text1"/>
          <w:highlight w:val="none"/>
          <w14:textFill>
            <w14:solidFill>
              <w14:schemeClr w14:val="tx1"/>
            </w14:solidFill>
          </w14:textFill>
        </w:rPr>
        <w:t xml:space="preserve">    </w:t>
      </w:r>
      <w:r>
        <w:rPr>
          <w:rFonts w:hint="eastAsia" w:ascii="Times New Roman" w:hAnsi="Times New Roman" w:cs="Times New Roman"/>
          <w:b/>
          <w:color w:val="000000" w:themeColor="text1"/>
          <w:highlight w:val="none"/>
          <w14:textFill>
            <w14:solidFill>
              <w14:schemeClr w14:val="tx1"/>
            </w14:solidFill>
          </w14:textFill>
        </w:rPr>
        <w:t>《城市污水再生利用 城市杂用水水质》</w:t>
      </w:r>
      <w:r>
        <w:rPr>
          <w:rFonts w:ascii="Times New Roman" w:hAnsi="Times New Roman" w:cs="Times New Roman"/>
          <w:b/>
          <w:bCs/>
          <w:color w:val="000000" w:themeColor="text1"/>
          <w:highlight w:val="none"/>
          <w14:textFill>
            <w14:solidFill>
              <w14:schemeClr w14:val="tx1"/>
            </w14:solidFill>
          </w14:textFill>
        </w:rPr>
        <w:t xml:space="preserve">  </w:t>
      </w:r>
      <w:r>
        <w:rPr>
          <w:rFonts w:ascii="Times New Roman" w:hAnsi="Times New Roman" w:cs="Times New Roman"/>
          <w:b/>
          <w:color w:val="000000" w:themeColor="text1"/>
          <w:highlight w:val="none"/>
          <w14:textFill>
            <w14:solidFill>
              <w14:schemeClr w14:val="tx1"/>
            </w14:solidFill>
          </w14:textFill>
        </w:rPr>
        <w:t xml:space="preserve">  单位mg/L</w:t>
      </w:r>
    </w:p>
    <w:tbl>
      <w:tblPr>
        <w:tblStyle w:val="32"/>
        <w:tblW w:w="85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687"/>
        <w:gridCol w:w="2997"/>
        <w:gridCol w:w="2130"/>
      </w:tblGrid>
      <w:tr w14:paraId="07AAF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1D0BA96B">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b/>
                <w:color w:val="000000" w:themeColor="text1"/>
                <w:szCs w:val="21"/>
                <w:highlight w:val="none"/>
                <w14:textFill>
                  <w14:solidFill>
                    <w14:schemeClr w14:val="tx1"/>
                  </w14:solidFill>
                </w14:textFill>
              </w:rPr>
              <w:t>序号</w:t>
            </w:r>
          </w:p>
        </w:tc>
        <w:tc>
          <w:tcPr>
            <w:tcW w:w="2687" w:type="dxa"/>
            <w:vAlign w:val="center"/>
          </w:tcPr>
          <w:p w14:paraId="357D5075">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b/>
                <w:color w:val="000000" w:themeColor="text1"/>
                <w:szCs w:val="21"/>
                <w:highlight w:val="none"/>
                <w14:textFill>
                  <w14:solidFill>
                    <w14:schemeClr w14:val="tx1"/>
                  </w14:solidFill>
                </w14:textFill>
              </w:rPr>
              <w:t>项目</w:t>
            </w:r>
          </w:p>
        </w:tc>
        <w:tc>
          <w:tcPr>
            <w:tcW w:w="2997" w:type="dxa"/>
            <w:vAlign w:val="center"/>
          </w:tcPr>
          <w:p w14:paraId="1E4C5FA6">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b/>
                <w:color w:val="000000" w:themeColor="text1"/>
                <w:szCs w:val="21"/>
                <w:highlight w:val="none"/>
                <w14:textFill>
                  <w14:solidFill>
                    <w14:schemeClr w14:val="tx1"/>
                  </w14:solidFill>
                </w14:textFill>
              </w:rPr>
              <w:t>标准值</w:t>
            </w:r>
          </w:p>
        </w:tc>
        <w:tc>
          <w:tcPr>
            <w:tcW w:w="2130" w:type="dxa"/>
            <w:vAlign w:val="center"/>
          </w:tcPr>
          <w:p w14:paraId="258DFAC3">
            <w:pPr>
              <w:pStyle w:val="31"/>
              <w:autoSpaceDE w:val="0"/>
              <w:autoSpaceDN w:val="0"/>
              <w:adjustRightInd w:val="0"/>
              <w:spacing w:after="0" w:line="360" w:lineRule="exact"/>
              <w:ind w:left="0" w:leftChars="0" w:firstLine="0" w:firstLineChars="0"/>
              <w:jc w:val="center"/>
              <w:textAlignment w:val="baseline"/>
              <w:rPr>
                <w:bCs/>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标准来源</w:t>
            </w:r>
          </w:p>
        </w:tc>
      </w:tr>
      <w:tr w14:paraId="35A5A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1171EC5B">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2687" w:type="dxa"/>
            <w:vAlign w:val="center"/>
          </w:tcPr>
          <w:p w14:paraId="38050429">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溶解性总固体</w:t>
            </w:r>
          </w:p>
        </w:tc>
        <w:tc>
          <w:tcPr>
            <w:tcW w:w="2997" w:type="dxa"/>
            <w:vAlign w:val="center"/>
          </w:tcPr>
          <w:p w14:paraId="1C5B6A36">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1000</w:t>
            </w:r>
          </w:p>
        </w:tc>
        <w:tc>
          <w:tcPr>
            <w:tcW w:w="2130" w:type="dxa"/>
            <w:vMerge w:val="restart"/>
            <w:vAlign w:val="center"/>
          </w:tcPr>
          <w:p w14:paraId="6379DBA0">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《城市污水再生利用 城市杂用水水质》（GB/T18920-20</w:t>
            </w:r>
            <w:r>
              <w:rPr>
                <w:rFonts w:hint="eastAsia"/>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t>）中</w:t>
            </w:r>
            <w:r>
              <w:rPr>
                <w:rFonts w:hint="eastAsia"/>
                <w:color w:val="000000" w:themeColor="text1"/>
                <w:highlight w:val="none"/>
                <w14:textFill>
                  <w14:solidFill>
                    <w14:schemeClr w14:val="tx1"/>
                  </w14:solidFill>
                </w14:textFill>
              </w:rPr>
              <w:t>的城市绿化、道路清扫、消防、建筑施工限值</w:t>
            </w:r>
          </w:p>
        </w:tc>
      </w:tr>
      <w:tr w14:paraId="71D61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26D97C18">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2687" w:type="dxa"/>
            <w:vAlign w:val="center"/>
          </w:tcPr>
          <w:p w14:paraId="6700A86E">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五日生化需氧量</w:t>
            </w:r>
          </w:p>
        </w:tc>
        <w:tc>
          <w:tcPr>
            <w:tcW w:w="2997" w:type="dxa"/>
            <w:vAlign w:val="center"/>
          </w:tcPr>
          <w:p w14:paraId="036C6FE8">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0</w:t>
            </w:r>
          </w:p>
        </w:tc>
        <w:tc>
          <w:tcPr>
            <w:tcW w:w="2130" w:type="dxa"/>
            <w:vMerge w:val="continue"/>
            <w:vAlign w:val="center"/>
          </w:tcPr>
          <w:p w14:paraId="52715075">
            <w:pPr>
              <w:spacing w:line="360" w:lineRule="exact"/>
              <w:ind w:firstLine="480"/>
              <w:jc w:val="center"/>
              <w:rPr>
                <w:bCs/>
                <w:color w:val="000000" w:themeColor="text1"/>
                <w:szCs w:val="21"/>
                <w:highlight w:val="none"/>
                <w14:textFill>
                  <w14:solidFill>
                    <w14:schemeClr w14:val="tx1"/>
                  </w14:solidFill>
                </w14:textFill>
              </w:rPr>
            </w:pPr>
          </w:p>
        </w:tc>
      </w:tr>
      <w:tr w14:paraId="40B91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1992E533">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2687" w:type="dxa"/>
            <w:vAlign w:val="center"/>
          </w:tcPr>
          <w:p w14:paraId="425B850A">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氨氮</w:t>
            </w:r>
          </w:p>
        </w:tc>
        <w:tc>
          <w:tcPr>
            <w:tcW w:w="2997" w:type="dxa"/>
            <w:vAlign w:val="center"/>
          </w:tcPr>
          <w:p w14:paraId="220E6E26">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w:t>
            </w:r>
          </w:p>
        </w:tc>
        <w:tc>
          <w:tcPr>
            <w:tcW w:w="2130" w:type="dxa"/>
            <w:vMerge w:val="continue"/>
            <w:vAlign w:val="center"/>
          </w:tcPr>
          <w:p w14:paraId="53BBC01B">
            <w:pPr>
              <w:spacing w:line="360" w:lineRule="exact"/>
              <w:ind w:firstLine="480"/>
              <w:jc w:val="center"/>
              <w:rPr>
                <w:bCs/>
                <w:color w:val="000000" w:themeColor="text1"/>
                <w:szCs w:val="21"/>
                <w:highlight w:val="none"/>
                <w14:textFill>
                  <w14:solidFill>
                    <w14:schemeClr w14:val="tx1"/>
                  </w14:solidFill>
                </w14:textFill>
              </w:rPr>
            </w:pPr>
          </w:p>
        </w:tc>
      </w:tr>
      <w:tr w14:paraId="65291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72054756">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2687" w:type="dxa"/>
            <w:vAlign w:val="center"/>
          </w:tcPr>
          <w:p w14:paraId="1B8FDD67">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阴离子表面活性剂</w:t>
            </w:r>
          </w:p>
        </w:tc>
        <w:tc>
          <w:tcPr>
            <w:tcW w:w="2997" w:type="dxa"/>
            <w:vAlign w:val="center"/>
          </w:tcPr>
          <w:p w14:paraId="2B9F7780">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0.5</w:t>
            </w:r>
          </w:p>
        </w:tc>
        <w:tc>
          <w:tcPr>
            <w:tcW w:w="2130" w:type="dxa"/>
            <w:vMerge w:val="continue"/>
            <w:vAlign w:val="center"/>
          </w:tcPr>
          <w:p w14:paraId="7B554A57">
            <w:pPr>
              <w:spacing w:line="360" w:lineRule="exact"/>
              <w:ind w:firstLine="480"/>
              <w:jc w:val="center"/>
              <w:rPr>
                <w:bCs/>
                <w:color w:val="000000" w:themeColor="text1"/>
                <w:szCs w:val="21"/>
                <w:highlight w:val="none"/>
                <w14:textFill>
                  <w14:solidFill>
                    <w14:schemeClr w14:val="tx1"/>
                  </w14:solidFill>
                </w14:textFill>
              </w:rPr>
            </w:pPr>
          </w:p>
        </w:tc>
      </w:tr>
      <w:tr w14:paraId="01644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7FB03A4F">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p>
        </w:tc>
        <w:tc>
          <w:tcPr>
            <w:tcW w:w="2687" w:type="dxa"/>
            <w:vAlign w:val="center"/>
          </w:tcPr>
          <w:p w14:paraId="48B4318E">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溶解氧</w:t>
            </w:r>
          </w:p>
        </w:tc>
        <w:tc>
          <w:tcPr>
            <w:tcW w:w="2997" w:type="dxa"/>
            <w:vAlign w:val="center"/>
          </w:tcPr>
          <w:p w14:paraId="284D40FE">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2.0</w:t>
            </w:r>
          </w:p>
        </w:tc>
        <w:tc>
          <w:tcPr>
            <w:tcW w:w="2130" w:type="dxa"/>
            <w:vMerge w:val="continue"/>
            <w:vAlign w:val="center"/>
          </w:tcPr>
          <w:p w14:paraId="2002EB39">
            <w:pPr>
              <w:spacing w:line="360" w:lineRule="exact"/>
              <w:ind w:firstLine="480"/>
              <w:jc w:val="center"/>
              <w:rPr>
                <w:bCs/>
                <w:color w:val="000000" w:themeColor="text1"/>
                <w:szCs w:val="21"/>
                <w:highlight w:val="none"/>
                <w14:textFill>
                  <w14:solidFill>
                    <w14:schemeClr w14:val="tx1"/>
                  </w14:solidFill>
                </w14:textFill>
              </w:rPr>
            </w:pPr>
          </w:p>
        </w:tc>
      </w:tr>
      <w:tr w14:paraId="678FE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798271A0">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w:t>
            </w:r>
          </w:p>
        </w:tc>
        <w:tc>
          <w:tcPr>
            <w:tcW w:w="2687" w:type="dxa"/>
            <w:vAlign w:val="center"/>
          </w:tcPr>
          <w:p w14:paraId="7DAAA409">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总氯</w:t>
            </w:r>
          </w:p>
        </w:tc>
        <w:tc>
          <w:tcPr>
            <w:tcW w:w="2997" w:type="dxa"/>
            <w:vAlign w:val="center"/>
          </w:tcPr>
          <w:p w14:paraId="553D738C">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出厂</w:t>
            </w:r>
            <w:r>
              <w:rPr>
                <w:color w:val="000000" w:themeColor="text1"/>
                <w:highlight w:val="none"/>
                <w14:textFill>
                  <w14:solidFill>
                    <w14:schemeClr w14:val="tx1"/>
                  </w14:solidFill>
                </w14:textFill>
              </w:rPr>
              <w:t>≥1.0，管网末端≥0.2</w:t>
            </w:r>
          </w:p>
        </w:tc>
        <w:tc>
          <w:tcPr>
            <w:tcW w:w="2130" w:type="dxa"/>
            <w:vMerge w:val="continue"/>
            <w:vAlign w:val="center"/>
          </w:tcPr>
          <w:p w14:paraId="7B3C84FC">
            <w:pPr>
              <w:spacing w:line="360" w:lineRule="exact"/>
              <w:ind w:firstLine="480"/>
              <w:jc w:val="center"/>
              <w:rPr>
                <w:bCs/>
                <w:color w:val="000000" w:themeColor="text1"/>
                <w:szCs w:val="21"/>
                <w:highlight w:val="none"/>
                <w14:textFill>
                  <w14:solidFill>
                    <w14:schemeClr w14:val="tx1"/>
                  </w14:solidFill>
                </w14:textFill>
              </w:rPr>
            </w:pPr>
          </w:p>
        </w:tc>
      </w:tr>
      <w:tr w14:paraId="4F38B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6" w:type="dxa"/>
            <w:vAlign w:val="center"/>
          </w:tcPr>
          <w:p w14:paraId="587ADFB9">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w:t>
            </w:r>
          </w:p>
        </w:tc>
        <w:tc>
          <w:tcPr>
            <w:tcW w:w="2687" w:type="dxa"/>
            <w:vAlign w:val="center"/>
          </w:tcPr>
          <w:p w14:paraId="4ED4C587">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大肠埃希氏菌MPN</w:t>
            </w:r>
            <w:r>
              <w:rPr>
                <w:color w:val="000000" w:themeColor="text1"/>
                <w:highlight w:val="none"/>
                <w14:textFill>
                  <w14:solidFill>
                    <w14:schemeClr w14:val="tx1"/>
                  </w14:solidFill>
                </w14:textFill>
              </w:rPr>
              <w:t>/100mL</w:t>
            </w:r>
          </w:p>
        </w:tc>
        <w:tc>
          <w:tcPr>
            <w:tcW w:w="2997" w:type="dxa"/>
            <w:vAlign w:val="center"/>
          </w:tcPr>
          <w:p w14:paraId="68E6F346">
            <w:pPr>
              <w:pStyle w:val="31"/>
              <w:autoSpaceDE w:val="0"/>
              <w:autoSpaceDN w:val="0"/>
              <w:adjustRightInd w:val="0"/>
              <w:spacing w:after="0" w:line="360" w:lineRule="exact"/>
              <w:ind w:left="0" w:leftChars="0" w:firstLine="0" w:firstLineChars="0"/>
              <w:jc w:val="center"/>
              <w:textAlignment w:val="base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w:t>
            </w:r>
          </w:p>
        </w:tc>
        <w:tc>
          <w:tcPr>
            <w:tcW w:w="2130" w:type="dxa"/>
            <w:vMerge w:val="continue"/>
            <w:vAlign w:val="center"/>
          </w:tcPr>
          <w:p w14:paraId="36ACF709">
            <w:pPr>
              <w:spacing w:line="360" w:lineRule="exact"/>
              <w:ind w:firstLine="480"/>
              <w:jc w:val="center"/>
              <w:rPr>
                <w:bCs/>
                <w:color w:val="000000" w:themeColor="text1"/>
                <w:szCs w:val="21"/>
                <w:highlight w:val="none"/>
                <w14:textFill>
                  <w14:solidFill>
                    <w14:schemeClr w14:val="tx1"/>
                  </w14:solidFill>
                </w14:textFill>
              </w:rPr>
            </w:pPr>
          </w:p>
        </w:tc>
      </w:tr>
    </w:tbl>
    <w:p w14:paraId="3F127531">
      <w:pPr>
        <w:overflowPunct w:val="0"/>
        <w:topLinePunct/>
        <w:ind w:firstLine="48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（3）</w:t>
      </w:r>
      <w:r>
        <w:rPr>
          <w:color w:val="000000" w:themeColor="text1"/>
          <w:szCs w:val="20"/>
          <w:highlight w:val="none"/>
          <w14:textFill>
            <w14:solidFill>
              <w14:schemeClr w14:val="tx1"/>
            </w14:solidFill>
          </w14:textFill>
        </w:rPr>
        <w:t>噪声</w:t>
      </w:r>
    </w:p>
    <w:p w14:paraId="39841AF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项目施工期厂界噪声执行</w:t>
      </w:r>
      <w:r>
        <w:rPr>
          <w:rFonts w:hint="eastAsia"/>
          <w:color w:val="000000" w:themeColor="text1"/>
          <w:highlight w:val="none"/>
          <w:lang w:eastAsia="zh-CN"/>
          <w14:textFill>
            <w14:solidFill>
              <w14:schemeClr w14:val="tx1"/>
            </w14:solidFill>
          </w14:textFill>
        </w:rPr>
        <w:t>《建筑施工噪声排放标准》（GB12523-2025）</w:t>
      </w:r>
      <w:r>
        <w:rPr>
          <w:color w:val="000000" w:themeColor="text1"/>
          <w:highlight w:val="none"/>
          <w14:textFill>
            <w14:solidFill>
              <w14:schemeClr w14:val="tx1"/>
            </w14:solidFill>
          </w14:textFill>
        </w:rPr>
        <w:t>的有关规定。具体见表2.5-</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color w:val="000000" w:themeColor="text1"/>
          <w:highlight w:val="none"/>
          <w14:textFill>
            <w14:solidFill>
              <w14:schemeClr w14:val="tx1"/>
            </w14:solidFill>
          </w14:textFill>
        </w:rPr>
        <w:t>。</w:t>
      </w:r>
    </w:p>
    <w:p w14:paraId="381E5F9E">
      <w:pPr>
        <w:pStyle w:val="47"/>
        <w:widowControl w:val="0"/>
        <w:rPr>
          <w:color w:val="000000" w:themeColor="text1"/>
          <w:szCs w:val="32"/>
          <w:highlight w:val="none"/>
          <w:lang w:val="zh-CN"/>
          <w14:textFill>
            <w14:solidFill>
              <w14:schemeClr w14:val="tx1"/>
            </w14:solidFill>
          </w14:textFill>
        </w:rPr>
      </w:pPr>
      <w:r>
        <w:rPr>
          <w:color w:val="000000" w:themeColor="text1"/>
          <w:szCs w:val="32"/>
          <w:highlight w:val="none"/>
          <w:lang w:val="zh-CN"/>
          <w14:textFill>
            <w14:solidFill>
              <w14:schemeClr w14:val="tx1"/>
            </w14:solidFill>
          </w14:textFill>
        </w:rPr>
        <w:t>表2.5-</w:t>
      </w:r>
      <w:r>
        <w:rPr>
          <w:rFonts w:hint="eastAsia"/>
          <w:color w:val="000000" w:themeColor="text1"/>
          <w:szCs w:val="32"/>
          <w:highlight w:val="none"/>
          <w14:textFill>
            <w14:solidFill>
              <w14:schemeClr w14:val="tx1"/>
            </w14:solidFill>
          </w14:textFill>
        </w:rPr>
        <w:t>1</w:t>
      </w:r>
      <w:r>
        <w:rPr>
          <w:rFonts w:hint="eastAsia"/>
          <w:color w:val="000000" w:themeColor="text1"/>
          <w:szCs w:val="32"/>
          <w:highlight w:val="none"/>
          <w:lang w:val="en-US" w:eastAsia="zh-CN"/>
          <w14:textFill>
            <w14:solidFill>
              <w14:schemeClr w14:val="tx1"/>
            </w14:solidFill>
          </w14:textFill>
        </w:rPr>
        <w:t>0</w:t>
      </w:r>
      <w:r>
        <w:rPr>
          <w:color w:val="000000" w:themeColor="text1"/>
          <w:szCs w:val="32"/>
          <w:highlight w:val="none"/>
          <w:lang w:val="zh-CN"/>
          <w14:textFill>
            <w14:solidFill>
              <w14:schemeClr w14:val="tx1"/>
            </w14:solidFill>
          </w14:textFill>
        </w:rPr>
        <w:t xml:space="preserve">    建筑施工噪声排放标准    单位：dB（A）</w:t>
      </w:r>
    </w:p>
    <w:tbl>
      <w:tblPr>
        <w:tblStyle w:val="32"/>
        <w:tblW w:w="833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022"/>
        <w:gridCol w:w="2633"/>
        <w:gridCol w:w="2679"/>
      </w:tblGrid>
      <w:tr w14:paraId="3BB778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22" w:type="dxa"/>
            <w:vMerge w:val="restart"/>
            <w:tcBorders>
              <w:tl2br w:val="nil"/>
              <w:tr2bl w:val="nil"/>
            </w:tcBorders>
            <w:vAlign w:val="center"/>
          </w:tcPr>
          <w:p w14:paraId="32FF0771">
            <w:pPr>
              <w:spacing w:line="360" w:lineRule="exact"/>
              <w:ind w:firstLine="0" w:firstLineChars="0"/>
              <w:jc w:val="center"/>
              <w:rPr>
                <w:b/>
                <w:bCs/>
                <w:color w:val="000000" w:themeColor="text1"/>
                <w:sz w:val="21"/>
                <w:szCs w:val="21"/>
                <w:highlight w:val="none"/>
                <w:lang w:val="zh-CN"/>
                <w14:textFill>
                  <w14:solidFill>
                    <w14:schemeClr w14:val="tx1"/>
                  </w14:solidFill>
                </w14:textFill>
              </w:rPr>
            </w:pPr>
            <w:bookmarkStart w:id="183" w:name="_Toc22408"/>
            <w:bookmarkStart w:id="184" w:name="_Toc22126168"/>
            <w:r>
              <w:rPr>
                <w:b/>
                <w:bCs/>
                <w:color w:val="000000" w:themeColor="text1"/>
                <w:sz w:val="21"/>
                <w:szCs w:val="21"/>
                <w:highlight w:val="none"/>
                <w:lang w:val="zh-CN"/>
                <w14:textFill>
                  <w14:solidFill>
                    <w14:schemeClr w14:val="tx1"/>
                  </w14:solidFill>
                </w14:textFill>
              </w:rPr>
              <w:t>实施阶段</w:t>
            </w:r>
            <w:bookmarkEnd w:id="183"/>
            <w:bookmarkEnd w:id="184"/>
          </w:p>
        </w:tc>
        <w:tc>
          <w:tcPr>
            <w:tcW w:w="5312" w:type="dxa"/>
            <w:gridSpan w:val="2"/>
            <w:tcBorders>
              <w:tl2br w:val="nil"/>
              <w:tr2bl w:val="nil"/>
            </w:tcBorders>
            <w:vAlign w:val="center"/>
          </w:tcPr>
          <w:p w14:paraId="35BD29FA">
            <w:pPr>
              <w:spacing w:line="360" w:lineRule="exact"/>
              <w:ind w:firstLine="0" w:firstLineChars="0"/>
              <w:jc w:val="center"/>
              <w:rPr>
                <w:b/>
                <w:bCs/>
                <w:color w:val="000000" w:themeColor="text1"/>
                <w:sz w:val="21"/>
                <w:szCs w:val="21"/>
                <w:highlight w:val="none"/>
                <w:lang w:val="zh-CN"/>
                <w14:textFill>
                  <w14:solidFill>
                    <w14:schemeClr w14:val="tx1"/>
                  </w14:solidFill>
                </w14:textFill>
              </w:rPr>
            </w:pPr>
            <w:bookmarkStart w:id="185" w:name="_Toc11178"/>
            <w:bookmarkStart w:id="186" w:name="_Toc22126169"/>
            <w:r>
              <w:rPr>
                <w:b/>
                <w:bCs/>
                <w:color w:val="000000" w:themeColor="text1"/>
                <w:sz w:val="21"/>
                <w:szCs w:val="21"/>
                <w:highlight w:val="none"/>
                <w:lang w:val="zh-CN"/>
                <w14:textFill>
                  <w14:solidFill>
                    <w14:schemeClr w14:val="tx1"/>
                  </w14:solidFill>
                </w14:textFill>
              </w:rPr>
              <w:t>噪声排放限值dB（A）</w:t>
            </w:r>
            <w:bookmarkEnd w:id="185"/>
            <w:bookmarkEnd w:id="186"/>
          </w:p>
        </w:tc>
      </w:tr>
      <w:tr w14:paraId="4D443E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22" w:type="dxa"/>
            <w:vMerge w:val="continue"/>
            <w:tcBorders>
              <w:tl2br w:val="nil"/>
              <w:tr2bl w:val="nil"/>
            </w:tcBorders>
            <w:vAlign w:val="center"/>
          </w:tcPr>
          <w:p w14:paraId="05B0A092">
            <w:pPr>
              <w:spacing w:line="360" w:lineRule="exact"/>
              <w:ind w:firstLine="0" w:firstLineChars="0"/>
              <w:jc w:val="center"/>
              <w:rPr>
                <w:b/>
                <w:bCs/>
                <w:color w:val="000000" w:themeColor="text1"/>
                <w:sz w:val="21"/>
                <w:szCs w:val="21"/>
                <w:highlight w:val="none"/>
                <w:lang w:val="zh-CN"/>
                <w14:textFill>
                  <w14:solidFill>
                    <w14:schemeClr w14:val="tx1"/>
                  </w14:solidFill>
                </w14:textFill>
              </w:rPr>
            </w:pPr>
          </w:p>
        </w:tc>
        <w:tc>
          <w:tcPr>
            <w:tcW w:w="2633" w:type="dxa"/>
            <w:tcBorders>
              <w:tl2br w:val="nil"/>
              <w:tr2bl w:val="nil"/>
            </w:tcBorders>
            <w:vAlign w:val="center"/>
          </w:tcPr>
          <w:p w14:paraId="71404E05">
            <w:pPr>
              <w:spacing w:line="360" w:lineRule="exact"/>
              <w:ind w:firstLine="0" w:firstLineChars="0"/>
              <w:jc w:val="center"/>
              <w:rPr>
                <w:b/>
                <w:bCs/>
                <w:color w:val="000000" w:themeColor="text1"/>
                <w:sz w:val="21"/>
                <w:szCs w:val="21"/>
                <w:highlight w:val="none"/>
                <w:lang w:val="zh-CN"/>
                <w14:textFill>
                  <w14:solidFill>
                    <w14:schemeClr w14:val="tx1"/>
                  </w14:solidFill>
                </w14:textFill>
              </w:rPr>
            </w:pPr>
            <w:bookmarkStart w:id="187" w:name="_Toc32038"/>
            <w:bookmarkStart w:id="188" w:name="_Toc22126170"/>
            <w:r>
              <w:rPr>
                <w:b/>
                <w:bCs/>
                <w:color w:val="000000" w:themeColor="text1"/>
                <w:sz w:val="21"/>
                <w:szCs w:val="21"/>
                <w:highlight w:val="none"/>
                <w:lang w:val="zh-CN"/>
                <w14:textFill>
                  <w14:solidFill>
                    <w14:schemeClr w14:val="tx1"/>
                  </w14:solidFill>
                </w14:textFill>
              </w:rPr>
              <w:t>昼间</w:t>
            </w:r>
            <w:bookmarkEnd w:id="187"/>
            <w:bookmarkEnd w:id="188"/>
          </w:p>
        </w:tc>
        <w:tc>
          <w:tcPr>
            <w:tcW w:w="2679" w:type="dxa"/>
            <w:tcBorders>
              <w:tl2br w:val="nil"/>
              <w:tr2bl w:val="nil"/>
            </w:tcBorders>
            <w:vAlign w:val="center"/>
          </w:tcPr>
          <w:p w14:paraId="3B0C9021">
            <w:pPr>
              <w:spacing w:line="360" w:lineRule="exact"/>
              <w:ind w:firstLine="0" w:firstLineChars="0"/>
              <w:jc w:val="center"/>
              <w:rPr>
                <w:b/>
                <w:bCs/>
                <w:color w:val="000000" w:themeColor="text1"/>
                <w:sz w:val="21"/>
                <w:szCs w:val="21"/>
                <w:highlight w:val="none"/>
                <w:lang w:val="zh-CN"/>
                <w14:textFill>
                  <w14:solidFill>
                    <w14:schemeClr w14:val="tx1"/>
                  </w14:solidFill>
                </w14:textFill>
              </w:rPr>
            </w:pPr>
            <w:bookmarkStart w:id="189" w:name="_Toc10682"/>
            <w:bookmarkStart w:id="190" w:name="_Toc22126171"/>
            <w:r>
              <w:rPr>
                <w:b/>
                <w:bCs/>
                <w:color w:val="000000" w:themeColor="text1"/>
                <w:sz w:val="21"/>
                <w:szCs w:val="21"/>
                <w:highlight w:val="none"/>
                <w:lang w:val="zh-CN"/>
                <w14:textFill>
                  <w14:solidFill>
                    <w14:schemeClr w14:val="tx1"/>
                  </w14:solidFill>
                </w14:textFill>
              </w:rPr>
              <w:t>夜间</w:t>
            </w:r>
            <w:bookmarkEnd w:id="189"/>
            <w:bookmarkEnd w:id="190"/>
          </w:p>
        </w:tc>
      </w:tr>
      <w:tr w14:paraId="09C2A3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22" w:type="dxa"/>
            <w:tcBorders>
              <w:tl2br w:val="nil"/>
              <w:tr2bl w:val="nil"/>
            </w:tcBorders>
            <w:vAlign w:val="center"/>
          </w:tcPr>
          <w:p w14:paraId="39914910">
            <w:pPr>
              <w:spacing w:line="360" w:lineRule="exact"/>
              <w:ind w:firstLine="0" w:firstLineChars="0"/>
              <w:jc w:val="center"/>
              <w:rPr>
                <w:color w:val="000000" w:themeColor="text1"/>
                <w:sz w:val="21"/>
                <w:szCs w:val="21"/>
                <w:highlight w:val="none"/>
                <w:lang w:val="zh-CN"/>
                <w14:textFill>
                  <w14:solidFill>
                    <w14:schemeClr w14:val="tx1"/>
                  </w14:solidFill>
                </w14:textFill>
              </w:rPr>
            </w:pPr>
            <w:bookmarkStart w:id="191" w:name="_Toc22126172"/>
            <w:bookmarkStart w:id="192" w:name="_Toc24792"/>
            <w:r>
              <w:rPr>
                <w:color w:val="000000" w:themeColor="text1"/>
                <w:sz w:val="21"/>
                <w:szCs w:val="21"/>
                <w:highlight w:val="none"/>
                <w:lang w:val="zh-CN"/>
                <w14:textFill>
                  <w14:solidFill>
                    <w14:schemeClr w14:val="tx1"/>
                  </w14:solidFill>
                </w14:textFill>
              </w:rPr>
              <w:t>建筑施工</w:t>
            </w:r>
            <w:bookmarkEnd w:id="191"/>
            <w:bookmarkEnd w:id="192"/>
          </w:p>
        </w:tc>
        <w:tc>
          <w:tcPr>
            <w:tcW w:w="2633" w:type="dxa"/>
            <w:tcBorders>
              <w:tl2br w:val="nil"/>
              <w:tr2bl w:val="nil"/>
            </w:tcBorders>
            <w:vAlign w:val="center"/>
          </w:tcPr>
          <w:p w14:paraId="7C53168F">
            <w:pPr>
              <w:spacing w:line="360" w:lineRule="exact"/>
              <w:ind w:firstLine="0" w:firstLineChars="0"/>
              <w:jc w:val="center"/>
              <w:rPr>
                <w:color w:val="000000" w:themeColor="text1"/>
                <w:sz w:val="21"/>
                <w:szCs w:val="21"/>
                <w:highlight w:val="none"/>
                <w:lang w:val="zh-CN"/>
                <w14:textFill>
                  <w14:solidFill>
                    <w14:schemeClr w14:val="tx1"/>
                  </w14:solidFill>
                </w14:textFill>
              </w:rPr>
            </w:pPr>
            <w:bookmarkStart w:id="193" w:name="_Toc25886"/>
            <w:bookmarkStart w:id="194" w:name="_Toc22126173"/>
            <w:r>
              <w:rPr>
                <w:color w:val="000000" w:themeColor="text1"/>
                <w:sz w:val="21"/>
                <w:szCs w:val="21"/>
                <w:highlight w:val="none"/>
                <w:lang w:val="zh-CN"/>
                <w14:textFill>
                  <w14:solidFill>
                    <w14:schemeClr w14:val="tx1"/>
                  </w14:solidFill>
                </w14:textFill>
              </w:rPr>
              <w:t>70</w:t>
            </w:r>
            <w:bookmarkEnd w:id="193"/>
            <w:bookmarkEnd w:id="194"/>
          </w:p>
        </w:tc>
        <w:tc>
          <w:tcPr>
            <w:tcW w:w="2679" w:type="dxa"/>
            <w:tcBorders>
              <w:tl2br w:val="nil"/>
              <w:tr2bl w:val="nil"/>
            </w:tcBorders>
            <w:vAlign w:val="center"/>
          </w:tcPr>
          <w:p w14:paraId="587849E4">
            <w:pPr>
              <w:spacing w:line="360" w:lineRule="exact"/>
              <w:ind w:firstLine="0" w:firstLineChars="0"/>
              <w:jc w:val="center"/>
              <w:rPr>
                <w:color w:val="000000" w:themeColor="text1"/>
                <w:sz w:val="21"/>
                <w:szCs w:val="21"/>
                <w:highlight w:val="none"/>
                <w:lang w:val="zh-CN"/>
                <w14:textFill>
                  <w14:solidFill>
                    <w14:schemeClr w14:val="tx1"/>
                  </w14:solidFill>
                </w14:textFill>
              </w:rPr>
            </w:pPr>
            <w:bookmarkStart w:id="195" w:name="_Toc22126174"/>
            <w:bookmarkStart w:id="196" w:name="_Toc31449"/>
            <w:r>
              <w:rPr>
                <w:color w:val="000000" w:themeColor="text1"/>
                <w:sz w:val="21"/>
                <w:szCs w:val="21"/>
                <w:highlight w:val="none"/>
                <w:lang w:val="zh-CN"/>
                <w14:textFill>
                  <w14:solidFill>
                    <w14:schemeClr w14:val="tx1"/>
                  </w14:solidFill>
                </w14:textFill>
              </w:rPr>
              <w:t>55</w:t>
            </w:r>
            <w:bookmarkEnd w:id="195"/>
            <w:bookmarkEnd w:id="196"/>
          </w:p>
        </w:tc>
      </w:tr>
    </w:tbl>
    <w:p w14:paraId="37825D8A">
      <w:pPr>
        <w:overflowPunct w:val="0"/>
        <w:topLinePunct/>
        <w:ind w:firstLine="476"/>
        <w:rPr>
          <w:color w:val="000000" w:themeColor="text1"/>
          <w:spacing w:val="-1"/>
          <w:szCs w:val="32"/>
          <w:highlight w:val="none"/>
          <w14:textFill>
            <w14:solidFill>
              <w14:schemeClr w14:val="tx1"/>
            </w14:solidFill>
          </w14:textFill>
        </w:rPr>
      </w:pPr>
      <w:r>
        <w:rPr>
          <w:color w:val="000000" w:themeColor="text1"/>
          <w:spacing w:val="-1"/>
          <w:szCs w:val="32"/>
          <w:highlight w:val="none"/>
          <w14:textFill>
            <w14:solidFill>
              <w14:schemeClr w14:val="tx1"/>
            </w14:solidFill>
          </w14:textFill>
        </w:rPr>
        <w:t>运营期噪声执行《工业企业厂界环境噪声排放标准》（GB12348-2008）中</w:t>
      </w:r>
      <w:r>
        <w:rPr>
          <w:rFonts w:hint="eastAsia"/>
          <w:color w:val="000000" w:themeColor="text1"/>
          <w:spacing w:val="-1"/>
          <w:szCs w:val="32"/>
          <w:highlight w:val="none"/>
          <w:lang w:val="en-US" w:eastAsia="zh-CN"/>
          <w14:textFill>
            <w14:solidFill>
              <w14:schemeClr w14:val="tx1"/>
            </w14:solidFill>
          </w14:textFill>
        </w:rPr>
        <w:t>2</w:t>
      </w:r>
      <w:r>
        <w:rPr>
          <w:color w:val="000000" w:themeColor="text1"/>
          <w:spacing w:val="-1"/>
          <w:szCs w:val="32"/>
          <w:highlight w:val="none"/>
          <w14:textFill>
            <w14:solidFill>
              <w14:schemeClr w14:val="tx1"/>
            </w14:solidFill>
          </w14:textFill>
        </w:rPr>
        <w:t>类标准。详见表2.5-1</w:t>
      </w:r>
      <w:r>
        <w:rPr>
          <w:rFonts w:hint="eastAsia"/>
          <w:color w:val="000000" w:themeColor="text1"/>
          <w:spacing w:val="-1"/>
          <w:szCs w:val="32"/>
          <w:highlight w:val="none"/>
          <w:lang w:val="en-US" w:eastAsia="zh-CN"/>
          <w14:textFill>
            <w14:solidFill>
              <w14:schemeClr w14:val="tx1"/>
            </w14:solidFill>
          </w14:textFill>
        </w:rPr>
        <w:t>1</w:t>
      </w:r>
      <w:r>
        <w:rPr>
          <w:color w:val="000000" w:themeColor="text1"/>
          <w:spacing w:val="-1"/>
          <w:szCs w:val="32"/>
          <w:highlight w:val="none"/>
          <w14:textFill>
            <w14:solidFill>
              <w14:schemeClr w14:val="tx1"/>
            </w14:solidFill>
          </w14:textFill>
        </w:rPr>
        <w:t>。</w:t>
      </w:r>
    </w:p>
    <w:p w14:paraId="32DDA256">
      <w:pPr>
        <w:pStyle w:val="47"/>
        <w:widowControl w:val="0"/>
        <w:rPr>
          <w:color w:val="000000" w:themeColor="text1"/>
          <w:szCs w:val="32"/>
          <w:highlight w:val="none"/>
          <w14:textFill>
            <w14:solidFill>
              <w14:schemeClr w14:val="tx1"/>
            </w14:solidFill>
          </w14:textFill>
        </w:rPr>
      </w:pPr>
      <w:r>
        <w:rPr>
          <w:color w:val="000000" w:themeColor="text1"/>
          <w:szCs w:val="32"/>
          <w:highlight w:val="none"/>
          <w14:textFill>
            <w14:solidFill>
              <w14:schemeClr w14:val="tx1"/>
            </w14:solidFill>
          </w14:textFill>
        </w:rPr>
        <w:t>表2.5-1</w:t>
      </w:r>
      <w:r>
        <w:rPr>
          <w:rFonts w:hint="eastAsia"/>
          <w:color w:val="000000" w:themeColor="text1"/>
          <w:szCs w:val="32"/>
          <w:highlight w:val="none"/>
          <w:lang w:val="en-US" w:eastAsia="zh-CN"/>
          <w14:textFill>
            <w14:solidFill>
              <w14:schemeClr w14:val="tx1"/>
            </w14:solidFill>
          </w14:textFill>
        </w:rPr>
        <w:t>1</w:t>
      </w:r>
      <w:r>
        <w:rPr>
          <w:color w:val="000000" w:themeColor="text1"/>
          <w:szCs w:val="32"/>
          <w:highlight w:val="none"/>
          <w14:textFill>
            <w14:solidFill>
              <w14:schemeClr w14:val="tx1"/>
            </w14:solidFill>
          </w14:textFill>
        </w:rPr>
        <w:t xml:space="preserve">    工业企业厂界环境噪声排放标准    单位：dB(A)</w:t>
      </w:r>
    </w:p>
    <w:tbl>
      <w:tblPr>
        <w:tblStyle w:val="32"/>
        <w:tblW w:w="8334" w:type="dxa"/>
        <w:jc w:val="center"/>
        <w:tblLayout w:type="fixed"/>
        <w:tblCellMar>
          <w:top w:w="0" w:type="dxa"/>
          <w:left w:w="0" w:type="dxa"/>
          <w:bottom w:w="0" w:type="dxa"/>
          <w:right w:w="0" w:type="dxa"/>
        </w:tblCellMar>
      </w:tblPr>
      <w:tblGrid>
        <w:gridCol w:w="3022"/>
        <w:gridCol w:w="2633"/>
        <w:gridCol w:w="2679"/>
      </w:tblGrid>
      <w:tr w14:paraId="6567F15A">
        <w:tblPrEx>
          <w:tblCellMar>
            <w:top w:w="0" w:type="dxa"/>
            <w:left w:w="0" w:type="dxa"/>
            <w:bottom w:w="0" w:type="dxa"/>
            <w:right w:w="0" w:type="dxa"/>
          </w:tblCellMar>
        </w:tblPrEx>
        <w:trPr>
          <w:trHeight w:val="340" w:hRule="atLeast"/>
          <w:jc w:val="center"/>
        </w:trPr>
        <w:tc>
          <w:tcPr>
            <w:tcW w:w="3022" w:type="dxa"/>
            <w:vMerge w:val="restart"/>
            <w:tcBorders>
              <w:top w:val="single" w:color="000000" w:sz="12" w:space="0"/>
              <w:left w:val="single" w:color="000000" w:sz="12" w:space="0"/>
              <w:bottom w:val="single" w:color="000000" w:sz="4" w:space="0"/>
              <w:right w:val="single" w:color="000000" w:sz="4" w:space="0"/>
            </w:tcBorders>
            <w:vAlign w:val="center"/>
          </w:tcPr>
          <w:p w14:paraId="6A72C81E">
            <w:pPr>
              <w:pStyle w:val="53"/>
              <w:spacing w:after="0" w:line="360" w:lineRule="exact"/>
              <w:ind w:firstLine="0" w:firstLineChars="0"/>
              <w:rPr>
                <w:rFonts w:ascii="Times New Roman" w:hAnsi="Times New Roman" w:eastAsia="宋体" w:cs="Times New Roman"/>
                <w:bCs/>
                <w:color w:val="000000" w:themeColor="text1"/>
                <w:sz w:val="21"/>
                <w:highlight w:val="none"/>
                <w14:textFill>
                  <w14:solidFill>
                    <w14:schemeClr w14:val="tx1"/>
                  </w14:solidFill>
                </w14:textFill>
              </w:rPr>
            </w:pPr>
            <w:bookmarkStart w:id="197" w:name="_Toc3399"/>
            <w:bookmarkStart w:id="198" w:name="_Toc10644"/>
            <w:bookmarkStart w:id="199" w:name="_Toc15161"/>
            <w:r>
              <w:rPr>
                <w:rFonts w:ascii="Times New Roman" w:hAnsi="Times New Roman" w:eastAsia="宋体" w:cs="Times New Roman"/>
                <w:bCs/>
                <w:color w:val="000000" w:themeColor="text1"/>
                <w:sz w:val="21"/>
                <w:highlight w:val="none"/>
                <w14:textFill>
                  <w14:solidFill>
                    <w14:schemeClr w14:val="tx1"/>
                  </w14:solidFill>
                </w14:textFill>
              </w:rPr>
              <w:t>声环境功能区类别</w:t>
            </w:r>
            <w:bookmarkEnd w:id="197"/>
            <w:bookmarkEnd w:id="198"/>
            <w:bookmarkEnd w:id="199"/>
          </w:p>
        </w:tc>
        <w:tc>
          <w:tcPr>
            <w:tcW w:w="5312" w:type="dxa"/>
            <w:gridSpan w:val="2"/>
            <w:tcBorders>
              <w:top w:val="single" w:color="000000" w:sz="12" w:space="0"/>
              <w:left w:val="single" w:color="000000" w:sz="4" w:space="0"/>
              <w:bottom w:val="single" w:color="000000" w:sz="4" w:space="0"/>
              <w:right w:val="single" w:color="000000" w:sz="12" w:space="0"/>
            </w:tcBorders>
            <w:vAlign w:val="center"/>
          </w:tcPr>
          <w:p w14:paraId="3DD80473">
            <w:pPr>
              <w:pStyle w:val="53"/>
              <w:spacing w:after="0" w:line="360" w:lineRule="exact"/>
              <w:ind w:firstLine="0" w:firstLineChars="0"/>
              <w:rPr>
                <w:rFonts w:ascii="Times New Roman" w:hAnsi="Times New Roman" w:eastAsia="宋体" w:cs="Times New Roman"/>
                <w:bCs/>
                <w:color w:val="000000" w:themeColor="text1"/>
                <w:sz w:val="21"/>
                <w:highlight w:val="none"/>
                <w14:textFill>
                  <w14:solidFill>
                    <w14:schemeClr w14:val="tx1"/>
                  </w14:solidFill>
                </w14:textFill>
              </w:rPr>
            </w:pPr>
            <w:bookmarkStart w:id="200" w:name="_Toc17925"/>
            <w:bookmarkStart w:id="201" w:name="_Toc9852"/>
            <w:bookmarkStart w:id="202" w:name="_Toc23131"/>
            <w:r>
              <w:rPr>
                <w:rFonts w:ascii="Times New Roman" w:hAnsi="Times New Roman" w:eastAsia="宋体" w:cs="Times New Roman"/>
                <w:bCs/>
                <w:color w:val="000000" w:themeColor="text1"/>
                <w:sz w:val="21"/>
                <w:highlight w:val="none"/>
                <w14:textFill>
                  <w14:solidFill>
                    <w14:schemeClr w14:val="tx1"/>
                  </w14:solidFill>
                </w14:textFill>
              </w:rPr>
              <w:t>时段</w:t>
            </w:r>
            <w:bookmarkEnd w:id="200"/>
            <w:bookmarkEnd w:id="201"/>
            <w:bookmarkEnd w:id="202"/>
          </w:p>
        </w:tc>
      </w:tr>
      <w:tr w14:paraId="66469914">
        <w:tblPrEx>
          <w:tblCellMar>
            <w:top w:w="0" w:type="dxa"/>
            <w:left w:w="0" w:type="dxa"/>
            <w:bottom w:w="0" w:type="dxa"/>
            <w:right w:w="0" w:type="dxa"/>
          </w:tblCellMar>
        </w:tblPrEx>
        <w:trPr>
          <w:trHeight w:val="340" w:hRule="atLeast"/>
          <w:jc w:val="center"/>
        </w:trPr>
        <w:tc>
          <w:tcPr>
            <w:tcW w:w="3022" w:type="dxa"/>
            <w:vMerge w:val="continue"/>
            <w:tcBorders>
              <w:top w:val="single" w:color="000000" w:sz="4" w:space="0"/>
              <w:left w:val="single" w:color="000000" w:sz="12" w:space="0"/>
              <w:bottom w:val="single" w:color="000000" w:sz="4" w:space="0"/>
              <w:right w:val="single" w:color="000000" w:sz="4" w:space="0"/>
            </w:tcBorders>
            <w:vAlign w:val="center"/>
          </w:tcPr>
          <w:p w14:paraId="646DD4D2">
            <w:pPr>
              <w:pStyle w:val="53"/>
              <w:spacing w:after="0" w:line="360" w:lineRule="exact"/>
              <w:ind w:firstLine="0" w:firstLineChars="0"/>
              <w:rPr>
                <w:rFonts w:ascii="Times New Roman" w:hAnsi="Times New Roman" w:eastAsia="宋体" w:cs="Times New Roman"/>
                <w:bCs/>
                <w:color w:val="000000" w:themeColor="text1"/>
                <w:sz w:val="21"/>
                <w:highlight w:val="none"/>
                <w14:textFill>
                  <w14:solidFill>
                    <w14:schemeClr w14:val="tx1"/>
                  </w14:solidFill>
                </w14:textFill>
              </w:rPr>
            </w:pPr>
          </w:p>
        </w:tc>
        <w:tc>
          <w:tcPr>
            <w:tcW w:w="2633" w:type="dxa"/>
            <w:tcBorders>
              <w:top w:val="single" w:color="000000" w:sz="4" w:space="0"/>
              <w:left w:val="single" w:color="000000" w:sz="4" w:space="0"/>
              <w:bottom w:val="single" w:color="000000" w:sz="4" w:space="0"/>
              <w:right w:val="single" w:color="000000" w:sz="4" w:space="0"/>
            </w:tcBorders>
            <w:vAlign w:val="center"/>
          </w:tcPr>
          <w:p w14:paraId="5AA01111">
            <w:pPr>
              <w:pStyle w:val="53"/>
              <w:spacing w:after="0" w:line="360" w:lineRule="exact"/>
              <w:ind w:firstLine="0" w:firstLineChars="0"/>
              <w:rPr>
                <w:rFonts w:ascii="Times New Roman" w:hAnsi="Times New Roman" w:eastAsia="宋体" w:cs="Times New Roman"/>
                <w:bCs/>
                <w:color w:val="000000" w:themeColor="text1"/>
                <w:sz w:val="21"/>
                <w:highlight w:val="none"/>
                <w14:textFill>
                  <w14:solidFill>
                    <w14:schemeClr w14:val="tx1"/>
                  </w14:solidFill>
                </w14:textFill>
              </w:rPr>
            </w:pPr>
            <w:bookmarkStart w:id="203" w:name="_Toc32714"/>
            <w:bookmarkStart w:id="204" w:name="_Toc4263"/>
            <w:bookmarkStart w:id="205" w:name="_Toc12601"/>
            <w:r>
              <w:rPr>
                <w:rFonts w:ascii="Times New Roman" w:hAnsi="Times New Roman" w:eastAsia="宋体" w:cs="Times New Roman"/>
                <w:bCs/>
                <w:color w:val="000000" w:themeColor="text1"/>
                <w:sz w:val="21"/>
                <w:highlight w:val="none"/>
                <w14:textFill>
                  <w14:solidFill>
                    <w14:schemeClr w14:val="tx1"/>
                  </w14:solidFill>
                </w14:textFill>
              </w:rPr>
              <w:t>昼间</w:t>
            </w:r>
            <w:bookmarkEnd w:id="203"/>
            <w:bookmarkEnd w:id="204"/>
            <w:bookmarkEnd w:id="205"/>
          </w:p>
        </w:tc>
        <w:tc>
          <w:tcPr>
            <w:tcW w:w="2679" w:type="dxa"/>
            <w:tcBorders>
              <w:top w:val="single" w:color="000000" w:sz="4" w:space="0"/>
              <w:left w:val="single" w:color="000000" w:sz="4" w:space="0"/>
              <w:bottom w:val="single" w:color="000000" w:sz="4" w:space="0"/>
              <w:right w:val="single" w:color="000000" w:sz="12" w:space="0"/>
            </w:tcBorders>
            <w:vAlign w:val="center"/>
          </w:tcPr>
          <w:p w14:paraId="714BDC6D">
            <w:pPr>
              <w:pStyle w:val="53"/>
              <w:spacing w:after="0" w:line="360" w:lineRule="exact"/>
              <w:ind w:firstLine="0" w:firstLineChars="0"/>
              <w:rPr>
                <w:rFonts w:ascii="Times New Roman" w:hAnsi="Times New Roman" w:eastAsia="宋体" w:cs="Times New Roman"/>
                <w:bCs/>
                <w:color w:val="000000" w:themeColor="text1"/>
                <w:sz w:val="21"/>
                <w:highlight w:val="none"/>
                <w14:textFill>
                  <w14:solidFill>
                    <w14:schemeClr w14:val="tx1"/>
                  </w14:solidFill>
                </w14:textFill>
              </w:rPr>
            </w:pPr>
            <w:bookmarkStart w:id="206" w:name="_Toc31272"/>
            <w:bookmarkStart w:id="207" w:name="_Toc31120"/>
            <w:bookmarkStart w:id="208" w:name="_Toc11999"/>
            <w:r>
              <w:rPr>
                <w:rFonts w:ascii="Times New Roman" w:hAnsi="Times New Roman" w:eastAsia="宋体" w:cs="Times New Roman"/>
                <w:bCs/>
                <w:color w:val="000000" w:themeColor="text1"/>
                <w:sz w:val="21"/>
                <w:highlight w:val="none"/>
                <w14:textFill>
                  <w14:solidFill>
                    <w14:schemeClr w14:val="tx1"/>
                  </w14:solidFill>
                </w14:textFill>
              </w:rPr>
              <w:t>夜间</w:t>
            </w:r>
            <w:bookmarkEnd w:id="206"/>
            <w:bookmarkEnd w:id="207"/>
            <w:bookmarkEnd w:id="208"/>
          </w:p>
        </w:tc>
      </w:tr>
      <w:tr w14:paraId="6AE548A5">
        <w:tblPrEx>
          <w:tblCellMar>
            <w:top w:w="0" w:type="dxa"/>
            <w:left w:w="0" w:type="dxa"/>
            <w:bottom w:w="0" w:type="dxa"/>
            <w:right w:w="0" w:type="dxa"/>
          </w:tblCellMar>
        </w:tblPrEx>
        <w:trPr>
          <w:trHeight w:val="340" w:hRule="atLeast"/>
          <w:jc w:val="center"/>
        </w:trPr>
        <w:tc>
          <w:tcPr>
            <w:tcW w:w="3022" w:type="dxa"/>
            <w:tcBorders>
              <w:top w:val="single" w:color="000000" w:sz="4" w:space="0"/>
              <w:left w:val="single" w:color="000000" w:sz="12" w:space="0"/>
              <w:bottom w:val="single" w:color="000000" w:sz="12" w:space="0"/>
              <w:right w:val="single" w:color="000000" w:sz="4" w:space="0"/>
            </w:tcBorders>
            <w:vAlign w:val="center"/>
          </w:tcPr>
          <w:p w14:paraId="5CB217AC">
            <w:pPr>
              <w:pStyle w:val="53"/>
              <w:spacing w:after="0" w:line="360" w:lineRule="exact"/>
              <w:ind w:firstLine="0" w:firstLineChars="0"/>
              <w:rPr>
                <w:rFonts w:ascii="Times New Roman" w:hAnsi="Times New Roman" w:eastAsia="宋体" w:cs="Times New Roman"/>
                <w:b w:val="0"/>
                <w:color w:val="000000" w:themeColor="text1"/>
                <w:sz w:val="21"/>
                <w:highlight w:val="none"/>
                <w14:textFill>
                  <w14:solidFill>
                    <w14:schemeClr w14:val="tx1"/>
                  </w14:solidFill>
                </w14:textFill>
              </w:rPr>
            </w:pPr>
            <w:bookmarkStart w:id="209" w:name="_Toc24599"/>
            <w:bookmarkStart w:id="210" w:name="_Toc22781"/>
            <w:bookmarkStart w:id="211" w:name="_Toc23629"/>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2</w:t>
            </w:r>
            <w:r>
              <w:rPr>
                <w:rFonts w:ascii="Times New Roman" w:hAnsi="Times New Roman" w:eastAsia="宋体" w:cs="Times New Roman"/>
                <w:b w:val="0"/>
                <w:color w:val="000000" w:themeColor="text1"/>
                <w:sz w:val="21"/>
                <w:highlight w:val="none"/>
                <w14:textFill>
                  <w14:solidFill>
                    <w14:schemeClr w14:val="tx1"/>
                  </w14:solidFill>
                </w14:textFill>
              </w:rPr>
              <w:t>类</w:t>
            </w:r>
            <w:bookmarkEnd w:id="209"/>
            <w:bookmarkEnd w:id="210"/>
            <w:bookmarkEnd w:id="211"/>
          </w:p>
        </w:tc>
        <w:tc>
          <w:tcPr>
            <w:tcW w:w="2633" w:type="dxa"/>
            <w:tcBorders>
              <w:top w:val="single" w:color="000000" w:sz="4" w:space="0"/>
              <w:left w:val="single" w:color="000000" w:sz="4" w:space="0"/>
              <w:bottom w:val="single" w:color="000000" w:sz="12" w:space="0"/>
              <w:right w:val="single" w:color="000000" w:sz="4" w:space="0"/>
            </w:tcBorders>
            <w:vAlign w:val="center"/>
          </w:tcPr>
          <w:p w14:paraId="620E92D3">
            <w:pPr>
              <w:pStyle w:val="53"/>
              <w:spacing w:after="0" w:line="360" w:lineRule="exact"/>
              <w:ind w:firstLine="0" w:firstLineChars="0"/>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pPr>
            <w:bookmarkStart w:id="212" w:name="_Toc7392"/>
            <w:bookmarkStart w:id="213" w:name="_Toc26847"/>
            <w:bookmarkStart w:id="214" w:name="_Toc29809"/>
            <w:r>
              <w:rPr>
                <w:rFonts w:ascii="Times New Roman" w:hAnsi="Times New Roman" w:eastAsia="宋体" w:cs="Times New Roman"/>
                <w:b w:val="0"/>
                <w:color w:val="000000" w:themeColor="text1"/>
                <w:sz w:val="21"/>
                <w:highlight w:val="none"/>
                <w14:textFill>
                  <w14:solidFill>
                    <w14:schemeClr w14:val="tx1"/>
                  </w14:solidFill>
                </w14:textFill>
              </w:rPr>
              <w:t>6</w:t>
            </w:r>
            <w:bookmarkEnd w:id="212"/>
            <w:bookmarkEnd w:id="213"/>
            <w:bookmarkEnd w:id="214"/>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0</w:t>
            </w:r>
          </w:p>
        </w:tc>
        <w:tc>
          <w:tcPr>
            <w:tcW w:w="2679" w:type="dxa"/>
            <w:tcBorders>
              <w:top w:val="single" w:color="000000" w:sz="4" w:space="0"/>
              <w:left w:val="single" w:color="000000" w:sz="4" w:space="0"/>
              <w:bottom w:val="single" w:color="000000" w:sz="12" w:space="0"/>
              <w:right w:val="single" w:color="000000" w:sz="12" w:space="0"/>
            </w:tcBorders>
            <w:vAlign w:val="center"/>
          </w:tcPr>
          <w:p w14:paraId="136237B7">
            <w:pPr>
              <w:pStyle w:val="53"/>
              <w:spacing w:after="0" w:line="360" w:lineRule="exact"/>
              <w:ind w:firstLine="0" w:firstLineChars="0"/>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pPr>
            <w:bookmarkStart w:id="215" w:name="_Toc365"/>
            <w:bookmarkStart w:id="216" w:name="_Toc24749"/>
            <w:bookmarkStart w:id="217" w:name="_Toc13905"/>
            <w:r>
              <w:rPr>
                <w:rFonts w:ascii="Times New Roman" w:hAnsi="Times New Roman" w:eastAsia="宋体" w:cs="Times New Roman"/>
                <w:b w:val="0"/>
                <w:color w:val="000000" w:themeColor="text1"/>
                <w:sz w:val="21"/>
                <w:highlight w:val="none"/>
                <w14:textFill>
                  <w14:solidFill>
                    <w14:schemeClr w14:val="tx1"/>
                  </w14:solidFill>
                </w14:textFill>
              </w:rPr>
              <w:t>5</w:t>
            </w:r>
            <w:bookmarkEnd w:id="215"/>
            <w:bookmarkEnd w:id="216"/>
            <w:bookmarkEnd w:id="217"/>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0</w:t>
            </w:r>
          </w:p>
        </w:tc>
      </w:tr>
    </w:tbl>
    <w:p w14:paraId="4C3895FC">
      <w:pPr>
        <w:overflowPunct w:val="0"/>
        <w:topLinePunct/>
        <w:ind w:firstLine="480"/>
        <w:rPr>
          <w:color w:val="000000" w:themeColor="text1"/>
          <w:szCs w:val="20"/>
          <w:highlight w:val="none"/>
          <w14:textFill>
            <w14:solidFill>
              <w14:schemeClr w14:val="tx1"/>
            </w14:solidFill>
          </w14:textFill>
        </w:rPr>
      </w:pPr>
      <w:r>
        <w:rPr>
          <w:color w:val="000000" w:themeColor="text1"/>
          <w:szCs w:val="20"/>
          <w:highlight w:val="none"/>
          <w14:textFill>
            <w14:solidFill>
              <w14:schemeClr w14:val="tx1"/>
            </w14:solidFill>
          </w14:textFill>
        </w:rPr>
        <w:t>（4）固体废物</w:t>
      </w:r>
    </w:p>
    <w:p w14:paraId="7B6198AF">
      <w:pPr>
        <w:overflowPunct w:val="0"/>
        <w:topLinePunct/>
        <w:ind w:firstLine="480"/>
        <w:rPr>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项目主要固体废物</w:t>
      </w:r>
      <w:r>
        <w:rPr>
          <w:rFonts w:hint="eastAsia"/>
          <w:color w:val="000000" w:themeColor="text1"/>
          <w:kern w:val="0"/>
          <w:highlight w:val="none"/>
          <w:lang w:eastAsia="zh-CN"/>
          <w14:textFill>
            <w14:solidFill>
              <w14:schemeClr w14:val="tx1"/>
            </w14:solidFill>
          </w14:textFill>
        </w:rPr>
        <w:t>为</w:t>
      </w:r>
      <w:r>
        <w:rPr>
          <w:rFonts w:hint="eastAsia"/>
          <w:color w:val="000000" w:themeColor="text1"/>
          <w:kern w:val="0"/>
          <w:highlight w:val="none"/>
          <w14:textFill>
            <w14:solidFill>
              <w14:schemeClr w14:val="tx1"/>
            </w14:solidFill>
          </w14:textFill>
        </w:rPr>
        <w:t>尾矿砂</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14:textFill>
            <w14:solidFill>
              <w14:schemeClr w14:val="tx1"/>
            </w14:solidFill>
          </w14:textFill>
        </w:rPr>
        <w:t>生活垃圾及废机油等。一般固体废物</w:t>
      </w:r>
      <w:r>
        <w:rPr>
          <w:rFonts w:hint="eastAsia"/>
          <w:color w:val="000000" w:themeColor="text1"/>
          <w:kern w:val="0"/>
          <w:highlight w:val="none"/>
          <w:lang w:val="en-US" w:eastAsia="zh-CN"/>
          <w14:textFill>
            <w14:solidFill>
              <w14:schemeClr w14:val="tx1"/>
            </w14:solidFill>
          </w14:textFill>
        </w:rPr>
        <w:t>贮存</w:t>
      </w:r>
      <w:r>
        <w:rPr>
          <w:color w:val="000000" w:themeColor="text1"/>
          <w:kern w:val="0"/>
          <w:highlight w:val="none"/>
          <w14:textFill>
            <w14:solidFill>
              <w14:schemeClr w14:val="tx1"/>
            </w14:solidFill>
          </w14:textFill>
        </w:rPr>
        <w:t>执行《一般工业固体废物贮存和填埋污染控制标准》（GB18599-2020）中的固体废物执行标准，尾矿</w:t>
      </w:r>
      <w:r>
        <w:rPr>
          <w:rFonts w:hint="eastAsia"/>
          <w:color w:val="000000" w:themeColor="text1"/>
          <w:kern w:val="0"/>
          <w:highlight w:val="none"/>
          <w14:textFill>
            <w14:solidFill>
              <w14:schemeClr w14:val="tx1"/>
            </w14:solidFill>
          </w14:textFill>
        </w:rPr>
        <w:t>砂</w:t>
      </w:r>
      <w:r>
        <w:rPr>
          <w:color w:val="000000" w:themeColor="text1"/>
          <w:kern w:val="0"/>
          <w:highlight w:val="none"/>
          <w14:textFill>
            <w14:solidFill>
              <w14:schemeClr w14:val="tx1"/>
            </w14:solidFill>
          </w14:textFill>
        </w:rPr>
        <w:t>鉴别执行《危险废物鉴别标准-腐蚀性鉴别》（GB5085.1-2007）和《危险废物鉴别标准-浸出毒性鉴别》（GB5085.3-2007）（浸出液最高允许浓度）标准有关标准限值见表2.5-1</w:t>
      </w:r>
      <w:r>
        <w:rPr>
          <w:rFonts w:hint="eastAsia"/>
          <w:color w:val="000000" w:themeColor="text1"/>
          <w:kern w:val="0"/>
          <w:highlight w:val="none"/>
          <w:lang w:val="en-US" w:eastAsia="zh-CN"/>
          <w14:textFill>
            <w14:solidFill>
              <w14:schemeClr w14:val="tx1"/>
            </w14:solidFill>
          </w14:textFill>
        </w:rPr>
        <w:t>2</w:t>
      </w:r>
      <w:r>
        <w:rPr>
          <w:color w:val="000000" w:themeColor="text1"/>
          <w:kern w:val="0"/>
          <w:highlight w:val="none"/>
          <w14:textFill>
            <w14:solidFill>
              <w14:schemeClr w14:val="tx1"/>
            </w14:solidFill>
          </w14:textFill>
        </w:rPr>
        <w:t>。</w:t>
      </w:r>
    </w:p>
    <w:p w14:paraId="267381BE">
      <w:pPr>
        <w:ind w:firstLine="0" w:firstLineChars="0"/>
        <w:jc w:val="center"/>
        <w:rPr>
          <w:b/>
          <w:color w:val="000000" w:themeColor="text1"/>
          <w:highlight w:val="none"/>
          <w14:textFill>
            <w14:solidFill>
              <w14:schemeClr w14:val="tx1"/>
            </w14:solidFill>
          </w14:textFill>
        </w:rPr>
      </w:pPr>
      <w:r>
        <w:rPr>
          <w:b/>
          <w:color w:val="000000" w:themeColor="text1"/>
          <w:kern w:val="0"/>
          <w:highlight w:val="none"/>
          <w14:textFill>
            <w14:solidFill>
              <w14:schemeClr w14:val="tx1"/>
            </w14:solidFill>
          </w14:textFill>
        </w:rPr>
        <w:t>表2.5-1</w:t>
      </w:r>
      <w:r>
        <w:rPr>
          <w:rFonts w:hint="eastAsia"/>
          <w:b/>
          <w:color w:val="000000" w:themeColor="text1"/>
          <w:kern w:val="0"/>
          <w:highlight w:val="none"/>
          <w:lang w:val="en-US" w:eastAsia="zh-CN"/>
          <w14:textFill>
            <w14:solidFill>
              <w14:schemeClr w14:val="tx1"/>
            </w14:solidFill>
          </w14:textFill>
        </w:rPr>
        <w:t>2</w:t>
      </w:r>
      <w:r>
        <w:rPr>
          <w:b/>
          <w:color w:val="000000" w:themeColor="text1"/>
          <w:kern w:val="0"/>
          <w:highlight w:val="none"/>
          <w14:textFill>
            <w14:solidFill>
              <w14:schemeClr w14:val="tx1"/>
            </w14:solidFill>
          </w14:textFill>
        </w:rPr>
        <w:t xml:space="preserve">    项目危险固体废物鉴别标准    单位：mg/L</w:t>
      </w:r>
    </w:p>
    <w:tbl>
      <w:tblPr>
        <w:tblStyle w:val="32"/>
        <w:tblW w:w="85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1377"/>
        <w:gridCol w:w="2937"/>
        <w:gridCol w:w="1827"/>
      </w:tblGrid>
      <w:tr w14:paraId="3F660D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379" w:type="dxa"/>
            <w:vAlign w:val="center"/>
          </w:tcPr>
          <w:p w14:paraId="3E5E89D0">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GB5085.1-2007</w:t>
            </w:r>
          </w:p>
          <w:p w14:paraId="07803F2D">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腐蚀性鉴别</w:t>
            </w:r>
          </w:p>
        </w:tc>
        <w:tc>
          <w:tcPr>
            <w:tcW w:w="6141" w:type="dxa"/>
            <w:gridSpan w:val="3"/>
            <w:vAlign w:val="center"/>
          </w:tcPr>
          <w:p w14:paraId="1C7CD332">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按照GB/T15555.12-1995制备的浸出液，pH≥12.5或pH≤2.0时，该废物是具有腐蚀性的危险物</w:t>
            </w:r>
          </w:p>
        </w:tc>
      </w:tr>
      <w:tr w14:paraId="050A8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restart"/>
            <w:vAlign w:val="center"/>
          </w:tcPr>
          <w:p w14:paraId="3735AB23">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GB5085.3-2007浸出毒性鉴别标准</w:t>
            </w:r>
          </w:p>
        </w:tc>
        <w:tc>
          <w:tcPr>
            <w:tcW w:w="6141" w:type="dxa"/>
            <w:gridSpan w:val="3"/>
            <w:vAlign w:val="center"/>
          </w:tcPr>
          <w:p w14:paraId="0A05A0B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浸出液中任何一种危险成分的浓度超过下列浓度值，则该废物是具有浸出毒性的危险废物。</w:t>
            </w:r>
          </w:p>
        </w:tc>
      </w:tr>
      <w:tr w14:paraId="10122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7BAB44BE">
            <w:pPr>
              <w:spacing w:line="360" w:lineRule="exact"/>
              <w:ind w:firstLine="420"/>
              <w:jc w:val="center"/>
              <w:rPr>
                <w:color w:val="000000" w:themeColor="text1"/>
                <w:sz w:val="21"/>
                <w:szCs w:val="21"/>
                <w:highlight w:val="none"/>
                <w14:textFill>
                  <w14:solidFill>
                    <w14:schemeClr w14:val="tx1"/>
                  </w14:solidFill>
                </w14:textFill>
              </w:rPr>
            </w:pPr>
          </w:p>
        </w:tc>
        <w:tc>
          <w:tcPr>
            <w:tcW w:w="1377" w:type="dxa"/>
            <w:vAlign w:val="center"/>
          </w:tcPr>
          <w:p w14:paraId="188B8F6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937" w:type="dxa"/>
            <w:vAlign w:val="center"/>
          </w:tcPr>
          <w:p w14:paraId="7EB5207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汞及其化合物（以总汞计）</w:t>
            </w:r>
          </w:p>
        </w:tc>
        <w:tc>
          <w:tcPr>
            <w:tcW w:w="1827" w:type="dxa"/>
            <w:vAlign w:val="center"/>
          </w:tcPr>
          <w:p w14:paraId="2493C22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0.1</w:t>
            </w:r>
          </w:p>
        </w:tc>
      </w:tr>
      <w:tr w14:paraId="51607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5C1B12DB">
            <w:pPr>
              <w:spacing w:line="360" w:lineRule="exact"/>
              <w:ind w:firstLine="420"/>
              <w:jc w:val="center"/>
              <w:rPr>
                <w:color w:val="000000" w:themeColor="text1"/>
                <w:sz w:val="21"/>
                <w:szCs w:val="21"/>
                <w:highlight w:val="none"/>
                <w14:textFill>
                  <w14:solidFill>
                    <w14:schemeClr w14:val="tx1"/>
                  </w14:solidFill>
                </w14:textFill>
              </w:rPr>
            </w:pPr>
          </w:p>
        </w:tc>
        <w:tc>
          <w:tcPr>
            <w:tcW w:w="1377" w:type="dxa"/>
            <w:vAlign w:val="center"/>
          </w:tcPr>
          <w:p w14:paraId="7400A4F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937" w:type="dxa"/>
            <w:vAlign w:val="center"/>
          </w:tcPr>
          <w:p w14:paraId="3544A41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铅（以总铅计）</w:t>
            </w:r>
          </w:p>
        </w:tc>
        <w:tc>
          <w:tcPr>
            <w:tcW w:w="1827" w:type="dxa"/>
            <w:vAlign w:val="center"/>
          </w:tcPr>
          <w:p w14:paraId="78BAFE2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r>
      <w:tr w14:paraId="76055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0D97A38B">
            <w:pPr>
              <w:spacing w:line="360" w:lineRule="exact"/>
              <w:ind w:firstLine="420"/>
              <w:jc w:val="center"/>
              <w:rPr>
                <w:color w:val="000000" w:themeColor="text1"/>
                <w:sz w:val="21"/>
                <w:szCs w:val="21"/>
                <w:highlight w:val="none"/>
                <w14:textFill>
                  <w14:solidFill>
                    <w14:schemeClr w14:val="tx1"/>
                  </w14:solidFill>
                </w14:textFill>
              </w:rPr>
            </w:pPr>
          </w:p>
        </w:tc>
        <w:tc>
          <w:tcPr>
            <w:tcW w:w="1377" w:type="dxa"/>
            <w:vAlign w:val="center"/>
          </w:tcPr>
          <w:p w14:paraId="5FC573A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2937" w:type="dxa"/>
            <w:vAlign w:val="center"/>
          </w:tcPr>
          <w:p w14:paraId="72EDF3A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镉（以总隔计）</w:t>
            </w:r>
          </w:p>
        </w:tc>
        <w:tc>
          <w:tcPr>
            <w:tcW w:w="1827" w:type="dxa"/>
            <w:vAlign w:val="center"/>
          </w:tcPr>
          <w:p w14:paraId="1AB0E9F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r>
      <w:tr w14:paraId="4C8F7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25F3F282">
            <w:pPr>
              <w:spacing w:line="360" w:lineRule="exact"/>
              <w:ind w:firstLine="420"/>
              <w:jc w:val="center"/>
              <w:rPr>
                <w:color w:val="000000" w:themeColor="text1"/>
                <w:sz w:val="21"/>
                <w:szCs w:val="21"/>
                <w:highlight w:val="none"/>
                <w14:textFill>
                  <w14:solidFill>
                    <w14:schemeClr w14:val="tx1"/>
                  </w14:solidFill>
                </w14:textFill>
              </w:rPr>
            </w:pPr>
          </w:p>
        </w:tc>
        <w:tc>
          <w:tcPr>
            <w:tcW w:w="1377" w:type="dxa"/>
            <w:vAlign w:val="center"/>
          </w:tcPr>
          <w:p w14:paraId="5AB5DEB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2937" w:type="dxa"/>
            <w:vAlign w:val="center"/>
          </w:tcPr>
          <w:p w14:paraId="22D265E7">
            <w:pPr>
              <w:tabs>
                <w:tab w:val="center" w:pos="1413"/>
              </w:tabs>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总铬</w:t>
            </w:r>
          </w:p>
        </w:tc>
        <w:tc>
          <w:tcPr>
            <w:tcW w:w="1827" w:type="dxa"/>
            <w:vAlign w:val="center"/>
          </w:tcPr>
          <w:p w14:paraId="4EEE4F5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w:t>
            </w:r>
          </w:p>
        </w:tc>
      </w:tr>
      <w:tr w14:paraId="063FD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6F2DCB4F">
            <w:pPr>
              <w:spacing w:line="360" w:lineRule="exact"/>
              <w:ind w:firstLine="420"/>
              <w:jc w:val="center"/>
              <w:rPr>
                <w:color w:val="000000" w:themeColor="text1"/>
                <w:sz w:val="21"/>
                <w:szCs w:val="21"/>
                <w:highlight w:val="none"/>
                <w14:textFill>
                  <w14:solidFill>
                    <w14:schemeClr w14:val="tx1"/>
                  </w14:solidFill>
                </w14:textFill>
              </w:rPr>
            </w:pPr>
          </w:p>
        </w:tc>
        <w:tc>
          <w:tcPr>
            <w:tcW w:w="1377" w:type="dxa"/>
            <w:vAlign w:val="center"/>
          </w:tcPr>
          <w:p w14:paraId="14E3270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2937" w:type="dxa"/>
            <w:vAlign w:val="center"/>
          </w:tcPr>
          <w:p w14:paraId="040BAFA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六价铬</w:t>
            </w:r>
          </w:p>
        </w:tc>
        <w:tc>
          <w:tcPr>
            <w:tcW w:w="1827" w:type="dxa"/>
            <w:vAlign w:val="center"/>
          </w:tcPr>
          <w:p w14:paraId="318CE66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r>
      <w:tr w14:paraId="6E5B2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06CFC242">
            <w:pPr>
              <w:spacing w:line="360" w:lineRule="exact"/>
              <w:ind w:firstLine="420"/>
              <w:jc w:val="center"/>
              <w:rPr>
                <w:color w:val="000000" w:themeColor="text1"/>
                <w:sz w:val="21"/>
                <w:szCs w:val="21"/>
                <w:highlight w:val="none"/>
                <w14:textFill>
                  <w14:solidFill>
                    <w14:schemeClr w14:val="tx1"/>
                  </w14:solidFill>
                </w14:textFill>
              </w:rPr>
            </w:pPr>
          </w:p>
        </w:tc>
        <w:tc>
          <w:tcPr>
            <w:tcW w:w="1377" w:type="dxa"/>
            <w:vAlign w:val="center"/>
          </w:tcPr>
          <w:p w14:paraId="617416F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2937" w:type="dxa"/>
            <w:vAlign w:val="center"/>
          </w:tcPr>
          <w:p w14:paraId="73A053E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铜（以总铜计）</w:t>
            </w:r>
          </w:p>
        </w:tc>
        <w:tc>
          <w:tcPr>
            <w:tcW w:w="1827" w:type="dxa"/>
            <w:vAlign w:val="center"/>
          </w:tcPr>
          <w:p w14:paraId="0F021C8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w:t>
            </w:r>
          </w:p>
        </w:tc>
      </w:tr>
      <w:tr w14:paraId="53DB1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27208D4F">
            <w:pPr>
              <w:spacing w:line="360" w:lineRule="exact"/>
              <w:ind w:firstLine="420"/>
              <w:jc w:val="center"/>
              <w:rPr>
                <w:color w:val="000000" w:themeColor="text1"/>
                <w:sz w:val="21"/>
                <w:szCs w:val="21"/>
                <w:highlight w:val="none"/>
                <w14:textFill>
                  <w14:solidFill>
                    <w14:schemeClr w14:val="tx1"/>
                  </w14:solidFill>
                </w14:textFill>
              </w:rPr>
            </w:pPr>
          </w:p>
        </w:tc>
        <w:tc>
          <w:tcPr>
            <w:tcW w:w="1377" w:type="dxa"/>
            <w:vAlign w:val="center"/>
          </w:tcPr>
          <w:p w14:paraId="2368BD6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2937" w:type="dxa"/>
            <w:vAlign w:val="center"/>
          </w:tcPr>
          <w:p w14:paraId="3443A8B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锌（以总锌计）</w:t>
            </w:r>
          </w:p>
        </w:tc>
        <w:tc>
          <w:tcPr>
            <w:tcW w:w="1827" w:type="dxa"/>
            <w:vAlign w:val="center"/>
          </w:tcPr>
          <w:p w14:paraId="565C3F3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w:t>
            </w:r>
          </w:p>
        </w:tc>
      </w:tr>
      <w:tr w14:paraId="509C5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1ABF975E">
            <w:pPr>
              <w:spacing w:line="360" w:lineRule="exact"/>
              <w:ind w:firstLine="420"/>
              <w:jc w:val="center"/>
              <w:rPr>
                <w:color w:val="000000" w:themeColor="text1"/>
                <w:sz w:val="21"/>
                <w:szCs w:val="21"/>
                <w:highlight w:val="none"/>
                <w14:textFill>
                  <w14:solidFill>
                    <w14:schemeClr w14:val="tx1"/>
                  </w14:solidFill>
                </w14:textFill>
              </w:rPr>
            </w:pPr>
          </w:p>
        </w:tc>
        <w:tc>
          <w:tcPr>
            <w:tcW w:w="1377" w:type="dxa"/>
            <w:vAlign w:val="center"/>
          </w:tcPr>
          <w:p w14:paraId="0E0B0AA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p>
        </w:tc>
        <w:tc>
          <w:tcPr>
            <w:tcW w:w="2937" w:type="dxa"/>
            <w:vAlign w:val="center"/>
          </w:tcPr>
          <w:p w14:paraId="671968D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镍（以总镍计）</w:t>
            </w:r>
          </w:p>
        </w:tc>
        <w:tc>
          <w:tcPr>
            <w:tcW w:w="1827" w:type="dxa"/>
            <w:vAlign w:val="center"/>
          </w:tcPr>
          <w:p w14:paraId="1D50B89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r>
      <w:tr w14:paraId="23D76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11BC20DF">
            <w:pPr>
              <w:spacing w:line="360" w:lineRule="exact"/>
              <w:ind w:firstLine="420"/>
              <w:jc w:val="center"/>
              <w:rPr>
                <w:color w:val="000000" w:themeColor="text1"/>
                <w:sz w:val="21"/>
                <w:szCs w:val="21"/>
                <w:highlight w:val="none"/>
                <w14:textFill>
                  <w14:solidFill>
                    <w14:schemeClr w14:val="tx1"/>
                  </w14:solidFill>
                </w14:textFill>
              </w:rPr>
            </w:pPr>
          </w:p>
        </w:tc>
        <w:tc>
          <w:tcPr>
            <w:tcW w:w="1377" w:type="dxa"/>
            <w:vAlign w:val="center"/>
          </w:tcPr>
          <w:p w14:paraId="40607AF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w:t>
            </w:r>
          </w:p>
        </w:tc>
        <w:tc>
          <w:tcPr>
            <w:tcW w:w="2937" w:type="dxa"/>
            <w:vAlign w:val="center"/>
          </w:tcPr>
          <w:p w14:paraId="3FFC206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砷（以总砷计）</w:t>
            </w:r>
          </w:p>
        </w:tc>
        <w:tc>
          <w:tcPr>
            <w:tcW w:w="1827" w:type="dxa"/>
            <w:vAlign w:val="center"/>
          </w:tcPr>
          <w:p w14:paraId="61D58D5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r>
      <w:tr w14:paraId="1E187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35FA6A64">
            <w:pPr>
              <w:spacing w:line="360" w:lineRule="exact"/>
              <w:ind w:firstLine="420"/>
              <w:jc w:val="center"/>
              <w:rPr>
                <w:color w:val="000000" w:themeColor="text1"/>
                <w:sz w:val="21"/>
                <w:szCs w:val="21"/>
                <w:highlight w:val="none"/>
                <w14:textFill>
                  <w14:solidFill>
                    <w14:schemeClr w14:val="tx1"/>
                  </w14:solidFill>
                </w14:textFill>
              </w:rPr>
            </w:pPr>
          </w:p>
        </w:tc>
        <w:tc>
          <w:tcPr>
            <w:tcW w:w="1377" w:type="dxa"/>
            <w:vAlign w:val="center"/>
          </w:tcPr>
          <w:p w14:paraId="696FED1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c>
          <w:tcPr>
            <w:tcW w:w="2937" w:type="dxa"/>
            <w:vAlign w:val="center"/>
          </w:tcPr>
          <w:p w14:paraId="02B3BB1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铍（以总铍计）</w:t>
            </w:r>
          </w:p>
        </w:tc>
        <w:tc>
          <w:tcPr>
            <w:tcW w:w="1827" w:type="dxa"/>
            <w:vAlign w:val="center"/>
          </w:tcPr>
          <w:p w14:paraId="3CE14F3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0.02</w:t>
            </w:r>
          </w:p>
        </w:tc>
      </w:tr>
      <w:tr w14:paraId="3C362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01CC2F1C">
            <w:pPr>
              <w:spacing w:line="360" w:lineRule="exact"/>
              <w:ind w:firstLine="420"/>
              <w:jc w:val="center"/>
              <w:rPr>
                <w:color w:val="000000" w:themeColor="text1"/>
                <w:sz w:val="21"/>
                <w:szCs w:val="21"/>
                <w:highlight w:val="none"/>
                <w14:textFill>
                  <w14:solidFill>
                    <w14:schemeClr w14:val="tx1"/>
                  </w14:solidFill>
                </w14:textFill>
              </w:rPr>
            </w:pPr>
          </w:p>
        </w:tc>
        <w:tc>
          <w:tcPr>
            <w:tcW w:w="1377" w:type="dxa"/>
            <w:vAlign w:val="center"/>
          </w:tcPr>
          <w:p w14:paraId="51DA3E8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w:t>
            </w:r>
          </w:p>
        </w:tc>
        <w:tc>
          <w:tcPr>
            <w:tcW w:w="2937" w:type="dxa"/>
            <w:vAlign w:val="center"/>
          </w:tcPr>
          <w:p w14:paraId="47AA542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钡（以总钡计）</w:t>
            </w:r>
          </w:p>
        </w:tc>
        <w:tc>
          <w:tcPr>
            <w:tcW w:w="1827" w:type="dxa"/>
            <w:vAlign w:val="center"/>
          </w:tcPr>
          <w:p w14:paraId="3A936A6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w:t>
            </w:r>
          </w:p>
        </w:tc>
      </w:tr>
      <w:tr w14:paraId="45D8C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3AEC40DB">
            <w:pPr>
              <w:spacing w:line="360" w:lineRule="exact"/>
              <w:ind w:firstLine="420"/>
              <w:jc w:val="center"/>
              <w:rPr>
                <w:color w:val="000000" w:themeColor="text1"/>
                <w:sz w:val="21"/>
                <w:szCs w:val="21"/>
                <w:highlight w:val="none"/>
                <w14:textFill>
                  <w14:solidFill>
                    <w14:schemeClr w14:val="tx1"/>
                  </w14:solidFill>
                </w14:textFill>
              </w:rPr>
            </w:pPr>
          </w:p>
        </w:tc>
        <w:tc>
          <w:tcPr>
            <w:tcW w:w="1377" w:type="dxa"/>
            <w:vAlign w:val="center"/>
          </w:tcPr>
          <w:p w14:paraId="0B7AEF9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12</w:t>
            </w:r>
          </w:p>
        </w:tc>
        <w:tc>
          <w:tcPr>
            <w:tcW w:w="2937" w:type="dxa"/>
            <w:vAlign w:val="center"/>
          </w:tcPr>
          <w:p w14:paraId="54A6D1A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总银</w:t>
            </w:r>
          </w:p>
        </w:tc>
        <w:tc>
          <w:tcPr>
            <w:tcW w:w="1827" w:type="dxa"/>
            <w:vAlign w:val="center"/>
          </w:tcPr>
          <w:p w14:paraId="0DA6A2A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r>
      <w:tr w14:paraId="0B221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17656BB4">
            <w:pPr>
              <w:spacing w:line="360" w:lineRule="exact"/>
              <w:ind w:firstLine="420"/>
              <w:jc w:val="center"/>
              <w:rPr>
                <w:color w:val="000000" w:themeColor="text1"/>
                <w:sz w:val="21"/>
                <w:szCs w:val="21"/>
                <w:highlight w:val="none"/>
                <w14:textFill>
                  <w14:solidFill>
                    <w14:schemeClr w14:val="tx1"/>
                  </w14:solidFill>
                </w14:textFill>
              </w:rPr>
            </w:pPr>
          </w:p>
        </w:tc>
        <w:tc>
          <w:tcPr>
            <w:tcW w:w="1377" w:type="dxa"/>
            <w:vAlign w:val="center"/>
          </w:tcPr>
          <w:p w14:paraId="359449F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13</w:t>
            </w:r>
          </w:p>
        </w:tc>
        <w:tc>
          <w:tcPr>
            <w:tcW w:w="2937" w:type="dxa"/>
            <w:vAlign w:val="center"/>
          </w:tcPr>
          <w:p w14:paraId="6F5EC14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硒（以总硒计）</w:t>
            </w:r>
          </w:p>
        </w:tc>
        <w:tc>
          <w:tcPr>
            <w:tcW w:w="1827" w:type="dxa"/>
            <w:vAlign w:val="center"/>
          </w:tcPr>
          <w:p w14:paraId="1B01F35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r>
    </w:tbl>
    <w:p w14:paraId="39A90AFA">
      <w:pPr>
        <w:pStyle w:val="10"/>
        <w:overflowPunct w:val="0"/>
        <w:topLinePunct/>
        <w:spacing w:after="0"/>
        <w:ind w:firstLine="48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一般工业固体废物类别鉴别方法：按照GB5086规定方法进行浸出实验而获得的浸出液中，任何一种污染物的浓度均未超过《污水综合排放标准》（GB8978-1996）的最高允许排放浓度，且pH值在6～9范围之内的一般工业固体废物。</w:t>
      </w:r>
    </w:p>
    <w:p w14:paraId="4319906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项目产生少量的废机油</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废机油桶</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均</w:t>
      </w:r>
      <w:r>
        <w:rPr>
          <w:color w:val="000000" w:themeColor="text1"/>
          <w:highlight w:val="none"/>
          <w14:textFill>
            <w14:solidFill>
              <w14:schemeClr w14:val="tx1"/>
            </w14:solidFill>
          </w14:textFill>
        </w:rPr>
        <w:t>属于危险废物，</w:t>
      </w:r>
      <w:r>
        <w:rPr>
          <w:rFonts w:hint="eastAsia"/>
          <w:color w:val="000000" w:themeColor="text1"/>
          <w:highlight w:val="none"/>
          <w:lang w:val="en-US" w:eastAsia="zh-CN"/>
          <w14:textFill>
            <w14:solidFill>
              <w14:schemeClr w14:val="tx1"/>
            </w14:solidFill>
          </w14:textFill>
        </w:rPr>
        <w:t>危险废物收集、贮存</w:t>
      </w:r>
      <w:r>
        <w:rPr>
          <w:color w:val="000000" w:themeColor="text1"/>
          <w:highlight w:val="none"/>
          <w14:textFill>
            <w14:solidFill>
              <w14:schemeClr w14:val="tx1"/>
            </w14:solidFill>
          </w14:textFill>
        </w:rPr>
        <w:t>执行</w:t>
      </w:r>
      <w:r>
        <w:rPr>
          <w:bCs/>
          <w:color w:val="000000" w:themeColor="text1"/>
          <w:highlight w:val="none"/>
          <w14:textFill>
            <w14:solidFill>
              <w14:schemeClr w14:val="tx1"/>
            </w14:solidFill>
          </w14:textFill>
        </w:rPr>
        <w:t>《危险废物贮存污染控制标准》</w:t>
      </w:r>
      <w:r>
        <w:rPr>
          <w:rFonts w:hint="eastAsia"/>
          <w:bCs/>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GB18597-20</w:t>
      </w:r>
      <w:r>
        <w:rPr>
          <w:rFonts w:hint="eastAsia"/>
          <w:bCs/>
          <w:color w:val="000000" w:themeColor="text1"/>
          <w:highlight w:val="none"/>
          <w:lang w:val="en-US" w:eastAsia="zh-CN"/>
          <w14:textFill>
            <w14:solidFill>
              <w14:schemeClr w14:val="tx1"/>
            </w14:solidFill>
          </w14:textFill>
        </w:rPr>
        <w:t>23</w:t>
      </w:r>
      <w:r>
        <w:rPr>
          <w:rFonts w:hint="eastAsia"/>
          <w:bCs/>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w:t>
      </w:r>
    </w:p>
    <w:p w14:paraId="29C1F61D">
      <w:pPr>
        <w:pStyle w:val="3"/>
        <w:rPr>
          <w:color w:val="000000" w:themeColor="text1"/>
          <w:highlight w:val="none"/>
          <w14:textFill>
            <w14:solidFill>
              <w14:schemeClr w14:val="tx1"/>
            </w14:solidFill>
          </w14:textFill>
        </w:rPr>
      </w:pPr>
      <w:bookmarkStart w:id="218" w:name="_Toc30637"/>
      <w:bookmarkStart w:id="219" w:name="_Toc3507"/>
      <w:bookmarkStart w:id="220" w:name="_Toc276469897"/>
      <w:bookmarkStart w:id="221" w:name="_Toc25028"/>
      <w:bookmarkStart w:id="222" w:name="_Toc21779"/>
      <w:bookmarkStart w:id="223" w:name="_Toc273373252"/>
      <w:bookmarkStart w:id="224" w:name="_Toc266374523"/>
      <w:bookmarkStart w:id="225" w:name="_Toc20103"/>
      <w:bookmarkStart w:id="226" w:name="_Toc13885"/>
      <w:bookmarkStart w:id="227" w:name="_Toc312318138"/>
      <w:bookmarkStart w:id="228" w:name="_Toc13969"/>
      <w:bookmarkStart w:id="229" w:name="_Toc218485490"/>
      <w:bookmarkStart w:id="230" w:name="_Toc366104786"/>
      <w:bookmarkStart w:id="231" w:name="_Toc9312"/>
      <w:bookmarkStart w:id="232" w:name="_Toc9923"/>
      <w:bookmarkStart w:id="233" w:name="_Toc20548"/>
      <w:bookmarkStart w:id="234" w:name="_Toc107414649"/>
      <w:bookmarkStart w:id="235" w:name="_Toc21624"/>
      <w:bookmarkStart w:id="236" w:name="_Toc20299"/>
      <w:bookmarkStart w:id="237" w:name="_Toc190909896"/>
      <w:bookmarkStart w:id="238" w:name="_Toc28742"/>
      <w:bookmarkStart w:id="239" w:name="_Toc273372167"/>
      <w:bookmarkStart w:id="240" w:name="_Toc10208"/>
      <w:bookmarkStart w:id="241" w:name="_Toc286827182"/>
      <w:bookmarkStart w:id="242" w:name="_Toc107413882"/>
      <w:bookmarkStart w:id="243" w:name="_Toc191903738"/>
      <w:bookmarkStart w:id="244" w:name="_Toc22368"/>
      <w:bookmarkStart w:id="245" w:name="_Toc29847"/>
      <w:bookmarkStart w:id="246" w:name="_Toc12636"/>
      <w:bookmarkStart w:id="247" w:name="_Toc474747835"/>
      <w:bookmarkStart w:id="248" w:name="_Toc7705"/>
      <w:r>
        <w:rPr>
          <w:color w:val="000000" w:themeColor="text1"/>
          <w:highlight w:val="none"/>
          <w14:textFill>
            <w14:solidFill>
              <w14:schemeClr w14:val="tx1"/>
            </w14:solidFill>
          </w14:textFill>
        </w:rPr>
        <w:t>2.6评价等级和评价范围</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D1BE8AF">
      <w:pPr>
        <w:pStyle w:val="4"/>
        <w:rPr>
          <w:color w:val="000000" w:themeColor="text1"/>
          <w:highlight w:val="none"/>
          <w14:textFill>
            <w14:solidFill>
              <w14:schemeClr w14:val="tx1"/>
            </w14:solidFill>
          </w14:textFill>
        </w:rPr>
      </w:pPr>
      <w:bookmarkStart w:id="249" w:name="_Toc22807"/>
      <w:bookmarkStart w:id="250" w:name="_Toc31271"/>
      <w:bookmarkStart w:id="251" w:name="_Toc29002"/>
      <w:bookmarkStart w:id="252" w:name="_Toc27015"/>
      <w:bookmarkStart w:id="253" w:name="_Toc3723"/>
      <w:bookmarkStart w:id="254" w:name="_Toc22686"/>
      <w:bookmarkStart w:id="255" w:name="_Toc4802"/>
      <w:bookmarkStart w:id="256" w:name="_Toc17294"/>
      <w:bookmarkStart w:id="257" w:name="_Toc10891"/>
      <w:r>
        <w:rPr>
          <w:color w:val="000000" w:themeColor="text1"/>
          <w:highlight w:val="none"/>
          <w14:textFill>
            <w14:solidFill>
              <w14:schemeClr w14:val="tx1"/>
            </w14:solidFill>
          </w14:textFill>
        </w:rPr>
        <w:t>2.6.1评价等级</w:t>
      </w:r>
      <w:bookmarkEnd w:id="249"/>
      <w:bookmarkEnd w:id="250"/>
      <w:bookmarkEnd w:id="251"/>
      <w:bookmarkEnd w:id="252"/>
      <w:bookmarkEnd w:id="253"/>
      <w:bookmarkEnd w:id="254"/>
      <w:bookmarkEnd w:id="255"/>
      <w:bookmarkEnd w:id="256"/>
      <w:bookmarkEnd w:id="257"/>
    </w:p>
    <w:p w14:paraId="47583B61">
      <w:pPr>
        <w:pStyle w:val="5"/>
        <w:numPr>
          <w:ilvl w:val="3"/>
          <w:numId w:val="0"/>
        </w:numPr>
        <w:spacing w:before="0" w:beforeLines="-2147483648" w:beforeAutospacing="0" w:after="0" w:afterLines="-2147483648" w:afterAutospacing="0" w:line="480" w:lineRule="exact"/>
        <w:ind w:left="482" w:leftChars="0"/>
        <w:rPr>
          <w:rFonts w:ascii="Times New Roman" w:hAnsi="Times New Roman" w:eastAsia="宋体"/>
          <w:color w:val="000000" w:themeColor="text1"/>
          <w:sz w:val="24"/>
          <w:highlight w:val="none"/>
          <w14:textFill>
            <w14:solidFill>
              <w14:schemeClr w14:val="tx1"/>
            </w14:solidFill>
          </w14:textFill>
        </w:rPr>
      </w:pPr>
      <w:bookmarkStart w:id="258" w:name="_Toc277781476"/>
      <w:bookmarkStart w:id="259" w:name="_Toc190909898"/>
      <w:bookmarkStart w:id="260" w:name="_Toc218485492"/>
      <w:bookmarkStart w:id="261" w:name="_Toc266374525"/>
      <w:bookmarkStart w:id="262" w:name="_Toc366104788"/>
      <w:bookmarkStart w:id="263" w:name="_Toc191903740"/>
      <w:bookmarkStart w:id="264" w:name="_Toc474747836"/>
      <w:r>
        <w:rPr>
          <w:rFonts w:ascii="Times New Roman" w:hAnsi="Times New Roman" w:eastAsia="宋体"/>
          <w:color w:val="000000" w:themeColor="text1"/>
          <w:sz w:val="24"/>
          <w:highlight w:val="none"/>
          <w14:textFill>
            <w14:solidFill>
              <w14:schemeClr w14:val="tx1"/>
            </w14:solidFill>
          </w14:textFill>
        </w:rPr>
        <w:t>2.6.1.1大气环境影响评价等级</w:t>
      </w:r>
    </w:p>
    <w:p w14:paraId="171FE86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（1）判定依据</w:t>
      </w:r>
    </w:p>
    <w:p w14:paraId="154AAA2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大气环境》（HJ2.2-2018）中的推荐模式AERSCREEN，选择粉尘作为主要污染物，计算粉尘的最大地面空气质量浓度占标率</w:t>
      </w:r>
      <w:r>
        <w:rPr>
          <w:i/>
          <w:color w:val="000000" w:themeColor="text1"/>
          <w:highlight w:val="none"/>
          <w14:textFill>
            <w14:solidFill>
              <w14:schemeClr w14:val="tx1"/>
            </w14:solidFill>
          </w14:textFill>
        </w:rPr>
        <w:t>P</w:t>
      </w:r>
      <w:r>
        <w:rPr>
          <w:i/>
          <w:color w:val="000000" w:themeColor="text1"/>
          <w:highlight w:val="none"/>
          <w:vertAlign w:val="subscript"/>
          <w14:textFill>
            <w14:solidFill>
              <w14:schemeClr w14:val="tx1"/>
            </w14:solidFill>
          </w14:textFill>
        </w:rPr>
        <w:t>i</w:t>
      </w:r>
      <w:r>
        <w:rPr>
          <w:color w:val="000000" w:themeColor="text1"/>
          <w:highlight w:val="none"/>
          <w14:textFill>
            <w14:solidFill>
              <w14:schemeClr w14:val="tx1"/>
            </w14:solidFill>
          </w14:textFill>
        </w:rPr>
        <w:t>（第i个污染物），</w:t>
      </w:r>
      <w:r>
        <w:rPr>
          <w:rFonts w:hint="eastAsia"/>
          <w:color w:val="000000" w:themeColor="text1"/>
          <w:highlight w:val="none"/>
          <w:lang w:val="en-US" w:eastAsia="zh-CN"/>
          <w14:textFill>
            <w14:solidFill>
              <w14:schemeClr w14:val="tx1"/>
            </w14:solidFill>
          </w14:textFill>
        </w:rPr>
        <w:t>以</w:t>
      </w:r>
      <w:r>
        <w:rPr>
          <w:color w:val="000000" w:themeColor="text1"/>
          <w:highlight w:val="none"/>
          <w14:textFill>
            <w14:solidFill>
              <w14:schemeClr w14:val="tx1"/>
            </w14:solidFill>
          </w14:textFill>
        </w:rPr>
        <w:t>及第i个污染物的地面空气质量浓度达标值10%时所对应的最远距离D</w:t>
      </w:r>
      <w:r>
        <w:rPr>
          <w:color w:val="000000" w:themeColor="text1"/>
          <w:highlight w:val="none"/>
          <w:vertAlign w:val="subscript"/>
          <w14:textFill>
            <w14:solidFill>
              <w14:schemeClr w14:val="tx1"/>
            </w14:solidFill>
          </w14:textFill>
        </w:rPr>
        <w:t>10%</w:t>
      </w:r>
      <w:r>
        <w:rPr>
          <w:color w:val="000000" w:themeColor="text1"/>
          <w:highlight w:val="none"/>
          <w14:textFill>
            <w14:solidFill>
              <w14:schemeClr w14:val="tx1"/>
            </w14:solidFill>
          </w14:textFill>
        </w:rPr>
        <w:t>，其中</w:t>
      </w:r>
      <w:r>
        <w:rPr>
          <w:i/>
          <w:color w:val="000000" w:themeColor="text1"/>
          <w:highlight w:val="none"/>
          <w14:textFill>
            <w14:solidFill>
              <w14:schemeClr w14:val="tx1"/>
            </w14:solidFill>
          </w14:textFill>
        </w:rPr>
        <w:t>P</w:t>
      </w:r>
      <w:r>
        <w:rPr>
          <w:i/>
          <w:color w:val="000000" w:themeColor="text1"/>
          <w:highlight w:val="none"/>
          <w:vertAlign w:val="subscript"/>
          <w14:textFill>
            <w14:solidFill>
              <w14:schemeClr w14:val="tx1"/>
            </w14:solidFill>
          </w14:textFill>
        </w:rPr>
        <w:t>i</w:t>
      </w:r>
      <w:r>
        <w:rPr>
          <w:color w:val="000000" w:themeColor="text1"/>
          <w:highlight w:val="none"/>
          <w14:textFill>
            <w14:solidFill>
              <w14:schemeClr w14:val="tx1"/>
            </w14:solidFill>
          </w14:textFill>
        </w:rPr>
        <w:t>定义为：</w:t>
      </w:r>
    </w:p>
    <w:p w14:paraId="4E6562DC">
      <w:pPr>
        <w:overflowPunct w:val="0"/>
        <w:topLinePunct/>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w:t>
      </w:r>
      <w:r>
        <w:rPr>
          <w:color w:val="000000" w:themeColor="text1"/>
          <w:highlight w:val="none"/>
          <w:vertAlign w:val="subscript"/>
          <w14:textFill>
            <w14:solidFill>
              <w14:schemeClr w14:val="tx1"/>
            </w14:solidFill>
          </w14:textFill>
        </w:rPr>
        <w:t>i</w:t>
      </w:r>
      <w:r>
        <w:rPr>
          <w:color w:val="000000" w:themeColor="text1"/>
          <w:highlight w:val="none"/>
          <w14:textFill>
            <w14:solidFill>
              <w14:schemeClr w14:val="tx1"/>
            </w14:solidFill>
          </w14:textFill>
        </w:rPr>
        <w:t>=C</w:t>
      </w:r>
      <w:r>
        <w:rPr>
          <w:color w:val="000000" w:themeColor="text1"/>
          <w:highlight w:val="none"/>
          <w:vertAlign w:val="subscript"/>
          <w14:textFill>
            <w14:solidFill>
              <w14:schemeClr w14:val="tx1"/>
            </w14:solidFill>
          </w14:textFill>
        </w:rPr>
        <w:t>i</w:t>
      </w:r>
      <w:r>
        <w:rPr>
          <w:color w:val="000000" w:themeColor="text1"/>
          <w:highlight w:val="none"/>
          <w14:textFill>
            <w14:solidFill>
              <w14:schemeClr w14:val="tx1"/>
            </w14:solidFill>
          </w14:textFill>
        </w:rPr>
        <w:t>/C</w:t>
      </w:r>
      <w:r>
        <w:rPr>
          <w:color w:val="000000" w:themeColor="text1"/>
          <w:highlight w:val="none"/>
          <w:vertAlign w:val="subscript"/>
          <w14:textFill>
            <w14:solidFill>
              <w14:schemeClr w14:val="tx1"/>
            </w14:solidFill>
          </w14:textFill>
        </w:rPr>
        <w:t>oi</w:t>
      </w:r>
      <w:r>
        <w:rPr>
          <w:color w:val="000000" w:themeColor="text1"/>
          <w:highlight w:val="none"/>
          <w14:textFill>
            <w14:solidFill>
              <w14:schemeClr w14:val="tx1"/>
            </w14:solidFill>
          </w14:textFill>
        </w:rPr>
        <w:t>×100%</w:t>
      </w:r>
    </w:p>
    <w:p w14:paraId="09B7DA0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式中：P</w:t>
      </w:r>
      <w:r>
        <w:rPr>
          <w:color w:val="000000" w:themeColor="text1"/>
          <w:highlight w:val="none"/>
          <w:vertAlign w:val="subscript"/>
          <w14:textFill>
            <w14:solidFill>
              <w14:schemeClr w14:val="tx1"/>
            </w14:solidFill>
          </w14:textFill>
        </w:rPr>
        <w:t>i</w:t>
      </w:r>
      <w:r>
        <w:rPr>
          <w:color w:val="000000" w:themeColor="text1"/>
          <w:highlight w:val="none"/>
          <w14:textFill>
            <w14:solidFill>
              <w14:schemeClr w14:val="tx1"/>
            </w14:solidFill>
          </w14:textFill>
        </w:rPr>
        <w:t>—第i个污染物的最大地面空气质量浓度占标率，%；</w:t>
      </w:r>
    </w:p>
    <w:p w14:paraId="51722E1A">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C</w:t>
      </w:r>
      <w:r>
        <w:rPr>
          <w:color w:val="000000" w:themeColor="text1"/>
          <w:highlight w:val="none"/>
          <w:vertAlign w:val="subscript"/>
          <w14:textFill>
            <w14:solidFill>
              <w14:schemeClr w14:val="tx1"/>
            </w14:solidFill>
          </w14:textFill>
        </w:rPr>
        <w:t>i</w:t>
      </w:r>
      <w:r>
        <w:rPr>
          <w:color w:val="000000" w:themeColor="text1"/>
          <w:highlight w:val="none"/>
          <w14:textFill>
            <w14:solidFill>
              <w14:schemeClr w14:val="tx1"/>
            </w14:solidFill>
          </w14:textFill>
        </w:rPr>
        <w:t>—采用估算模式计算出的第i个污染物的最大1h地面空气质量浓度，mg/m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p w14:paraId="73E317D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C</w:t>
      </w:r>
      <w:r>
        <w:rPr>
          <w:color w:val="000000" w:themeColor="text1"/>
          <w:highlight w:val="none"/>
          <w:vertAlign w:val="subscript"/>
          <w14:textFill>
            <w14:solidFill>
              <w14:schemeClr w14:val="tx1"/>
            </w14:solidFill>
          </w14:textFill>
        </w:rPr>
        <w:t>oi</w:t>
      </w:r>
      <w:r>
        <w:rPr>
          <w:color w:val="000000" w:themeColor="text1"/>
          <w:highlight w:val="none"/>
          <w14:textFill>
            <w14:solidFill>
              <w14:schemeClr w14:val="tx1"/>
            </w14:solidFill>
          </w14:textFill>
        </w:rPr>
        <w:t>—第i个污染物的环境空气质量标准，</w:t>
      </w:r>
      <w:r>
        <w:rPr>
          <w:rFonts w:hint="default" w:ascii="Times New Roman" w:hAnsi="Times New Roman" w:cs="Times New Roman"/>
          <w:color w:val="000000" w:themeColor="text1"/>
          <w:highlight w:val="none"/>
          <w:lang w:val="en-US" w:eastAsia="zh-CN"/>
          <w14:textFill>
            <w14:solidFill>
              <w14:schemeClr w14:val="tx1"/>
            </w14:solidFill>
          </w14:textFill>
        </w:rPr>
        <w:t>μ</w:t>
      </w:r>
      <w:r>
        <w:rPr>
          <w:rFonts w:hint="eastAsia"/>
          <w:color w:val="000000" w:themeColor="text1"/>
          <w:highlight w:val="none"/>
          <w:lang w:eastAsia="zh-CN"/>
          <w14:textFill>
            <w14:solidFill>
              <w14:schemeClr w14:val="tx1"/>
            </w14:solidFill>
          </w14:textFill>
        </w:rPr>
        <w:t>g/m</w:t>
      </w:r>
      <w:r>
        <w:rPr>
          <w:rFonts w:hint="eastAsia"/>
          <w:color w:val="000000" w:themeColor="text1"/>
          <w:highlight w:val="none"/>
          <w:vertAlign w:val="superscript"/>
          <w:lang w:eastAsia="zh-CN"/>
          <w14:textFill>
            <w14:solidFill>
              <w14:schemeClr w14:val="tx1"/>
            </w14:solidFill>
          </w14:textFill>
        </w:rPr>
        <w:t>3</w:t>
      </w:r>
      <w:r>
        <w:rPr>
          <w:color w:val="000000" w:themeColor="text1"/>
          <w:highlight w:val="none"/>
          <w14:textFill>
            <w14:solidFill>
              <w14:schemeClr w14:val="tx1"/>
            </w14:solidFill>
          </w14:textFill>
        </w:rPr>
        <w:t>；一般选用GB3095中1小时平均质量浓度的二级浓度限值。</w:t>
      </w:r>
    </w:p>
    <w:p w14:paraId="543FD8D5">
      <w:pPr>
        <w:overflowPunct w:val="0"/>
        <w:topLinePunct/>
        <w:ind w:firstLine="470" w:firstLineChars="19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大气环境影响评价工作等级判据见表2.6-1、2.6-2。</w:t>
      </w:r>
    </w:p>
    <w:p w14:paraId="1DDDEBB4">
      <w:pPr>
        <w:ind w:firstLine="0" w:firstLineChars="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表2.6-1    大气环境影响评价工作等级</w:t>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108" w:type="dxa"/>
          <w:bottom w:w="0" w:type="dxa"/>
          <w:right w:w="108" w:type="dxa"/>
        </w:tblCellMar>
      </w:tblPr>
      <w:tblGrid>
        <w:gridCol w:w="1546"/>
        <w:gridCol w:w="6974"/>
      </w:tblGrid>
      <w:tr w14:paraId="5CEAC96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PrEx>
        <w:trPr>
          <w:trHeight w:val="340" w:hRule="atLeast"/>
          <w:tblHeader/>
          <w:jc w:val="center"/>
        </w:trPr>
        <w:tc>
          <w:tcPr>
            <w:tcW w:w="907" w:type="pct"/>
            <w:vAlign w:val="center"/>
          </w:tcPr>
          <w:p w14:paraId="0F48351F">
            <w:pPr>
              <w:adjustRightInd w:val="0"/>
              <w:snapToGrid w:val="0"/>
              <w:spacing w:line="360" w:lineRule="exact"/>
              <w:ind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评价工作等级</w:t>
            </w:r>
          </w:p>
        </w:tc>
        <w:tc>
          <w:tcPr>
            <w:tcW w:w="4092" w:type="pct"/>
            <w:vAlign w:val="center"/>
          </w:tcPr>
          <w:p w14:paraId="182B9F2E">
            <w:pPr>
              <w:adjustRightInd w:val="0"/>
              <w:snapToGrid w:val="0"/>
              <w:spacing w:line="360" w:lineRule="exact"/>
              <w:ind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评价工作分级判据</w:t>
            </w:r>
          </w:p>
        </w:tc>
      </w:tr>
      <w:tr w14:paraId="6F4DA6E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907" w:type="pct"/>
            <w:vAlign w:val="center"/>
          </w:tcPr>
          <w:p w14:paraId="6789B85B">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一级</w:t>
            </w:r>
          </w:p>
        </w:tc>
        <w:tc>
          <w:tcPr>
            <w:tcW w:w="4092" w:type="pct"/>
            <w:vAlign w:val="center"/>
          </w:tcPr>
          <w:p w14:paraId="4325296B">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P</w:t>
            </w:r>
            <w:r>
              <w:rPr>
                <w:color w:val="000000" w:themeColor="text1"/>
                <w:kern w:val="0"/>
                <w:sz w:val="21"/>
                <w:szCs w:val="21"/>
                <w:highlight w:val="none"/>
                <w:vertAlign w:val="subscript"/>
                <w14:textFill>
                  <w14:solidFill>
                    <w14:schemeClr w14:val="tx1"/>
                  </w14:solidFill>
                </w14:textFill>
              </w:rPr>
              <w:t>max</w:t>
            </w:r>
            <w:r>
              <w:rPr>
                <w:color w:val="000000" w:themeColor="text1"/>
                <w:kern w:val="0"/>
                <w:sz w:val="21"/>
                <w:szCs w:val="21"/>
                <w:highlight w:val="none"/>
                <w14:textFill>
                  <w14:solidFill>
                    <w14:schemeClr w14:val="tx1"/>
                  </w14:solidFill>
                </w14:textFill>
              </w:rPr>
              <w:t>≥10%</w:t>
            </w:r>
          </w:p>
        </w:tc>
      </w:tr>
      <w:tr w14:paraId="6D77B40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907" w:type="pct"/>
            <w:vAlign w:val="center"/>
          </w:tcPr>
          <w:p w14:paraId="6651D754">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二级</w:t>
            </w:r>
          </w:p>
        </w:tc>
        <w:tc>
          <w:tcPr>
            <w:tcW w:w="4092" w:type="pct"/>
            <w:vAlign w:val="center"/>
          </w:tcPr>
          <w:p w14:paraId="4EF14401">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1%≤P</w:t>
            </w:r>
            <w:r>
              <w:rPr>
                <w:color w:val="000000" w:themeColor="text1"/>
                <w:kern w:val="0"/>
                <w:sz w:val="21"/>
                <w:szCs w:val="21"/>
                <w:highlight w:val="none"/>
                <w:vertAlign w:val="subscript"/>
                <w14:textFill>
                  <w14:solidFill>
                    <w14:schemeClr w14:val="tx1"/>
                  </w14:solidFill>
                </w14:textFill>
              </w:rPr>
              <w:t>max</w:t>
            </w:r>
            <w:r>
              <w:rPr>
                <w:color w:val="000000" w:themeColor="text1"/>
                <w:kern w:val="0"/>
                <w:sz w:val="21"/>
                <w:szCs w:val="21"/>
                <w:highlight w:val="none"/>
                <w14:textFill>
                  <w14:solidFill>
                    <w14:schemeClr w14:val="tx1"/>
                  </w14:solidFill>
                </w14:textFill>
              </w:rPr>
              <w:t>＜10%</w:t>
            </w:r>
          </w:p>
        </w:tc>
      </w:tr>
      <w:tr w14:paraId="11EEE66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907" w:type="pct"/>
            <w:vAlign w:val="center"/>
          </w:tcPr>
          <w:p w14:paraId="53962321">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三级</w:t>
            </w:r>
          </w:p>
        </w:tc>
        <w:tc>
          <w:tcPr>
            <w:tcW w:w="4092" w:type="pct"/>
            <w:vAlign w:val="center"/>
          </w:tcPr>
          <w:p w14:paraId="5F990ECC">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P</w:t>
            </w:r>
            <w:r>
              <w:rPr>
                <w:color w:val="000000" w:themeColor="text1"/>
                <w:kern w:val="0"/>
                <w:sz w:val="21"/>
                <w:szCs w:val="21"/>
                <w:highlight w:val="none"/>
                <w:vertAlign w:val="subscript"/>
                <w14:textFill>
                  <w14:solidFill>
                    <w14:schemeClr w14:val="tx1"/>
                  </w14:solidFill>
                </w14:textFill>
              </w:rPr>
              <w:t>max</w:t>
            </w:r>
            <w:r>
              <w:rPr>
                <w:color w:val="000000" w:themeColor="text1"/>
                <w:kern w:val="0"/>
                <w:sz w:val="21"/>
                <w:szCs w:val="21"/>
                <w:highlight w:val="none"/>
                <w14:textFill>
                  <w14:solidFill>
                    <w14:schemeClr w14:val="tx1"/>
                  </w14:solidFill>
                </w14:textFill>
              </w:rPr>
              <w:t>&lt;1%</w:t>
            </w:r>
          </w:p>
        </w:tc>
      </w:tr>
    </w:tbl>
    <w:p w14:paraId="7AA0E988">
      <w:pPr>
        <w:overflowPunct w:val="0"/>
        <w:topLinePunct/>
        <w:ind w:firstLine="480"/>
        <w:rPr>
          <w:color w:val="000000" w:themeColor="text1"/>
          <w:kern w:val="0"/>
          <w:szCs w:val="22"/>
          <w:highlight w:val="none"/>
          <w14:textFill>
            <w14:solidFill>
              <w14:schemeClr w14:val="tx1"/>
            </w14:solidFill>
          </w14:textFill>
        </w:rPr>
      </w:pPr>
      <w:r>
        <w:rPr>
          <w:color w:val="000000" w:themeColor="text1"/>
          <w:kern w:val="0"/>
          <w:szCs w:val="22"/>
          <w:highlight w:val="none"/>
          <w14:textFill>
            <w14:solidFill>
              <w14:schemeClr w14:val="tx1"/>
            </w14:solidFill>
          </w14:textFill>
        </w:rPr>
        <w:t>（2）采用数据及评价结果</w:t>
      </w:r>
    </w:p>
    <w:p w14:paraId="74CA1021">
      <w:pPr>
        <w:overflowPunct w:val="0"/>
        <w:topLinePunct/>
        <w:ind w:firstLine="480"/>
        <w:rPr>
          <w:color w:val="000000" w:themeColor="text1"/>
          <w:kern w:val="0"/>
          <w:szCs w:val="20"/>
          <w:highlight w:val="none"/>
          <w14:textFill>
            <w14:solidFill>
              <w14:schemeClr w14:val="tx1"/>
            </w14:solidFill>
          </w14:textFill>
        </w:rPr>
      </w:pPr>
      <w:r>
        <w:rPr>
          <w:color w:val="000000" w:themeColor="text1"/>
          <w:kern w:val="0"/>
          <w:szCs w:val="22"/>
          <w:highlight w:val="none"/>
          <w14:textFill>
            <w14:solidFill>
              <w14:schemeClr w14:val="tx1"/>
            </w14:solidFill>
          </w14:textFill>
        </w:rPr>
        <w:t>根据项目初步工</w:t>
      </w:r>
      <w:r>
        <w:rPr>
          <w:color w:val="000000" w:themeColor="text1"/>
          <w:kern w:val="0"/>
          <w:szCs w:val="20"/>
          <w:highlight w:val="none"/>
          <w14:textFill>
            <w14:solidFill>
              <w14:schemeClr w14:val="tx1"/>
            </w14:solidFill>
          </w14:textFill>
        </w:rPr>
        <w:t>程分析，选取了</w:t>
      </w:r>
      <w:r>
        <w:rPr>
          <w:rFonts w:hint="eastAsia"/>
          <w:color w:val="000000" w:themeColor="text1"/>
          <w:kern w:val="0"/>
          <w:szCs w:val="20"/>
          <w:highlight w:val="none"/>
          <w14:textFill>
            <w14:solidFill>
              <w14:schemeClr w14:val="tx1"/>
            </w14:solidFill>
          </w14:textFill>
        </w:rPr>
        <w:t>破碎筛分干选</w:t>
      </w:r>
      <w:r>
        <w:rPr>
          <w:rFonts w:hint="eastAsia"/>
          <w:color w:val="000000" w:themeColor="text1"/>
          <w:kern w:val="0"/>
          <w:szCs w:val="20"/>
          <w:highlight w:val="none"/>
          <w:lang w:val="en-US" w:eastAsia="zh-CN"/>
          <w14:textFill>
            <w14:solidFill>
              <w14:schemeClr w14:val="tx1"/>
            </w14:solidFill>
          </w14:textFill>
        </w:rPr>
        <w:t>工序</w:t>
      </w:r>
      <w:r>
        <w:rPr>
          <w:rFonts w:hint="eastAsia"/>
          <w:color w:val="000000" w:themeColor="text1"/>
          <w:kern w:val="0"/>
          <w:szCs w:val="20"/>
          <w:highlight w:val="none"/>
          <w:lang w:eastAsia="zh-CN"/>
          <w14:textFill>
            <w14:solidFill>
              <w14:schemeClr w14:val="tx1"/>
            </w14:solidFill>
          </w14:textFill>
        </w:rPr>
        <w:t>、</w:t>
      </w:r>
      <w:r>
        <w:rPr>
          <w:rFonts w:hint="eastAsia"/>
          <w:color w:val="000000" w:themeColor="text1"/>
          <w:kern w:val="0"/>
          <w:szCs w:val="20"/>
          <w:highlight w:val="none"/>
          <w14:textFill>
            <w14:solidFill>
              <w14:schemeClr w14:val="tx1"/>
            </w14:solidFill>
          </w14:textFill>
        </w:rPr>
        <w:t>高压辊磨</w:t>
      </w:r>
      <w:r>
        <w:rPr>
          <w:rFonts w:hint="eastAsia"/>
          <w:color w:val="000000" w:themeColor="text1"/>
          <w:kern w:val="0"/>
          <w:szCs w:val="20"/>
          <w:highlight w:val="none"/>
          <w:lang w:val="en-US" w:eastAsia="zh-CN"/>
          <w14:textFill>
            <w14:solidFill>
              <w14:schemeClr w14:val="tx1"/>
            </w14:solidFill>
          </w14:textFill>
        </w:rPr>
        <w:t>工序、磨矿工序</w:t>
      </w:r>
      <w:r>
        <w:rPr>
          <w:rFonts w:hint="eastAsia"/>
          <w:color w:val="000000" w:themeColor="text1"/>
          <w:kern w:val="0"/>
          <w:szCs w:val="20"/>
          <w:highlight w:val="none"/>
          <w14:textFill>
            <w14:solidFill>
              <w14:schemeClr w14:val="tx1"/>
            </w14:solidFill>
          </w14:textFill>
        </w:rPr>
        <w:t>有组织粉尘</w:t>
      </w:r>
      <w:r>
        <w:rPr>
          <w:color w:val="000000" w:themeColor="text1"/>
          <w:kern w:val="0"/>
          <w:szCs w:val="20"/>
          <w:highlight w:val="none"/>
          <w14:textFill>
            <w14:solidFill>
              <w14:schemeClr w14:val="tx1"/>
            </w14:solidFill>
          </w14:textFill>
        </w:rPr>
        <w:t>及</w:t>
      </w:r>
      <w:r>
        <w:rPr>
          <w:rFonts w:hint="eastAsia"/>
          <w:color w:val="000000" w:themeColor="text1"/>
          <w:kern w:val="0"/>
          <w:szCs w:val="20"/>
          <w:highlight w:val="none"/>
          <w14:textFill>
            <w14:solidFill>
              <w14:schemeClr w14:val="tx1"/>
            </w14:solidFill>
          </w14:textFill>
        </w:rPr>
        <w:t>破碎筛分干选车间</w:t>
      </w:r>
      <w:r>
        <w:rPr>
          <w:rFonts w:hint="eastAsia"/>
          <w:color w:val="000000" w:themeColor="text1"/>
          <w:kern w:val="0"/>
          <w:szCs w:val="20"/>
          <w:highlight w:val="none"/>
          <w:lang w:eastAsia="zh-CN"/>
          <w14:textFill>
            <w14:solidFill>
              <w14:schemeClr w14:val="tx1"/>
            </w14:solidFill>
          </w14:textFill>
        </w:rPr>
        <w:t>、高压辊磨车间、</w:t>
      </w:r>
      <w:r>
        <w:rPr>
          <w:color w:val="000000" w:themeColor="text1"/>
          <w:kern w:val="0"/>
          <w:szCs w:val="20"/>
          <w:highlight w:val="none"/>
          <w14:textFill>
            <w14:solidFill>
              <w14:schemeClr w14:val="tx1"/>
            </w14:solidFill>
          </w14:textFill>
        </w:rPr>
        <w:t>尾矿库</w:t>
      </w:r>
      <w:r>
        <w:rPr>
          <w:rFonts w:hint="eastAsia"/>
          <w:color w:val="000000" w:themeColor="text1"/>
          <w:kern w:val="0"/>
          <w:szCs w:val="20"/>
          <w:highlight w:val="none"/>
          <w:lang w:eastAsia="zh-CN"/>
          <w14:textFill>
            <w14:solidFill>
              <w14:schemeClr w14:val="tx1"/>
            </w14:solidFill>
          </w14:textFill>
        </w:rPr>
        <w:t>、</w:t>
      </w:r>
      <w:r>
        <w:rPr>
          <w:rFonts w:hint="eastAsia"/>
          <w:color w:val="000000" w:themeColor="text1"/>
          <w:kern w:val="0"/>
          <w:szCs w:val="20"/>
          <w:highlight w:val="none"/>
          <w:lang w:val="en-US" w:eastAsia="zh-CN"/>
          <w14:textFill>
            <w14:solidFill>
              <w14:schemeClr w14:val="tx1"/>
            </w14:solidFill>
          </w14:textFill>
        </w:rPr>
        <w:t>原矿仓、精矿库</w:t>
      </w:r>
      <w:r>
        <w:rPr>
          <w:color w:val="000000" w:themeColor="text1"/>
          <w:kern w:val="0"/>
          <w:szCs w:val="20"/>
          <w:highlight w:val="none"/>
          <w14:textFill>
            <w14:solidFill>
              <w14:schemeClr w14:val="tx1"/>
            </w14:solidFill>
          </w14:textFill>
        </w:rPr>
        <w:t>无组织粉尘进行预测，污染因子为PM</w:t>
      </w:r>
      <w:r>
        <w:rPr>
          <w:color w:val="000000" w:themeColor="text1"/>
          <w:kern w:val="0"/>
          <w:szCs w:val="20"/>
          <w:highlight w:val="none"/>
          <w:vertAlign w:val="subscript"/>
          <w14:textFill>
            <w14:solidFill>
              <w14:schemeClr w14:val="tx1"/>
            </w14:solidFill>
          </w14:textFill>
        </w:rPr>
        <w:t>10</w:t>
      </w:r>
      <w:r>
        <w:rPr>
          <w:color w:val="000000" w:themeColor="text1"/>
          <w:kern w:val="0"/>
          <w:szCs w:val="20"/>
          <w:highlight w:val="none"/>
          <w14:textFill>
            <w14:solidFill>
              <w14:schemeClr w14:val="tx1"/>
            </w14:solidFill>
          </w14:textFill>
        </w:rPr>
        <w:t>、TSP</w:t>
      </w:r>
      <w:r>
        <w:rPr>
          <w:rFonts w:hint="eastAsia"/>
          <w:color w:val="000000" w:themeColor="text1"/>
          <w:kern w:val="0"/>
          <w:szCs w:val="20"/>
          <w:highlight w:val="none"/>
          <w14:textFill>
            <w14:solidFill>
              <w14:schemeClr w14:val="tx1"/>
            </w14:solidFill>
          </w14:textFill>
        </w:rPr>
        <w:t>，预测因子为</w:t>
      </w:r>
      <w:r>
        <w:rPr>
          <w:color w:val="000000" w:themeColor="text1"/>
          <w:kern w:val="0"/>
          <w:szCs w:val="20"/>
          <w:highlight w:val="none"/>
          <w14:textFill>
            <w14:solidFill>
              <w14:schemeClr w14:val="tx1"/>
            </w14:solidFill>
          </w14:textFill>
        </w:rPr>
        <w:t>PM</w:t>
      </w:r>
      <w:r>
        <w:rPr>
          <w:color w:val="000000" w:themeColor="text1"/>
          <w:kern w:val="0"/>
          <w:szCs w:val="20"/>
          <w:highlight w:val="none"/>
          <w:vertAlign w:val="subscript"/>
          <w14:textFill>
            <w14:solidFill>
              <w14:schemeClr w14:val="tx1"/>
            </w14:solidFill>
          </w14:textFill>
        </w:rPr>
        <w:t>10</w:t>
      </w:r>
      <w:r>
        <w:rPr>
          <w:color w:val="000000" w:themeColor="text1"/>
          <w:kern w:val="0"/>
          <w:szCs w:val="20"/>
          <w:highlight w:val="none"/>
          <w14:textFill>
            <w14:solidFill>
              <w14:schemeClr w14:val="tx1"/>
            </w14:solidFill>
          </w14:textFill>
        </w:rPr>
        <w:t>、TSP。本评价根据其排放污染物源强，利用导则推荐的估算模式AERSCREEN，对上述污染源进行预测，计算P</w:t>
      </w:r>
      <w:r>
        <w:rPr>
          <w:color w:val="000000" w:themeColor="text1"/>
          <w:kern w:val="0"/>
          <w:szCs w:val="20"/>
          <w:highlight w:val="none"/>
          <w:vertAlign w:val="subscript"/>
          <w14:textFill>
            <w14:solidFill>
              <w14:schemeClr w14:val="tx1"/>
            </w14:solidFill>
          </w14:textFill>
        </w:rPr>
        <w:t>max</w:t>
      </w:r>
      <w:r>
        <w:rPr>
          <w:color w:val="000000" w:themeColor="text1"/>
          <w:kern w:val="0"/>
          <w:szCs w:val="20"/>
          <w:highlight w:val="none"/>
          <w14:textFill>
            <w14:solidFill>
              <w14:schemeClr w14:val="tx1"/>
            </w14:solidFill>
          </w14:textFill>
        </w:rPr>
        <w:t>（P</w:t>
      </w:r>
      <w:r>
        <w:rPr>
          <w:color w:val="000000" w:themeColor="text1"/>
          <w:kern w:val="0"/>
          <w:szCs w:val="20"/>
          <w:highlight w:val="none"/>
          <w:vertAlign w:val="subscript"/>
          <w14:textFill>
            <w14:solidFill>
              <w14:schemeClr w14:val="tx1"/>
            </w14:solidFill>
          </w14:textFill>
        </w:rPr>
        <w:t>i</w:t>
      </w:r>
      <w:r>
        <w:rPr>
          <w:color w:val="000000" w:themeColor="text1"/>
          <w:kern w:val="0"/>
          <w:szCs w:val="20"/>
          <w:highlight w:val="none"/>
          <w14:textFill>
            <w14:solidFill>
              <w14:schemeClr w14:val="tx1"/>
            </w14:solidFill>
          </w14:textFill>
        </w:rPr>
        <w:t>值中最大者）和D</w:t>
      </w:r>
      <w:r>
        <w:rPr>
          <w:color w:val="000000" w:themeColor="text1"/>
          <w:kern w:val="0"/>
          <w:szCs w:val="20"/>
          <w:highlight w:val="none"/>
          <w:vertAlign w:val="subscript"/>
          <w14:textFill>
            <w14:solidFill>
              <w14:schemeClr w14:val="tx1"/>
            </w14:solidFill>
          </w14:textFill>
        </w:rPr>
        <w:t>10%</w:t>
      </w:r>
      <w:r>
        <w:rPr>
          <w:color w:val="000000" w:themeColor="text1"/>
          <w:kern w:val="0"/>
          <w:szCs w:val="20"/>
          <w:highlight w:val="none"/>
          <w14:textFill>
            <w14:solidFill>
              <w14:schemeClr w14:val="tx1"/>
            </w14:solidFill>
          </w14:textFill>
        </w:rPr>
        <w:t>（占标率为10%时所对应的最远距离）。</w:t>
      </w:r>
    </w:p>
    <w:p w14:paraId="0741A4FC">
      <w:pPr>
        <w:ind w:firstLine="0" w:firstLineChars="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表2.6-2    估算模型参数表</w:t>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97"/>
        <w:gridCol w:w="2149"/>
        <w:gridCol w:w="3174"/>
      </w:tblGrid>
      <w:tr w14:paraId="652EC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137" w:type="pct"/>
            <w:gridSpan w:val="2"/>
            <w:tcBorders>
              <w:tl2br w:val="nil"/>
              <w:tr2bl w:val="nil"/>
            </w:tcBorders>
            <w:vAlign w:val="center"/>
          </w:tcPr>
          <w:p w14:paraId="49CE35C4">
            <w:pPr>
              <w:adjustRightInd w:val="0"/>
              <w:snapToGrid w:val="0"/>
              <w:spacing w:line="360" w:lineRule="exact"/>
              <w:ind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参数</w:t>
            </w:r>
          </w:p>
        </w:tc>
        <w:tc>
          <w:tcPr>
            <w:tcW w:w="1862" w:type="pct"/>
            <w:tcBorders>
              <w:tl2br w:val="nil"/>
              <w:tr2bl w:val="nil"/>
            </w:tcBorders>
            <w:vAlign w:val="center"/>
          </w:tcPr>
          <w:p w14:paraId="648386CF">
            <w:pPr>
              <w:adjustRightInd w:val="0"/>
              <w:snapToGrid w:val="0"/>
              <w:spacing w:line="360" w:lineRule="exact"/>
              <w:ind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取值</w:t>
            </w:r>
          </w:p>
        </w:tc>
      </w:tr>
      <w:tr w14:paraId="40EB6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6" w:type="pct"/>
            <w:vMerge w:val="restart"/>
            <w:tcBorders>
              <w:tl2br w:val="nil"/>
              <w:tr2bl w:val="nil"/>
            </w:tcBorders>
            <w:vAlign w:val="center"/>
          </w:tcPr>
          <w:p w14:paraId="762BED64">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城市/农村选项</w:t>
            </w:r>
          </w:p>
        </w:tc>
        <w:tc>
          <w:tcPr>
            <w:tcW w:w="1261" w:type="pct"/>
            <w:tcBorders>
              <w:tl2br w:val="nil"/>
              <w:tr2bl w:val="nil"/>
            </w:tcBorders>
            <w:vAlign w:val="center"/>
          </w:tcPr>
          <w:p w14:paraId="2836E534">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城市/农村</w:t>
            </w:r>
          </w:p>
        </w:tc>
        <w:tc>
          <w:tcPr>
            <w:tcW w:w="1862" w:type="pct"/>
            <w:tcBorders>
              <w:tl2br w:val="nil"/>
              <w:tr2bl w:val="nil"/>
            </w:tcBorders>
            <w:vAlign w:val="center"/>
          </w:tcPr>
          <w:p w14:paraId="7FD24E06">
            <w:pPr>
              <w:adjustRightInd w:val="0"/>
              <w:snapToGrid w:val="0"/>
              <w:spacing w:line="360" w:lineRule="exact"/>
              <w:ind w:firstLine="0" w:firstLineChars="0"/>
              <w:jc w:val="center"/>
              <w:rPr>
                <w:rFonts w:hint="eastAsia" w:eastAsia="宋体"/>
                <w:b/>
                <w:bCs/>
                <w:color w:val="000000" w:themeColor="text1"/>
                <w:kern w:val="0"/>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农村</w:t>
            </w:r>
          </w:p>
        </w:tc>
      </w:tr>
      <w:tr w14:paraId="4B0AC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6" w:type="pct"/>
            <w:vMerge w:val="continue"/>
            <w:tcBorders>
              <w:tl2br w:val="nil"/>
              <w:tr2bl w:val="nil"/>
            </w:tcBorders>
            <w:vAlign w:val="center"/>
          </w:tcPr>
          <w:p w14:paraId="65B8E70A">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p>
        </w:tc>
        <w:tc>
          <w:tcPr>
            <w:tcW w:w="1261" w:type="pct"/>
            <w:tcBorders>
              <w:tl2br w:val="nil"/>
              <w:tr2bl w:val="nil"/>
            </w:tcBorders>
            <w:vAlign w:val="center"/>
          </w:tcPr>
          <w:p w14:paraId="6A4C0C47">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人口数（城市选项时）</w:t>
            </w:r>
          </w:p>
        </w:tc>
        <w:tc>
          <w:tcPr>
            <w:tcW w:w="1862" w:type="pct"/>
            <w:tcBorders>
              <w:tl2br w:val="nil"/>
              <w:tr2bl w:val="nil"/>
            </w:tcBorders>
            <w:vAlign w:val="center"/>
          </w:tcPr>
          <w:p w14:paraId="76BEECFA">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w:t>
            </w:r>
          </w:p>
        </w:tc>
      </w:tr>
      <w:tr w14:paraId="50527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7" w:type="pct"/>
            <w:gridSpan w:val="2"/>
            <w:tcBorders>
              <w:tl2br w:val="nil"/>
              <w:tr2bl w:val="nil"/>
            </w:tcBorders>
            <w:vAlign w:val="center"/>
          </w:tcPr>
          <w:p w14:paraId="2D9DCFF3">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最高环境温度/℃</w:t>
            </w:r>
          </w:p>
        </w:tc>
        <w:tc>
          <w:tcPr>
            <w:tcW w:w="1862" w:type="pct"/>
            <w:tcBorders>
              <w:tl2br w:val="nil"/>
              <w:tr2bl w:val="nil"/>
            </w:tcBorders>
            <w:vAlign w:val="center"/>
          </w:tcPr>
          <w:p w14:paraId="15B550CC">
            <w:pPr>
              <w:adjustRightInd w:val="0"/>
              <w:snapToGrid w:val="0"/>
              <w:spacing w:line="360" w:lineRule="exact"/>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43.2</w:t>
            </w:r>
          </w:p>
        </w:tc>
      </w:tr>
      <w:tr w14:paraId="17C30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7" w:type="pct"/>
            <w:gridSpan w:val="2"/>
            <w:tcBorders>
              <w:tl2br w:val="nil"/>
              <w:tr2bl w:val="nil"/>
            </w:tcBorders>
            <w:vAlign w:val="center"/>
          </w:tcPr>
          <w:p w14:paraId="571A396E">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最低环境温度/℃</w:t>
            </w:r>
          </w:p>
        </w:tc>
        <w:tc>
          <w:tcPr>
            <w:tcW w:w="1862" w:type="pct"/>
            <w:tcBorders>
              <w:tl2br w:val="nil"/>
              <w:tr2bl w:val="nil"/>
            </w:tcBorders>
            <w:vAlign w:val="center"/>
          </w:tcPr>
          <w:p w14:paraId="40C31016">
            <w:pPr>
              <w:adjustRightInd w:val="0"/>
              <w:snapToGrid w:val="0"/>
              <w:spacing w:line="360" w:lineRule="exact"/>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color w:val="000000" w:themeColor="text1"/>
                <w:kern w:val="0"/>
                <w:sz w:val="21"/>
                <w:szCs w:val="21"/>
                <w:highlight w:val="none"/>
                <w14:textFill>
                  <w14:solidFill>
                    <w14:schemeClr w14:val="tx1"/>
                  </w14:solidFill>
                </w14:textFill>
              </w:rPr>
              <w:t>-</w:t>
            </w:r>
            <w:r>
              <w:rPr>
                <w:rFonts w:hint="eastAsia"/>
                <w:color w:val="000000" w:themeColor="text1"/>
                <w:kern w:val="0"/>
                <w:sz w:val="21"/>
                <w:szCs w:val="21"/>
                <w:highlight w:val="none"/>
                <w:lang w:val="en-US" w:eastAsia="zh-CN"/>
                <w14:textFill>
                  <w14:solidFill>
                    <w14:schemeClr w14:val="tx1"/>
                  </w14:solidFill>
                </w14:textFill>
              </w:rPr>
              <w:t>28.9</w:t>
            </w:r>
          </w:p>
        </w:tc>
      </w:tr>
      <w:tr w14:paraId="63ED5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7" w:type="pct"/>
            <w:gridSpan w:val="2"/>
            <w:tcBorders>
              <w:tl2br w:val="nil"/>
              <w:tr2bl w:val="nil"/>
            </w:tcBorders>
            <w:vAlign w:val="center"/>
          </w:tcPr>
          <w:p w14:paraId="47C5D04D">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土地利用类型</w:t>
            </w:r>
          </w:p>
        </w:tc>
        <w:tc>
          <w:tcPr>
            <w:tcW w:w="1862" w:type="pct"/>
            <w:tcBorders>
              <w:tl2br w:val="nil"/>
              <w:tr2bl w:val="nil"/>
            </w:tcBorders>
            <w:vAlign w:val="center"/>
          </w:tcPr>
          <w:p w14:paraId="4FC5AC45">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lang w:bidi="ar"/>
                <w14:textFill>
                  <w14:solidFill>
                    <w14:schemeClr w14:val="tx1"/>
                  </w14:solidFill>
                </w14:textFill>
              </w:rPr>
              <w:t>沙漠化荒地</w:t>
            </w:r>
          </w:p>
        </w:tc>
      </w:tr>
      <w:tr w14:paraId="13B34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7" w:type="pct"/>
            <w:gridSpan w:val="2"/>
            <w:tcBorders>
              <w:tl2br w:val="nil"/>
              <w:tr2bl w:val="nil"/>
            </w:tcBorders>
            <w:vAlign w:val="center"/>
          </w:tcPr>
          <w:p w14:paraId="177DB295">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区域湿度条件</w:t>
            </w:r>
          </w:p>
        </w:tc>
        <w:tc>
          <w:tcPr>
            <w:tcW w:w="1862" w:type="pct"/>
            <w:tcBorders>
              <w:tl2br w:val="nil"/>
              <w:tr2bl w:val="nil"/>
            </w:tcBorders>
            <w:vAlign w:val="center"/>
          </w:tcPr>
          <w:p w14:paraId="74BA3082">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干燥气候</w:t>
            </w:r>
          </w:p>
        </w:tc>
      </w:tr>
      <w:tr w14:paraId="1B0C6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6" w:type="pct"/>
            <w:vMerge w:val="restart"/>
            <w:tcBorders>
              <w:tl2br w:val="nil"/>
              <w:tr2bl w:val="nil"/>
            </w:tcBorders>
            <w:vAlign w:val="center"/>
          </w:tcPr>
          <w:p w14:paraId="213A2A39">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是否考虑地形</w:t>
            </w:r>
          </w:p>
        </w:tc>
        <w:tc>
          <w:tcPr>
            <w:tcW w:w="1261" w:type="pct"/>
            <w:tcBorders>
              <w:tl2br w:val="nil"/>
              <w:tr2bl w:val="nil"/>
            </w:tcBorders>
            <w:vAlign w:val="center"/>
          </w:tcPr>
          <w:p w14:paraId="395FD69F">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考虑地形</w:t>
            </w:r>
          </w:p>
        </w:tc>
        <w:tc>
          <w:tcPr>
            <w:tcW w:w="1862" w:type="pct"/>
            <w:tcBorders>
              <w:tl2br w:val="nil"/>
              <w:tr2bl w:val="nil"/>
            </w:tcBorders>
            <w:vAlign w:val="center"/>
          </w:tcPr>
          <w:p w14:paraId="6609304E">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是</w:t>
            </w:r>
          </w:p>
        </w:tc>
      </w:tr>
      <w:tr w14:paraId="14662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6" w:type="pct"/>
            <w:vMerge w:val="continue"/>
            <w:tcBorders>
              <w:tl2br w:val="nil"/>
              <w:tr2bl w:val="nil"/>
            </w:tcBorders>
            <w:vAlign w:val="center"/>
          </w:tcPr>
          <w:p w14:paraId="4574FCB3">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p>
        </w:tc>
        <w:tc>
          <w:tcPr>
            <w:tcW w:w="1261" w:type="pct"/>
            <w:tcBorders>
              <w:tl2br w:val="nil"/>
              <w:tr2bl w:val="nil"/>
            </w:tcBorders>
            <w:vAlign w:val="center"/>
          </w:tcPr>
          <w:p w14:paraId="77E7BCD7">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地形数据分辨率/m</w:t>
            </w:r>
          </w:p>
        </w:tc>
        <w:tc>
          <w:tcPr>
            <w:tcW w:w="1862" w:type="pct"/>
            <w:tcBorders>
              <w:tl2br w:val="nil"/>
              <w:tr2bl w:val="nil"/>
            </w:tcBorders>
            <w:vAlign w:val="center"/>
          </w:tcPr>
          <w:p w14:paraId="4B4167CF">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90</w:t>
            </w:r>
          </w:p>
        </w:tc>
      </w:tr>
      <w:tr w14:paraId="6ED38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6" w:type="pct"/>
            <w:vMerge w:val="restart"/>
            <w:tcBorders>
              <w:tl2br w:val="nil"/>
              <w:tr2bl w:val="nil"/>
            </w:tcBorders>
            <w:vAlign w:val="center"/>
          </w:tcPr>
          <w:p w14:paraId="3F5C4CC0">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是否考虑岸线熏烟</w:t>
            </w:r>
          </w:p>
        </w:tc>
        <w:tc>
          <w:tcPr>
            <w:tcW w:w="1261" w:type="pct"/>
            <w:tcBorders>
              <w:tl2br w:val="nil"/>
              <w:tr2bl w:val="nil"/>
            </w:tcBorders>
            <w:vAlign w:val="center"/>
          </w:tcPr>
          <w:p w14:paraId="54C01172">
            <w:pPr>
              <w:pStyle w:val="52"/>
              <w:kinsoku w:val="0"/>
              <w:overflowPunct w:val="0"/>
              <w:autoSpaceDE w:val="0"/>
              <w:autoSpaceDN w:val="0"/>
              <w:adjustRightInd w:val="0"/>
              <w:snapToGrid w:val="0"/>
              <w:spacing w:line="360" w:lineRule="exact"/>
              <w:rPr>
                <w:color w:val="000000" w:themeColor="text1"/>
                <w:kern w:val="0"/>
                <w:szCs w:val="21"/>
                <w:highlight w:val="none"/>
                <w14:textFill>
                  <w14:solidFill>
                    <w14:schemeClr w14:val="tx1"/>
                  </w14:solidFill>
                </w14:textFill>
              </w:rPr>
            </w:pPr>
            <w:r>
              <w:rPr>
                <w:color w:val="000000" w:themeColor="text1"/>
                <w:kern w:val="0"/>
                <w:highlight w:val="none"/>
                <w14:textFill>
                  <w14:solidFill>
                    <w14:schemeClr w14:val="tx1"/>
                  </w14:solidFill>
                </w14:textFill>
              </w:rPr>
              <w:t>考虑岸线熏烟</w:t>
            </w:r>
          </w:p>
        </w:tc>
        <w:tc>
          <w:tcPr>
            <w:tcW w:w="1862" w:type="pct"/>
            <w:tcBorders>
              <w:tl2br w:val="nil"/>
              <w:tr2bl w:val="nil"/>
            </w:tcBorders>
            <w:vAlign w:val="center"/>
          </w:tcPr>
          <w:p w14:paraId="3EEA07CA">
            <w:pPr>
              <w:pStyle w:val="52"/>
              <w:kinsoku w:val="0"/>
              <w:overflowPunct w:val="0"/>
              <w:autoSpaceDE w:val="0"/>
              <w:autoSpaceDN w:val="0"/>
              <w:adjustRightInd w:val="0"/>
              <w:snapToGrid w:val="0"/>
              <w:spacing w:line="360" w:lineRule="exact"/>
              <w:rPr>
                <w:color w:val="000000" w:themeColor="text1"/>
                <w:kern w:val="0"/>
                <w:szCs w:val="21"/>
                <w:highlight w:val="none"/>
                <w14:textFill>
                  <w14:solidFill>
                    <w14:schemeClr w14:val="tx1"/>
                  </w14:solidFill>
                </w14:textFill>
              </w:rPr>
            </w:pPr>
            <w:r>
              <w:rPr>
                <w:color w:val="000000" w:themeColor="text1"/>
                <w:kern w:val="0"/>
                <w:highlight w:val="none"/>
                <w14:textFill>
                  <w14:solidFill>
                    <w14:schemeClr w14:val="tx1"/>
                  </w14:solidFill>
                </w14:textFill>
              </w:rPr>
              <w:t>□是  ☑否</w:t>
            </w:r>
          </w:p>
        </w:tc>
      </w:tr>
      <w:tr w14:paraId="4E6EE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6" w:type="pct"/>
            <w:vMerge w:val="continue"/>
            <w:tcBorders>
              <w:tl2br w:val="nil"/>
              <w:tr2bl w:val="nil"/>
            </w:tcBorders>
            <w:vAlign w:val="center"/>
          </w:tcPr>
          <w:p w14:paraId="26959CAD">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p>
        </w:tc>
        <w:tc>
          <w:tcPr>
            <w:tcW w:w="1261" w:type="pct"/>
            <w:tcBorders>
              <w:tl2br w:val="nil"/>
              <w:tr2bl w:val="nil"/>
            </w:tcBorders>
            <w:vAlign w:val="center"/>
          </w:tcPr>
          <w:p w14:paraId="051E077D">
            <w:pPr>
              <w:pStyle w:val="52"/>
              <w:kinsoku w:val="0"/>
              <w:overflowPunct w:val="0"/>
              <w:autoSpaceDE w:val="0"/>
              <w:autoSpaceDN w:val="0"/>
              <w:adjustRightInd w:val="0"/>
              <w:snapToGrid w:val="0"/>
              <w:spacing w:line="360" w:lineRule="exact"/>
              <w:rPr>
                <w:color w:val="000000" w:themeColor="text1"/>
                <w:kern w:val="0"/>
                <w:szCs w:val="21"/>
                <w:highlight w:val="none"/>
                <w14:textFill>
                  <w14:solidFill>
                    <w14:schemeClr w14:val="tx1"/>
                  </w14:solidFill>
                </w14:textFill>
              </w:rPr>
            </w:pPr>
            <w:r>
              <w:rPr>
                <w:color w:val="000000" w:themeColor="text1"/>
                <w:kern w:val="0"/>
                <w:highlight w:val="none"/>
                <w14:textFill>
                  <w14:solidFill>
                    <w14:schemeClr w14:val="tx1"/>
                  </w14:solidFill>
                </w14:textFill>
              </w:rPr>
              <w:t>岸线距离/km</w:t>
            </w:r>
          </w:p>
        </w:tc>
        <w:tc>
          <w:tcPr>
            <w:tcW w:w="1862" w:type="pct"/>
            <w:tcBorders>
              <w:tl2br w:val="nil"/>
              <w:tr2bl w:val="nil"/>
            </w:tcBorders>
            <w:vAlign w:val="center"/>
          </w:tcPr>
          <w:p w14:paraId="6363C2E0">
            <w:pPr>
              <w:pStyle w:val="52"/>
              <w:kinsoku w:val="0"/>
              <w:overflowPunct w:val="0"/>
              <w:autoSpaceDE w:val="0"/>
              <w:autoSpaceDN w:val="0"/>
              <w:adjustRightInd w:val="0"/>
              <w:snapToGrid w:val="0"/>
              <w:spacing w:line="360" w:lineRule="exact"/>
              <w:rPr>
                <w:color w:val="000000" w:themeColor="text1"/>
                <w:kern w:val="0"/>
                <w:szCs w:val="21"/>
                <w:highlight w:val="none"/>
                <w14:textFill>
                  <w14:solidFill>
                    <w14:schemeClr w14:val="tx1"/>
                  </w14:solidFill>
                </w14:textFill>
              </w:rPr>
            </w:pPr>
            <w:r>
              <w:rPr>
                <w:color w:val="000000" w:themeColor="text1"/>
                <w:kern w:val="0"/>
                <w:highlight w:val="none"/>
                <w14:textFill>
                  <w14:solidFill>
                    <w14:schemeClr w14:val="tx1"/>
                  </w14:solidFill>
                </w14:textFill>
              </w:rPr>
              <w:t>/</w:t>
            </w:r>
          </w:p>
        </w:tc>
      </w:tr>
      <w:tr w14:paraId="7FA08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6" w:type="pct"/>
            <w:vMerge w:val="continue"/>
            <w:tcBorders>
              <w:tl2br w:val="nil"/>
              <w:tr2bl w:val="nil"/>
            </w:tcBorders>
            <w:vAlign w:val="center"/>
          </w:tcPr>
          <w:p w14:paraId="106787A2">
            <w:pPr>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p>
        </w:tc>
        <w:tc>
          <w:tcPr>
            <w:tcW w:w="1261" w:type="pct"/>
            <w:tcBorders>
              <w:tl2br w:val="nil"/>
              <w:tr2bl w:val="nil"/>
            </w:tcBorders>
            <w:vAlign w:val="center"/>
          </w:tcPr>
          <w:p w14:paraId="097C4CB4">
            <w:pPr>
              <w:pStyle w:val="52"/>
              <w:kinsoku w:val="0"/>
              <w:overflowPunct w:val="0"/>
              <w:autoSpaceDE w:val="0"/>
              <w:autoSpaceDN w:val="0"/>
              <w:adjustRightInd w:val="0"/>
              <w:snapToGrid w:val="0"/>
              <w:spacing w:line="360" w:lineRule="exact"/>
              <w:rPr>
                <w:color w:val="000000" w:themeColor="text1"/>
                <w:kern w:val="0"/>
                <w:szCs w:val="21"/>
                <w:highlight w:val="none"/>
                <w14:textFill>
                  <w14:solidFill>
                    <w14:schemeClr w14:val="tx1"/>
                  </w14:solidFill>
                </w14:textFill>
              </w:rPr>
            </w:pPr>
            <w:r>
              <w:rPr>
                <w:color w:val="000000" w:themeColor="text1"/>
                <w:kern w:val="0"/>
                <w:highlight w:val="none"/>
                <w14:textFill>
                  <w14:solidFill>
                    <w14:schemeClr w14:val="tx1"/>
                  </w14:solidFill>
                </w14:textFill>
              </w:rPr>
              <w:t>岸线方向/°</w:t>
            </w:r>
          </w:p>
        </w:tc>
        <w:tc>
          <w:tcPr>
            <w:tcW w:w="1862" w:type="pct"/>
            <w:tcBorders>
              <w:tl2br w:val="nil"/>
              <w:tr2bl w:val="nil"/>
            </w:tcBorders>
            <w:vAlign w:val="center"/>
          </w:tcPr>
          <w:p w14:paraId="30C10E92">
            <w:pPr>
              <w:pStyle w:val="52"/>
              <w:kinsoku w:val="0"/>
              <w:overflowPunct w:val="0"/>
              <w:autoSpaceDE w:val="0"/>
              <w:autoSpaceDN w:val="0"/>
              <w:adjustRightInd w:val="0"/>
              <w:snapToGrid w:val="0"/>
              <w:spacing w:line="360" w:lineRule="exact"/>
              <w:rPr>
                <w:color w:val="000000" w:themeColor="text1"/>
                <w:kern w:val="0"/>
                <w:szCs w:val="21"/>
                <w:highlight w:val="none"/>
                <w14:textFill>
                  <w14:solidFill>
                    <w14:schemeClr w14:val="tx1"/>
                  </w14:solidFill>
                </w14:textFill>
              </w:rPr>
            </w:pPr>
            <w:r>
              <w:rPr>
                <w:color w:val="000000" w:themeColor="text1"/>
                <w:kern w:val="0"/>
                <w:highlight w:val="none"/>
                <w14:textFill>
                  <w14:solidFill>
                    <w14:schemeClr w14:val="tx1"/>
                  </w14:solidFill>
                </w14:textFill>
              </w:rPr>
              <w:t>/</w:t>
            </w:r>
          </w:p>
        </w:tc>
      </w:tr>
    </w:tbl>
    <w:p w14:paraId="02BE9965">
      <w:pPr>
        <w:ind w:firstLine="0" w:firstLineChars="0"/>
        <w:jc w:val="center"/>
        <w:rPr>
          <w:b/>
          <w:color w:val="000000" w:themeColor="text1"/>
          <w:kern w:val="0"/>
          <w:highlight w:val="none"/>
          <w14:textFill>
            <w14:solidFill>
              <w14:schemeClr w14:val="tx1"/>
            </w14:solidFill>
          </w14:textFill>
        </w:rPr>
      </w:pPr>
      <w:r>
        <w:rPr>
          <w:b/>
          <w:color w:val="000000" w:themeColor="text1"/>
          <w:kern w:val="0"/>
          <w:highlight w:val="none"/>
          <w14:textFill>
            <w14:solidFill>
              <w14:schemeClr w14:val="tx1"/>
            </w14:solidFill>
          </w14:textFill>
        </w:rPr>
        <w:t>表2.6</w:t>
      </w:r>
      <w:r>
        <w:rPr>
          <w:b/>
          <w:color w:val="000000" w:themeColor="text1"/>
          <w:kern w:val="0"/>
          <w:highlight w:val="none"/>
          <w14:textFill>
            <w14:solidFill>
              <w14:schemeClr w14:val="tx1"/>
            </w14:solidFill>
          </w14:textFill>
        </w:rPr>
        <w:noBreakHyphen/>
      </w:r>
      <w:r>
        <w:rPr>
          <w:b/>
          <w:color w:val="000000" w:themeColor="text1"/>
          <w:kern w:val="0"/>
          <w:highlight w:val="none"/>
          <w14:textFill>
            <w14:solidFill>
              <w14:schemeClr w14:val="tx1"/>
            </w14:solidFill>
          </w14:textFill>
        </w:rPr>
        <w:t>3</w:t>
      </w:r>
      <w:r>
        <w:rPr>
          <w:color w:val="000000" w:themeColor="text1"/>
          <w:highlight w:val="none"/>
          <w14:textFill>
            <w14:solidFill>
              <w14:schemeClr w14:val="tx1"/>
            </w14:solidFill>
          </w14:textFill>
        </w:rPr>
        <w:t xml:space="preserve">    </w:t>
      </w:r>
      <w:r>
        <w:rPr>
          <w:b/>
          <w:color w:val="000000" w:themeColor="text1"/>
          <w:kern w:val="0"/>
          <w:highlight w:val="none"/>
          <w14:textFill>
            <w14:solidFill>
              <w14:schemeClr w14:val="tx1"/>
            </w14:solidFill>
          </w14:textFill>
        </w:rPr>
        <w:t>估算模式主要计算参数一览表</w:t>
      </w:r>
    </w:p>
    <w:tbl>
      <w:tblPr>
        <w:tblStyle w:val="32"/>
        <w:tblW w:w="505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27"/>
        <w:gridCol w:w="832"/>
        <w:gridCol w:w="669"/>
        <w:gridCol w:w="868"/>
        <w:gridCol w:w="854"/>
        <w:gridCol w:w="821"/>
        <w:gridCol w:w="711"/>
        <w:gridCol w:w="1037"/>
        <w:gridCol w:w="803"/>
      </w:tblGrid>
      <w:tr w14:paraId="10D05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tcMar>
              <w:left w:w="0" w:type="dxa"/>
              <w:right w:w="0" w:type="dxa"/>
            </w:tcMar>
            <w:vAlign w:val="center"/>
          </w:tcPr>
          <w:p w14:paraId="144CB7B3">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有组织源强</w:t>
            </w:r>
          </w:p>
        </w:tc>
      </w:tr>
      <w:tr w14:paraId="0169E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tcMar>
              <w:left w:w="0" w:type="dxa"/>
              <w:right w:w="0" w:type="dxa"/>
            </w:tcMar>
            <w:vAlign w:val="center"/>
          </w:tcPr>
          <w:p w14:paraId="16D7F7CB">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污染源</w:t>
            </w:r>
            <w:r>
              <w:rPr>
                <w:rFonts w:hint="eastAsia"/>
                <w:b/>
                <w:bCs/>
                <w:color w:val="000000" w:themeColor="text1"/>
                <w:sz w:val="21"/>
                <w:szCs w:val="21"/>
                <w:highlight w:val="none"/>
                <w14:textFill>
                  <w14:solidFill>
                    <w14:schemeClr w14:val="tx1"/>
                  </w14:solidFill>
                </w14:textFill>
              </w:rPr>
              <w:t>序号</w:t>
            </w:r>
          </w:p>
        </w:tc>
        <w:tc>
          <w:tcPr>
            <w:tcW w:w="669" w:type="pct"/>
            <w:tcMar>
              <w:left w:w="0" w:type="dxa"/>
              <w:right w:w="0" w:type="dxa"/>
            </w:tcMar>
            <w:vAlign w:val="center"/>
          </w:tcPr>
          <w:p w14:paraId="2BA40F8B">
            <w:pPr>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污染源</w:t>
            </w:r>
          </w:p>
          <w:p w14:paraId="151908D9">
            <w:pPr>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名称</w:t>
            </w:r>
          </w:p>
        </w:tc>
        <w:tc>
          <w:tcPr>
            <w:tcW w:w="494" w:type="pct"/>
            <w:tcMar>
              <w:left w:w="0" w:type="dxa"/>
              <w:right w:w="0" w:type="dxa"/>
            </w:tcMar>
            <w:vAlign w:val="center"/>
          </w:tcPr>
          <w:p w14:paraId="090C8FAF">
            <w:pPr>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污染源</w:t>
            </w:r>
          </w:p>
          <w:p w14:paraId="641A3F36">
            <w:pPr>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类型</w:t>
            </w:r>
          </w:p>
        </w:tc>
        <w:tc>
          <w:tcPr>
            <w:tcW w:w="397" w:type="pct"/>
            <w:tcMar>
              <w:left w:w="0" w:type="dxa"/>
              <w:right w:w="0" w:type="dxa"/>
            </w:tcMar>
            <w:vAlign w:val="center"/>
          </w:tcPr>
          <w:p w14:paraId="7FC9C221">
            <w:pPr>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评价因子</w:t>
            </w:r>
          </w:p>
        </w:tc>
        <w:tc>
          <w:tcPr>
            <w:tcW w:w="515" w:type="pct"/>
            <w:tcMar>
              <w:left w:w="0" w:type="dxa"/>
              <w:right w:w="0" w:type="dxa"/>
            </w:tcMar>
            <w:vAlign w:val="center"/>
          </w:tcPr>
          <w:p w14:paraId="39E5D4B7">
            <w:pPr>
              <w:adjustRightInd w:val="0"/>
              <w:snapToGrid w:val="0"/>
              <w:spacing w:line="360" w:lineRule="exact"/>
              <w:ind w:left="-120" w:leftChars="-50" w:right="-120" w:rightChars="-50"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评价标准（mg/m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w:t>
            </w:r>
          </w:p>
        </w:tc>
        <w:tc>
          <w:tcPr>
            <w:tcW w:w="507" w:type="pct"/>
            <w:tcMar>
              <w:left w:w="0" w:type="dxa"/>
              <w:right w:w="0" w:type="dxa"/>
            </w:tcMar>
            <w:vAlign w:val="center"/>
          </w:tcPr>
          <w:p w14:paraId="18466F86">
            <w:pPr>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排放速率（kg/h）</w:t>
            </w:r>
          </w:p>
        </w:tc>
        <w:tc>
          <w:tcPr>
            <w:tcW w:w="487" w:type="pct"/>
            <w:vAlign w:val="center"/>
          </w:tcPr>
          <w:p w14:paraId="2D1D0A78">
            <w:pPr>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排气筒高度（m）</w:t>
            </w:r>
          </w:p>
        </w:tc>
        <w:tc>
          <w:tcPr>
            <w:tcW w:w="422" w:type="pct"/>
            <w:tcMar>
              <w:left w:w="0" w:type="dxa"/>
              <w:right w:w="0" w:type="dxa"/>
            </w:tcMar>
            <w:vAlign w:val="center"/>
          </w:tcPr>
          <w:p w14:paraId="676BE16A">
            <w:pPr>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排气筒出口内径（m）</w:t>
            </w:r>
          </w:p>
        </w:tc>
        <w:tc>
          <w:tcPr>
            <w:tcW w:w="615" w:type="pct"/>
            <w:tcMar>
              <w:left w:w="0" w:type="dxa"/>
              <w:right w:w="0" w:type="dxa"/>
            </w:tcMar>
            <w:vAlign w:val="center"/>
          </w:tcPr>
          <w:p w14:paraId="222FAF4A">
            <w:pPr>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标况排气量（Nm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/h）</w:t>
            </w:r>
          </w:p>
        </w:tc>
        <w:tc>
          <w:tcPr>
            <w:tcW w:w="471" w:type="pct"/>
            <w:tcMar>
              <w:left w:w="0" w:type="dxa"/>
              <w:right w:w="0" w:type="dxa"/>
            </w:tcMar>
            <w:vAlign w:val="center"/>
          </w:tcPr>
          <w:p w14:paraId="33ADDC04">
            <w:pPr>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烟气温度（℃）</w:t>
            </w:r>
          </w:p>
        </w:tc>
      </w:tr>
      <w:tr w14:paraId="72C5E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tcMar>
              <w:left w:w="0" w:type="dxa"/>
              <w:right w:w="0" w:type="dxa"/>
            </w:tcMar>
            <w:vAlign w:val="center"/>
          </w:tcPr>
          <w:p w14:paraId="7777B302">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DA001</w:t>
            </w:r>
          </w:p>
        </w:tc>
        <w:tc>
          <w:tcPr>
            <w:tcW w:w="669" w:type="pct"/>
            <w:tcMar>
              <w:left w:w="0" w:type="dxa"/>
              <w:right w:w="0" w:type="dxa"/>
            </w:tcMar>
            <w:vAlign w:val="center"/>
          </w:tcPr>
          <w:p w14:paraId="7418A06E">
            <w:pPr>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破碎筛分工序</w:t>
            </w:r>
            <w:r>
              <w:rPr>
                <w:rFonts w:hint="eastAsia"/>
                <w:color w:val="000000" w:themeColor="text1"/>
                <w:sz w:val="21"/>
                <w:szCs w:val="21"/>
                <w:highlight w:val="none"/>
                <w14:textFill>
                  <w14:solidFill>
                    <w14:schemeClr w14:val="tx1"/>
                  </w14:solidFill>
                </w14:textFill>
              </w:rPr>
              <w:t>排气筒</w:t>
            </w:r>
          </w:p>
        </w:tc>
        <w:tc>
          <w:tcPr>
            <w:tcW w:w="494" w:type="pct"/>
            <w:tcMar>
              <w:left w:w="0" w:type="dxa"/>
              <w:right w:w="0" w:type="dxa"/>
            </w:tcMar>
            <w:vAlign w:val="center"/>
          </w:tcPr>
          <w:p w14:paraId="0DBAB921">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点源</w:t>
            </w:r>
          </w:p>
        </w:tc>
        <w:tc>
          <w:tcPr>
            <w:tcW w:w="397" w:type="pct"/>
            <w:tcMar>
              <w:left w:w="0" w:type="dxa"/>
              <w:right w:w="0" w:type="dxa"/>
            </w:tcMar>
            <w:vAlign w:val="center"/>
          </w:tcPr>
          <w:p w14:paraId="5946426F">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PM</w:t>
            </w:r>
            <w:r>
              <w:rPr>
                <w:rFonts w:hint="eastAsia"/>
                <w:color w:val="000000" w:themeColor="text1"/>
                <w:sz w:val="21"/>
                <w:szCs w:val="21"/>
                <w:highlight w:val="none"/>
                <w:vertAlign w:val="subscript"/>
                <w14:textFill>
                  <w14:solidFill>
                    <w14:schemeClr w14:val="tx1"/>
                  </w14:solidFill>
                </w14:textFill>
              </w:rPr>
              <w:t>10</w:t>
            </w:r>
          </w:p>
        </w:tc>
        <w:tc>
          <w:tcPr>
            <w:tcW w:w="515" w:type="pct"/>
            <w:tcMar>
              <w:left w:w="0" w:type="dxa"/>
              <w:right w:w="0" w:type="dxa"/>
            </w:tcMar>
            <w:vAlign w:val="center"/>
          </w:tcPr>
          <w:p w14:paraId="3A5C063F">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36</w:t>
            </w:r>
          </w:p>
        </w:tc>
        <w:tc>
          <w:tcPr>
            <w:tcW w:w="507" w:type="pct"/>
            <w:tcMar>
              <w:left w:w="0" w:type="dxa"/>
              <w:right w:w="0" w:type="dxa"/>
            </w:tcMar>
            <w:vAlign w:val="center"/>
          </w:tcPr>
          <w:p w14:paraId="34B15BFF">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487" w:type="pct"/>
            <w:vAlign w:val="center"/>
          </w:tcPr>
          <w:p w14:paraId="52195A7E">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p>
        </w:tc>
        <w:tc>
          <w:tcPr>
            <w:tcW w:w="422" w:type="pct"/>
            <w:shd w:val="clear" w:color="auto" w:fill="auto"/>
            <w:tcMar>
              <w:left w:w="0" w:type="dxa"/>
              <w:right w:w="0" w:type="dxa"/>
            </w:tcMar>
            <w:vAlign w:val="center"/>
          </w:tcPr>
          <w:p w14:paraId="62588433">
            <w:pPr>
              <w:adjustRightInd w:val="0"/>
              <w:snapToGrid w:val="0"/>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615" w:type="pct"/>
            <w:shd w:val="clear" w:color="auto" w:fill="auto"/>
            <w:tcMar>
              <w:left w:w="0" w:type="dxa"/>
              <w:right w:w="0" w:type="dxa"/>
            </w:tcMar>
            <w:vAlign w:val="center"/>
          </w:tcPr>
          <w:p w14:paraId="2FEBE026">
            <w:pPr>
              <w:adjustRightInd w:val="0"/>
              <w:snapToGrid w:val="0"/>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60000</w:t>
            </w:r>
          </w:p>
        </w:tc>
        <w:tc>
          <w:tcPr>
            <w:tcW w:w="471" w:type="pct"/>
            <w:shd w:val="clear" w:color="auto" w:fill="auto"/>
            <w:tcMar>
              <w:left w:w="0" w:type="dxa"/>
              <w:right w:w="0" w:type="dxa"/>
            </w:tcMar>
            <w:vAlign w:val="center"/>
          </w:tcPr>
          <w:p w14:paraId="1B0B5484">
            <w:pPr>
              <w:adjustRightInd w:val="0"/>
              <w:snapToGrid w:val="0"/>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r>
      <w:tr w14:paraId="58109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tcMar>
              <w:left w:w="0" w:type="dxa"/>
              <w:right w:w="0" w:type="dxa"/>
            </w:tcMar>
            <w:vAlign w:val="center"/>
          </w:tcPr>
          <w:p w14:paraId="7FB9B56A">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DA00</w:t>
            </w:r>
            <w:r>
              <w:rPr>
                <w:rFonts w:hint="eastAsia"/>
                <w:color w:val="000000" w:themeColor="text1"/>
                <w:sz w:val="21"/>
                <w:szCs w:val="21"/>
                <w:highlight w:val="none"/>
                <w14:textFill>
                  <w14:solidFill>
                    <w14:schemeClr w14:val="tx1"/>
                  </w14:solidFill>
                </w14:textFill>
              </w:rPr>
              <w:t>2</w:t>
            </w:r>
          </w:p>
        </w:tc>
        <w:tc>
          <w:tcPr>
            <w:tcW w:w="669" w:type="pct"/>
            <w:tcMar>
              <w:left w:w="0" w:type="dxa"/>
              <w:right w:w="0" w:type="dxa"/>
            </w:tcMar>
            <w:vAlign w:val="center"/>
          </w:tcPr>
          <w:p w14:paraId="735BDA9A">
            <w:pPr>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磁选</w:t>
            </w:r>
            <w:r>
              <w:rPr>
                <w:rFonts w:hint="eastAsia"/>
                <w:color w:val="000000" w:themeColor="text1"/>
                <w:sz w:val="21"/>
                <w:szCs w:val="21"/>
                <w:highlight w:val="none"/>
                <w:lang w:eastAsia="zh-CN"/>
                <w14:textFill>
                  <w14:solidFill>
                    <w14:schemeClr w14:val="tx1"/>
                  </w14:solidFill>
                </w14:textFill>
              </w:rPr>
              <w:t>工序</w:t>
            </w:r>
            <w:r>
              <w:rPr>
                <w:rFonts w:hint="eastAsia"/>
                <w:color w:val="000000" w:themeColor="text1"/>
                <w:sz w:val="21"/>
                <w:szCs w:val="21"/>
                <w:highlight w:val="none"/>
                <w14:textFill>
                  <w14:solidFill>
                    <w14:schemeClr w14:val="tx1"/>
                  </w14:solidFill>
                </w14:textFill>
              </w:rPr>
              <w:t>排气筒</w:t>
            </w:r>
          </w:p>
        </w:tc>
        <w:tc>
          <w:tcPr>
            <w:tcW w:w="494" w:type="pct"/>
            <w:tcMar>
              <w:left w:w="0" w:type="dxa"/>
              <w:right w:w="0" w:type="dxa"/>
            </w:tcMar>
            <w:vAlign w:val="center"/>
          </w:tcPr>
          <w:p w14:paraId="390F3D8D">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点源</w:t>
            </w:r>
          </w:p>
        </w:tc>
        <w:tc>
          <w:tcPr>
            <w:tcW w:w="397" w:type="pct"/>
            <w:tcMar>
              <w:left w:w="0" w:type="dxa"/>
              <w:right w:w="0" w:type="dxa"/>
            </w:tcMar>
            <w:vAlign w:val="center"/>
          </w:tcPr>
          <w:p w14:paraId="4722CE3B">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PM</w:t>
            </w:r>
            <w:r>
              <w:rPr>
                <w:rFonts w:hint="eastAsia"/>
                <w:color w:val="000000" w:themeColor="text1"/>
                <w:sz w:val="21"/>
                <w:szCs w:val="21"/>
                <w:highlight w:val="none"/>
                <w:vertAlign w:val="subscript"/>
                <w14:textFill>
                  <w14:solidFill>
                    <w14:schemeClr w14:val="tx1"/>
                  </w14:solidFill>
                </w14:textFill>
              </w:rPr>
              <w:t>10</w:t>
            </w:r>
          </w:p>
        </w:tc>
        <w:tc>
          <w:tcPr>
            <w:tcW w:w="515" w:type="pct"/>
            <w:tcMar>
              <w:left w:w="0" w:type="dxa"/>
              <w:right w:w="0" w:type="dxa"/>
            </w:tcMar>
            <w:vAlign w:val="center"/>
          </w:tcPr>
          <w:p w14:paraId="01DFFDF6">
            <w:pPr>
              <w:adjustRightInd w:val="0"/>
              <w:snapToGrid w:val="0"/>
              <w:spacing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36</w:t>
            </w:r>
          </w:p>
        </w:tc>
        <w:tc>
          <w:tcPr>
            <w:tcW w:w="507" w:type="pct"/>
            <w:tcMar>
              <w:left w:w="0" w:type="dxa"/>
              <w:right w:w="0" w:type="dxa"/>
            </w:tcMar>
            <w:vAlign w:val="center"/>
          </w:tcPr>
          <w:p w14:paraId="1625CE7F">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0.16</w:t>
            </w:r>
          </w:p>
        </w:tc>
        <w:tc>
          <w:tcPr>
            <w:tcW w:w="487" w:type="pct"/>
            <w:vAlign w:val="center"/>
          </w:tcPr>
          <w:p w14:paraId="2E298B3C">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p>
        </w:tc>
        <w:tc>
          <w:tcPr>
            <w:tcW w:w="422" w:type="pct"/>
            <w:shd w:val="clear" w:color="auto" w:fill="auto"/>
            <w:tcMar>
              <w:left w:w="0" w:type="dxa"/>
              <w:right w:w="0" w:type="dxa"/>
            </w:tcMar>
            <w:vAlign w:val="center"/>
          </w:tcPr>
          <w:p w14:paraId="2981B3F2">
            <w:pPr>
              <w:adjustRightInd w:val="0"/>
              <w:snapToGrid w:val="0"/>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615" w:type="pct"/>
            <w:shd w:val="clear" w:color="auto" w:fill="auto"/>
            <w:tcMar>
              <w:left w:w="0" w:type="dxa"/>
              <w:right w:w="0" w:type="dxa"/>
            </w:tcMar>
            <w:vAlign w:val="center"/>
          </w:tcPr>
          <w:p w14:paraId="1F140C83">
            <w:pPr>
              <w:adjustRightInd w:val="0"/>
              <w:snapToGrid w:val="0"/>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80000</w:t>
            </w:r>
          </w:p>
        </w:tc>
        <w:tc>
          <w:tcPr>
            <w:tcW w:w="471" w:type="pct"/>
            <w:shd w:val="clear" w:color="auto" w:fill="auto"/>
            <w:tcMar>
              <w:left w:w="0" w:type="dxa"/>
              <w:right w:w="0" w:type="dxa"/>
            </w:tcMar>
            <w:vAlign w:val="center"/>
          </w:tcPr>
          <w:p w14:paraId="7E1308C3">
            <w:pPr>
              <w:adjustRightInd w:val="0"/>
              <w:snapToGrid w:val="0"/>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r>
      <w:tr w14:paraId="073EC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tcMar>
              <w:left w:w="0" w:type="dxa"/>
              <w:right w:w="0" w:type="dxa"/>
            </w:tcMar>
            <w:vAlign w:val="center"/>
          </w:tcPr>
          <w:p w14:paraId="576BD5DB">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无组织源强</w:t>
            </w:r>
          </w:p>
        </w:tc>
      </w:tr>
      <w:tr w14:paraId="086B4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tcMar>
              <w:left w:w="0" w:type="dxa"/>
              <w:right w:w="0" w:type="dxa"/>
            </w:tcMar>
            <w:vAlign w:val="center"/>
          </w:tcPr>
          <w:p w14:paraId="4C6C7521">
            <w:pPr>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污染源序号</w:t>
            </w:r>
          </w:p>
        </w:tc>
        <w:tc>
          <w:tcPr>
            <w:tcW w:w="669" w:type="pct"/>
            <w:tcMar>
              <w:left w:w="0" w:type="dxa"/>
              <w:right w:w="0" w:type="dxa"/>
            </w:tcMar>
            <w:vAlign w:val="center"/>
          </w:tcPr>
          <w:p w14:paraId="32FAE547">
            <w:pPr>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污染源</w:t>
            </w:r>
          </w:p>
          <w:p w14:paraId="601F06C6">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名称</w:t>
            </w:r>
          </w:p>
        </w:tc>
        <w:tc>
          <w:tcPr>
            <w:tcW w:w="494" w:type="pct"/>
            <w:tcMar>
              <w:left w:w="0" w:type="dxa"/>
              <w:right w:w="0" w:type="dxa"/>
            </w:tcMar>
            <w:vAlign w:val="center"/>
          </w:tcPr>
          <w:p w14:paraId="2F8E616E">
            <w:pPr>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污染源</w:t>
            </w:r>
          </w:p>
          <w:p w14:paraId="1E2AD9E7">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类型</w:t>
            </w:r>
          </w:p>
        </w:tc>
        <w:tc>
          <w:tcPr>
            <w:tcW w:w="397" w:type="pct"/>
            <w:tcMar>
              <w:left w:w="0" w:type="dxa"/>
              <w:right w:w="0" w:type="dxa"/>
            </w:tcMar>
            <w:vAlign w:val="center"/>
          </w:tcPr>
          <w:p w14:paraId="518FDCFE">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评价因子</w:t>
            </w:r>
          </w:p>
        </w:tc>
        <w:tc>
          <w:tcPr>
            <w:tcW w:w="515" w:type="pct"/>
            <w:tcMar>
              <w:left w:w="0" w:type="dxa"/>
              <w:right w:w="0" w:type="dxa"/>
            </w:tcMar>
            <w:vAlign w:val="center"/>
          </w:tcPr>
          <w:p w14:paraId="284D587A">
            <w:pPr>
              <w:adjustRightInd w:val="0"/>
              <w:snapToGrid w:val="0"/>
              <w:spacing w:line="360" w:lineRule="exact"/>
              <w:ind w:left="-120" w:leftChars="-50" w:right="-120" w:rightChars="-50"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评价标准</w:t>
            </w:r>
          </w:p>
          <w:p w14:paraId="5F1C1747">
            <w:pPr>
              <w:adjustRightInd w:val="0"/>
              <w:snapToGrid w:val="0"/>
              <w:spacing w:line="360" w:lineRule="exact"/>
              <w:ind w:left="-120" w:leftChars="-50" w:right="-120" w:rightChars="-50" w:firstLine="0" w:firstLineChars="0"/>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（mg/m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w:t>
            </w:r>
          </w:p>
        </w:tc>
        <w:tc>
          <w:tcPr>
            <w:tcW w:w="507" w:type="pct"/>
            <w:tcMar>
              <w:left w:w="0" w:type="dxa"/>
              <w:right w:w="0" w:type="dxa"/>
            </w:tcMar>
            <w:vAlign w:val="center"/>
          </w:tcPr>
          <w:p w14:paraId="775EE989">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排放速率（</w:t>
            </w:r>
            <w:r>
              <w:rPr>
                <w:rFonts w:hint="eastAsia"/>
                <w:b/>
                <w:bCs/>
                <w:color w:val="000000" w:themeColor="text1"/>
                <w:sz w:val="21"/>
                <w:szCs w:val="21"/>
                <w:highlight w:val="none"/>
                <w14:textFill>
                  <w14:solidFill>
                    <w14:schemeClr w14:val="tx1"/>
                  </w14:solidFill>
                </w14:textFill>
              </w:rPr>
              <w:t>t/a</w:t>
            </w:r>
            <w:r>
              <w:rPr>
                <w:b/>
                <w:bCs/>
                <w:color w:val="000000" w:themeColor="text1"/>
                <w:sz w:val="21"/>
                <w:szCs w:val="21"/>
                <w:highlight w:val="none"/>
                <w14:textFill>
                  <w14:solidFill>
                    <w14:schemeClr w14:val="tx1"/>
                  </w14:solidFill>
                </w14:textFill>
              </w:rPr>
              <w:t>）</w:t>
            </w:r>
          </w:p>
        </w:tc>
        <w:tc>
          <w:tcPr>
            <w:tcW w:w="909" w:type="pct"/>
            <w:gridSpan w:val="2"/>
            <w:tcMar>
              <w:left w:w="0" w:type="dxa"/>
              <w:right w:w="0" w:type="dxa"/>
            </w:tcMar>
            <w:vAlign w:val="center"/>
          </w:tcPr>
          <w:p w14:paraId="02BC41E1">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源的释放高度（m）</w:t>
            </w:r>
          </w:p>
        </w:tc>
        <w:tc>
          <w:tcPr>
            <w:tcW w:w="615" w:type="pct"/>
            <w:tcMar>
              <w:left w:w="0" w:type="dxa"/>
              <w:right w:w="0" w:type="dxa"/>
            </w:tcMar>
            <w:vAlign w:val="center"/>
          </w:tcPr>
          <w:p w14:paraId="7C7C795A">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面源长度（m）</w:t>
            </w:r>
          </w:p>
        </w:tc>
        <w:tc>
          <w:tcPr>
            <w:tcW w:w="471" w:type="pct"/>
            <w:tcMar>
              <w:left w:w="0" w:type="dxa"/>
              <w:right w:w="0" w:type="dxa"/>
            </w:tcMar>
            <w:vAlign w:val="center"/>
          </w:tcPr>
          <w:p w14:paraId="3FF0B05F">
            <w:pPr>
              <w:adjustRightInd w:val="0"/>
              <w:snapToGrid w:val="0"/>
              <w:spacing w:line="360" w:lineRule="exact"/>
              <w:ind w:firstLine="0" w:firstLineChars="0"/>
              <w:jc w:val="center"/>
              <w:rPr>
                <w:rFonts w:eastAsiaTheme="minorEastAsia"/>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面源宽度（m）</w:t>
            </w:r>
          </w:p>
        </w:tc>
      </w:tr>
      <w:tr w14:paraId="4942D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tcMar>
              <w:left w:w="0" w:type="dxa"/>
              <w:right w:w="0" w:type="dxa"/>
            </w:tcMar>
            <w:vAlign w:val="center"/>
          </w:tcPr>
          <w:p w14:paraId="49B70963">
            <w:pPr>
              <w:adjustRightInd w:val="0"/>
              <w:snapToGrid w:val="0"/>
              <w:spacing w:line="360" w:lineRule="exact"/>
              <w:ind w:firstLine="0" w:firstLineChars="0"/>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DA003</w:t>
            </w:r>
          </w:p>
        </w:tc>
        <w:tc>
          <w:tcPr>
            <w:tcW w:w="669" w:type="pct"/>
            <w:tcMar>
              <w:left w:w="0" w:type="dxa"/>
              <w:right w:w="0" w:type="dxa"/>
            </w:tcMar>
            <w:vAlign w:val="center"/>
          </w:tcPr>
          <w:p w14:paraId="4A4FEF88">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破碎筛分干选</w:t>
            </w:r>
            <w:r>
              <w:rPr>
                <w:rFonts w:hint="eastAsia"/>
                <w:color w:val="000000" w:themeColor="text1"/>
                <w:sz w:val="21"/>
                <w:szCs w:val="21"/>
                <w:highlight w:val="none"/>
                <w14:textFill>
                  <w14:solidFill>
                    <w14:schemeClr w14:val="tx1"/>
                  </w14:solidFill>
                </w14:textFill>
              </w:rPr>
              <w:t>车间</w:t>
            </w:r>
          </w:p>
        </w:tc>
        <w:tc>
          <w:tcPr>
            <w:tcW w:w="494" w:type="pct"/>
            <w:tcMar>
              <w:left w:w="0" w:type="dxa"/>
              <w:right w:w="0" w:type="dxa"/>
            </w:tcMar>
            <w:vAlign w:val="center"/>
          </w:tcPr>
          <w:p w14:paraId="4735DA01">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面源</w:t>
            </w:r>
          </w:p>
        </w:tc>
        <w:tc>
          <w:tcPr>
            <w:tcW w:w="397" w:type="pct"/>
            <w:tcMar>
              <w:left w:w="0" w:type="dxa"/>
              <w:right w:w="0" w:type="dxa"/>
            </w:tcMar>
            <w:vAlign w:val="center"/>
          </w:tcPr>
          <w:p w14:paraId="370A65DD">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TSP</w:t>
            </w:r>
          </w:p>
        </w:tc>
        <w:tc>
          <w:tcPr>
            <w:tcW w:w="515" w:type="pct"/>
            <w:tcMar>
              <w:left w:w="0" w:type="dxa"/>
              <w:right w:w="0" w:type="dxa"/>
            </w:tcMar>
            <w:vAlign w:val="center"/>
          </w:tcPr>
          <w:p w14:paraId="45360307">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0.9</w:t>
            </w:r>
          </w:p>
        </w:tc>
        <w:tc>
          <w:tcPr>
            <w:tcW w:w="507" w:type="pct"/>
            <w:tcMar>
              <w:left w:w="0" w:type="dxa"/>
              <w:right w:w="0" w:type="dxa"/>
            </w:tcMar>
            <w:vAlign w:val="center"/>
          </w:tcPr>
          <w:p w14:paraId="2C479019">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0.13</w:t>
            </w:r>
          </w:p>
        </w:tc>
        <w:tc>
          <w:tcPr>
            <w:tcW w:w="909" w:type="pct"/>
            <w:gridSpan w:val="2"/>
            <w:tcMar>
              <w:left w:w="0" w:type="dxa"/>
              <w:right w:w="0" w:type="dxa"/>
            </w:tcMar>
            <w:vAlign w:val="center"/>
          </w:tcPr>
          <w:p w14:paraId="5B4A3935">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615" w:type="pct"/>
            <w:tcMar>
              <w:left w:w="0" w:type="dxa"/>
              <w:right w:w="0" w:type="dxa"/>
            </w:tcMar>
            <w:vAlign w:val="center"/>
          </w:tcPr>
          <w:p w14:paraId="20B3AB64">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w:t>
            </w:r>
          </w:p>
        </w:tc>
        <w:tc>
          <w:tcPr>
            <w:tcW w:w="471" w:type="pct"/>
            <w:tcMar>
              <w:left w:w="0" w:type="dxa"/>
              <w:right w:w="0" w:type="dxa"/>
            </w:tcMar>
            <w:vAlign w:val="center"/>
          </w:tcPr>
          <w:p w14:paraId="419F17BD">
            <w:pPr>
              <w:spacing w:line="360" w:lineRule="exact"/>
              <w:ind w:firstLine="0" w:firstLineChars="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60</w:t>
            </w:r>
          </w:p>
        </w:tc>
      </w:tr>
      <w:tr w14:paraId="6E2E3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tcMar>
              <w:left w:w="0" w:type="dxa"/>
              <w:right w:w="0" w:type="dxa"/>
            </w:tcMar>
            <w:vAlign w:val="center"/>
          </w:tcPr>
          <w:p w14:paraId="73CA6B20">
            <w:pPr>
              <w:adjustRightInd w:val="0"/>
              <w:snapToGrid w:val="0"/>
              <w:spacing w:line="360" w:lineRule="exact"/>
              <w:ind w:firstLine="0" w:firstLineChars="0"/>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DA004</w:t>
            </w:r>
          </w:p>
        </w:tc>
        <w:tc>
          <w:tcPr>
            <w:tcW w:w="669" w:type="pct"/>
            <w:tcMar>
              <w:left w:w="0" w:type="dxa"/>
              <w:right w:w="0" w:type="dxa"/>
            </w:tcMar>
            <w:vAlign w:val="center"/>
          </w:tcPr>
          <w:p w14:paraId="677CC6F9">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磁选车间</w:t>
            </w:r>
          </w:p>
        </w:tc>
        <w:tc>
          <w:tcPr>
            <w:tcW w:w="494" w:type="pct"/>
            <w:tcMar>
              <w:left w:w="0" w:type="dxa"/>
              <w:right w:w="0" w:type="dxa"/>
            </w:tcMar>
            <w:vAlign w:val="center"/>
          </w:tcPr>
          <w:p w14:paraId="469D7526">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面源</w:t>
            </w:r>
          </w:p>
        </w:tc>
        <w:tc>
          <w:tcPr>
            <w:tcW w:w="397" w:type="pct"/>
            <w:tcMar>
              <w:left w:w="0" w:type="dxa"/>
              <w:right w:w="0" w:type="dxa"/>
            </w:tcMar>
            <w:vAlign w:val="center"/>
          </w:tcPr>
          <w:p w14:paraId="6CF7BAEE">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TSP</w:t>
            </w:r>
          </w:p>
        </w:tc>
        <w:tc>
          <w:tcPr>
            <w:tcW w:w="515" w:type="pct"/>
            <w:tcMar>
              <w:left w:w="0" w:type="dxa"/>
              <w:right w:w="0" w:type="dxa"/>
            </w:tcMar>
            <w:vAlign w:val="center"/>
          </w:tcPr>
          <w:p w14:paraId="12D46966">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0.9</w:t>
            </w:r>
          </w:p>
        </w:tc>
        <w:tc>
          <w:tcPr>
            <w:tcW w:w="507" w:type="pct"/>
            <w:tcMar>
              <w:left w:w="0" w:type="dxa"/>
              <w:right w:w="0" w:type="dxa"/>
            </w:tcMar>
            <w:vAlign w:val="center"/>
          </w:tcPr>
          <w:p w14:paraId="455CB0F2">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0.33</w:t>
            </w:r>
          </w:p>
        </w:tc>
        <w:tc>
          <w:tcPr>
            <w:tcW w:w="909" w:type="pct"/>
            <w:gridSpan w:val="2"/>
            <w:tcMar>
              <w:left w:w="0" w:type="dxa"/>
              <w:right w:w="0" w:type="dxa"/>
            </w:tcMar>
            <w:vAlign w:val="center"/>
          </w:tcPr>
          <w:p w14:paraId="47AA2187">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615" w:type="pct"/>
            <w:tcMar>
              <w:left w:w="0" w:type="dxa"/>
              <w:right w:w="0" w:type="dxa"/>
            </w:tcMar>
            <w:vAlign w:val="center"/>
          </w:tcPr>
          <w:p w14:paraId="2ED4957E">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p>
        </w:tc>
        <w:tc>
          <w:tcPr>
            <w:tcW w:w="471" w:type="pct"/>
            <w:tcMar>
              <w:left w:w="0" w:type="dxa"/>
              <w:right w:w="0" w:type="dxa"/>
            </w:tcMar>
            <w:vAlign w:val="center"/>
          </w:tcPr>
          <w:p w14:paraId="2E4CE346">
            <w:pPr>
              <w:spacing w:line="360" w:lineRule="exact"/>
              <w:ind w:firstLine="0" w:firstLineChars="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30</w:t>
            </w:r>
          </w:p>
        </w:tc>
      </w:tr>
      <w:tr w14:paraId="6BC6A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tcMar>
              <w:left w:w="0" w:type="dxa"/>
              <w:right w:w="0" w:type="dxa"/>
            </w:tcMar>
            <w:vAlign w:val="center"/>
          </w:tcPr>
          <w:p w14:paraId="7455A5AB">
            <w:pPr>
              <w:adjustRightInd w:val="0"/>
              <w:snapToGrid w:val="0"/>
              <w:spacing w:line="360" w:lineRule="exact"/>
              <w:ind w:firstLine="0" w:firstLineChars="0"/>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DA005</w:t>
            </w:r>
          </w:p>
        </w:tc>
        <w:tc>
          <w:tcPr>
            <w:tcW w:w="669" w:type="pct"/>
            <w:tcMar>
              <w:left w:w="0" w:type="dxa"/>
              <w:right w:w="0" w:type="dxa"/>
            </w:tcMar>
            <w:vAlign w:val="center"/>
          </w:tcPr>
          <w:p w14:paraId="3546B785">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原矿仓</w:t>
            </w:r>
          </w:p>
        </w:tc>
        <w:tc>
          <w:tcPr>
            <w:tcW w:w="832" w:type="dxa"/>
            <w:tcMar>
              <w:left w:w="0" w:type="dxa"/>
              <w:right w:w="0" w:type="dxa"/>
            </w:tcMar>
            <w:vAlign w:val="center"/>
          </w:tcPr>
          <w:p w14:paraId="7DF5F6EA">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面源</w:t>
            </w:r>
          </w:p>
        </w:tc>
        <w:tc>
          <w:tcPr>
            <w:tcW w:w="669" w:type="dxa"/>
            <w:tcMar>
              <w:left w:w="0" w:type="dxa"/>
              <w:right w:w="0" w:type="dxa"/>
            </w:tcMar>
            <w:vAlign w:val="center"/>
          </w:tcPr>
          <w:p w14:paraId="41047C36">
            <w:pPr>
              <w:adjustRightInd w:val="0"/>
              <w:snapToGrid w:val="0"/>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TSP</w:t>
            </w:r>
          </w:p>
        </w:tc>
        <w:tc>
          <w:tcPr>
            <w:tcW w:w="868" w:type="dxa"/>
            <w:tcMar>
              <w:left w:w="0" w:type="dxa"/>
              <w:right w:w="0" w:type="dxa"/>
            </w:tcMar>
            <w:vAlign w:val="center"/>
          </w:tcPr>
          <w:p w14:paraId="4C05AB46">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0.9</w:t>
            </w:r>
          </w:p>
        </w:tc>
        <w:tc>
          <w:tcPr>
            <w:tcW w:w="507" w:type="pct"/>
            <w:tcMar>
              <w:left w:w="0" w:type="dxa"/>
              <w:right w:w="0" w:type="dxa"/>
            </w:tcMar>
            <w:vAlign w:val="center"/>
          </w:tcPr>
          <w:p w14:paraId="769D200F">
            <w:pPr>
              <w:adjustRightInd w:val="0"/>
              <w:snapToGrid w:val="0"/>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0.35</w:t>
            </w:r>
          </w:p>
        </w:tc>
        <w:tc>
          <w:tcPr>
            <w:tcW w:w="909" w:type="pct"/>
            <w:gridSpan w:val="2"/>
            <w:tcMar>
              <w:left w:w="0" w:type="dxa"/>
              <w:right w:w="0" w:type="dxa"/>
            </w:tcMar>
            <w:vAlign w:val="center"/>
          </w:tcPr>
          <w:p w14:paraId="39472B24">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615" w:type="pct"/>
            <w:tcMar>
              <w:left w:w="0" w:type="dxa"/>
              <w:right w:w="0" w:type="dxa"/>
            </w:tcMar>
            <w:vAlign w:val="center"/>
          </w:tcPr>
          <w:p w14:paraId="69D7FBC5">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471" w:type="pct"/>
            <w:tcMar>
              <w:left w:w="0" w:type="dxa"/>
              <w:right w:w="0" w:type="dxa"/>
            </w:tcMar>
            <w:vAlign w:val="center"/>
          </w:tcPr>
          <w:p w14:paraId="2B0E9D3C">
            <w:pPr>
              <w:spacing w:line="360" w:lineRule="exact"/>
              <w:ind w:firstLine="0" w:firstLineChars="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10</w:t>
            </w:r>
          </w:p>
        </w:tc>
      </w:tr>
      <w:tr w14:paraId="7BDF2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tcMar>
              <w:left w:w="0" w:type="dxa"/>
              <w:right w:w="0" w:type="dxa"/>
            </w:tcMar>
            <w:vAlign w:val="center"/>
          </w:tcPr>
          <w:p w14:paraId="0A55E3EF">
            <w:pPr>
              <w:adjustRightInd w:val="0"/>
              <w:snapToGrid w:val="0"/>
              <w:spacing w:line="360" w:lineRule="exact"/>
              <w:ind w:firstLine="0" w:firstLineChars="0"/>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DA006</w:t>
            </w:r>
          </w:p>
        </w:tc>
        <w:tc>
          <w:tcPr>
            <w:tcW w:w="669" w:type="pct"/>
            <w:tcMar>
              <w:left w:w="0" w:type="dxa"/>
              <w:right w:w="0" w:type="dxa"/>
            </w:tcMar>
            <w:vAlign w:val="center"/>
          </w:tcPr>
          <w:p w14:paraId="337736CA">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精矿库</w:t>
            </w:r>
          </w:p>
        </w:tc>
        <w:tc>
          <w:tcPr>
            <w:tcW w:w="832" w:type="dxa"/>
            <w:tcMar>
              <w:left w:w="0" w:type="dxa"/>
              <w:right w:w="0" w:type="dxa"/>
            </w:tcMar>
            <w:vAlign w:val="center"/>
          </w:tcPr>
          <w:p w14:paraId="72D14A30">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面源</w:t>
            </w:r>
          </w:p>
        </w:tc>
        <w:tc>
          <w:tcPr>
            <w:tcW w:w="669" w:type="dxa"/>
            <w:tcMar>
              <w:left w:w="0" w:type="dxa"/>
              <w:right w:w="0" w:type="dxa"/>
            </w:tcMar>
            <w:vAlign w:val="center"/>
          </w:tcPr>
          <w:p w14:paraId="7505C1BF">
            <w:pPr>
              <w:adjustRightInd w:val="0"/>
              <w:snapToGrid w:val="0"/>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TSP</w:t>
            </w:r>
          </w:p>
        </w:tc>
        <w:tc>
          <w:tcPr>
            <w:tcW w:w="868" w:type="dxa"/>
            <w:tcMar>
              <w:left w:w="0" w:type="dxa"/>
              <w:right w:w="0" w:type="dxa"/>
            </w:tcMar>
            <w:vAlign w:val="center"/>
          </w:tcPr>
          <w:p w14:paraId="6BB99925">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0.9</w:t>
            </w:r>
          </w:p>
        </w:tc>
        <w:tc>
          <w:tcPr>
            <w:tcW w:w="507" w:type="pct"/>
            <w:tcMar>
              <w:left w:w="0" w:type="dxa"/>
              <w:right w:w="0" w:type="dxa"/>
            </w:tcMar>
            <w:vAlign w:val="center"/>
          </w:tcPr>
          <w:p w14:paraId="2C9A8880">
            <w:pPr>
              <w:adjustRightInd w:val="0"/>
              <w:snapToGrid w:val="0"/>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0.22</w:t>
            </w:r>
          </w:p>
        </w:tc>
        <w:tc>
          <w:tcPr>
            <w:tcW w:w="909" w:type="pct"/>
            <w:gridSpan w:val="2"/>
            <w:tcMar>
              <w:left w:w="0" w:type="dxa"/>
              <w:right w:w="0" w:type="dxa"/>
            </w:tcMar>
            <w:vAlign w:val="center"/>
          </w:tcPr>
          <w:p w14:paraId="6BD889D5">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615" w:type="pct"/>
            <w:tcMar>
              <w:left w:w="0" w:type="dxa"/>
              <w:right w:w="0" w:type="dxa"/>
            </w:tcMar>
            <w:vAlign w:val="center"/>
          </w:tcPr>
          <w:p w14:paraId="5C716307">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w:t>
            </w:r>
          </w:p>
        </w:tc>
        <w:tc>
          <w:tcPr>
            <w:tcW w:w="471" w:type="pct"/>
            <w:tcMar>
              <w:left w:w="0" w:type="dxa"/>
              <w:right w:w="0" w:type="dxa"/>
            </w:tcMar>
            <w:vAlign w:val="center"/>
          </w:tcPr>
          <w:p w14:paraId="2C7810ED">
            <w:pPr>
              <w:spacing w:line="360" w:lineRule="exact"/>
              <w:ind w:firstLine="0" w:firstLineChars="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50</w:t>
            </w:r>
          </w:p>
        </w:tc>
      </w:tr>
      <w:tr w14:paraId="4471E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 w:type="pct"/>
            <w:tcMar>
              <w:left w:w="0" w:type="dxa"/>
              <w:right w:w="0" w:type="dxa"/>
            </w:tcMar>
            <w:vAlign w:val="center"/>
          </w:tcPr>
          <w:p w14:paraId="1136B4A4">
            <w:pPr>
              <w:adjustRightInd w:val="0"/>
              <w:snapToGrid w:val="0"/>
              <w:spacing w:line="360" w:lineRule="exact"/>
              <w:ind w:firstLine="0" w:firstLineChars="0"/>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DA007</w:t>
            </w:r>
          </w:p>
        </w:tc>
        <w:tc>
          <w:tcPr>
            <w:tcW w:w="669" w:type="pct"/>
            <w:tcMar>
              <w:left w:w="0" w:type="dxa"/>
              <w:right w:w="0" w:type="dxa"/>
            </w:tcMar>
            <w:vAlign w:val="center"/>
          </w:tcPr>
          <w:p w14:paraId="5FF2A2C1">
            <w:pPr>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尾矿库</w:t>
            </w:r>
          </w:p>
        </w:tc>
        <w:tc>
          <w:tcPr>
            <w:tcW w:w="494" w:type="pct"/>
            <w:tcMar>
              <w:left w:w="0" w:type="dxa"/>
              <w:right w:w="0" w:type="dxa"/>
            </w:tcMar>
            <w:vAlign w:val="center"/>
          </w:tcPr>
          <w:p w14:paraId="207C612B">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面源</w:t>
            </w:r>
          </w:p>
        </w:tc>
        <w:tc>
          <w:tcPr>
            <w:tcW w:w="397" w:type="pct"/>
            <w:tcMar>
              <w:left w:w="0" w:type="dxa"/>
              <w:right w:w="0" w:type="dxa"/>
            </w:tcMar>
            <w:vAlign w:val="center"/>
          </w:tcPr>
          <w:p w14:paraId="158054FA">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TSP</w:t>
            </w:r>
          </w:p>
        </w:tc>
        <w:tc>
          <w:tcPr>
            <w:tcW w:w="515" w:type="pct"/>
            <w:tcMar>
              <w:left w:w="0" w:type="dxa"/>
              <w:right w:w="0" w:type="dxa"/>
            </w:tcMar>
            <w:vAlign w:val="center"/>
          </w:tcPr>
          <w:p w14:paraId="4AA8CB98">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0.9</w:t>
            </w:r>
          </w:p>
        </w:tc>
        <w:tc>
          <w:tcPr>
            <w:tcW w:w="507" w:type="pct"/>
            <w:tcMar>
              <w:left w:w="0" w:type="dxa"/>
              <w:right w:w="0" w:type="dxa"/>
            </w:tcMar>
            <w:vAlign w:val="center"/>
          </w:tcPr>
          <w:p w14:paraId="36723F90">
            <w:pPr>
              <w:adjustRightInd w:val="0"/>
              <w:snapToGri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w:t>
            </w:r>
          </w:p>
        </w:tc>
        <w:tc>
          <w:tcPr>
            <w:tcW w:w="909" w:type="pct"/>
            <w:gridSpan w:val="2"/>
            <w:tcMar>
              <w:left w:w="0" w:type="dxa"/>
              <w:right w:w="0" w:type="dxa"/>
            </w:tcMar>
            <w:vAlign w:val="center"/>
          </w:tcPr>
          <w:p w14:paraId="73BEF8FD">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c>
          <w:tcPr>
            <w:tcW w:w="615" w:type="pct"/>
            <w:tcMar>
              <w:left w:w="0" w:type="dxa"/>
              <w:right w:w="0" w:type="dxa"/>
            </w:tcMar>
            <w:vAlign w:val="center"/>
          </w:tcPr>
          <w:p w14:paraId="38A5379A">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932</w:t>
            </w:r>
          </w:p>
        </w:tc>
        <w:tc>
          <w:tcPr>
            <w:tcW w:w="471" w:type="pct"/>
            <w:tcMar>
              <w:left w:w="0" w:type="dxa"/>
              <w:right w:w="0" w:type="dxa"/>
            </w:tcMar>
            <w:vAlign w:val="center"/>
          </w:tcPr>
          <w:p w14:paraId="1BAEAE76">
            <w:pPr>
              <w:spacing w:line="360" w:lineRule="exact"/>
              <w:ind w:firstLine="0" w:firstLineChars="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523</w:t>
            </w:r>
          </w:p>
        </w:tc>
      </w:tr>
    </w:tbl>
    <w:p w14:paraId="4DEDC349">
      <w:pPr>
        <w:ind w:firstLine="0" w:firstLineChars="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表2.6-4    污染物最大落地浓度统计表</w:t>
      </w:r>
    </w:p>
    <w:tbl>
      <w:tblPr>
        <w:tblStyle w:val="32"/>
        <w:tblW w:w="493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36"/>
        <w:gridCol w:w="2025"/>
        <w:gridCol w:w="854"/>
        <w:gridCol w:w="1518"/>
        <w:gridCol w:w="1925"/>
        <w:gridCol w:w="789"/>
        <w:gridCol w:w="771"/>
      </w:tblGrid>
      <w:tr w14:paraId="2673D6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318" w:type="pct"/>
            <w:vAlign w:val="center"/>
          </w:tcPr>
          <w:p w14:paraId="1323F658">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color w:val="000000" w:themeColor="text1"/>
                <w:sz w:val="21"/>
                <w:highlight w:val="none"/>
                <w14:textFill>
                  <w14:solidFill>
                    <w14:schemeClr w14:val="tx1"/>
                  </w14:solidFill>
                </w14:textFill>
              </w:rPr>
            </w:pPr>
            <w:r>
              <w:rPr>
                <w:b/>
                <w:bCs/>
                <w:color w:val="000000" w:themeColor="text1"/>
                <w:kern w:val="0"/>
                <w:sz w:val="21"/>
                <w:highlight w:val="none"/>
                <w14:textFill>
                  <w14:solidFill>
                    <w14:schemeClr w14:val="tx1"/>
                  </w14:solidFill>
                </w14:textFill>
              </w:rPr>
              <w:t>序号</w:t>
            </w:r>
          </w:p>
        </w:tc>
        <w:tc>
          <w:tcPr>
            <w:tcW w:w="1202" w:type="pct"/>
            <w:vAlign w:val="center"/>
          </w:tcPr>
          <w:p w14:paraId="3DA83E8B">
            <w:pPr>
              <w:spacing w:line="360" w:lineRule="exact"/>
              <w:ind w:firstLine="0" w:firstLineChars="0"/>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系统名称</w:t>
            </w:r>
          </w:p>
        </w:tc>
        <w:tc>
          <w:tcPr>
            <w:tcW w:w="507" w:type="pct"/>
            <w:vAlign w:val="center"/>
          </w:tcPr>
          <w:p w14:paraId="3C517E98">
            <w:pPr>
              <w:spacing w:line="360" w:lineRule="exact"/>
              <w:ind w:firstLine="0" w:firstLineChars="0"/>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污染物</w:t>
            </w:r>
          </w:p>
        </w:tc>
        <w:tc>
          <w:tcPr>
            <w:tcW w:w="901" w:type="pct"/>
            <w:vAlign w:val="center"/>
          </w:tcPr>
          <w:p w14:paraId="7FD022E9">
            <w:pPr>
              <w:spacing w:line="360" w:lineRule="exact"/>
              <w:ind w:firstLine="0" w:firstLineChars="0"/>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最大落地浓度</w:t>
            </w:r>
            <w:r>
              <w:rPr>
                <w:rFonts w:hint="eastAsia"/>
                <w:b/>
                <w:color w:val="000000" w:themeColor="text1"/>
                <w:sz w:val="21"/>
                <w:highlight w:val="none"/>
                <w:lang w:eastAsia="zh-CN"/>
                <w14:textFill>
                  <w14:solidFill>
                    <w14:schemeClr w14:val="tx1"/>
                  </w14:solidFill>
                </w14:textFill>
              </w:rPr>
              <w:t>（</w:t>
            </w:r>
            <w:r>
              <w:rPr>
                <w:b/>
                <w:color w:val="000000" w:themeColor="text1"/>
                <w:sz w:val="21"/>
                <w:highlight w:val="none"/>
                <w14:textFill>
                  <w14:solidFill>
                    <w14:schemeClr w14:val="tx1"/>
                  </w14:solidFill>
                </w14:textFill>
              </w:rPr>
              <w:t>mg/m</w:t>
            </w:r>
            <w:r>
              <w:rPr>
                <w:b/>
                <w:color w:val="000000" w:themeColor="text1"/>
                <w:sz w:val="21"/>
                <w:highlight w:val="none"/>
                <w:vertAlign w:val="superscript"/>
                <w14:textFill>
                  <w14:solidFill>
                    <w14:schemeClr w14:val="tx1"/>
                  </w14:solidFill>
                </w14:textFill>
              </w:rPr>
              <w:t>3</w:t>
            </w:r>
            <w:r>
              <w:rPr>
                <w:rFonts w:hint="eastAsia"/>
                <w:b/>
                <w:color w:val="000000" w:themeColor="text1"/>
                <w:sz w:val="21"/>
                <w:highlight w:val="none"/>
                <w:lang w:eastAsia="zh-CN"/>
                <w14:textFill>
                  <w14:solidFill>
                    <w14:schemeClr w14:val="tx1"/>
                  </w14:solidFill>
                </w14:textFill>
              </w:rPr>
              <w:t>）</w:t>
            </w:r>
          </w:p>
        </w:tc>
        <w:tc>
          <w:tcPr>
            <w:tcW w:w="1143" w:type="pct"/>
            <w:vAlign w:val="center"/>
          </w:tcPr>
          <w:p w14:paraId="55E38E00">
            <w:pPr>
              <w:spacing w:line="360" w:lineRule="exact"/>
              <w:ind w:firstLine="0" w:firstLineChars="0"/>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最大浓度落地距离（m）</w:t>
            </w:r>
          </w:p>
        </w:tc>
        <w:tc>
          <w:tcPr>
            <w:tcW w:w="468" w:type="pct"/>
            <w:vAlign w:val="center"/>
          </w:tcPr>
          <w:p w14:paraId="58ADE386">
            <w:pPr>
              <w:spacing w:line="360" w:lineRule="exact"/>
              <w:ind w:firstLine="0" w:firstLineChars="0"/>
              <w:jc w:val="center"/>
              <w:rPr>
                <w:b/>
                <w:color w:val="000000" w:themeColor="text1"/>
                <w:sz w:val="21"/>
                <w:highlight w:val="none"/>
                <w14:textFill>
                  <w14:solidFill>
                    <w14:schemeClr w14:val="tx1"/>
                  </w14:solidFill>
                </w14:textFill>
              </w:rPr>
            </w:pPr>
            <w:r>
              <w:rPr>
                <w:b/>
                <w:color w:val="000000" w:themeColor="text1"/>
                <w:sz w:val="21"/>
                <w:highlight w:val="none"/>
                <w14:textFill>
                  <w14:solidFill>
                    <w14:schemeClr w14:val="tx1"/>
                  </w14:solidFill>
                </w14:textFill>
              </w:rPr>
              <w:t>P</w:t>
            </w:r>
            <w:r>
              <w:rPr>
                <w:b/>
                <w:color w:val="000000" w:themeColor="text1"/>
                <w:sz w:val="21"/>
                <w:highlight w:val="none"/>
                <w:vertAlign w:val="subscript"/>
                <w14:textFill>
                  <w14:solidFill>
                    <w14:schemeClr w14:val="tx1"/>
                  </w14:solidFill>
                </w14:textFill>
              </w:rPr>
              <w:t>max</w:t>
            </w:r>
            <w:r>
              <w:rPr>
                <w:b/>
                <w:color w:val="000000" w:themeColor="text1"/>
                <w:sz w:val="21"/>
                <w:highlight w:val="none"/>
                <w14:textFill>
                  <w14:solidFill>
                    <w14:schemeClr w14:val="tx1"/>
                  </w14:solidFill>
                </w14:textFill>
              </w:rPr>
              <w:t>（%）</w:t>
            </w:r>
          </w:p>
        </w:tc>
        <w:tc>
          <w:tcPr>
            <w:tcW w:w="457" w:type="pct"/>
            <w:vAlign w:val="center"/>
          </w:tcPr>
          <w:p w14:paraId="165FD95B">
            <w:pPr>
              <w:spacing w:line="360" w:lineRule="exact"/>
              <w:ind w:firstLine="0" w:firstLineChars="0"/>
              <w:jc w:val="center"/>
              <w:rPr>
                <w:b/>
                <w:color w:val="000000" w:themeColor="text1"/>
                <w:sz w:val="21"/>
                <w:highlight w:val="none"/>
                <w14:textFill>
                  <w14:solidFill>
                    <w14:schemeClr w14:val="tx1"/>
                  </w14:solidFill>
                </w14:textFill>
              </w:rPr>
            </w:pPr>
            <w:r>
              <w:rPr>
                <w:rFonts w:hint="eastAsia"/>
                <w:b/>
                <w:color w:val="000000" w:themeColor="text1"/>
                <w:sz w:val="21"/>
                <w:highlight w:val="none"/>
                <w14:textFill>
                  <w14:solidFill>
                    <w14:schemeClr w14:val="tx1"/>
                  </w14:solidFill>
                </w14:textFill>
              </w:rPr>
              <w:t>D</w:t>
            </w:r>
            <w:r>
              <w:rPr>
                <w:rFonts w:hint="eastAsia"/>
                <w:b/>
                <w:color w:val="000000" w:themeColor="text1"/>
                <w:sz w:val="21"/>
                <w:highlight w:val="none"/>
                <w:vertAlign w:val="subscript"/>
                <w14:textFill>
                  <w14:solidFill>
                    <w14:schemeClr w14:val="tx1"/>
                  </w14:solidFill>
                </w14:textFill>
              </w:rPr>
              <w:t>10</w:t>
            </w:r>
            <w:r>
              <w:rPr>
                <w:rFonts w:hint="eastAsia"/>
                <w:b/>
                <w:color w:val="000000" w:themeColor="text1"/>
                <w:sz w:val="21"/>
                <w:highlight w:val="none"/>
                <w:vertAlign w:val="subscript"/>
                <w:lang w:val="en-US" w:eastAsia="zh-CN"/>
                <w14:textFill>
                  <w14:solidFill>
                    <w14:schemeClr w14:val="tx1"/>
                  </w14:solidFill>
                </w14:textFill>
              </w:rPr>
              <w:t>%</w:t>
            </w:r>
            <w:r>
              <w:rPr>
                <w:rFonts w:hint="eastAsia"/>
                <w:b/>
                <w:color w:val="000000" w:themeColor="text1"/>
                <w:sz w:val="21"/>
                <w:highlight w:val="none"/>
                <w14:textFill>
                  <w14:solidFill>
                    <w14:schemeClr w14:val="tx1"/>
                  </w14:solidFill>
                </w14:textFill>
              </w:rPr>
              <w:t>（m）</w:t>
            </w:r>
          </w:p>
        </w:tc>
      </w:tr>
      <w:tr w14:paraId="0F966C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318" w:type="pct"/>
            <w:vAlign w:val="center"/>
          </w:tcPr>
          <w:p w14:paraId="61783C48">
            <w:pPr>
              <w:spacing w:line="360" w:lineRule="exact"/>
              <w:ind w:firstLine="0" w:firstLineChars="0"/>
              <w:jc w:val="center"/>
              <w:rPr>
                <w:color w:val="000000" w:themeColor="text1"/>
                <w:kern w:val="0"/>
                <w:sz w:val="21"/>
                <w:highlight w:val="none"/>
                <w14:textFill>
                  <w14:solidFill>
                    <w14:schemeClr w14:val="tx1"/>
                  </w14:solidFill>
                </w14:textFill>
              </w:rPr>
            </w:pPr>
            <w:r>
              <w:rPr>
                <w:color w:val="000000" w:themeColor="text1"/>
                <w:kern w:val="0"/>
                <w:sz w:val="21"/>
                <w:highlight w:val="none"/>
                <w14:textFill>
                  <w14:solidFill>
                    <w14:schemeClr w14:val="tx1"/>
                  </w14:solidFill>
                </w14:textFill>
              </w:rPr>
              <w:t>1</w:t>
            </w:r>
          </w:p>
        </w:tc>
        <w:tc>
          <w:tcPr>
            <w:tcW w:w="1202" w:type="pct"/>
            <w:vAlign w:val="center"/>
          </w:tcPr>
          <w:p w14:paraId="63F9179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破碎筛分干选工序</w:t>
            </w:r>
            <w:r>
              <w:rPr>
                <w:rFonts w:hint="eastAsia"/>
                <w:color w:val="000000" w:themeColor="text1"/>
                <w:sz w:val="21"/>
                <w:szCs w:val="21"/>
                <w:highlight w:val="none"/>
                <w14:textFill>
                  <w14:solidFill>
                    <w14:schemeClr w14:val="tx1"/>
                  </w14:solidFill>
                </w14:textFill>
              </w:rPr>
              <w:t>排气筒</w:t>
            </w:r>
          </w:p>
        </w:tc>
        <w:tc>
          <w:tcPr>
            <w:tcW w:w="507" w:type="pct"/>
            <w:vAlign w:val="center"/>
          </w:tcPr>
          <w:p w14:paraId="601A71CA">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PM</w:t>
            </w:r>
            <w:r>
              <w:rPr>
                <w:color w:val="000000" w:themeColor="text1"/>
                <w:sz w:val="21"/>
                <w:szCs w:val="21"/>
                <w:highlight w:val="none"/>
                <w:vertAlign w:val="subscript"/>
                <w14:textFill>
                  <w14:solidFill>
                    <w14:schemeClr w14:val="tx1"/>
                  </w14:solidFill>
                </w14:textFill>
              </w:rPr>
              <w:t>10</w:t>
            </w:r>
          </w:p>
        </w:tc>
        <w:tc>
          <w:tcPr>
            <w:tcW w:w="901" w:type="pct"/>
            <w:vAlign w:val="center"/>
          </w:tcPr>
          <w:p w14:paraId="13CFF1BF">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0.0005</w:t>
            </w:r>
          </w:p>
        </w:tc>
        <w:tc>
          <w:tcPr>
            <w:tcW w:w="1143" w:type="pct"/>
            <w:vAlign w:val="center"/>
          </w:tcPr>
          <w:p w14:paraId="004903F4">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29</w:t>
            </w:r>
          </w:p>
        </w:tc>
        <w:tc>
          <w:tcPr>
            <w:tcW w:w="468" w:type="pct"/>
            <w:vAlign w:val="center"/>
          </w:tcPr>
          <w:p w14:paraId="021BA654">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0.14</w:t>
            </w:r>
          </w:p>
        </w:tc>
        <w:tc>
          <w:tcPr>
            <w:tcW w:w="457" w:type="pct"/>
            <w:vAlign w:val="center"/>
          </w:tcPr>
          <w:p w14:paraId="3D181DAA">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247AF1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318" w:type="pct"/>
            <w:vAlign w:val="center"/>
          </w:tcPr>
          <w:p w14:paraId="6E054359">
            <w:pPr>
              <w:spacing w:line="360" w:lineRule="exact"/>
              <w:ind w:firstLine="0" w:firstLineChars="0"/>
              <w:jc w:val="center"/>
              <w:rPr>
                <w:color w:val="000000" w:themeColor="text1"/>
                <w:kern w:val="0"/>
                <w:sz w:val="21"/>
                <w:highlight w:val="none"/>
                <w14:textFill>
                  <w14:solidFill>
                    <w14:schemeClr w14:val="tx1"/>
                  </w14:solidFill>
                </w14:textFill>
              </w:rPr>
            </w:pPr>
            <w:r>
              <w:rPr>
                <w:color w:val="000000" w:themeColor="text1"/>
                <w:kern w:val="0"/>
                <w:sz w:val="21"/>
                <w:highlight w:val="none"/>
                <w14:textFill>
                  <w14:solidFill>
                    <w14:schemeClr w14:val="tx1"/>
                  </w14:solidFill>
                </w14:textFill>
              </w:rPr>
              <w:t>2</w:t>
            </w:r>
          </w:p>
        </w:tc>
        <w:tc>
          <w:tcPr>
            <w:tcW w:w="1202" w:type="pct"/>
            <w:vAlign w:val="center"/>
          </w:tcPr>
          <w:p w14:paraId="571FF43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磁选</w:t>
            </w:r>
            <w:r>
              <w:rPr>
                <w:rFonts w:hint="eastAsia"/>
                <w:color w:val="000000" w:themeColor="text1"/>
                <w:sz w:val="21"/>
                <w:szCs w:val="21"/>
                <w:highlight w:val="none"/>
                <w:lang w:eastAsia="zh-CN"/>
                <w14:textFill>
                  <w14:solidFill>
                    <w14:schemeClr w14:val="tx1"/>
                  </w14:solidFill>
                </w14:textFill>
              </w:rPr>
              <w:t>工序</w:t>
            </w:r>
            <w:r>
              <w:rPr>
                <w:rFonts w:hint="eastAsia"/>
                <w:color w:val="000000" w:themeColor="text1"/>
                <w:sz w:val="21"/>
                <w:szCs w:val="21"/>
                <w:highlight w:val="none"/>
                <w14:textFill>
                  <w14:solidFill>
                    <w14:schemeClr w14:val="tx1"/>
                  </w14:solidFill>
                </w14:textFill>
              </w:rPr>
              <w:t>排气筒</w:t>
            </w:r>
          </w:p>
        </w:tc>
        <w:tc>
          <w:tcPr>
            <w:tcW w:w="507" w:type="pct"/>
            <w:vAlign w:val="center"/>
          </w:tcPr>
          <w:p w14:paraId="53EE88CE">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PM</w:t>
            </w:r>
            <w:r>
              <w:rPr>
                <w:color w:val="000000" w:themeColor="text1"/>
                <w:sz w:val="21"/>
                <w:szCs w:val="21"/>
                <w:highlight w:val="none"/>
                <w:vertAlign w:val="subscript"/>
                <w14:textFill>
                  <w14:solidFill>
                    <w14:schemeClr w14:val="tx1"/>
                  </w14:solidFill>
                </w14:textFill>
              </w:rPr>
              <w:t>10</w:t>
            </w:r>
          </w:p>
        </w:tc>
        <w:tc>
          <w:tcPr>
            <w:tcW w:w="901" w:type="pct"/>
            <w:vAlign w:val="center"/>
          </w:tcPr>
          <w:p w14:paraId="67712A22">
            <w:pPr>
              <w:spacing w:line="360" w:lineRule="exact"/>
              <w:ind w:firstLine="0" w:firstLineChars="0"/>
              <w:jc w:val="center"/>
              <w:rPr>
                <w:rFonts w:hint="default" w:eastAsia="宋体"/>
                <w:bCs/>
                <w:color w:val="000000" w:themeColor="text1"/>
                <w:sz w:val="21"/>
                <w:highlight w:val="none"/>
                <w:lang w:val="en-US" w:eastAsia="zh-CN"/>
                <w14:textFill>
                  <w14:solidFill>
                    <w14:schemeClr w14:val="tx1"/>
                  </w14:solidFill>
                </w14:textFill>
              </w:rPr>
            </w:pPr>
            <w:r>
              <w:rPr>
                <w:rFonts w:hint="eastAsia"/>
                <w:bCs/>
                <w:color w:val="000000" w:themeColor="text1"/>
                <w:sz w:val="21"/>
                <w:highlight w:val="none"/>
                <w:lang w:val="en-US" w:eastAsia="zh-CN"/>
                <w14:textFill>
                  <w14:solidFill>
                    <w14:schemeClr w14:val="tx1"/>
                  </w14:solidFill>
                </w14:textFill>
              </w:rPr>
              <w:t>0.0011</w:t>
            </w:r>
          </w:p>
        </w:tc>
        <w:tc>
          <w:tcPr>
            <w:tcW w:w="1143" w:type="pct"/>
            <w:vAlign w:val="center"/>
          </w:tcPr>
          <w:p w14:paraId="6AE41A20">
            <w:pPr>
              <w:spacing w:line="360" w:lineRule="exact"/>
              <w:ind w:firstLine="0" w:firstLineChars="0"/>
              <w:jc w:val="center"/>
              <w:rPr>
                <w:rFonts w:hint="default"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pPr>
            <w:r>
              <w:rPr>
                <w:rFonts w:hint="eastAsia" w:cs="Times New Roman"/>
                <w:bCs/>
                <w:color w:val="000000" w:themeColor="text1"/>
                <w:kern w:val="2"/>
                <w:sz w:val="21"/>
                <w:szCs w:val="24"/>
                <w:highlight w:val="none"/>
                <w:lang w:val="en-US" w:eastAsia="zh-CN" w:bidi="ar-SA"/>
                <w14:textFill>
                  <w14:solidFill>
                    <w14:schemeClr w14:val="tx1"/>
                  </w14:solidFill>
                </w14:textFill>
              </w:rPr>
              <w:t>31</w:t>
            </w:r>
          </w:p>
        </w:tc>
        <w:tc>
          <w:tcPr>
            <w:tcW w:w="468" w:type="pct"/>
            <w:vAlign w:val="center"/>
          </w:tcPr>
          <w:p w14:paraId="1D3E0D95">
            <w:pPr>
              <w:spacing w:line="360" w:lineRule="exact"/>
              <w:ind w:firstLine="0" w:firstLineChars="0"/>
              <w:jc w:val="center"/>
              <w:rPr>
                <w:rFonts w:hint="default" w:eastAsia="宋体"/>
                <w:bCs/>
                <w:color w:val="000000" w:themeColor="text1"/>
                <w:sz w:val="21"/>
                <w:highlight w:val="none"/>
                <w:lang w:val="en-US" w:eastAsia="zh-CN"/>
                <w14:textFill>
                  <w14:solidFill>
                    <w14:schemeClr w14:val="tx1"/>
                  </w14:solidFill>
                </w14:textFill>
              </w:rPr>
            </w:pPr>
            <w:r>
              <w:rPr>
                <w:rFonts w:hint="eastAsia"/>
                <w:bCs/>
                <w:color w:val="000000" w:themeColor="text1"/>
                <w:sz w:val="21"/>
                <w:highlight w:val="none"/>
                <w:lang w:val="en-US" w:eastAsia="zh-CN"/>
                <w14:textFill>
                  <w14:solidFill>
                    <w14:schemeClr w14:val="tx1"/>
                  </w14:solidFill>
                </w14:textFill>
              </w:rPr>
              <w:t>0.31</w:t>
            </w:r>
          </w:p>
        </w:tc>
        <w:tc>
          <w:tcPr>
            <w:tcW w:w="457" w:type="pct"/>
            <w:vAlign w:val="center"/>
          </w:tcPr>
          <w:p w14:paraId="02445344">
            <w:pPr>
              <w:spacing w:line="360" w:lineRule="exact"/>
              <w:ind w:firstLine="0" w:firstLineChars="0"/>
              <w:jc w:val="center"/>
              <w:rPr>
                <w:rFonts w:hint="eastAsia" w:eastAsia="宋体"/>
                <w:bCs/>
                <w:color w:val="000000" w:themeColor="text1"/>
                <w:sz w:val="21"/>
                <w:highlight w:val="none"/>
                <w:lang w:val="en-US" w:eastAsia="zh-CN"/>
                <w14:textFill>
                  <w14:solidFill>
                    <w14:schemeClr w14:val="tx1"/>
                  </w14:solidFill>
                </w14:textFill>
              </w:rPr>
            </w:pPr>
            <w:r>
              <w:rPr>
                <w:rFonts w:hint="eastAsia"/>
                <w:bCs/>
                <w:color w:val="000000" w:themeColor="text1"/>
                <w:sz w:val="21"/>
                <w:highlight w:val="none"/>
                <w:lang w:val="en-US" w:eastAsia="zh-CN"/>
                <w14:textFill>
                  <w14:solidFill>
                    <w14:schemeClr w14:val="tx1"/>
                  </w14:solidFill>
                </w14:textFill>
              </w:rPr>
              <w:t>-</w:t>
            </w:r>
          </w:p>
        </w:tc>
      </w:tr>
      <w:tr w14:paraId="32DBC1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318" w:type="pct"/>
            <w:vAlign w:val="center"/>
          </w:tcPr>
          <w:p w14:paraId="70E4B97D">
            <w:pPr>
              <w:spacing w:line="360" w:lineRule="exact"/>
              <w:ind w:firstLine="0" w:firstLineChars="0"/>
              <w:jc w:val="center"/>
              <w:rPr>
                <w:rFonts w:hint="eastAsia" w:eastAsia="宋体"/>
                <w:color w:val="000000" w:themeColor="text1"/>
                <w:kern w:val="0"/>
                <w:sz w:val="21"/>
                <w:highlight w:val="none"/>
                <w:lang w:eastAsia="zh-CN"/>
                <w14:textFill>
                  <w14:solidFill>
                    <w14:schemeClr w14:val="tx1"/>
                  </w14:solidFill>
                </w14:textFill>
              </w:rPr>
            </w:pPr>
            <w:r>
              <w:rPr>
                <w:rFonts w:hint="eastAsia"/>
                <w:color w:val="000000" w:themeColor="text1"/>
                <w:kern w:val="0"/>
                <w:sz w:val="21"/>
                <w:highlight w:val="none"/>
                <w:lang w:val="en-US" w:eastAsia="zh-CN"/>
                <w14:textFill>
                  <w14:solidFill>
                    <w14:schemeClr w14:val="tx1"/>
                  </w14:solidFill>
                </w14:textFill>
              </w:rPr>
              <w:t>3</w:t>
            </w:r>
          </w:p>
        </w:tc>
        <w:tc>
          <w:tcPr>
            <w:tcW w:w="1202" w:type="pct"/>
            <w:shd w:val="clear" w:color="auto" w:fill="auto"/>
            <w:vAlign w:val="center"/>
          </w:tcPr>
          <w:p w14:paraId="50E581A8">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破碎筛分干选</w:t>
            </w:r>
            <w:r>
              <w:rPr>
                <w:rFonts w:hint="eastAsia"/>
                <w:color w:val="000000" w:themeColor="text1"/>
                <w:sz w:val="21"/>
                <w:szCs w:val="21"/>
                <w:highlight w:val="none"/>
                <w14:textFill>
                  <w14:solidFill>
                    <w14:schemeClr w14:val="tx1"/>
                  </w14:solidFill>
                </w14:textFill>
              </w:rPr>
              <w:t>车间</w:t>
            </w:r>
          </w:p>
        </w:tc>
        <w:tc>
          <w:tcPr>
            <w:tcW w:w="507" w:type="pct"/>
            <w:shd w:val="clear" w:color="auto" w:fill="auto"/>
            <w:vAlign w:val="center"/>
          </w:tcPr>
          <w:p w14:paraId="1552F3BC">
            <w:pPr>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TSP</w:t>
            </w:r>
          </w:p>
        </w:tc>
        <w:tc>
          <w:tcPr>
            <w:tcW w:w="901" w:type="pct"/>
            <w:shd w:val="clear" w:color="auto" w:fill="auto"/>
            <w:vAlign w:val="center"/>
          </w:tcPr>
          <w:p w14:paraId="16EE50A2">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0.0101</w:t>
            </w:r>
          </w:p>
        </w:tc>
        <w:tc>
          <w:tcPr>
            <w:tcW w:w="1143" w:type="pct"/>
            <w:shd w:val="clear" w:color="auto" w:fill="auto"/>
            <w:vAlign w:val="center"/>
          </w:tcPr>
          <w:p w14:paraId="0FA6BB5E">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43</w:t>
            </w:r>
          </w:p>
        </w:tc>
        <w:tc>
          <w:tcPr>
            <w:tcW w:w="468" w:type="pct"/>
            <w:shd w:val="clear" w:color="auto" w:fill="auto"/>
            <w:vAlign w:val="center"/>
          </w:tcPr>
          <w:p w14:paraId="48CFC3F3">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1.12</w:t>
            </w:r>
          </w:p>
        </w:tc>
        <w:tc>
          <w:tcPr>
            <w:tcW w:w="457" w:type="pct"/>
            <w:vAlign w:val="center"/>
          </w:tcPr>
          <w:p w14:paraId="2467999D">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5470D2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318" w:type="pct"/>
            <w:vAlign w:val="center"/>
          </w:tcPr>
          <w:p w14:paraId="10729FAD">
            <w:pPr>
              <w:spacing w:line="360" w:lineRule="exact"/>
              <w:ind w:firstLine="0" w:firstLineChars="0"/>
              <w:jc w:val="center"/>
              <w:rPr>
                <w:rFonts w:hint="eastAsia" w:eastAsia="宋体"/>
                <w:color w:val="000000" w:themeColor="text1"/>
                <w:kern w:val="0"/>
                <w:sz w:val="21"/>
                <w:highlight w:val="none"/>
                <w:lang w:eastAsia="zh-CN"/>
                <w14:textFill>
                  <w14:solidFill>
                    <w14:schemeClr w14:val="tx1"/>
                  </w14:solidFill>
                </w14:textFill>
              </w:rPr>
            </w:pPr>
            <w:r>
              <w:rPr>
                <w:rFonts w:hint="eastAsia"/>
                <w:color w:val="000000" w:themeColor="text1"/>
                <w:kern w:val="0"/>
                <w:sz w:val="21"/>
                <w:highlight w:val="none"/>
                <w:lang w:val="en-US" w:eastAsia="zh-CN"/>
                <w14:textFill>
                  <w14:solidFill>
                    <w14:schemeClr w14:val="tx1"/>
                  </w14:solidFill>
                </w14:textFill>
              </w:rPr>
              <w:t>4</w:t>
            </w:r>
          </w:p>
        </w:tc>
        <w:tc>
          <w:tcPr>
            <w:tcW w:w="1202" w:type="pct"/>
            <w:shd w:val="clear" w:color="auto" w:fill="auto"/>
            <w:vAlign w:val="center"/>
          </w:tcPr>
          <w:p w14:paraId="6E26F7FE">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磁选</w:t>
            </w:r>
            <w:r>
              <w:rPr>
                <w:rFonts w:hint="eastAsia"/>
                <w:color w:val="000000" w:themeColor="text1"/>
                <w:sz w:val="21"/>
                <w:szCs w:val="21"/>
                <w:highlight w:val="none"/>
                <w14:textFill>
                  <w14:solidFill>
                    <w14:schemeClr w14:val="tx1"/>
                  </w14:solidFill>
                </w14:textFill>
              </w:rPr>
              <w:t>车间</w:t>
            </w:r>
          </w:p>
        </w:tc>
        <w:tc>
          <w:tcPr>
            <w:tcW w:w="507" w:type="pct"/>
            <w:shd w:val="clear" w:color="auto" w:fill="auto"/>
            <w:vAlign w:val="center"/>
          </w:tcPr>
          <w:p w14:paraId="74D35C0F">
            <w:pPr>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TSP</w:t>
            </w:r>
          </w:p>
        </w:tc>
        <w:tc>
          <w:tcPr>
            <w:tcW w:w="901" w:type="pct"/>
            <w:shd w:val="clear" w:color="auto" w:fill="auto"/>
            <w:vAlign w:val="center"/>
          </w:tcPr>
          <w:p w14:paraId="48994039">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0.0417</w:t>
            </w:r>
          </w:p>
        </w:tc>
        <w:tc>
          <w:tcPr>
            <w:tcW w:w="1143" w:type="pct"/>
            <w:shd w:val="clear" w:color="auto" w:fill="auto"/>
            <w:vAlign w:val="center"/>
          </w:tcPr>
          <w:p w14:paraId="60E77954">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18</w:t>
            </w:r>
          </w:p>
        </w:tc>
        <w:tc>
          <w:tcPr>
            <w:tcW w:w="468" w:type="pct"/>
            <w:shd w:val="clear" w:color="auto" w:fill="auto"/>
            <w:vAlign w:val="center"/>
          </w:tcPr>
          <w:p w14:paraId="613393EE">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4.63</w:t>
            </w:r>
          </w:p>
        </w:tc>
        <w:tc>
          <w:tcPr>
            <w:tcW w:w="771" w:type="dxa"/>
            <w:vAlign w:val="center"/>
          </w:tcPr>
          <w:p w14:paraId="7171CE0B">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bCs/>
                <w:color w:val="000000" w:themeColor="text1"/>
                <w:sz w:val="21"/>
                <w:highlight w:val="none"/>
                <w:lang w:val="en-US" w:eastAsia="zh-CN"/>
                <w14:textFill>
                  <w14:solidFill>
                    <w14:schemeClr w14:val="tx1"/>
                  </w14:solidFill>
                </w14:textFill>
              </w:rPr>
              <w:t>-</w:t>
            </w:r>
          </w:p>
        </w:tc>
      </w:tr>
      <w:tr w14:paraId="7E18CA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318" w:type="pct"/>
            <w:vAlign w:val="center"/>
          </w:tcPr>
          <w:p w14:paraId="5295E14F">
            <w:pPr>
              <w:spacing w:line="360" w:lineRule="exact"/>
              <w:ind w:firstLine="0" w:firstLineChars="0"/>
              <w:jc w:val="center"/>
              <w:rPr>
                <w:rFonts w:hint="eastAsia" w:eastAsia="宋体"/>
                <w:color w:val="000000" w:themeColor="text1"/>
                <w:kern w:val="0"/>
                <w:sz w:val="21"/>
                <w:highlight w:val="none"/>
                <w:lang w:eastAsia="zh-CN"/>
                <w14:textFill>
                  <w14:solidFill>
                    <w14:schemeClr w14:val="tx1"/>
                  </w14:solidFill>
                </w14:textFill>
              </w:rPr>
            </w:pPr>
            <w:r>
              <w:rPr>
                <w:rFonts w:hint="eastAsia"/>
                <w:color w:val="000000" w:themeColor="text1"/>
                <w:kern w:val="0"/>
                <w:sz w:val="21"/>
                <w:highlight w:val="none"/>
                <w:lang w:val="en-US" w:eastAsia="zh-CN"/>
                <w14:textFill>
                  <w14:solidFill>
                    <w14:schemeClr w14:val="tx1"/>
                  </w14:solidFill>
                </w14:textFill>
              </w:rPr>
              <w:t>5</w:t>
            </w:r>
          </w:p>
        </w:tc>
        <w:tc>
          <w:tcPr>
            <w:tcW w:w="1202" w:type="pct"/>
            <w:shd w:val="clear" w:color="auto" w:fill="auto"/>
            <w:vAlign w:val="center"/>
          </w:tcPr>
          <w:p w14:paraId="060042AC">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尾矿库</w:t>
            </w:r>
          </w:p>
        </w:tc>
        <w:tc>
          <w:tcPr>
            <w:tcW w:w="507" w:type="pct"/>
            <w:shd w:val="clear" w:color="auto" w:fill="auto"/>
            <w:vAlign w:val="center"/>
          </w:tcPr>
          <w:p w14:paraId="63243338">
            <w:pPr>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TSP</w:t>
            </w:r>
          </w:p>
        </w:tc>
        <w:tc>
          <w:tcPr>
            <w:tcW w:w="901" w:type="pct"/>
            <w:shd w:val="clear" w:color="auto" w:fill="auto"/>
            <w:vAlign w:val="center"/>
          </w:tcPr>
          <w:p w14:paraId="611685E5">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0.0013</w:t>
            </w:r>
          </w:p>
        </w:tc>
        <w:tc>
          <w:tcPr>
            <w:tcW w:w="1143" w:type="pct"/>
            <w:shd w:val="clear" w:color="auto" w:fill="auto"/>
            <w:vAlign w:val="center"/>
          </w:tcPr>
          <w:p w14:paraId="6CDA2278">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1345</w:t>
            </w:r>
          </w:p>
        </w:tc>
        <w:tc>
          <w:tcPr>
            <w:tcW w:w="468" w:type="pct"/>
            <w:shd w:val="clear" w:color="auto" w:fill="auto"/>
            <w:vAlign w:val="center"/>
          </w:tcPr>
          <w:p w14:paraId="0CF8781C">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0.15</w:t>
            </w:r>
          </w:p>
        </w:tc>
        <w:tc>
          <w:tcPr>
            <w:tcW w:w="771" w:type="dxa"/>
            <w:shd w:val="clear" w:color="auto" w:fill="auto"/>
            <w:vAlign w:val="center"/>
          </w:tcPr>
          <w:p w14:paraId="4E284EF7">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693FD0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318" w:type="pct"/>
            <w:vAlign w:val="center"/>
          </w:tcPr>
          <w:p w14:paraId="5F52E6DE">
            <w:pPr>
              <w:spacing w:line="360" w:lineRule="exact"/>
              <w:ind w:firstLine="0" w:firstLineChars="0"/>
              <w:jc w:val="center"/>
              <w:rPr>
                <w:rFonts w:hint="eastAsia"/>
                <w:color w:val="000000" w:themeColor="text1"/>
                <w:kern w:val="0"/>
                <w:sz w:val="21"/>
                <w:highlight w:val="none"/>
                <w:lang w:val="en-US" w:eastAsia="zh-CN"/>
                <w14:textFill>
                  <w14:solidFill>
                    <w14:schemeClr w14:val="tx1"/>
                  </w14:solidFill>
                </w14:textFill>
              </w:rPr>
            </w:pPr>
            <w:r>
              <w:rPr>
                <w:rFonts w:hint="eastAsia"/>
                <w:color w:val="000000" w:themeColor="text1"/>
                <w:kern w:val="0"/>
                <w:sz w:val="21"/>
                <w:highlight w:val="none"/>
                <w:lang w:val="en-US" w:eastAsia="zh-CN"/>
                <w14:textFill>
                  <w14:solidFill>
                    <w14:schemeClr w14:val="tx1"/>
                  </w14:solidFill>
                </w14:textFill>
              </w:rPr>
              <w:t>6</w:t>
            </w:r>
          </w:p>
        </w:tc>
        <w:tc>
          <w:tcPr>
            <w:tcW w:w="1202" w:type="pct"/>
            <w:vAlign w:val="center"/>
          </w:tcPr>
          <w:p w14:paraId="4D9E47C0">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原矿仓</w:t>
            </w:r>
          </w:p>
        </w:tc>
        <w:tc>
          <w:tcPr>
            <w:tcW w:w="507" w:type="pct"/>
            <w:shd w:val="clear" w:color="auto" w:fill="auto"/>
            <w:vAlign w:val="center"/>
          </w:tcPr>
          <w:p w14:paraId="35E85A56">
            <w:pPr>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TSP</w:t>
            </w:r>
          </w:p>
        </w:tc>
        <w:tc>
          <w:tcPr>
            <w:tcW w:w="901" w:type="pct"/>
            <w:shd w:val="clear" w:color="auto" w:fill="auto"/>
            <w:vAlign w:val="center"/>
          </w:tcPr>
          <w:p w14:paraId="63721C5C">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0.0585</w:t>
            </w:r>
          </w:p>
        </w:tc>
        <w:tc>
          <w:tcPr>
            <w:tcW w:w="1143" w:type="pct"/>
            <w:shd w:val="clear" w:color="auto" w:fill="auto"/>
            <w:vAlign w:val="center"/>
          </w:tcPr>
          <w:p w14:paraId="6BB98D5E">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10</w:t>
            </w:r>
          </w:p>
        </w:tc>
        <w:tc>
          <w:tcPr>
            <w:tcW w:w="468" w:type="pct"/>
            <w:shd w:val="clear" w:color="auto" w:fill="auto"/>
            <w:vAlign w:val="center"/>
          </w:tcPr>
          <w:p w14:paraId="5AAB37C9">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6.50</w:t>
            </w:r>
          </w:p>
        </w:tc>
        <w:tc>
          <w:tcPr>
            <w:tcW w:w="771" w:type="dxa"/>
            <w:shd w:val="clear" w:color="auto" w:fill="auto"/>
            <w:vAlign w:val="center"/>
          </w:tcPr>
          <w:p w14:paraId="38240965">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sz w:val="21"/>
                <w:highlight w:val="none"/>
                <w:lang w:val="en-US" w:eastAsia="zh-CN"/>
                <w14:textFill>
                  <w14:solidFill>
                    <w14:schemeClr w14:val="tx1"/>
                  </w14:solidFill>
                </w14:textFill>
              </w:rPr>
              <w:t>-</w:t>
            </w:r>
          </w:p>
        </w:tc>
      </w:tr>
      <w:tr w14:paraId="60E88A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318" w:type="pct"/>
            <w:vAlign w:val="center"/>
          </w:tcPr>
          <w:p w14:paraId="076C90BF">
            <w:pPr>
              <w:spacing w:line="360" w:lineRule="exact"/>
              <w:ind w:firstLine="0" w:firstLineChars="0"/>
              <w:jc w:val="center"/>
              <w:rPr>
                <w:rFonts w:hint="default" w:eastAsia="宋体"/>
                <w:color w:val="000000" w:themeColor="text1"/>
                <w:kern w:val="0"/>
                <w:sz w:val="21"/>
                <w:highlight w:val="none"/>
                <w:lang w:val="en-US" w:eastAsia="zh-CN"/>
                <w14:textFill>
                  <w14:solidFill>
                    <w14:schemeClr w14:val="tx1"/>
                  </w14:solidFill>
                </w14:textFill>
              </w:rPr>
            </w:pPr>
            <w:r>
              <w:rPr>
                <w:rFonts w:hint="eastAsia"/>
                <w:color w:val="000000" w:themeColor="text1"/>
                <w:kern w:val="0"/>
                <w:sz w:val="21"/>
                <w:highlight w:val="none"/>
                <w:lang w:val="en-US" w:eastAsia="zh-CN"/>
                <w14:textFill>
                  <w14:solidFill>
                    <w14:schemeClr w14:val="tx1"/>
                  </w14:solidFill>
                </w14:textFill>
              </w:rPr>
              <w:t>7</w:t>
            </w:r>
          </w:p>
        </w:tc>
        <w:tc>
          <w:tcPr>
            <w:tcW w:w="1202" w:type="pct"/>
            <w:vAlign w:val="center"/>
          </w:tcPr>
          <w:p w14:paraId="0D9F20F9">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精矿库</w:t>
            </w:r>
          </w:p>
        </w:tc>
        <w:tc>
          <w:tcPr>
            <w:tcW w:w="507" w:type="pct"/>
            <w:vAlign w:val="center"/>
          </w:tcPr>
          <w:p w14:paraId="1D10CEA3">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TSP</w:t>
            </w:r>
          </w:p>
        </w:tc>
        <w:tc>
          <w:tcPr>
            <w:tcW w:w="901" w:type="pct"/>
            <w:vAlign w:val="center"/>
          </w:tcPr>
          <w:p w14:paraId="54C075D8">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0.0078</w:t>
            </w:r>
          </w:p>
        </w:tc>
        <w:tc>
          <w:tcPr>
            <w:tcW w:w="1143" w:type="pct"/>
            <w:vAlign w:val="center"/>
          </w:tcPr>
          <w:p w14:paraId="5B0BEF1C">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101</w:t>
            </w:r>
          </w:p>
        </w:tc>
        <w:tc>
          <w:tcPr>
            <w:tcW w:w="468" w:type="pct"/>
            <w:vAlign w:val="center"/>
          </w:tcPr>
          <w:p w14:paraId="5A0CDAA3">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0.86</w:t>
            </w:r>
          </w:p>
        </w:tc>
        <w:tc>
          <w:tcPr>
            <w:tcW w:w="457" w:type="pct"/>
            <w:vAlign w:val="center"/>
          </w:tcPr>
          <w:p w14:paraId="1C5024D8">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bl>
    <w:p w14:paraId="72123132">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根据表2.6-4，由计算结果可知，主要污染物的Pmax为</w:t>
      </w:r>
      <w:r>
        <w:rPr>
          <w:rFonts w:hint="eastAsia"/>
          <w:color w:val="000000" w:themeColor="text1"/>
          <w:highlight w:val="none"/>
          <w:lang w:val="en-US" w:eastAsia="zh-CN"/>
          <w14:textFill>
            <w14:solidFill>
              <w14:schemeClr w14:val="tx1"/>
            </w14:solidFill>
          </w14:textFill>
        </w:rPr>
        <w:t>6.50</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小于</w:t>
      </w:r>
      <w:r>
        <w:rPr>
          <w:rFonts w:hint="eastAsia"/>
          <w:color w:val="000000" w:themeColor="text1"/>
          <w:highlight w:val="none"/>
          <w14:textFill>
            <w14:solidFill>
              <w14:schemeClr w14:val="tx1"/>
            </w14:solidFill>
          </w14:textFill>
        </w:rPr>
        <w:t>10%，按《环境影响评价技术导则 大气环境》（HJ2.2-2018）规定，确定本次大气环境评价工作等级为</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级。</w:t>
      </w:r>
    </w:p>
    <w:p w14:paraId="68D09B02">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2.6.1.2地表水评价等级</w:t>
      </w:r>
    </w:p>
    <w:p w14:paraId="2C310A26">
      <w:pPr>
        <w:overflowPunct w:val="0"/>
        <w:topLinePunct/>
        <w:ind w:firstLine="480"/>
        <w:rPr>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本项目生产废水</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闭路循环</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不外排；生活污水经地埋式一体化生活污水处理设备</w:t>
      </w:r>
      <w:r>
        <w:rPr>
          <w:color w:val="000000" w:themeColor="text1"/>
          <w:highlight w:val="none"/>
          <w14:textFill>
            <w14:solidFill>
              <w14:schemeClr w14:val="tx1"/>
            </w14:solidFill>
          </w14:textFill>
        </w:rPr>
        <w:t>处理达到</w:t>
      </w:r>
      <w:r>
        <w:rPr>
          <w:rFonts w:hint="eastAsia"/>
          <w:color w:val="000000" w:themeColor="text1"/>
          <w:highlight w:val="none"/>
          <w14:textFill>
            <w14:solidFill>
              <w14:schemeClr w14:val="tx1"/>
            </w14:solidFill>
          </w14:textFill>
        </w:rPr>
        <w:t>《农村生活污水处理排放标准》（DB65 4275-2019）表2规定的A级排放限值以及《城市污水再生利用 城市杂用水水质》（GB/T18920-2020）中的城市绿化、道路清扫、消防、建筑施工限值后用于</w:t>
      </w:r>
      <w:r>
        <w:rPr>
          <w:rFonts w:hint="eastAsia" w:ascii="宋体" w:hAnsi="宋体" w:cs="宋体"/>
          <w:color w:val="000000" w:themeColor="text1"/>
          <w:spacing w:val="-1"/>
          <w:highlight w:val="none"/>
          <w14:textFill>
            <w14:solidFill>
              <w14:schemeClr w14:val="tx1"/>
            </w14:solidFill>
          </w14:textFill>
        </w:rPr>
        <w:t>选矿生产工序循环利用及绿化</w:t>
      </w:r>
      <w:r>
        <w:rPr>
          <w:rFonts w:hint="eastAsia"/>
          <w:color w:val="000000" w:themeColor="text1"/>
          <w:highlight w:val="none"/>
          <w14:textFill>
            <w14:solidFill>
              <w14:schemeClr w14:val="tx1"/>
            </w14:solidFill>
          </w14:textFill>
        </w:rPr>
        <w:t>，不外排</w:t>
      </w:r>
      <w:r>
        <w:rPr>
          <w:color w:val="000000" w:themeColor="text1"/>
          <w:highlight w:val="none"/>
          <w14:textFill>
            <w14:solidFill>
              <w14:schemeClr w14:val="tx1"/>
            </w14:solidFill>
          </w14:textFill>
        </w:rPr>
        <w:t>。根据《环境影响评价技术导则 地表水环境》（HJ2.3-2018）中水污染影响型建设项目评价等级判定，本项目废水不排入外环境，因此本项目地表水环境影响评价工作等级确定为三级B。</w:t>
      </w:r>
    </w:p>
    <w:p w14:paraId="2EFAE624">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2.6.1.3地下水评价等级</w:t>
      </w:r>
    </w:p>
    <w:p w14:paraId="5CA0A0AD">
      <w:pPr>
        <w:keepNext w:val="0"/>
        <w:keepLines w:val="0"/>
        <w:pageBreakBefore w:val="0"/>
        <w:widowControl w:val="0"/>
        <w:kinsoku/>
        <w:wordWrap/>
        <w:overflowPunct w:val="0"/>
        <w:topLinePunct/>
        <w:autoSpaceDE/>
        <w:autoSpaceDN/>
        <w:bidi w:val="0"/>
        <w:adjustRightInd/>
        <w:snapToGrid/>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属于</w:t>
      </w:r>
      <w:r>
        <w:rPr>
          <w:color w:val="000000" w:themeColor="text1"/>
          <w:highlight w:val="none"/>
          <w14:textFill>
            <w14:solidFill>
              <w14:schemeClr w14:val="tx1"/>
            </w14:solidFill>
          </w14:textFill>
        </w:rPr>
        <w:t>黑色金属矿采选业，建设内容包括选矿厂和尾矿库，根据《环境影响评价技术导则 地下水环境》（HJ610-2016）中附录A，尾矿库为I类项目，选矿厂为II类项目。由于项目场地不位于集中式饮用水水源（包括已建成的在用、备用、应急水源地，在建和规划的饮用水水源）准保护区、除集中式饮用水水源以外的国家或地方政府设定的与地下水环境</w:t>
      </w:r>
      <w:r>
        <w:rPr>
          <w:rFonts w:hint="eastAsia"/>
          <w:color w:val="000000" w:themeColor="text1"/>
          <w:highlight w:val="none"/>
          <w:lang w:eastAsia="zh-CN"/>
          <w14:textFill>
            <w14:solidFill>
              <w14:schemeClr w14:val="tx1"/>
            </w14:solidFill>
          </w14:textFill>
        </w:rPr>
        <w:t>相关的其他</w:t>
      </w:r>
      <w:r>
        <w:rPr>
          <w:color w:val="000000" w:themeColor="text1"/>
          <w:highlight w:val="none"/>
          <w14:textFill>
            <w14:solidFill>
              <w14:schemeClr w14:val="tx1"/>
            </w14:solidFill>
          </w14:textFill>
        </w:rPr>
        <w:t>保护区内，不属于地下水环境敏感区，依据《环境影响评价技术导则 地下水环境》（HJ610-2016）中的地下水环境敏感程度分级表及建设项目评价工作等级分级表（表2.6-5、表2.6-6），确定本项目选矿厂地下水评价等级为三级；尾矿库地下水评价等级为二级。</w:t>
      </w:r>
    </w:p>
    <w:p w14:paraId="62BBE718">
      <w:pPr>
        <w:pStyle w:val="47"/>
        <w:widowControl w:val="0"/>
        <w:rPr>
          <w:color w:val="000000" w:themeColor="text1"/>
          <w:szCs w:val="32"/>
          <w:highlight w:val="none"/>
          <w:lang w:val="zh-CN"/>
          <w14:textFill>
            <w14:solidFill>
              <w14:schemeClr w14:val="tx1"/>
            </w14:solidFill>
          </w14:textFill>
        </w:rPr>
      </w:pPr>
      <w:r>
        <w:rPr>
          <w:color w:val="000000" w:themeColor="text1"/>
          <w:szCs w:val="32"/>
          <w:highlight w:val="none"/>
          <w:lang w:val="zh-CN"/>
          <w14:textFill>
            <w14:solidFill>
              <w14:schemeClr w14:val="tx1"/>
            </w14:solidFill>
          </w14:textFill>
        </w:rPr>
        <w:t>表2.6-</w:t>
      </w:r>
      <w:r>
        <w:rPr>
          <w:color w:val="000000" w:themeColor="text1"/>
          <w:szCs w:val="32"/>
          <w:highlight w:val="none"/>
          <w14:textFill>
            <w14:solidFill>
              <w14:schemeClr w14:val="tx1"/>
            </w14:solidFill>
          </w14:textFill>
        </w:rPr>
        <w:t>5</w:t>
      </w:r>
      <w:r>
        <w:rPr>
          <w:color w:val="000000" w:themeColor="text1"/>
          <w:szCs w:val="32"/>
          <w:highlight w:val="none"/>
          <w:lang w:val="zh-CN"/>
          <w14:textFill>
            <w14:solidFill>
              <w14:schemeClr w14:val="tx1"/>
            </w14:solidFill>
          </w14:textFill>
        </w:rPr>
        <w:t xml:space="preserve"> </w:t>
      </w:r>
      <w:r>
        <w:rPr>
          <w:color w:val="000000" w:themeColor="text1"/>
          <w:szCs w:val="32"/>
          <w:highlight w:val="none"/>
          <w14:textFill>
            <w14:solidFill>
              <w14:schemeClr w14:val="tx1"/>
            </w14:solidFill>
          </w14:textFill>
        </w:rPr>
        <w:t xml:space="preserve">  </w:t>
      </w:r>
      <w:r>
        <w:rPr>
          <w:color w:val="000000" w:themeColor="text1"/>
          <w:szCs w:val="32"/>
          <w:highlight w:val="none"/>
          <w:lang w:val="zh-CN"/>
          <w14:textFill>
            <w14:solidFill>
              <w14:schemeClr w14:val="tx1"/>
            </w14:solidFill>
          </w14:textFill>
        </w:rPr>
        <w:t xml:space="preserve"> 地下水环境敏感程度分级</w:t>
      </w:r>
    </w:p>
    <w:tbl>
      <w:tblPr>
        <w:tblStyle w:val="32"/>
        <w:tblW w:w="85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
        <w:gridCol w:w="7590"/>
      </w:tblGrid>
      <w:tr w14:paraId="58FE0F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29" w:type="dxa"/>
            <w:vAlign w:val="center"/>
          </w:tcPr>
          <w:p w14:paraId="4764E49F">
            <w:pPr>
              <w:adjustRightInd w:val="0"/>
              <w:snapToGrid w:val="0"/>
              <w:spacing w:line="360" w:lineRule="exact"/>
              <w:ind w:firstLine="0" w:firstLineChars="0"/>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分级</w:t>
            </w:r>
          </w:p>
        </w:tc>
        <w:tc>
          <w:tcPr>
            <w:tcW w:w="7590" w:type="dxa"/>
            <w:vAlign w:val="center"/>
          </w:tcPr>
          <w:p w14:paraId="128295DA">
            <w:pPr>
              <w:adjustRightInd w:val="0"/>
              <w:snapToGrid w:val="0"/>
              <w:spacing w:line="360" w:lineRule="exact"/>
              <w:ind w:firstLine="0" w:firstLineChars="0"/>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项目场地的地下水环境敏感特征</w:t>
            </w:r>
          </w:p>
        </w:tc>
      </w:tr>
      <w:tr w14:paraId="5AF751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Align w:val="center"/>
          </w:tcPr>
          <w:p w14:paraId="670A0A90">
            <w:pPr>
              <w:adjustRightInd w:val="0"/>
              <w:snapToGrid w:val="0"/>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敏感</w:t>
            </w:r>
          </w:p>
        </w:tc>
        <w:tc>
          <w:tcPr>
            <w:tcW w:w="7590" w:type="dxa"/>
            <w:vAlign w:val="center"/>
          </w:tcPr>
          <w:p w14:paraId="76E453D0">
            <w:pPr>
              <w:adjustRightInd w:val="0"/>
              <w:snapToGrid w:val="0"/>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集中式饮用水水源</w:t>
            </w:r>
            <w:r>
              <w:rPr>
                <w:rFonts w:hint="eastAsia"/>
                <w:color w:val="000000" w:themeColor="text1"/>
                <w:sz w:val="21"/>
                <w:highlight w:val="none"/>
                <w:lang w:eastAsia="zh-CN"/>
                <w14:textFill>
                  <w14:solidFill>
                    <w14:schemeClr w14:val="tx1"/>
                  </w14:solidFill>
                </w14:textFill>
              </w:rPr>
              <w:t>（</w:t>
            </w:r>
            <w:r>
              <w:rPr>
                <w:color w:val="000000" w:themeColor="text1"/>
                <w:sz w:val="21"/>
                <w:highlight w:val="none"/>
                <w14:textFill>
                  <w14:solidFill>
                    <w14:schemeClr w14:val="tx1"/>
                  </w14:solidFill>
                </w14:textFill>
              </w:rPr>
              <w:t>包括已建成的在用、备用、应急水源地，在建和规划的饮用水水源</w:t>
            </w:r>
            <w:r>
              <w:rPr>
                <w:rFonts w:hint="eastAsia"/>
                <w:color w:val="000000" w:themeColor="text1"/>
                <w:sz w:val="21"/>
                <w:highlight w:val="none"/>
                <w:lang w:eastAsia="zh-CN"/>
                <w14:textFill>
                  <w14:solidFill>
                    <w14:schemeClr w14:val="tx1"/>
                  </w14:solidFill>
                </w14:textFill>
              </w:rPr>
              <w:t>）</w:t>
            </w:r>
            <w:r>
              <w:rPr>
                <w:color w:val="000000" w:themeColor="text1"/>
                <w:sz w:val="21"/>
                <w:highlight w:val="none"/>
                <w14:textFill>
                  <w14:solidFill>
                    <w14:schemeClr w14:val="tx1"/>
                  </w14:solidFill>
                </w14:textFill>
              </w:rPr>
              <w:t>准保护区；除集中式饮用水水源以外的国家或地方政府设定的与地下水环境相关的其它保护区，如热水、矿泉水、温泉等特殊地下水资源保护区。</w:t>
            </w:r>
          </w:p>
        </w:tc>
      </w:tr>
      <w:tr w14:paraId="2143A9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Align w:val="center"/>
          </w:tcPr>
          <w:p w14:paraId="41E3983E">
            <w:pPr>
              <w:adjustRightInd w:val="0"/>
              <w:snapToGrid w:val="0"/>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较敏感</w:t>
            </w:r>
          </w:p>
        </w:tc>
        <w:tc>
          <w:tcPr>
            <w:tcW w:w="7590" w:type="dxa"/>
            <w:vAlign w:val="center"/>
          </w:tcPr>
          <w:p w14:paraId="42317760">
            <w:pPr>
              <w:adjustRightInd w:val="0"/>
              <w:snapToGrid w:val="0"/>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集中式饮用水水源</w:t>
            </w:r>
            <w:r>
              <w:rPr>
                <w:rFonts w:hint="eastAsia"/>
                <w:color w:val="000000" w:themeColor="text1"/>
                <w:sz w:val="21"/>
                <w:highlight w:val="none"/>
                <w:lang w:eastAsia="zh-CN"/>
                <w14:textFill>
                  <w14:solidFill>
                    <w14:schemeClr w14:val="tx1"/>
                  </w14:solidFill>
                </w14:textFill>
              </w:rPr>
              <w:t>（</w:t>
            </w:r>
            <w:r>
              <w:rPr>
                <w:color w:val="000000" w:themeColor="text1"/>
                <w:sz w:val="21"/>
                <w:highlight w:val="none"/>
                <w14:textFill>
                  <w14:solidFill>
                    <w14:schemeClr w14:val="tx1"/>
                  </w14:solidFill>
                </w14:textFill>
              </w:rPr>
              <w:t>包括已建成的在用、备用、应急水源，在建和规划的饮用水水源</w:t>
            </w:r>
            <w:r>
              <w:rPr>
                <w:rFonts w:hint="eastAsia"/>
                <w:color w:val="000000" w:themeColor="text1"/>
                <w:sz w:val="21"/>
                <w:highlight w:val="none"/>
                <w:lang w:eastAsia="zh-CN"/>
                <w14:textFill>
                  <w14:solidFill>
                    <w14:schemeClr w14:val="tx1"/>
                  </w14:solidFill>
                </w14:textFill>
              </w:rPr>
              <w:t>）</w:t>
            </w:r>
            <w:r>
              <w:rPr>
                <w:color w:val="000000" w:themeColor="text1"/>
                <w:sz w:val="21"/>
                <w:highlight w:val="none"/>
                <w14:textFill>
                  <w14:solidFill>
                    <w14:schemeClr w14:val="tx1"/>
                  </w14:solidFill>
                </w14:textFill>
              </w:rPr>
              <w:t>准保护区以外的补给径流区；未划定准保护区的集中式饮用水水源，其保护区以外的补给径流区；分散式饮用水水源地；特殊地下水资源（矿泉水、温泉等）保护区以外的分布区等其它未列入上述敏感分级的环境敏感区。</w:t>
            </w:r>
          </w:p>
        </w:tc>
      </w:tr>
      <w:tr w14:paraId="3A04E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Align w:val="center"/>
          </w:tcPr>
          <w:p w14:paraId="7D1211AD">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不敏感</w:t>
            </w:r>
          </w:p>
        </w:tc>
        <w:tc>
          <w:tcPr>
            <w:tcW w:w="7590" w:type="dxa"/>
            <w:vAlign w:val="center"/>
          </w:tcPr>
          <w:p w14:paraId="282474A5">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上述地区之外的其它地区。</w:t>
            </w:r>
          </w:p>
        </w:tc>
      </w:tr>
      <w:tr w14:paraId="5DDBC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9" w:type="dxa"/>
            <w:gridSpan w:val="2"/>
            <w:vAlign w:val="center"/>
          </w:tcPr>
          <w:p w14:paraId="17E32B80">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注：</w:t>
            </w:r>
            <w:r>
              <w:rPr>
                <w:rFonts w:hint="eastAsia"/>
                <w:color w:val="000000" w:themeColor="text1"/>
                <w:sz w:val="21"/>
                <w:highlight w:val="none"/>
                <w14:textFill>
                  <w14:solidFill>
                    <w14:schemeClr w14:val="tx1"/>
                  </w14:solidFill>
                </w14:textFill>
              </w:rPr>
              <w:t>“</w:t>
            </w:r>
            <w:r>
              <w:rPr>
                <w:color w:val="000000" w:themeColor="text1"/>
                <w:sz w:val="21"/>
                <w:highlight w:val="none"/>
                <w14:textFill>
                  <w14:solidFill>
                    <w14:schemeClr w14:val="tx1"/>
                  </w14:solidFill>
                </w14:textFill>
              </w:rPr>
              <w:t>环境敏感区</w:t>
            </w:r>
            <w:r>
              <w:rPr>
                <w:rFonts w:hint="eastAsia"/>
                <w:color w:val="000000" w:themeColor="text1"/>
                <w:sz w:val="21"/>
                <w:highlight w:val="none"/>
                <w14:textFill>
                  <w14:solidFill>
                    <w14:schemeClr w14:val="tx1"/>
                  </w14:solidFill>
                </w14:textFill>
              </w:rPr>
              <w:t>”</w:t>
            </w:r>
            <w:r>
              <w:rPr>
                <w:color w:val="000000" w:themeColor="text1"/>
                <w:sz w:val="21"/>
                <w:highlight w:val="none"/>
                <w14:textFill>
                  <w14:solidFill>
                    <w14:schemeClr w14:val="tx1"/>
                  </w14:solidFill>
                </w14:textFill>
              </w:rPr>
              <w:t>是指《建设项目环境影响评价分类管理名录》中所界定的涉及地下水的环境敏感区。</w:t>
            </w:r>
          </w:p>
        </w:tc>
      </w:tr>
    </w:tbl>
    <w:p w14:paraId="50D212B7">
      <w:pPr>
        <w:pStyle w:val="47"/>
        <w:widowControl w:val="0"/>
        <w:rPr>
          <w:color w:val="000000" w:themeColor="text1"/>
          <w:szCs w:val="32"/>
          <w:highlight w:val="none"/>
          <w:lang w:val="zh-CN"/>
          <w14:textFill>
            <w14:solidFill>
              <w14:schemeClr w14:val="tx1"/>
            </w14:solidFill>
          </w14:textFill>
        </w:rPr>
      </w:pPr>
      <w:r>
        <w:rPr>
          <w:color w:val="000000" w:themeColor="text1"/>
          <w:szCs w:val="32"/>
          <w:highlight w:val="none"/>
          <w:lang w:val="zh-CN"/>
          <w14:textFill>
            <w14:solidFill>
              <w14:schemeClr w14:val="tx1"/>
            </w14:solidFill>
          </w14:textFill>
        </w:rPr>
        <w:t>表2.6-</w:t>
      </w:r>
      <w:r>
        <w:rPr>
          <w:color w:val="000000" w:themeColor="text1"/>
          <w:szCs w:val="32"/>
          <w:highlight w:val="none"/>
          <w14:textFill>
            <w14:solidFill>
              <w14:schemeClr w14:val="tx1"/>
            </w14:solidFill>
          </w14:textFill>
        </w:rPr>
        <w:t xml:space="preserve">6    </w:t>
      </w:r>
      <w:r>
        <w:rPr>
          <w:color w:val="000000" w:themeColor="text1"/>
          <w:szCs w:val="32"/>
          <w:highlight w:val="none"/>
          <w:lang w:val="zh-CN"/>
          <w14:textFill>
            <w14:solidFill>
              <w14:schemeClr w14:val="tx1"/>
            </w14:solidFill>
          </w14:textFill>
        </w:rPr>
        <w:t>评价区地下水环境影响评价工作等级划分</w:t>
      </w:r>
    </w:p>
    <w:tbl>
      <w:tblPr>
        <w:tblStyle w:val="32"/>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134"/>
        <w:gridCol w:w="1986"/>
        <w:gridCol w:w="1989"/>
      </w:tblGrid>
      <w:tr w14:paraId="6133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top w:val="single" w:color="auto" w:sz="12" w:space="0"/>
              <w:left w:val="single" w:color="auto" w:sz="12" w:space="0"/>
              <w:tl2br w:val="single" w:color="auto" w:sz="4" w:space="0"/>
            </w:tcBorders>
          </w:tcPr>
          <w:p w14:paraId="52DFFCD0">
            <w:pPr>
              <w:spacing w:line="360" w:lineRule="exact"/>
              <w:ind w:firstLine="0" w:firstLineChars="0"/>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 xml:space="preserve">           目类别</w:t>
            </w:r>
          </w:p>
          <w:p w14:paraId="01431FE4">
            <w:pPr>
              <w:spacing w:line="360" w:lineRule="exact"/>
              <w:ind w:firstLine="0" w:firstLineChars="0"/>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环境敏感程度</w:t>
            </w:r>
          </w:p>
        </w:tc>
        <w:tc>
          <w:tcPr>
            <w:tcW w:w="2134" w:type="dxa"/>
            <w:tcBorders>
              <w:top w:val="single" w:color="auto" w:sz="12" w:space="0"/>
            </w:tcBorders>
            <w:vAlign w:val="center"/>
          </w:tcPr>
          <w:p w14:paraId="190517D1">
            <w:pPr>
              <w:spacing w:line="360" w:lineRule="exact"/>
              <w:ind w:firstLine="0" w:firstLineChars="0"/>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I类项目</w:t>
            </w:r>
          </w:p>
        </w:tc>
        <w:tc>
          <w:tcPr>
            <w:tcW w:w="1986" w:type="dxa"/>
            <w:tcBorders>
              <w:top w:val="single" w:color="auto" w:sz="12" w:space="0"/>
            </w:tcBorders>
            <w:vAlign w:val="center"/>
          </w:tcPr>
          <w:p w14:paraId="00D6DAF5">
            <w:pPr>
              <w:spacing w:line="360" w:lineRule="exact"/>
              <w:ind w:firstLine="0" w:firstLineChars="0"/>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II类项目</w:t>
            </w:r>
          </w:p>
        </w:tc>
        <w:tc>
          <w:tcPr>
            <w:tcW w:w="1989" w:type="dxa"/>
            <w:tcBorders>
              <w:top w:val="single" w:color="auto" w:sz="12" w:space="0"/>
              <w:right w:val="single" w:color="auto" w:sz="12" w:space="0"/>
            </w:tcBorders>
            <w:vAlign w:val="center"/>
          </w:tcPr>
          <w:p w14:paraId="7246A4DC">
            <w:pPr>
              <w:spacing w:line="360" w:lineRule="exact"/>
              <w:ind w:firstLine="0" w:firstLineChars="0"/>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III类项目</w:t>
            </w:r>
          </w:p>
        </w:tc>
      </w:tr>
      <w:tr w14:paraId="3CA4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left w:val="single" w:color="auto" w:sz="12" w:space="0"/>
            </w:tcBorders>
            <w:vAlign w:val="center"/>
          </w:tcPr>
          <w:p w14:paraId="3F984CD7">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敏感</w:t>
            </w:r>
          </w:p>
        </w:tc>
        <w:tc>
          <w:tcPr>
            <w:tcW w:w="2134" w:type="dxa"/>
            <w:vAlign w:val="center"/>
          </w:tcPr>
          <w:p w14:paraId="4771CD3D">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一</w:t>
            </w:r>
          </w:p>
        </w:tc>
        <w:tc>
          <w:tcPr>
            <w:tcW w:w="1986" w:type="dxa"/>
            <w:vAlign w:val="center"/>
          </w:tcPr>
          <w:p w14:paraId="24B7B367">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一</w:t>
            </w:r>
          </w:p>
        </w:tc>
        <w:tc>
          <w:tcPr>
            <w:tcW w:w="1989" w:type="dxa"/>
            <w:tcBorders>
              <w:right w:val="single" w:color="auto" w:sz="12" w:space="0"/>
            </w:tcBorders>
            <w:vAlign w:val="center"/>
          </w:tcPr>
          <w:p w14:paraId="3E047183">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二</w:t>
            </w:r>
          </w:p>
        </w:tc>
      </w:tr>
      <w:tr w14:paraId="0BE0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left w:val="single" w:color="auto" w:sz="12" w:space="0"/>
            </w:tcBorders>
            <w:vAlign w:val="center"/>
          </w:tcPr>
          <w:p w14:paraId="7E395200">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较敏感</w:t>
            </w:r>
          </w:p>
        </w:tc>
        <w:tc>
          <w:tcPr>
            <w:tcW w:w="2134" w:type="dxa"/>
            <w:vAlign w:val="center"/>
          </w:tcPr>
          <w:p w14:paraId="27D76EB0">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一</w:t>
            </w:r>
          </w:p>
        </w:tc>
        <w:tc>
          <w:tcPr>
            <w:tcW w:w="1986" w:type="dxa"/>
            <w:vAlign w:val="center"/>
          </w:tcPr>
          <w:p w14:paraId="5C925BA1">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二</w:t>
            </w:r>
          </w:p>
        </w:tc>
        <w:tc>
          <w:tcPr>
            <w:tcW w:w="1989" w:type="dxa"/>
            <w:tcBorders>
              <w:right w:val="single" w:color="auto" w:sz="12" w:space="0"/>
            </w:tcBorders>
            <w:vAlign w:val="center"/>
          </w:tcPr>
          <w:p w14:paraId="60533B15">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三</w:t>
            </w:r>
          </w:p>
        </w:tc>
      </w:tr>
      <w:tr w14:paraId="446B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left w:val="single" w:color="auto" w:sz="12" w:space="0"/>
              <w:bottom w:val="single" w:color="auto" w:sz="12" w:space="0"/>
            </w:tcBorders>
            <w:vAlign w:val="center"/>
          </w:tcPr>
          <w:p w14:paraId="19B96C29">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不敏感</w:t>
            </w:r>
          </w:p>
        </w:tc>
        <w:tc>
          <w:tcPr>
            <w:tcW w:w="2134" w:type="dxa"/>
            <w:tcBorders>
              <w:bottom w:val="single" w:color="auto" w:sz="12" w:space="0"/>
            </w:tcBorders>
            <w:vAlign w:val="center"/>
          </w:tcPr>
          <w:p w14:paraId="12DD216B">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二</w:t>
            </w:r>
          </w:p>
        </w:tc>
        <w:tc>
          <w:tcPr>
            <w:tcW w:w="1986" w:type="dxa"/>
            <w:tcBorders>
              <w:bottom w:val="single" w:color="auto" w:sz="12" w:space="0"/>
            </w:tcBorders>
            <w:vAlign w:val="center"/>
          </w:tcPr>
          <w:p w14:paraId="4E8006AD">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三</w:t>
            </w:r>
          </w:p>
        </w:tc>
        <w:tc>
          <w:tcPr>
            <w:tcW w:w="1989" w:type="dxa"/>
            <w:tcBorders>
              <w:bottom w:val="single" w:color="auto" w:sz="12" w:space="0"/>
              <w:right w:val="single" w:color="auto" w:sz="12" w:space="0"/>
            </w:tcBorders>
            <w:vAlign w:val="center"/>
          </w:tcPr>
          <w:p w14:paraId="54E8DF23">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三</w:t>
            </w:r>
          </w:p>
        </w:tc>
      </w:tr>
    </w:tbl>
    <w:p w14:paraId="60297F38">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2.6.1.4声评价等级</w:t>
      </w:r>
    </w:p>
    <w:p w14:paraId="780461F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项目区位于《声环境质量标准》（GB3096）中</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类功能区，周围2.5km范围内无居民区等声环境敏感目标，受影响人数变化不大。根据《环境影响评价技术导则 声环境》（HJ2.4-2021）中的评价等级确定原则，声环境评价等级为</w:t>
      </w:r>
      <w:r>
        <w:rPr>
          <w:rFonts w:hint="eastAsia"/>
          <w:color w:val="000000" w:themeColor="text1"/>
          <w:highlight w:val="none"/>
          <w:lang w:eastAsia="zh-CN"/>
          <w14:textFill>
            <w14:solidFill>
              <w14:schemeClr w14:val="tx1"/>
            </w14:solidFill>
          </w14:textFill>
        </w:rPr>
        <w:t>二</w:t>
      </w:r>
      <w:r>
        <w:rPr>
          <w:color w:val="000000" w:themeColor="text1"/>
          <w:highlight w:val="none"/>
          <w14:textFill>
            <w14:solidFill>
              <w14:schemeClr w14:val="tx1"/>
            </w14:solidFill>
          </w14:textFill>
        </w:rPr>
        <w:t>级。</w:t>
      </w:r>
    </w:p>
    <w:p w14:paraId="47CDC905">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2.6.1.5土壤环境评价等级</w:t>
      </w:r>
    </w:p>
    <w:p w14:paraId="59FF32A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（1）项目类别</w:t>
      </w:r>
    </w:p>
    <w:p w14:paraId="4D75D2BE">
      <w:pPr>
        <w:pStyle w:val="54"/>
        <w:overflowPunct w:val="0"/>
        <w:topLinePunct/>
        <w:adjustRightInd/>
        <w:snapToGrid/>
        <w:spacing w:line="480" w:lineRule="exact"/>
        <w:ind w:firstLine="480"/>
        <w:jc w:val="both"/>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根据《环境影响评价技术导则 土壤环境（试行）》（HJ964-2018）附录A土壤环境影响评价项目类别表（表2.6-7），本项目属于采矿业中的</w:t>
      </w:r>
      <w:r>
        <w:rPr>
          <w:color w:val="000000" w:themeColor="text1"/>
          <w:szCs w:val="24"/>
          <w:highlight w:val="none"/>
          <w14:textFill>
            <w14:solidFill>
              <w14:schemeClr w14:val="tx1"/>
            </w14:solidFill>
          </w14:textFill>
        </w:rPr>
        <w:fldChar w:fldCharType="begin"/>
      </w:r>
      <w:r>
        <w:rPr>
          <w:color w:val="000000" w:themeColor="text1"/>
          <w:szCs w:val="24"/>
          <w:highlight w:val="none"/>
          <w14:textFill>
            <w14:solidFill>
              <w14:schemeClr w14:val="tx1"/>
            </w14:solidFill>
          </w14:textFill>
        </w:rPr>
        <w:instrText xml:space="preserve"> = 1 \* ROMAN \* MERGEFORMAT </w:instrText>
      </w:r>
      <w:r>
        <w:rPr>
          <w:color w:val="000000" w:themeColor="text1"/>
          <w:szCs w:val="24"/>
          <w:highlight w:val="none"/>
          <w14:textFill>
            <w14:solidFill>
              <w14:schemeClr w14:val="tx1"/>
            </w14:solidFill>
          </w14:textFill>
        </w:rPr>
        <w:fldChar w:fldCharType="separate"/>
      </w:r>
      <w:r>
        <w:rPr>
          <w:color w:val="000000" w:themeColor="text1"/>
          <w:szCs w:val="24"/>
          <w:highlight w:val="none"/>
          <w14:textFill>
            <w14:solidFill>
              <w14:schemeClr w14:val="tx1"/>
            </w14:solidFill>
          </w14:textFill>
        </w:rPr>
        <w:t>I</w:t>
      </w:r>
      <w:r>
        <w:rPr>
          <w:color w:val="000000" w:themeColor="text1"/>
          <w:szCs w:val="24"/>
          <w:highlight w:val="none"/>
          <w14:textFill>
            <w14:solidFill>
              <w14:schemeClr w14:val="tx1"/>
            </w14:solidFill>
          </w14:textFill>
        </w:rPr>
        <w:fldChar w:fldCharType="end"/>
      </w:r>
      <w:r>
        <w:rPr>
          <w:color w:val="000000" w:themeColor="text1"/>
          <w:szCs w:val="24"/>
          <w:highlight w:val="none"/>
          <w14:textFill>
            <w14:solidFill>
              <w14:schemeClr w14:val="tx1"/>
            </w14:solidFill>
          </w14:textFill>
        </w:rPr>
        <w:t>类项目；根据附录B表B.1，选矿厂</w:t>
      </w:r>
      <w:r>
        <w:rPr>
          <w:rFonts w:hint="eastAsia"/>
          <w:color w:val="000000" w:themeColor="text1"/>
          <w:szCs w:val="24"/>
          <w:highlight w:val="none"/>
          <w14:textFill>
            <w14:solidFill>
              <w14:schemeClr w14:val="tx1"/>
            </w14:solidFill>
          </w14:textFill>
        </w:rPr>
        <w:t>及尾矿库属于</w:t>
      </w:r>
      <w:r>
        <w:rPr>
          <w:color w:val="000000" w:themeColor="text1"/>
          <w:szCs w:val="24"/>
          <w:highlight w:val="none"/>
          <w14:textFill>
            <w14:solidFill>
              <w14:schemeClr w14:val="tx1"/>
            </w14:solidFill>
          </w14:textFill>
        </w:rPr>
        <w:t>污染影响型。</w:t>
      </w:r>
    </w:p>
    <w:p w14:paraId="4AE2236E">
      <w:pPr>
        <w:pStyle w:val="54"/>
        <w:overflowPunct w:val="0"/>
        <w:topLinePunct/>
        <w:adjustRightInd/>
        <w:snapToGrid/>
        <w:spacing w:line="480" w:lineRule="exact"/>
        <w:ind w:firstLine="480"/>
        <w:jc w:val="both"/>
        <w:rPr>
          <w:color w:val="000000" w:themeColor="text1"/>
          <w:szCs w:val="24"/>
          <w:highlight w:val="none"/>
          <w14:textFill>
            <w14:solidFill>
              <w14:schemeClr w14:val="tx1"/>
            </w14:solidFill>
          </w14:textFill>
        </w:rPr>
      </w:pPr>
    </w:p>
    <w:p w14:paraId="49B692A0">
      <w:pPr>
        <w:pStyle w:val="54"/>
        <w:overflowPunct w:val="0"/>
        <w:topLinePunct/>
        <w:adjustRightInd/>
        <w:snapToGrid/>
        <w:spacing w:line="480" w:lineRule="exact"/>
        <w:ind w:firstLine="480"/>
        <w:jc w:val="both"/>
        <w:rPr>
          <w:color w:val="000000" w:themeColor="text1"/>
          <w:szCs w:val="24"/>
          <w:highlight w:val="none"/>
          <w14:textFill>
            <w14:solidFill>
              <w14:schemeClr w14:val="tx1"/>
            </w14:solidFill>
          </w14:textFill>
        </w:rPr>
      </w:pPr>
    </w:p>
    <w:p w14:paraId="1F33468B">
      <w:pPr>
        <w:pStyle w:val="54"/>
        <w:overflowPunct w:val="0"/>
        <w:topLinePunct/>
        <w:adjustRightInd/>
        <w:snapToGrid/>
        <w:spacing w:line="480" w:lineRule="exact"/>
        <w:ind w:firstLine="480"/>
        <w:jc w:val="both"/>
        <w:rPr>
          <w:color w:val="000000" w:themeColor="text1"/>
          <w:szCs w:val="24"/>
          <w:highlight w:val="none"/>
          <w14:textFill>
            <w14:solidFill>
              <w14:schemeClr w14:val="tx1"/>
            </w14:solidFill>
          </w14:textFill>
        </w:rPr>
      </w:pPr>
    </w:p>
    <w:p w14:paraId="3079A456">
      <w:pPr>
        <w:pStyle w:val="54"/>
        <w:adjustRightInd/>
        <w:snapToGrid/>
        <w:spacing w:line="480" w:lineRule="exact"/>
        <w:ind w:firstLine="0" w:firstLineChars="0"/>
        <w:rPr>
          <w:b/>
          <w:bCs/>
          <w:color w:val="000000" w:themeColor="text1"/>
          <w:szCs w:val="24"/>
          <w:highlight w:val="none"/>
          <w14:textFill>
            <w14:solidFill>
              <w14:schemeClr w14:val="tx1"/>
            </w14:solidFill>
          </w14:textFill>
        </w:rPr>
      </w:pPr>
      <w:r>
        <w:rPr>
          <w:b/>
          <w:bCs/>
          <w:color w:val="000000" w:themeColor="text1"/>
          <w:szCs w:val="24"/>
          <w:highlight w:val="none"/>
          <w14:textFill>
            <w14:solidFill>
              <w14:schemeClr w14:val="tx1"/>
            </w14:solidFill>
          </w14:textFill>
        </w:rPr>
        <w:t>表2.6-7    土壤环境影响评价项目类别</w:t>
      </w:r>
    </w:p>
    <w:tbl>
      <w:tblPr>
        <w:tblStyle w:val="33"/>
        <w:tblW w:w="86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59"/>
        <w:gridCol w:w="5245"/>
        <w:gridCol w:w="708"/>
      </w:tblGrid>
      <w:tr w14:paraId="1A29F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00" w:type="dxa"/>
            <w:vMerge w:val="restart"/>
            <w:tcBorders>
              <w:tl2br w:val="nil"/>
              <w:tr2bl w:val="nil"/>
            </w:tcBorders>
            <w:vAlign w:val="center"/>
          </w:tcPr>
          <w:p w14:paraId="52E0DBD5">
            <w:pPr>
              <w:pStyle w:val="54"/>
              <w:ind w:firstLine="0" w:firstLineChars="0"/>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行业类别</w:t>
            </w:r>
          </w:p>
        </w:tc>
        <w:tc>
          <w:tcPr>
            <w:tcW w:w="7512" w:type="dxa"/>
            <w:gridSpan w:val="3"/>
            <w:tcBorders>
              <w:tl2br w:val="nil"/>
              <w:tr2bl w:val="nil"/>
            </w:tcBorders>
            <w:vAlign w:val="center"/>
          </w:tcPr>
          <w:p w14:paraId="665E6442">
            <w:pPr>
              <w:pStyle w:val="54"/>
              <w:ind w:firstLine="0" w:firstLineChars="0"/>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项目类别</w:t>
            </w:r>
          </w:p>
        </w:tc>
      </w:tr>
      <w:tr w14:paraId="09A52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00" w:type="dxa"/>
            <w:vMerge w:val="continue"/>
            <w:tcBorders>
              <w:tl2br w:val="nil"/>
              <w:tr2bl w:val="nil"/>
            </w:tcBorders>
            <w:vAlign w:val="center"/>
          </w:tcPr>
          <w:p w14:paraId="32EB21C7">
            <w:pPr>
              <w:pStyle w:val="54"/>
              <w:ind w:firstLine="0" w:firstLineChars="0"/>
              <w:rPr>
                <w:b/>
                <w:bCs/>
                <w:color w:val="000000" w:themeColor="text1"/>
                <w:sz w:val="21"/>
                <w:highlight w:val="none"/>
                <w14:textFill>
                  <w14:solidFill>
                    <w14:schemeClr w14:val="tx1"/>
                  </w14:solidFill>
                </w14:textFill>
              </w:rPr>
            </w:pPr>
          </w:p>
        </w:tc>
        <w:tc>
          <w:tcPr>
            <w:tcW w:w="1559" w:type="dxa"/>
            <w:tcBorders>
              <w:tl2br w:val="nil"/>
              <w:tr2bl w:val="nil"/>
            </w:tcBorders>
            <w:vAlign w:val="center"/>
          </w:tcPr>
          <w:p w14:paraId="2E3ADEBD">
            <w:pPr>
              <w:pStyle w:val="54"/>
              <w:ind w:firstLine="0" w:firstLineChars="0"/>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I类</w:t>
            </w:r>
          </w:p>
        </w:tc>
        <w:tc>
          <w:tcPr>
            <w:tcW w:w="5245" w:type="dxa"/>
            <w:tcBorders>
              <w:tl2br w:val="nil"/>
              <w:tr2bl w:val="nil"/>
            </w:tcBorders>
            <w:vAlign w:val="center"/>
          </w:tcPr>
          <w:p w14:paraId="140677D4">
            <w:pPr>
              <w:pStyle w:val="54"/>
              <w:ind w:firstLine="0" w:firstLineChars="0"/>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II类</w:t>
            </w:r>
          </w:p>
        </w:tc>
        <w:tc>
          <w:tcPr>
            <w:tcW w:w="708" w:type="dxa"/>
            <w:tcBorders>
              <w:tl2br w:val="nil"/>
              <w:tr2bl w:val="nil"/>
            </w:tcBorders>
            <w:vAlign w:val="center"/>
          </w:tcPr>
          <w:p w14:paraId="089A456B">
            <w:pPr>
              <w:pStyle w:val="54"/>
              <w:ind w:firstLine="0" w:firstLineChars="0"/>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III类</w:t>
            </w:r>
          </w:p>
        </w:tc>
      </w:tr>
      <w:tr w14:paraId="76D97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00" w:type="dxa"/>
            <w:tcBorders>
              <w:tl2br w:val="nil"/>
              <w:tr2bl w:val="nil"/>
            </w:tcBorders>
            <w:vAlign w:val="center"/>
          </w:tcPr>
          <w:p w14:paraId="75847B14">
            <w:pPr>
              <w:pStyle w:val="54"/>
              <w:ind w:firstLine="0" w:firstLineChars="0"/>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采矿业</w:t>
            </w:r>
          </w:p>
        </w:tc>
        <w:tc>
          <w:tcPr>
            <w:tcW w:w="1559" w:type="dxa"/>
            <w:tcBorders>
              <w:tl2br w:val="nil"/>
              <w:tr2bl w:val="nil"/>
            </w:tcBorders>
            <w:vAlign w:val="center"/>
          </w:tcPr>
          <w:p w14:paraId="54B89C16">
            <w:pPr>
              <w:pStyle w:val="54"/>
              <w:ind w:firstLine="0" w:firstLineChars="0"/>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金属矿、石油、页岩油开采</w:t>
            </w:r>
          </w:p>
        </w:tc>
        <w:tc>
          <w:tcPr>
            <w:tcW w:w="5245" w:type="dxa"/>
            <w:tcBorders>
              <w:tl2br w:val="nil"/>
              <w:tr2bl w:val="nil"/>
            </w:tcBorders>
            <w:vAlign w:val="center"/>
          </w:tcPr>
          <w:p w14:paraId="62D6E855">
            <w:pPr>
              <w:pStyle w:val="54"/>
              <w:ind w:firstLine="0" w:firstLineChars="0"/>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化学矿采选；石棉矿采选；煤矿采选、天然气开采、页岩气开采、砂岩气开采、煤气层开采（含净化、液化）</w:t>
            </w:r>
          </w:p>
        </w:tc>
        <w:tc>
          <w:tcPr>
            <w:tcW w:w="708" w:type="dxa"/>
            <w:tcBorders>
              <w:tl2br w:val="nil"/>
              <w:tr2bl w:val="nil"/>
            </w:tcBorders>
            <w:vAlign w:val="center"/>
          </w:tcPr>
          <w:p w14:paraId="2F704A77">
            <w:pPr>
              <w:pStyle w:val="54"/>
              <w:ind w:firstLine="0" w:firstLineChars="0"/>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其他</w:t>
            </w:r>
          </w:p>
        </w:tc>
      </w:tr>
    </w:tbl>
    <w:p w14:paraId="428468D1">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土壤环境敏感程度</w:t>
      </w:r>
    </w:p>
    <w:p w14:paraId="3161C1C2">
      <w:pPr>
        <w:pStyle w:val="54"/>
        <w:overflowPunct w:val="0"/>
        <w:topLinePunct/>
        <w:adjustRightInd/>
        <w:snapToGrid/>
        <w:spacing w:line="480" w:lineRule="exact"/>
        <w:ind w:firstLine="480"/>
        <w:jc w:val="both"/>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本项目</w:t>
      </w:r>
      <w:r>
        <w:rPr>
          <w:rFonts w:hint="eastAsia"/>
          <w:color w:val="000000" w:themeColor="text1"/>
          <w:szCs w:val="24"/>
          <w:highlight w:val="none"/>
          <w:lang w:val="en-US" w:eastAsia="zh-CN"/>
          <w14:textFill>
            <w14:solidFill>
              <w14:schemeClr w14:val="tx1"/>
            </w14:solidFill>
          </w14:textFill>
        </w:rPr>
        <w:t>区周边无耕地、园地、牧草地等土壤环境敏感目标</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根据《环境影响评价技术导则 土壤环境（试行）》（HJ964-2018）中土壤环境污染影响型敏感程度分级规定，判定本项目的土壤环境敏感程度为</w:t>
      </w:r>
      <w:r>
        <w:rPr>
          <w:rFonts w:hint="eastAsia"/>
          <w:color w:val="000000" w:themeColor="text1"/>
          <w:szCs w:val="24"/>
          <w:highlight w:val="none"/>
          <w:lang w:eastAsia="zh-CN"/>
          <w14:textFill>
            <w14:solidFill>
              <w14:schemeClr w14:val="tx1"/>
            </w14:solidFill>
          </w14:textFill>
        </w:rPr>
        <w:t>不</w:t>
      </w:r>
      <w:r>
        <w:rPr>
          <w:color w:val="000000" w:themeColor="text1"/>
          <w:szCs w:val="24"/>
          <w:highlight w:val="none"/>
          <w14:textFill>
            <w14:solidFill>
              <w14:schemeClr w14:val="tx1"/>
            </w14:solidFill>
          </w14:textFill>
        </w:rPr>
        <w:t>敏感</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具体见表2.6-8。</w:t>
      </w:r>
    </w:p>
    <w:p w14:paraId="5C3AE39F">
      <w:pPr>
        <w:pStyle w:val="54"/>
        <w:adjustRightInd/>
        <w:snapToGrid/>
        <w:spacing w:line="480" w:lineRule="exact"/>
        <w:ind w:firstLine="0" w:firstLineChars="0"/>
        <w:rPr>
          <w:b/>
          <w:bCs/>
          <w:color w:val="000000" w:themeColor="text1"/>
          <w:szCs w:val="24"/>
          <w:highlight w:val="none"/>
          <w14:textFill>
            <w14:solidFill>
              <w14:schemeClr w14:val="tx1"/>
            </w14:solidFill>
          </w14:textFill>
        </w:rPr>
      </w:pPr>
      <w:r>
        <w:rPr>
          <w:b/>
          <w:bCs/>
          <w:color w:val="000000" w:themeColor="text1"/>
          <w:szCs w:val="24"/>
          <w:highlight w:val="none"/>
          <w14:textFill>
            <w14:solidFill>
              <w14:schemeClr w14:val="tx1"/>
            </w14:solidFill>
          </w14:textFill>
        </w:rPr>
        <w:t>表2.6-8    污染影响型敏感程度分级表</w:t>
      </w:r>
    </w:p>
    <w:tbl>
      <w:tblPr>
        <w:tblStyle w:val="33"/>
        <w:tblW w:w="85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7409"/>
      </w:tblGrid>
      <w:tr w14:paraId="1DA48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11" w:type="dxa"/>
            <w:tcBorders>
              <w:tl2br w:val="nil"/>
              <w:tr2bl w:val="nil"/>
            </w:tcBorders>
            <w:vAlign w:val="center"/>
          </w:tcPr>
          <w:p w14:paraId="3D809FAC">
            <w:pPr>
              <w:pStyle w:val="54"/>
              <w:ind w:firstLine="0" w:firstLineChars="0"/>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敏感程度</w:t>
            </w:r>
          </w:p>
        </w:tc>
        <w:tc>
          <w:tcPr>
            <w:tcW w:w="7409" w:type="dxa"/>
            <w:tcBorders>
              <w:tl2br w:val="nil"/>
              <w:tr2bl w:val="nil"/>
            </w:tcBorders>
            <w:vAlign w:val="center"/>
          </w:tcPr>
          <w:p w14:paraId="2F60DBD5">
            <w:pPr>
              <w:pStyle w:val="54"/>
              <w:ind w:firstLine="0" w:firstLineChars="0"/>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判别依据</w:t>
            </w:r>
          </w:p>
        </w:tc>
      </w:tr>
      <w:tr w14:paraId="4902B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11" w:type="dxa"/>
            <w:tcBorders>
              <w:tl2br w:val="nil"/>
              <w:tr2bl w:val="nil"/>
            </w:tcBorders>
            <w:vAlign w:val="center"/>
          </w:tcPr>
          <w:p w14:paraId="45A290D5">
            <w:pPr>
              <w:pStyle w:val="54"/>
              <w:ind w:firstLine="0" w:firstLineChars="0"/>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敏感</w:t>
            </w:r>
          </w:p>
        </w:tc>
        <w:tc>
          <w:tcPr>
            <w:tcW w:w="7409" w:type="dxa"/>
            <w:tcBorders>
              <w:tl2br w:val="nil"/>
              <w:tr2bl w:val="nil"/>
            </w:tcBorders>
            <w:vAlign w:val="center"/>
          </w:tcPr>
          <w:p w14:paraId="39700E8D">
            <w:pPr>
              <w:pStyle w:val="54"/>
              <w:ind w:firstLine="0" w:firstLineChars="0"/>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建设项目周边存在耕地、园地</w:t>
            </w:r>
            <w:r>
              <w:rPr>
                <w:b w:val="0"/>
                <w:bCs w:val="0"/>
                <w:color w:val="000000" w:themeColor="text1"/>
                <w:sz w:val="21"/>
                <w:highlight w:val="none"/>
                <w14:textFill>
                  <w14:solidFill>
                    <w14:schemeClr w14:val="tx1"/>
                  </w14:solidFill>
                </w14:textFill>
              </w:rPr>
              <w:t>、牧草地、饮</w:t>
            </w:r>
            <w:r>
              <w:rPr>
                <w:color w:val="000000" w:themeColor="text1"/>
                <w:sz w:val="21"/>
                <w:highlight w:val="none"/>
                <w14:textFill>
                  <w14:solidFill>
                    <w14:schemeClr w14:val="tx1"/>
                  </w14:solidFill>
                </w14:textFill>
              </w:rPr>
              <w:t>用水水源地或居民区、学校、医院、疗养院养老院等土壤环境敏感目标的</w:t>
            </w:r>
          </w:p>
        </w:tc>
      </w:tr>
      <w:tr w14:paraId="11377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11" w:type="dxa"/>
            <w:tcBorders>
              <w:tl2br w:val="nil"/>
              <w:tr2bl w:val="nil"/>
            </w:tcBorders>
            <w:vAlign w:val="center"/>
          </w:tcPr>
          <w:p w14:paraId="101FDF8C">
            <w:pPr>
              <w:pStyle w:val="54"/>
              <w:ind w:firstLine="0" w:firstLineChars="0"/>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较敏感</w:t>
            </w:r>
          </w:p>
        </w:tc>
        <w:tc>
          <w:tcPr>
            <w:tcW w:w="7409" w:type="dxa"/>
            <w:tcBorders>
              <w:tl2br w:val="nil"/>
              <w:tr2bl w:val="nil"/>
            </w:tcBorders>
            <w:vAlign w:val="center"/>
          </w:tcPr>
          <w:p w14:paraId="0ACFE9A9">
            <w:pPr>
              <w:pStyle w:val="54"/>
              <w:ind w:firstLine="0" w:firstLineChars="0"/>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建设项目周边存在其他土壤环境敏感目标的</w:t>
            </w:r>
          </w:p>
        </w:tc>
      </w:tr>
      <w:tr w14:paraId="50007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11" w:type="dxa"/>
            <w:tcBorders>
              <w:tl2br w:val="nil"/>
              <w:tr2bl w:val="nil"/>
            </w:tcBorders>
            <w:vAlign w:val="center"/>
          </w:tcPr>
          <w:p w14:paraId="2801C929">
            <w:pPr>
              <w:pStyle w:val="54"/>
              <w:ind w:firstLine="0" w:firstLineChars="0"/>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不敏感</w:t>
            </w:r>
          </w:p>
        </w:tc>
        <w:tc>
          <w:tcPr>
            <w:tcW w:w="7409" w:type="dxa"/>
            <w:tcBorders>
              <w:tl2br w:val="nil"/>
              <w:tr2bl w:val="nil"/>
            </w:tcBorders>
            <w:vAlign w:val="center"/>
          </w:tcPr>
          <w:p w14:paraId="740EB6F5">
            <w:pPr>
              <w:pStyle w:val="54"/>
              <w:ind w:firstLine="0" w:firstLineChars="0"/>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其他情况</w:t>
            </w:r>
          </w:p>
        </w:tc>
      </w:tr>
    </w:tbl>
    <w:p w14:paraId="0357059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（3）评价工作等级判定</w:t>
      </w:r>
    </w:p>
    <w:p w14:paraId="46EC6F29">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按照《环境影响评价技术导则 土壤环境（试行）》（HJ964-2018）中评价工作等级分级表的划分方法进行确定，其判定依据见表2.6-9。</w:t>
      </w:r>
    </w:p>
    <w:p w14:paraId="7FB2FE69">
      <w:pPr>
        <w:pStyle w:val="54"/>
        <w:adjustRightInd/>
        <w:snapToGrid/>
        <w:spacing w:line="480" w:lineRule="exact"/>
        <w:ind w:firstLine="0" w:firstLineChars="0"/>
        <w:rPr>
          <w:b/>
          <w:bCs/>
          <w:color w:val="000000" w:themeColor="text1"/>
          <w:szCs w:val="24"/>
          <w:highlight w:val="none"/>
          <w14:textFill>
            <w14:solidFill>
              <w14:schemeClr w14:val="tx1"/>
            </w14:solidFill>
          </w14:textFill>
        </w:rPr>
      </w:pPr>
      <w:r>
        <w:rPr>
          <w:b/>
          <w:bCs/>
          <w:color w:val="000000" w:themeColor="text1"/>
          <w:szCs w:val="24"/>
          <w:highlight w:val="none"/>
          <w14:textFill>
            <w14:solidFill>
              <w14:schemeClr w14:val="tx1"/>
            </w14:solidFill>
          </w14:textFill>
        </w:rPr>
        <w:t>表2.6-9    污染影响型评价工作等级划分表</w:t>
      </w:r>
    </w:p>
    <w:tbl>
      <w:tblPr>
        <w:tblStyle w:val="33"/>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768"/>
        <w:gridCol w:w="648"/>
        <w:gridCol w:w="660"/>
        <w:gridCol w:w="660"/>
        <w:gridCol w:w="648"/>
        <w:gridCol w:w="684"/>
        <w:gridCol w:w="720"/>
        <w:gridCol w:w="684"/>
        <w:gridCol w:w="730"/>
      </w:tblGrid>
      <w:tr w14:paraId="76F7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972" w:type="dxa"/>
            <w:vMerge w:val="restart"/>
            <w:tcBorders>
              <w:top w:val="single" w:color="auto" w:sz="12" w:space="0"/>
              <w:left w:val="single" w:color="auto" w:sz="12" w:space="0"/>
            </w:tcBorders>
            <w:vAlign w:val="center"/>
          </w:tcPr>
          <w:p w14:paraId="0F52AC3D">
            <w:pPr>
              <w:pStyle w:val="31"/>
              <w:spacing w:after="0" w:line="360" w:lineRule="exact"/>
              <w:ind w:left="0" w:leftChars="0" w:firstLine="0" w:firstLineChars="0"/>
              <w:jc w:val="center"/>
              <w:rPr>
                <w:color w:val="000000" w:themeColor="text1"/>
                <w:kern w:val="0"/>
                <w:szCs w:val="21"/>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203200</wp:posOffset>
                      </wp:positionH>
                      <wp:positionV relativeFrom="paragraph">
                        <wp:posOffset>50165</wp:posOffset>
                      </wp:positionV>
                      <wp:extent cx="1021080" cy="296545"/>
                      <wp:effectExtent l="0" t="0" r="0" b="0"/>
                      <wp:wrapNone/>
                      <wp:docPr id="60" name="矩形 31"/>
                      <wp:cNvGraphicFramePr/>
                      <a:graphic xmlns:a="http://schemas.openxmlformats.org/drawingml/2006/main">
                        <a:graphicData uri="http://schemas.microsoft.com/office/word/2010/wordprocessingShape">
                          <wps:wsp>
                            <wps:cNvSpPr/>
                            <wps:spPr>
                              <a:xfrm>
                                <a:off x="0" y="0"/>
                                <a:ext cx="1021080" cy="296545"/>
                              </a:xfrm>
                              <a:prstGeom prst="rect">
                                <a:avLst/>
                              </a:prstGeom>
                              <a:noFill/>
                              <a:ln>
                                <a:noFill/>
                              </a:ln>
                            </wps:spPr>
                            <wps:txbx>
                              <w:txbxContent>
                                <w:p w14:paraId="5A7A3676">
                                  <w:pPr>
                                    <w:spacing w:line="240" w:lineRule="auto"/>
                                    <w:ind w:firstLine="0" w:firstLineChars="0"/>
                                    <w:jc w:val="center"/>
                                    <w:rPr>
                                      <w:sz w:val="21"/>
                                      <w:szCs w:val="21"/>
                                    </w:rPr>
                                  </w:pPr>
                                  <w:r>
                                    <w:rPr>
                                      <w:rFonts w:hint="eastAsia"/>
                                      <w:sz w:val="21"/>
                                      <w:szCs w:val="21"/>
                                    </w:rPr>
                                    <w:t>评价工作等级</w:t>
                                  </w:r>
                                </w:p>
                              </w:txbxContent>
                            </wps:txbx>
                            <wps:bodyPr upright="1"/>
                          </wps:wsp>
                        </a:graphicData>
                      </a:graphic>
                    </wp:anchor>
                  </w:drawing>
                </mc:Choice>
                <mc:Fallback>
                  <w:pict>
                    <v:rect id="矩形 31" o:spid="_x0000_s1026" o:spt="1" style="position:absolute;left:0pt;margin-left:16pt;margin-top:3.95pt;height:23.35pt;width:80.4pt;z-index:251666432;mso-width-relative:page;mso-height-relative:page;" filled="f" stroked="f" coordsize="21600,21600" o:gfxdata="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cldprYAAAABwEAAA8AAAAA&#10;AAAAAQAgAAAAIgAAAGRycy9kb3ducmV2LnhtbFBLAQIUABQAAAAIAIdO4kA9ULbsogEAAEMDAAAO&#10;AAAAAAAAAAEAIAAAACcBAABkcnMvZTJvRG9jLnhtbFBLBQYAAAAABgAGAFkBAAA7BQAAAAA=&#10;">
                      <v:fill on="f" focussize="0,0"/>
                      <v:stroke on="f"/>
                      <v:imagedata o:title=""/>
                      <o:lock v:ext="edit" aspectratio="f"/>
                      <v:textbox>
                        <w:txbxContent>
                          <w:p w14:paraId="5A7A3676">
                            <w:pPr>
                              <w:spacing w:line="240" w:lineRule="auto"/>
                              <w:ind w:firstLine="0" w:firstLineChars="0"/>
                              <w:jc w:val="center"/>
                              <w:rPr>
                                <w:sz w:val="21"/>
                                <w:szCs w:val="21"/>
                              </w:rPr>
                            </w:pPr>
                            <w:r>
                              <w:rPr>
                                <w:rFonts w:hint="eastAsia"/>
                                <w:sz w:val="21"/>
                                <w:szCs w:val="21"/>
                              </w:rPr>
                              <w:t>评价工作等级</w:t>
                            </w:r>
                          </w:p>
                        </w:txbxContent>
                      </v:textbox>
                    </v:rect>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1087120</wp:posOffset>
                      </wp:positionH>
                      <wp:positionV relativeFrom="paragraph">
                        <wp:posOffset>-18415</wp:posOffset>
                      </wp:positionV>
                      <wp:extent cx="868680" cy="296545"/>
                      <wp:effectExtent l="0" t="0" r="0" b="0"/>
                      <wp:wrapNone/>
                      <wp:docPr id="61" name="矩形 32"/>
                      <wp:cNvGraphicFramePr/>
                      <a:graphic xmlns:a="http://schemas.openxmlformats.org/drawingml/2006/main">
                        <a:graphicData uri="http://schemas.microsoft.com/office/word/2010/wordprocessingShape">
                          <wps:wsp>
                            <wps:cNvSpPr/>
                            <wps:spPr>
                              <a:xfrm>
                                <a:off x="0" y="0"/>
                                <a:ext cx="868680" cy="296545"/>
                              </a:xfrm>
                              <a:prstGeom prst="rect">
                                <a:avLst/>
                              </a:prstGeom>
                              <a:noFill/>
                              <a:ln>
                                <a:noFill/>
                              </a:ln>
                            </wps:spPr>
                            <wps:txbx>
                              <w:txbxContent>
                                <w:p w14:paraId="75D0DAA2">
                                  <w:pPr>
                                    <w:spacing w:line="240" w:lineRule="auto"/>
                                    <w:ind w:firstLine="0" w:firstLineChars="0"/>
                                    <w:jc w:val="center"/>
                                    <w:rPr>
                                      <w:sz w:val="21"/>
                                      <w:szCs w:val="21"/>
                                    </w:rPr>
                                  </w:pPr>
                                  <w:r>
                                    <w:rPr>
                                      <w:rFonts w:hint="eastAsia"/>
                                      <w:sz w:val="21"/>
                                      <w:szCs w:val="21"/>
                                    </w:rPr>
                                    <w:t>占地规模</w:t>
                                  </w:r>
                                </w:p>
                              </w:txbxContent>
                            </wps:txbx>
                            <wps:bodyPr upright="1"/>
                          </wps:wsp>
                        </a:graphicData>
                      </a:graphic>
                    </wp:anchor>
                  </w:drawing>
                </mc:Choice>
                <mc:Fallback>
                  <w:pict>
                    <v:rect id="矩形 32" o:spid="_x0000_s1026" o:spt="1" style="position:absolute;left:0pt;margin-left:85.6pt;margin-top:-1.45pt;height:23.35pt;width:68.4pt;z-index:251667456;mso-width-relative:page;mso-height-relative:page;" filled="f" stroked="f" coordsize="21600,21600" o:gfxdata="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E6Ex3aAAAACQEAAA8A&#10;AAAAAAAAAQAgAAAAIgAAAGRycy9kb3ducmV2LnhtbFBLAQIUABQAAAAIAIdO4kDRdGchowEAAEID&#10;AAAOAAAAAAAAAAEAIAAAACkBAABkcnMvZTJvRG9jLnhtbFBLBQYAAAAABgAGAFkBAAA+BQAAAAA=&#10;">
                      <v:fill on="f" focussize="0,0"/>
                      <v:stroke on="f"/>
                      <v:imagedata o:title=""/>
                      <o:lock v:ext="edit" aspectratio="f"/>
                      <v:textbox>
                        <w:txbxContent>
                          <w:p w14:paraId="75D0DAA2">
                            <w:pPr>
                              <w:spacing w:line="240" w:lineRule="auto"/>
                              <w:ind w:firstLine="0" w:firstLineChars="0"/>
                              <w:jc w:val="center"/>
                              <w:rPr>
                                <w:sz w:val="21"/>
                                <w:szCs w:val="21"/>
                              </w:rPr>
                            </w:pPr>
                            <w:r>
                              <w:rPr>
                                <w:rFonts w:hint="eastAsia"/>
                                <w:sz w:val="21"/>
                                <w:szCs w:val="21"/>
                              </w:rPr>
                              <w:t>占地规模</w:t>
                            </w:r>
                          </w:p>
                        </w:txbxContent>
                      </v:textbox>
                    </v:rect>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850900</wp:posOffset>
                      </wp:positionH>
                      <wp:positionV relativeFrom="paragraph">
                        <wp:posOffset>3810</wp:posOffset>
                      </wp:positionV>
                      <wp:extent cx="956310" cy="469265"/>
                      <wp:effectExtent l="1905" t="4445" r="17145" b="13970"/>
                      <wp:wrapNone/>
                      <wp:docPr id="62" name="直接连接符 64"/>
                      <wp:cNvGraphicFramePr/>
                      <a:graphic xmlns:a="http://schemas.openxmlformats.org/drawingml/2006/main">
                        <a:graphicData uri="http://schemas.microsoft.com/office/word/2010/wordprocessingShape">
                          <wps:wsp>
                            <wps:cNvCnPr/>
                            <wps:spPr>
                              <a:xfrm>
                                <a:off x="1080770" y="1222375"/>
                                <a:ext cx="575945" cy="483870"/>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64" o:spid="_x0000_s1026" o:spt="20" style="position:absolute;left:0pt;margin-left:67pt;margin-top:0.3pt;height:36.95pt;width:75.3pt;z-index:251669504;mso-width-relative:page;mso-height-relative:page;" filled="f" stroked="t" coordsize="21600,21600" o:gfxdata="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iqRsm1QAAAAcBAAAPAAAAAAAAAAEAIAAAACIAAABkcnMvZG93bnJldi54bWxQ&#10;SwECFAAUAAAACACHTuJAj7+8AvoBAADRAwAADgAAAAAAAAABACAAAAAkAQAAZHJzL2Uyb0RvYy54&#10;bWxQSwUGAAAAAAYABgBZAQAAkAUAAAAA&#10;">
                      <v:fill on="f" focussize="0,0"/>
                      <v:stroke weight="0.5pt" color="#000000" miterlimit="8" joinstyle="miter"/>
                      <v:imagedata o:title=""/>
                      <o:lock v:ext="edit" aspectratio="f"/>
                    </v:lin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-193040</wp:posOffset>
                      </wp:positionH>
                      <wp:positionV relativeFrom="paragraph">
                        <wp:posOffset>233045</wp:posOffset>
                      </wp:positionV>
                      <wp:extent cx="876300" cy="296545"/>
                      <wp:effectExtent l="0" t="0" r="0" b="0"/>
                      <wp:wrapNone/>
                      <wp:docPr id="63" name="矩形 34"/>
                      <wp:cNvGraphicFramePr/>
                      <a:graphic xmlns:a="http://schemas.openxmlformats.org/drawingml/2006/main">
                        <a:graphicData uri="http://schemas.microsoft.com/office/word/2010/wordprocessingShape">
                          <wps:wsp>
                            <wps:cNvSpPr/>
                            <wps:spPr>
                              <a:xfrm>
                                <a:off x="0" y="0"/>
                                <a:ext cx="876300" cy="296545"/>
                              </a:xfrm>
                              <a:prstGeom prst="rect">
                                <a:avLst/>
                              </a:prstGeom>
                              <a:noFill/>
                              <a:ln>
                                <a:noFill/>
                              </a:ln>
                            </wps:spPr>
                            <wps:txbx>
                              <w:txbxContent>
                                <w:p w14:paraId="0E813002">
                                  <w:pPr>
                                    <w:spacing w:line="240" w:lineRule="auto"/>
                                    <w:ind w:firstLine="0" w:firstLineChars="0"/>
                                    <w:jc w:val="center"/>
                                    <w:rPr>
                                      <w:sz w:val="21"/>
                                      <w:szCs w:val="21"/>
                                    </w:rPr>
                                  </w:pPr>
                                  <w:r>
                                    <w:rPr>
                                      <w:rFonts w:hint="eastAsia"/>
                                      <w:sz w:val="21"/>
                                      <w:szCs w:val="21"/>
                                    </w:rPr>
                                    <w:t>敏感程度</w:t>
                                  </w:r>
                                </w:p>
                              </w:txbxContent>
                            </wps:txbx>
                            <wps:bodyPr upright="1"/>
                          </wps:wsp>
                        </a:graphicData>
                      </a:graphic>
                    </wp:anchor>
                  </w:drawing>
                </mc:Choice>
                <mc:Fallback>
                  <w:pict>
                    <v:rect id="矩形 34" o:spid="_x0000_s1026" o:spt="1" style="position:absolute;left:0pt;margin-left:-15.2pt;margin-top:18.35pt;height:23.35pt;width:69pt;z-index:251671552;mso-width-relative:page;mso-height-relative:page;" filled="f" stroked="f" coordsize="21600,21600" o:gfxdata="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i6dJDaAAAACQEAAA8A&#10;AAAAAAAAAQAgAAAAIgAAAGRycy9kb3ducmV2LnhtbFBLAQIUABQAAAAIAIdO4kDqyFxpowEAAEID&#10;AAAOAAAAAAAAAAEAIAAAACkBAABkcnMvZTJvRG9jLnhtbFBLBQYAAAAABgAGAFkBAAA+BQAAAAA=&#10;">
                      <v:fill on="f" focussize="0,0"/>
                      <v:stroke on="f"/>
                      <v:imagedata o:title=""/>
                      <o:lock v:ext="edit" aspectratio="f"/>
                      <v:textbox>
                        <w:txbxContent>
                          <w:p w14:paraId="0E813002">
                            <w:pPr>
                              <w:spacing w:line="240" w:lineRule="auto"/>
                              <w:ind w:firstLine="0" w:firstLineChars="0"/>
                              <w:jc w:val="center"/>
                              <w:rPr>
                                <w:sz w:val="21"/>
                                <w:szCs w:val="21"/>
                              </w:rPr>
                            </w:pPr>
                            <w:r>
                              <w:rPr>
                                <w:rFonts w:hint="eastAsia"/>
                                <w:sz w:val="21"/>
                                <w:szCs w:val="21"/>
                              </w:rPr>
                              <w:t>敏感程度</w:t>
                            </w:r>
                          </w:p>
                        </w:txbxContent>
                      </v:textbox>
                    </v:rect>
                  </w:pict>
                </mc:Fallback>
              </mc:AlternateContent>
            </w:r>
            <w:r>
              <w:rPr>
                <w:color w:val="000000" w:themeColor="text1"/>
                <w:szCs w:val="21"/>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-77470</wp:posOffset>
                      </wp:positionH>
                      <wp:positionV relativeFrom="paragraph">
                        <wp:posOffset>201930</wp:posOffset>
                      </wp:positionV>
                      <wp:extent cx="1893570" cy="278130"/>
                      <wp:effectExtent l="635" t="4445" r="10795" b="6985"/>
                      <wp:wrapNone/>
                      <wp:docPr id="64" name="直接连接符 64"/>
                      <wp:cNvGraphicFramePr/>
                      <a:graphic xmlns:a="http://schemas.openxmlformats.org/drawingml/2006/main">
                        <a:graphicData uri="http://schemas.microsoft.com/office/word/2010/wordprocessingShape">
                          <wps:wsp>
                            <wps:cNvCnPr/>
                            <wps:spPr>
                              <a:xfrm>
                                <a:off x="1080770" y="1222375"/>
                                <a:ext cx="575945" cy="48387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pt;margin-top:15.9pt;height:21.9pt;width:149.1pt;z-index:251668480;mso-width-relative:page;mso-height-relative:page;" filled="f" stroked="t" coordsize="21600,21600" o:gfxdata="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X6gU9cAAAAJAQAADwAAAAAAAAABACAAAAAiAAAAZHJzL2Rvd25yZXYueG1s&#10;UEsBAhQAFAAAAAgAh07iQDNbFBH5AQAA0QMAAA4AAAAAAAAAAQAgAAAAJgEAAGRycy9lMm9Eb2Mu&#10;eG1sUEsFBgAAAAAGAAYAWQEAAJEFAAAAAA==&#10;">
                      <v:fill on="f" focussize="0,0"/>
                      <v:stroke weight="0.5pt" color="#000000" miterlimit="8" joinstyle="miter"/>
                      <v:imagedata o:title=""/>
                      <o:lock v:ext="edit" aspectratio="f"/>
                    </v:line>
                  </w:pict>
                </mc:Fallback>
              </mc:AlternateContent>
            </w:r>
          </w:p>
        </w:tc>
        <w:tc>
          <w:tcPr>
            <w:tcW w:w="2076" w:type="dxa"/>
            <w:gridSpan w:val="3"/>
            <w:tcBorders>
              <w:top w:val="single" w:color="auto" w:sz="12" w:space="0"/>
            </w:tcBorders>
            <w:vAlign w:val="center"/>
          </w:tcPr>
          <w:p w14:paraId="37CB6292">
            <w:pPr>
              <w:pStyle w:val="31"/>
              <w:spacing w:after="0" w:line="360" w:lineRule="exact"/>
              <w:ind w:left="0" w:leftChars="0" w:firstLine="0" w:firstLineChars="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I类</w:t>
            </w:r>
          </w:p>
        </w:tc>
        <w:tc>
          <w:tcPr>
            <w:tcW w:w="1992" w:type="dxa"/>
            <w:gridSpan w:val="3"/>
            <w:tcBorders>
              <w:top w:val="single" w:color="auto" w:sz="12" w:space="0"/>
            </w:tcBorders>
            <w:vAlign w:val="center"/>
          </w:tcPr>
          <w:p w14:paraId="5AAAF19B">
            <w:pPr>
              <w:pStyle w:val="31"/>
              <w:spacing w:after="0" w:line="360" w:lineRule="exact"/>
              <w:ind w:left="0" w:leftChars="0" w:firstLine="0" w:firstLineChars="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II类</w:t>
            </w:r>
          </w:p>
        </w:tc>
        <w:tc>
          <w:tcPr>
            <w:tcW w:w="2134" w:type="dxa"/>
            <w:gridSpan w:val="3"/>
            <w:tcBorders>
              <w:top w:val="single" w:color="auto" w:sz="12" w:space="0"/>
              <w:right w:val="single" w:color="auto" w:sz="12" w:space="0"/>
            </w:tcBorders>
            <w:vAlign w:val="center"/>
          </w:tcPr>
          <w:p w14:paraId="5BA33FE8">
            <w:pPr>
              <w:pStyle w:val="31"/>
              <w:spacing w:after="0" w:line="360" w:lineRule="exact"/>
              <w:ind w:left="0" w:leftChars="0" w:firstLine="0" w:firstLineChars="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III类</w:t>
            </w:r>
          </w:p>
        </w:tc>
      </w:tr>
      <w:tr w14:paraId="40B7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972" w:type="dxa"/>
            <w:vMerge w:val="continue"/>
            <w:tcBorders>
              <w:left w:val="single" w:color="auto" w:sz="12" w:space="0"/>
            </w:tcBorders>
            <w:vAlign w:val="center"/>
          </w:tcPr>
          <w:p w14:paraId="47684D55">
            <w:pPr>
              <w:pStyle w:val="31"/>
              <w:spacing w:after="0" w:line="360" w:lineRule="exact"/>
              <w:ind w:left="0" w:leftChars="0" w:firstLine="0" w:firstLineChars="0"/>
              <w:jc w:val="center"/>
              <w:rPr>
                <w:color w:val="000000" w:themeColor="text1"/>
                <w:kern w:val="0"/>
                <w:szCs w:val="21"/>
                <w:highlight w:val="none"/>
                <w14:textFill>
                  <w14:solidFill>
                    <w14:schemeClr w14:val="tx1"/>
                  </w14:solidFill>
                </w14:textFill>
              </w:rPr>
            </w:pPr>
          </w:p>
        </w:tc>
        <w:tc>
          <w:tcPr>
            <w:tcW w:w="768" w:type="dxa"/>
            <w:vAlign w:val="center"/>
          </w:tcPr>
          <w:p w14:paraId="69A06B2B">
            <w:pPr>
              <w:pStyle w:val="31"/>
              <w:spacing w:after="0" w:line="360" w:lineRule="exact"/>
              <w:ind w:left="0" w:leftChars="0" w:firstLine="0" w:firstLineChars="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大</w:t>
            </w:r>
          </w:p>
        </w:tc>
        <w:tc>
          <w:tcPr>
            <w:tcW w:w="648" w:type="dxa"/>
            <w:vAlign w:val="center"/>
          </w:tcPr>
          <w:p w14:paraId="7749EA03">
            <w:pPr>
              <w:pStyle w:val="31"/>
              <w:spacing w:after="0" w:line="360" w:lineRule="exact"/>
              <w:ind w:left="0" w:leftChars="0" w:firstLine="0" w:firstLineChars="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中</w:t>
            </w:r>
          </w:p>
        </w:tc>
        <w:tc>
          <w:tcPr>
            <w:tcW w:w="660" w:type="dxa"/>
            <w:vAlign w:val="center"/>
          </w:tcPr>
          <w:p w14:paraId="29CE0090">
            <w:pPr>
              <w:pStyle w:val="31"/>
              <w:spacing w:after="0" w:line="360" w:lineRule="exact"/>
              <w:ind w:left="0" w:leftChars="0" w:firstLine="0" w:firstLineChars="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小</w:t>
            </w:r>
          </w:p>
        </w:tc>
        <w:tc>
          <w:tcPr>
            <w:tcW w:w="660" w:type="dxa"/>
            <w:vAlign w:val="center"/>
          </w:tcPr>
          <w:p w14:paraId="6E66BE4C">
            <w:pPr>
              <w:pStyle w:val="31"/>
              <w:spacing w:after="0" w:line="360" w:lineRule="exact"/>
              <w:ind w:left="0" w:leftChars="0" w:firstLine="0" w:firstLineChars="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大</w:t>
            </w:r>
          </w:p>
        </w:tc>
        <w:tc>
          <w:tcPr>
            <w:tcW w:w="648" w:type="dxa"/>
            <w:vAlign w:val="center"/>
          </w:tcPr>
          <w:p w14:paraId="651CD5F0">
            <w:pPr>
              <w:pStyle w:val="31"/>
              <w:spacing w:after="0" w:line="360" w:lineRule="exact"/>
              <w:ind w:left="0" w:leftChars="0" w:firstLine="0" w:firstLineChars="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中</w:t>
            </w:r>
          </w:p>
        </w:tc>
        <w:tc>
          <w:tcPr>
            <w:tcW w:w="684" w:type="dxa"/>
            <w:vAlign w:val="center"/>
          </w:tcPr>
          <w:p w14:paraId="1A3A49DB">
            <w:pPr>
              <w:pStyle w:val="31"/>
              <w:spacing w:after="0" w:line="360" w:lineRule="exact"/>
              <w:ind w:left="0" w:leftChars="0" w:firstLine="0" w:firstLineChars="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小</w:t>
            </w:r>
          </w:p>
        </w:tc>
        <w:tc>
          <w:tcPr>
            <w:tcW w:w="720" w:type="dxa"/>
            <w:vAlign w:val="center"/>
          </w:tcPr>
          <w:p w14:paraId="4EDF7438">
            <w:pPr>
              <w:pStyle w:val="31"/>
              <w:spacing w:after="0" w:line="360" w:lineRule="exact"/>
              <w:ind w:left="0" w:leftChars="0" w:firstLine="0" w:firstLineChars="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大</w:t>
            </w:r>
          </w:p>
        </w:tc>
        <w:tc>
          <w:tcPr>
            <w:tcW w:w="684" w:type="dxa"/>
            <w:vAlign w:val="center"/>
          </w:tcPr>
          <w:p w14:paraId="398DAED0">
            <w:pPr>
              <w:pStyle w:val="31"/>
              <w:spacing w:after="0" w:line="360" w:lineRule="exact"/>
              <w:ind w:left="0" w:leftChars="0" w:firstLine="0" w:firstLineChars="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中</w:t>
            </w:r>
          </w:p>
        </w:tc>
        <w:tc>
          <w:tcPr>
            <w:tcW w:w="730" w:type="dxa"/>
            <w:tcBorders>
              <w:right w:val="single" w:color="auto" w:sz="12" w:space="0"/>
            </w:tcBorders>
            <w:vAlign w:val="center"/>
          </w:tcPr>
          <w:p w14:paraId="1D7CC983">
            <w:pPr>
              <w:pStyle w:val="31"/>
              <w:spacing w:after="0" w:line="360" w:lineRule="exact"/>
              <w:ind w:left="0" w:leftChars="0" w:firstLine="0" w:firstLineChars="0"/>
              <w:jc w:val="center"/>
              <w:rPr>
                <w:b/>
                <w:bCs/>
                <w:color w:val="000000" w:themeColor="text1"/>
                <w:kern w:val="0"/>
                <w:szCs w:val="21"/>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小</w:t>
            </w:r>
          </w:p>
        </w:tc>
      </w:tr>
      <w:tr w14:paraId="038A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972" w:type="dxa"/>
            <w:tcBorders>
              <w:left w:val="single" w:color="auto" w:sz="12" w:space="0"/>
            </w:tcBorders>
            <w:shd w:val="clear" w:color="auto" w:fill="auto"/>
            <w:vAlign w:val="center"/>
          </w:tcPr>
          <w:p w14:paraId="59411D2B">
            <w:pPr>
              <w:pStyle w:val="31"/>
              <w:spacing w:after="0" w:line="360" w:lineRule="exact"/>
              <w:ind w:left="0" w:leftChars="0" w:firstLine="0" w:firstLineChars="0"/>
              <w:jc w:val="center"/>
              <w:rPr>
                <w:rFonts w:ascii="Times New Roman" w:hAnsi="Times New Roman" w:eastAsia="宋体" w:cs="Times New Roman"/>
                <w:bCs/>
                <w:color w:val="000000" w:themeColor="text1"/>
                <w:kern w:val="0"/>
                <w:szCs w:val="21"/>
                <w:highlight w:val="none"/>
                <w14:textFill>
                  <w14:solidFill>
                    <w14:schemeClr w14:val="tx1"/>
                  </w14:solidFill>
                </w14:textFill>
              </w:rPr>
            </w:pPr>
            <w:r>
              <w:rPr>
                <w:rFonts w:ascii="Times New Roman" w:hAnsi="Times New Roman" w:eastAsia="宋体" w:cs="Times New Roman"/>
                <w:bCs/>
                <w:color w:val="000000" w:themeColor="text1"/>
                <w:kern w:val="0"/>
                <w:szCs w:val="21"/>
                <w:highlight w:val="none"/>
                <w14:textFill>
                  <w14:solidFill>
                    <w14:schemeClr w14:val="tx1"/>
                  </w14:solidFill>
                </w14:textFill>
              </w:rPr>
              <w:t>敏感</w:t>
            </w:r>
          </w:p>
        </w:tc>
        <w:tc>
          <w:tcPr>
            <w:tcW w:w="768" w:type="dxa"/>
            <w:shd w:val="clear" w:color="auto" w:fill="auto"/>
            <w:vAlign w:val="center"/>
          </w:tcPr>
          <w:p w14:paraId="2C301EE6">
            <w:pPr>
              <w:pStyle w:val="31"/>
              <w:spacing w:after="0" w:line="360" w:lineRule="exact"/>
              <w:ind w:left="0" w:leftChars="0" w:firstLine="0" w:firstLineChars="0"/>
              <w:jc w:val="center"/>
              <w:rPr>
                <w:rFonts w:hint="eastAsia" w:ascii="Times New Roman" w:hAnsi="Times New Roman" w:eastAsia="宋体" w:cs="Times New Roman"/>
                <w:bCs/>
                <w:color w:val="000000" w:themeColor="text1"/>
                <w:kern w:val="0"/>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eastAsia="zh-CN"/>
                <w14:textFill>
                  <w14:solidFill>
                    <w14:schemeClr w14:val="tx1"/>
                  </w14:solidFill>
                </w14:textFill>
              </w:rPr>
              <w:t>一级</w:t>
            </w:r>
          </w:p>
        </w:tc>
        <w:tc>
          <w:tcPr>
            <w:tcW w:w="648" w:type="dxa"/>
            <w:vAlign w:val="center"/>
          </w:tcPr>
          <w:p w14:paraId="4BD98F4D">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一级</w:t>
            </w:r>
          </w:p>
        </w:tc>
        <w:tc>
          <w:tcPr>
            <w:tcW w:w="660" w:type="dxa"/>
            <w:vAlign w:val="center"/>
          </w:tcPr>
          <w:p w14:paraId="0CA17A4C">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一级</w:t>
            </w:r>
          </w:p>
        </w:tc>
        <w:tc>
          <w:tcPr>
            <w:tcW w:w="660" w:type="dxa"/>
            <w:vAlign w:val="center"/>
          </w:tcPr>
          <w:p w14:paraId="49BBDABB">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二级</w:t>
            </w:r>
          </w:p>
        </w:tc>
        <w:tc>
          <w:tcPr>
            <w:tcW w:w="648" w:type="dxa"/>
            <w:vAlign w:val="center"/>
          </w:tcPr>
          <w:p w14:paraId="2613FD46">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二级</w:t>
            </w:r>
          </w:p>
        </w:tc>
        <w:tc>
          <w:tcPr>
            <w:tcW w:w="684" w:type="dxa"/>
            <w:vAlign w:val="center"/>
          </w:tcPr>
          <w:p w14:paraId="2C053F6B">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二级</w:t>
            </w:r>
          </w:p>
        </w:tc>
        <w:tc>
          <w:tcPr>
            <w:tcW w:w="720" w:type="dxa"/>
            <w:vAlign w:val="center"/>
          </w:tcPr>
          <w:p w14:paraId="1DC61EF2">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三级</w:t>
            </w:r>
          </w:p>
        </w:tc>
        <w:tc>
          <w:tcPr>
            <w:tcW w:w="684" w:type="dxa"/>
            <w:vAlign w:val="center"/>
          </w:tcPr>
          <w:p w14:paraId="7A2E83B5">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三级</w:t>
            </w:r>
          </w:p>
        </w:tc>
        <w:tc>
          <w:tcPr>
            <w:tcW w:w="730" w:type="dxa"/>
            <w:tcBorders>
              <w:right w:val="single" w:color="auto" w:sz="12" w:space="0"/>
            </w:tcBorders>
            <w:vAlign w:val="center"/>
          </w:tcPr>
          <w:p w14:paraId="0FE3CD08">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三级</w:t>
            </w:r>
          </w:p>
        </w:tc>
      </w:tr>
      <w:tr w14:paraId="4595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972" w:type="dxa"/>
            <w:tcBorders>
              <w:left w:val="single" w:color="auto" w:sz="12" w:space="0"/>
            </w:tcBorders>
            <w:vAlign w:val="center"/>
          </w:tcPr>
          <w:p w14:paraId="0BECB34C">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较敏感</w:t>
            </w:r>
          </w:p>
        </w:tc>
        <w:tc>
          <w:tcPr>
            <w:tcW w:w="768" w:type="dxa"/>
            <w:vAlign w:val="center"/>
          </w:tcPr>
          <w:p w14:paraId="73DB49DA">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一级</w:t>
            </w:r>
          </w:p>
        </w:tc>
        <w:tc>
          <w:tcPr>
            <w:tcW w:w="648" w:type="dxa"/>
            <w:vAlign w:val="center"/>
          </w:tcPr>
          <w:p w14:paraId="720335D9">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一级</w:t>
            </w:r>
          </w:p>
        </w:tc>
        <w:tc>
          <w:tcPr>
            <w:tcW w:w="660" w:type="dxa"/>
            <w:vAlign w:val="center"/>
          </w:tcPr>
          <w:p w14:paraId="49C5E0B7">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二级</w:t>
            </w:r>
          </w:p>
        </w:tc>
        <w:tc>
          <w:tcPr>
            <w:tcW w:w="660" w:type="dxa"/>
            <w:vAlign w:val="center"/>
          </w:tcPr>
          <w:p w14:paraId="159BC5B9">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二级</w:t>
            </w:r>
          </w:p>
        </w:tc>
        <w:tc>
          <w:tcPr>
            <w:tcW w:w="648" w:type="dxa"/>
            <w:vAlign w:val="center"/>
          </w:tcPr>
          <w:p w14:paraId="16C4D361">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二级</w:t>
            </w:r>
          </w:p>
        </w:tc>
        <w:tc>
          <w:tcPr>
            <w:tcW w:w="684" w:type="dxa"/>
            <w:vAlign w:val="center"/>
          </w:tcPr>
          <w:p w14:paraId="77076848">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三级</w:t>
            </w:r>
          </w:p>
        </w:tc>
        <w:tc>
          <w:tcPr>
            <w:tcW w:w="720" w:type="dxa"/>
            <w:vAlign w:val="center"/>
          </w:tcPr>
          <w:p w14:paraId="4142FB62">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三级</w:t>
            </w:r>
          </w:p>
        </w:tc>
        <w:tc>
          <w:tcPr>
            <w:tcW w:w="684" w:type="dxa"/>
            <w:vAlign w:val="center"/>
          </w:tcPr>
          <w:p w14:paraId="158C033F">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三级</w:t>
            </w:r>
          </w:p>
        </w:tc>
        <w:tc>
          <w:tcPr>
            <w:tcW w:w="730" w:type="dxa"/>
            <w:tcBorders>
              <w:right w:val="single" w:color="auto" w:sz="12" w:space="0"/>
            </w:tcBorders>
            <w:vAlign w:val="center"/>
          </w:tcPr>
          <w:p w14:paraId="779A9014">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w:t>
            </w:r>
          </w:p>
        </w:tc>
      </w:tr>
      <w:tr w14:paraId="5C9F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972" w:type="dxa"/>
            <w:tcBorders>
              <w:left w:val="single" w:color="auto" w:sz="12" w:space="0"/>
            </w:tcBorders>
            <w:vAlign w:val="center"/>
          </w:tcPr>
          <w:p w14:paraId="0E18D120">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不敏感</w:t>
            </w:r>
          </w:p>
        </w:tc>
        <w:tc>
          <w:tcPr>
            <w:tcW w:w="768" w:type="dxa"/>
            <w:vAlign w:val="center"/>
          </w:tcPr>
          <w:p w14:paraId="2A4E60B9">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一级</w:t>
            </w:r>
          </w:p>
        </w:tc>
        <w:tc>
          <w:tcPr>
            <w:tcW w:w="648" w:type="dxa"/>
            <w:vAlign w:val="center"/>
          </w:tcPr>
          <w:p w14:paraId="0B0BAC34">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
                <w:bCs w:val="0"/>
                <w:color w:val="000000" w:themeColor="text1"/>
                <w:kern w:val="0"/>
                <w:szCs w:val="21"/>
                <w:highlight w:val="none"/>
                <w14:textFill>
                  <w14:solidFill>
                    <w14:schemeClr w14:val="tx1"/>
                  </w14:solidFill>
                </w14:textFill>
              </w:rPr>
              <w:t>二级</w:t>
            </w:r>
          </w:p>
        </w:tc>
        <w:tc>
          <w:tcPr>
            <w:tcW w:w="660" w:type="dxa"/>
            <w:vAlign w:val="center"/>
          </w:tcPr>
          <w:p w14:paraId="7CEBCC78">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二级</w:t>
            </w:r>
          </w:p>
        </w:tc>
        <w:tc>
          <w:tcPr>
            <w:tcW w:w="660" w:type="dxa"/>
            <w:vAlign w:val="center"/>
          </w:tcPr>
          <w:p w14:paraId="1E05E0F2">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二级</w:t>
            </w:r>
          </w:p>
        </w:tc>
        <w:tc>
          <w:tcPr>
            <w:tcW w:w="648" w:type="dxa"/>
            <w:vAlign w:val="center"/>
          </w:tcPr>
          <w:p w14:paraId="1516D1F1">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三级</w:t>
            </w:r>
          </w:p>
        </w:tc>
        <w:tc>
          <w:tcPr>
            <w:tcW w:w="684" w:type="dxa"/>
            <w:vAlign w:val="center"/>
          </w:tcPr>
          <w:p w14:paraId="21DBED76">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三级</w:t>
            </w:r>
          </w:p>
        </w:tc>
        <w:tc>
          <w:tcPr>
            <w:tcW w:w="720" w:type="dxa"/>
            <w:vAlign w:val="center"/>
          </w:tcPr>
          <w:p w14:paraId="226C5FD5">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三级</w:t>
            </w:r>
          </w:p>
        </w:tc>
        <w:tc>
          <w:tcPr>
            <w:tcW w:w="684" w:type="dxa"/>
            <w:vAlign w:val="center"/>
          </w:tcPr>
          <w:p w14:paraId="16B78C72">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w:t>
            </w:r>
          </w:p>
        </w:tc>
        <w:tc>
          <w:tcPr>
            <w:tcW w:w="730" w:type="dxa"/>
            <w:tcBorders>
              <w:right w:val="single" w:color="auto" w:sz="12" w:space="0"/>
            </w:tcBorders>
            <w:vAlign w:val="center"/>
          </w:tcPr>
          <w:p w14:paraId="7B3FCF5A">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w:t>
            </w:r>
          </w:p>
        </w:tc>
      </w:tr>
      <w:tr w14:paraId="5BEC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9174" w:type="dxa"/>
            <w:gridSpan w:val="10"/>
            <w:tcBorders>
              <w:left w:val="single" w:color="auto" w:sz="12" w:space="0"/>
              <w:bottom w:val="single" w:color="auto" w:sz="12" w:space="0"/>
              <w:right w:val="single" w:color="auto" w:sz="12" w:space="0"/>
            </w:tcBorders>
            <w:vAlign w:val="center"/>
          </w:tcPr>
          <w:p w14:paraId="6AE7A75A">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注：“-”表示可不开展土壤环境影响评价工作</w:t>
            </w:r>
          </w:p>
        </w:tc>
      </w:tr>
    </w:tbl>
    <w:p w14:paraId="2F72DC72">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本项目区域土壤环境影响评价项目类别为</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 1 \* ROMAN \* MERGEFORMAT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I</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类，所在区域土壤环境敏感程度为</w:t>
      </w:r>
      <w:r>
        <w:rPr>
          <w:rFonts w:hint="eastAsia"/>
          <w:color w:val="000000" w:themeColor="text1"/>
          <w:highlight w:val="none"/>
          <w:lang w:eastAsia="zh-CN"/>
          <w14:textFill>
            <w14:solidFill>
              <w14:schemeClr w14:val="tx1"/>
            </w14:solidFill>
          </w14:textFill>
        </w:rPr>
        <w:t>不</w:t>
      </w:r>
      <w:r>
        <w:rPr>
          <w:color w:val="000000" w:themeColor="text1"/>
          <w:highlight w:val="none"/>
          <w14:textFill>
            <w14:solidFill>
              <w14:schemeClr w14:val="tx1"/>
            </w14:solidFill>
          </w14:textFill>
        </w:rPr>
        <w:t>敏感</w:t>
      </w:r>
      <w:r>
        <w:rPr>
          <w:rFonts w:hint="eastAsia"/>
          <w:color w:val="000000" w:themeColor="text1"/>
          <w:highlight w:val="none"/>
          <w14:textFill>
            <w14:solidFill>
              <w14:schemeClr w14:val="tx1"/>
            </w14:solidFill>
          </w14:textFill>
        </w:rPr>
        <w:t>，本项目</w:t>
      </w:r>
      <w:r>
        <w:rPr>
          <w:color w:val="000000" w:themeColor="text1"/>
          <w:highlight w:val="none"/>
          <w14:textFill>
            <w14:solidFill>
              <w14:schemeClr w14:val="tx1"/>
            </w14:solidFill>
          </w14:textFill>
        </w:rPr>
        <w:t>占地</w:t>
      </w:r>
      <w:r>
        <w:rPr>
          <w:rFonts w:hint="eastAsia"/>
          <w:color w:val="000000" w:themeColor="text1"/>
          <w:highlight w:val="none"/>
          <w14:textFill>
            <w14:solidFill>
              <w14:schemeClr w14:val="tx1"/>
            </w14:solidFill>
          </w14:textFill>
        </w:rPr>
        <w:t>面积</w:t>
      </w:r>
      <w:r>
        <w:rPr>
          <w:rFonts w:hint="eastAsia"/>
          <w:color w:val="000000" w:themeColor="text1"/>
          <w:highlight w:val="none"/>
          <w:lang w:val="en-US" w:eastAsia="zh-CN"/>
          <w14:textFill>
            <w14:solidFill>
              <w14:schemeClr w14:val="tx1"/>
            </w14:solidFill>
          </w14:textFill>
        </w:rPr>
        <w:t>42.96</w:t>
      </w:r>
      <w:r>
        <w:rPr>
          <w:rFonts w:hint="eastAsia"/>
          <w:color w:val="000000" w:themeColor="text1"/>
          <w:highlight w:val="none"/>
          <w14:textFill>
            <w14:solidFill>
              <w14:schemeClr w14:val="tx1"/>
            </w14:solidFill>
          </w14:textFill>
        </w:rPr>
        <w:t>h</w:t>
      </w:r>
      <w:r>
        <w:rPr>
          <w:color w:val="000000" w:themeColor="text1"/>
          <w:kern w:val="0"/>
          <w:highlight w:val="none"/>
          <w14:textFill>
            <w14:solidFill>
              <w14:schemeClr w14:val="tx1"/>
            </w14:solidFill>
          </w14:textFill>
        </w:rPr>
        <w:t>m</w:t>
      </w:r>
      <w:r>
        <w:rPr>
          <w:color w:val="000000" w:themeColor="text1"/>
          <w:kern w:val="0"/>
          <w:highlight w:val="none"/>
          <w:vertAlign w:val="superscript"/>
          <w14:textFill>
            <w14:solidFill>
              <w14:schemeClr w14:val="tx1"/>
            </w14:solidFill>
          </w14:textFill>
        </w:rPr>
        <w:t>2</w:t>
      </w:r>
      <w:r>
        <w:rPr>
          <w:color w:val="000000" w:themeColor="text1"/>
          <w:kern w:val="0"/>
          <w:highlight w:val="none"/>
          <w14:textFill>
            <w14:solidFill>
              <w14:schemeClr w14:val="tx1"/>
            </w14:solidFill>
          </w14:textFill>
        </w:rPr>
        <w:t>，</w:t>
      </w:r>
      <w:r>
        <w:rPr>
          <w:rFonts w:hint="eastAsia"/>
          <w:color w:val="000000" w:themeColor="text1"/>
          <w:kern w:val="0"/>
          <w:highlight w:val="none"/>
          <w14:textFill>
            <w14:solidFill>
              <w14:schemeClr w14:val="tx1"/>
            </w14:solidFill>
          </w14:textFill>
        </w:rPr>
        <w:t>占地规模为</w:t>
      </w:r>
      <w:r>
        <w:rPr>
          <w:rFonts w:hint="eastAsia"/>
          <w:color w:val="000000" w:themeColor="text1"/>
          <w:kern w:val="0"/>
          <w:highlight w:val="none"/>
          <w:lang w:eastAsia="zh-CN"/>
          <w14:textFill>
            <w14:solidFill>
              <w14:schemeClr w14:val="tx1"/>
            </w14:solidFill>
          </w14:textFill>
        </w:rPr>
        <w:t>中</w:t>
      </w:r>
      <w:r>
        <w:rPr>
          <w:rFonts w:hint="eastAsia"/>
          <w:color w:val="000000" w:themeColor="text1"/>
          <w:kern w:val="0"/>
          <w:highlight w:val="none"/>
          <w14:textFill>
            <w14:solidFill>
              <w14:schemeClr w14:val="tx1"/>
            </w14:solidFill>
          </w14:textFill>
        </w:rPr>
        <w:t>型。</w:t>
      </w:r>
      <w:r>
        <w:rPr>
          <w:color w:val="000000" w:themeColor="text1"/>
          <w:highlight w:val="none"/>
          <w14:textFill>
            <w14:solidFill>
              <w14:schemeClr w14:val="tx1"/>
            </w14:solidFill>
          </w14:textFill>
        </w:rPr>
        <w:t>因此，确定本项目土壤环境影响评价等级为</w:t>
      </w:r>
      <w:r>
        <w:rPr>
          <w:rFonts w:hint="eastAsia"/>
          <w:color w:val="000000" w:themeColor="text1"/>
          <w:highlight w:val="none"/>
          <w:lang w:eastAsia="zh-CN"/>
          <w14:textFill>
            <w14:solidFill>
              <w14:schemeClr w14:val="tx1"/>
            </w14:solidFill>
          </w14:textFill>
        </w:rPr>
        <w:t>二</w:t>
      </w:r>
      <w:r>
        <w:rPr>
          <w:color w:val="000000" w:themeColor="text1"/>
          <w:highlight w:val="none"/>
          <w14:textFill>
            <w14:solidFill>
              <w14:schemeClr w14:val="tx1"/>
            </w14:solidFill>
          </w14:textFill>
        </w:rPr>
        <w:t>级。</w:t>
      </w:r>
    </w:p>
    <w:p w14:paraId="0457D9E1">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2.6.1.6生态</w:t>
      </w:r>
      <w:r>
        <w:rPr>
          <w:rFonts w:hint="eastAsia"/>
          <w:color w:val="000000" w:themeColor="text1"/>
          <w:highlight w:val="none"/>
          <w14:textFill>
            <w14:solidFill>
              <w14:schemeClr w14:val="tx1"/>
            </w14:solidFill>
          </w14:textFill>
        </w:rPr>
        <w:t>环境影响</w:t>
      </w:r>
      <w:r>
        <w:rPr>
          <w:color w:val="000000" w:themeColor="text1"/>
          <w:highlight w:val="none"/>
          <w14:textFill>
            <w14:solidFill>
              <w14:schemeClr w14:val="tx1"/>
            </w14:solidFill>
          </w14:textFill>
        </w:rPr>
        <w:t>评价等级</w:t>
      </w:r>
    </w:p>
    <w:p w14:paraId="14C245A1">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本项目生态影响评价等级判定情况见表2</w:t>
      </w:r>
      <w:r>
        <w:rPr>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w:t>
      </w:r>
    </w:p>
    <w:p w14:paraId="64B8594C">
      <w:pPr>
        <w:overflowPunct w:val="0"/>
        <w:topLinePunct/>
        <w:ind w:firstLine="480"/>
        <w:rPr>
          <w:rFonts w:hint="eastAsia"/>
          <w:color w:val="000000" w:themeColor="text1"/>
          <w:highlight w:val="none"/>
          <w14:textFill>
            <w14:solidFill>
              <w14:schemeClr w14:val="tx1"/>
            </w14:solidFill>
          </w14:textFill>
        </w:rPr>
      </w:pPr>
    </w:p>
    <w:p w14:paraId="34AED6A3">
      <w:pPr>
        <w:overflowPunct w:val="0"/>
        <w:topLinePunct/>
        <w:ind w:firstLine="480"/>
        <w:rPr>
          <w:rFonts w:hint="eastAsia"/>
          <w:color w:val="000000" w:themeColor="text1"/>
          <w:highlight w:val="none"/>
          <w14:textFill>
            <w14:solidFill>
              <w14:schemeClr w14:val="tx1"/>
            </w14:solidFill>
          </w14:textFill>
        </w:rPr>
      </w:pPr>
    </w:p>
    <w:p w14:paraId="30147FA1">
      <w:pPr>
        <w:pStyle w:val="54"/>
        <w:adjustRightInd/>
        <w:snapToGrid/>
        <w:spacing w:line="480" w:lineRule="exact"/>
        <w:ind w:firstLine="482"/>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表2</w:t>
      </w:r>
      <w:r>
        <w:rPr>
          <w:b/>
          <w:bCs/>
          <w:color w:val="000000" w:themeColor="text1"/>
          <w:szCs w:val="24"/>
          <w:highlight w:val="none"/>
          <w14:textFill>
            <w14:solidFill>
              <w14:schemeClr w14:val="tx1"/>
            </w14:solidFill>
          </w14:textFill>
        </w:rPr>
        <w:t>.6</w:t>
      </w:r>
      <w:r>
        <w:rPr>
          <w:rFonts w:hint="eastAsia"/>
          <w:b/>
          <w:bCs/>
          <w:color w:val="000000" w:themeColor="text1"/>
          <w:szCs w:val="24"/>
          <w:highlight w:val="none"/>
          <w14:textFill>
            <w14:solidFill>
              <w14:schemeClr w14:val="tx1"/>
            </w14:solidFill>
          </w14:textFill>
        </w:rPr>
        <w:t>-</w:t>
      </w:r>
      <w:r>
        <w:rPr>
          <w:b/>
          <w:bCs/>
          <w:color w:val="000000" w:themeColor="text1"/>
          <w:szCs w:val="24"/>
          <w:highlight w:val="none"/>
          <w14:textFill>
            <w14:solidFill>
              <w14:schemeClr w14:val="tx1"/>
            </w14:solidFill>
          </w14:textFill>
        </w:rPr>
        <w:t xml:space="preserve">10    </w:t>
      </w:r>
      <w:r>
        <w:rPr>
          <w:rFonts w:hint="eastAsia"/>
          <w:b/>
          <w:bCs/>
          <w:color w:val="000000" w:themeColor="text1"/>
          <w:szCs w:val="24"/>
          <w:highlight w:val="none"/>
          <w14:textFill>
            <w14:solidFill>
              <w14:schemeClr w14:val="tx1"/>
            </w14:solidFill>
          </w14:textFill>
        </w:rPr>
        <w:t>本项目生态影响评价等级判定表</w:t>
      </w:r>
    </w:p>
    <w:tbl>
      <w:tblPr>
        <w:tblStyle w:val="32"/>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4915"/>
        <w:gridCol w:w="2035"/>
      </w:tblGrid>
      <w:tr w14:paraId="7DFEB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72" w:type="dxa"/>
            <w:tcBorders>
              <w:tl2br w:val="nil"/>
              <w:tr2bl w:val="nil"/>
            </w:tcBorders>
            <w:shd w:val="clear" w:color="auto" w:fill="auto"/>
            <w:vAlign w:val="center"/>
          </w:tcPr>
          <w:p w14:paraId="5A7B31B4">
            <w:pPr>
              <w:pStyle w:val="45"/>
              <w:spacing w:before="0" w:beforeAutospacing="0" w:line="360" w:lineRule="exact"/>
              <w:ind w:firstLine="0" w:firstLineChars="0"/>
              <w:jc w:val="center"/>
              <w:rPr>
                <w:b/>
                <w:bCs/>
                <w:color w:val="000000" w:themeColor="text1"/>
                <w:spacing w:val="-1"/>
                <w:sz w:val="21"/>
                <w:szCs w:val="21"/>
                <w:highlight w:val="none"/>
                <w14:textFill>
                  <w14:solidFill>
                    <w14:schemeClr w14:val="tx1"/>
                  </w14:solidFill>
                </w14:textFill>
              </w:rPr>
            </w:pPr>
            <w:r>
              <w:rPr>
                <w:rFonts w:hint="eastAsia"/>
                <w:b/>
                <w:bCs/>
                <w:color w:val="000000" w:themeColor="text1"/>
                <w:spacing w:val="-1"/>
                <w:sz w:val="21"/>
                <w:szCs w:val="21"/>
                <w:highlight w:val="none"/>
                <w14:textFill>
                  <w14:solidFill>
                    <w14:schemeClr w14:val="tx1"/>
                  </w14:solidFill>
                </w14:textFill>
              </w:rPr>
              <w:t>判定依据</w:t>
            </w:r>
          </w:p>
        </w:tc>
        <w:tc>
          <w:tcPr>
            <w:tcW w:w="4915" w:type="dxa"/>
            <w:tcBorders>
              <w:tl2br w:val="nil"/>
              <w:tr2bl w:val="nil"/>
            </w:tcBorders>
            <w:shd w:val="clear" w:color="auto" w:fill="auto"/>
            <w:vAlign w:val="center"/>
          </w:tcPr>
          <w:p w14:paraId="5342A0F5">
            <w:pPr>
              <w:pStyle w:val="45"/>
              <w:spacing w:before="0" w:beforeAutospacing="0" w:line="360" w:lineRule="exact"/>
              <w:ind w:firstLine="0" w:firstLineChars="0"/>
              <w:jc w:val="center"/>
              <w:rPr>
                <w:b/>
                <w:bCs/>
                <w:color w:val="000000" w:themeColor="text1"/>
                <w:spacing w:val="-1"/>
                <w:sz w:val="21"/>
                <w:szCs w:val="21"/>
                <w:highlight w:val="none"/>
                <w14:textFill>
                  <w14:solidFill>
                    <w14:schemeClr w14:val="tx1"/>
                  </w14:solidFill>
                </w14:textFill>
              </w:rPr>
            </w:pPr>
            <w:r>
              <w:rPr>
                <w:rFonts w:hint="eastAsia"/>
                <w:b/>
                <w:bCs/>
                <w:color w:val="000000" w:themeColor="text1"/>
                <w:spacing w:val="-1"/>
                <w:sz w:val="21"/>
                <w:szCs w:val="21"/>
                <w:highlight w:val="none"/>
                <w14:textFill>
                  <w14:solidFill>
                    <w14:schemeClr w14:val="tx1"/>
                  </w14:solidFill>
                </w14:textFill>
              </w:rPr>
              <w:t>生态影响评价等级判定原则</w:t>
            </w:r>
          </w:p>
        </w:tc>
        <w:tc>
          <w:tcPr>
            <w:tcW w:w="2035" w:type="dxa"/>
            <w:tcBorders>
              <w:tl2br w:val="nil"/>
              <w:tr2bl w:val="nil"/>
            </w:tcBorders>
            <w:shd w:val="clear" w:color="auto" w:fill="auto"/>
            <w:vAlign w:val="center"/>
          </w:tcPr>
          <w:p w14:paraId="40EA4526">
            <w:pPr>
              <w:pStyle w:val="45"/>
              <w:spacing w:before="0" w:beforeAutospacing="0" w:line="360" w:lineRule="exact"/>
              <w:ind w:firstLine="0" w:firstLineChars="0"/>
              <w:jc w:val="center"/>
              <w:rPr>
                <w:b/>
                <w:bCs/>
                <w:color w:val="000000" w:themeColor="text1"/>
                <w:spacing w:val="-1"/>
                <w:sz w:val="21"/>
                <w:szCs w:val="21"/>
                <w:highlight w:val="none"/>
                <w14:textFill>
                  <w14:solidFill>
                    <w14:schemeClr w14:val="tx1"/>
                  </w14:solidFill>
                </w14:textFill>
              </w:rPr>
            </w:pPr>
            <w:r>
              <w:rPr>
                <w:rFonts w:hint="eastAsia"/>
                <w:b/>
                <w:bCs/>
                <w:color w:val="000000" w:themeColor="text1"/>
                <w:spacing w:val="-1"/>
                <w:sz w:val="21"/>
                <w:szCs w:val="21"/>
                <w:highlight w:val="none"/>
                <w14:textFill>
                  <w14:solidFill>
                    <w14:schemeClr w14:val="tx1"/>
                  </w14:solidFill>
                </w14:textFill>
              </w:rPr>
              <w:t>本项目情况</w:t>
            </w:r>
          </w:p>
        </w:tc>
      </w:tr>
      <w:tr w14:paraId="18757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restart"/>
            <w:tcBorders>
              <w:tl2br w:val="nil"/>
              <w:tr2bl w:val="nil"/>
            </w:tcBorders>
            <w:shd w:val="clear" w:color="auto" w:fill="auto"/>
            <w:vAlign w:val="center"/>
          </w:tcPr>
          <w:p w14:paraId="262AF876">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z w:val="21"/>
                <w:szCs w:val="24"/>
                <w:highlight w:val="none"/>
                <w14:textFill>
                  <w14:solidFill>
                    <w14:schemeClr w14:val="tx1"/>
                  </w14:solidFill>
                </w14:textFill>
              </w:rPr>
              <w:t>《环境影响评价技术导则 生态</w:t>
            </w:r>
            <w:r>
              <w:rPr>
                <w:rFonts w:hint="eastAsia"/>
                <w:color w:val="000000" w:themeColor="text1"/>
                <w:sz w:val="21"/>
                <w:szCs w:val="24"/>
                <w:highlight w:val="none"/>
                <w14:textFill>
                  <w14:solidFill>
                    <w14:schemeClr w14:val="tx1"/>
                  </w14:solidFill>
                </w14:textFill>
              </w:rPr>
              <w:t>环境</w:t>
            </w:r>
            <w:r>
              <w:rPr>
                <w:color w:val="000000" w:themeColor="text1"/>
                <w:sz w:val="21"/>
                <w:szCs w:val="24"/>
                <w:highlight w:val="none"/>
                <w14:textFill>
                  <w14:solidFill>
                    <w14:schemeClr w14:val="tx1"/>
                  </w14:solidFill>
                </w14:textFill>
              </w:rPr>
              <w:t>》</w:t>
            </w:r>
            <w:r>
              <w:rPr>
                <w:rFonts w:hint="eastAsia"/>
                <w:color w:val="000000" w:themeColor="text1"/>
                <w:sz w:val="21"/>
                <w:szCs w:val="24"/>
                <w:highlight w:val="none"/>
                <w14:textFill>
                  <w14:solidFill>
                    <w14:schemeClr w14:val="tx1"/>
                  </w14:solidFill>
                </w14:textFill>
              </w:rPr>
              <w:t>（HJ</w:t>
            </w:r>
            <w:r>
              <w:rPr>
                <w:color w:val="000000" w:themeColor="text1"/>
                <w:sz w:val="21"/>
                <w:szCs w:val="24"/>
                <w:highlight w:val="none"/>
                <w14:textFill>
                  <w14:solidFill>
                    <w14:schemeClr w14:val="tx1"/>
                  </w14:solidFill>
                </w14:textFill>
              </w:rPr>
              <w:t>19-2022</w:t>
            </w:r>
            <w:r>
              <w:rPr>
                <w:rFonts w:hint="eastAsia"/>
                <w:color w:val="000000" w:themeColor="text1"/>
                <w:sz w:val="21"/>
                <w:szCs w:val="24"/>
                <w:highlight w:val="none"/>
                <w14:textFill>
                  <w14:solidFill>
                    <w14:schemeClr w14:val="tx1"/>
                  </w14:solidFill>
                </w14:textFill>
              </w:rPr>
              <w:t>）</w:t>
            </w:r>
          </w:p>
        </w:tc>
        <w:tc>
          <w:tcPr>
            <w:tcW w:w="4915" w:type="dxa"/>
            <w:tcBorders>
              <w:tl2br w:val="nil"/>
              <w:tr2bl w:val="nil"/>
            </w:tcBorders>
            <w:shd w:val="clear" w:color="auto" w:fill="auto"/>
            <w:vAlign w:val="center"/>
          </w:tcPr>
          <w:p w14:paraId="6BC01C02">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a、涉及国家公园、自然保护区、世界自然遗产、重要生境时，评价等级为一级</w:t>
            </w:r>
          </w:p>
        </w:tc>
        <w:tc>
          <w:tcPr>
            <w:tcW w:w="2035" w:type="dxa"/>
            <w:tcBorders>
              <w:tl2br w:val="nil"/>
              <w:tr2bl w:val="nil"/>
            </w:tcBorders>
            <w:shd w:val="clear" w:color="auto" w:fill="auto"/>
            <w:vAlign w:val="center"/>
          </w:tcPr>
          <w:p w14:paraId="34F420F7">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不涉及</w:t>
            </w:r>
          </w:p>
        </w:tc>
      </w:tr>
      <w:tr w14:paraId="58B55D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2758A294">
            <w:pPr>
              <w:pStyle w:val="45"/>
              <w:spacing w:before="0" w:beforeAutospacing="0" w:line="360" w:lineRule="exact"/>
              <w:ind w:firstLine="0" w:firstLineChars="0"/>
              <w:jc w:val="center"/>
              <w:rPr>
                <w:color w:val="000000" w:themeColor="text1"/>
                <w:sz w:val="21"/>
                <w:szCs w:val="24"/>
                <w:highlight w:val="none"/>
                <w14:textFill>
                  <w14:solidFill>
                    <w14:schemeClr w14:val="tx1"/>
                  </w14:solidFill>
                </w14:textFill>
              </w:rPr>
            </w:pPr>
          </w:p>
        </w:tc>
        <w:tc>
          <w:tcPr>
            <w:tcW w:w="4915" w:type="dxa"/>
            <w:tcBorders>
              <w:tl2br w:val="nil"/>
              <w:tr2bl w:val="nil"/>
            </w:tcBorders>
            <w:shd w:val="clear" w:color="auto" w:fill="auto"/>
            <w:vAlign w:val="center"/>
          </w:tcPr>
          <w:p w14:paraId="1C8451B6">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b、涉及自然公园时，评价等级为二级</w:t>
            </w:r>
          </w:p>
        </w:tc>
        <w:tc>
          <w:tcPr>
            <w:tcW w:w="2035" w:type="dxa"/>
            <w:tcBorders>
              <w:tl2br w:val="nil"/>
              <w:tr2bl w:val="nil"/>
            </w:tcBorders>
            <w:shd w:val="clear" w:color="auto" w:fill="auto"/>
            <w:vAlign w:val="center"/>
          </w:tcPr>
          <w:p w14:paraId="713BA619">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不涉及</w:t>
            </w:r>
          </w:p>
        </w:tc>
      </w:tr>
      <w:tr w14:paraId="2BEE9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673D611B">
            <w:pPr>
              <w:pStyle w:val="45"/>
              <w:spacing w:before="0" w:beforeAutospacing="0" w:line="360" w:lineRule="exact"/>
              <w:ind w:firstLine="0" w:firstLineChars="0"/>
              <w:jc w:val="center"/>
              <w:rPr>
                <w:color w:val="000000" w:themeColor="text1"/>
                <w:sz w:val="21"/>
                <w:szCs w:val="24"/>
                <w:highlight w:val="none"/>
                <w14:textFill>
                  <w14:solidFill>
                    <w14:schemeClr w14:val="tx1"/>
                  </w14:solidFill>
                </w14:textFill>
              </w:rPr>
            </w:pPr>
          </w:p>
        </w:tc>
        <w:tc>
          <w:tcPr>
            <w:tcW w:w="4915" w:type="dxa"/>
            <w:tcBorders>
              <w:tl2br w:val="nil"/>
              <w:tr2bl w:val="nil"/>
            </w:tcBorders>
            <w:shd w:val="clear" w:color="auto" w:fill="auto"/>
            <w:vAlign w:val="center"/>
          </w:tcPr>
          <w:p w14:paraId="40946D8F">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c、涉及生态保护红线时，评价等级不低于二级</w:t>
            </w:r>
          </w:p>
        </w:tc>
        <w:tc>
          <w:tcPr>
            <w:tcW w:w="2035" w:type="dxa"/>
            <w:tcBorders>
              <w:tl2br w:val="nil"/>
              <w:tr2bl w:val="nil"/>
            </w:tcBorders>
            <w:shd w:val="clear" w:color="auto" w:fill="auto"/>
            <w:vAlign w:val="center"/>
          </w:tcPr>
          <w:p w14:paraId="3772EB9A">
            <w:pPr>
              <w:pStyle w:val="45"/>
              <w:spacing w:before="0" w:beforeAutospacing="0" w:line="360" w:lineRule="exact"/>
              <w:ind w:firstLine="0" w:firstLineChars="0"/>
              <w:jc w:val="center"/>
              <w:rPr>
                <w:b/>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不涉及</w:t>
            </w:r>
          </w:p>
        </w:tc>
      </w:tr>
      <w:tr w14:paraId="5DAA1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3BB0F516">
            <w:pPr>
              <w:pStyle w:val="45"/>
              <w:spacing w:before="0" w:beforeAutospacing="0" w:line="360" w:lineRule="exact"/>
              <w:ind w:firstLine="0" w:firstLineChars="0"/>
              <w:jc w:val="center"/>
              <w:rPr>
                <w:color w:val="000000" w:themeColor="text1"/>
                <w:sz w:val="21"/>
                <w:szCs w:val="24"/>
                <w:highlight w:val="none"/>
                <w14:textFill>
                  <w14:solidFill>
                    <w14:schemeClr w14:val="tx1"/>
                  </w14:solidFill>
                </w14:textFill>
              </w:rPr>
            </w:pPr>
          </w:p>
        </w:tc>
        <w:tc>
          <w:tcPr>
            <w:tcW w:w="4915" w:type="dxa"/>
            <w:tcBorders>
              <w:tl2br w:val="nil"/>
              <w:tr2bl w:val="nil"/>
            </w:tcBorders>
            <w:shd w:val="clear" w:color="auto" w:fill="auto"/>
            <w:vAlign w:val="center"/>
          </w:tcPr>
          <w:p w14:paraId="2FE8DACF">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d、根据HJ2.3判断属于水文要素影响型且地表水评价等级不低于二级的建设项目，生态影响评价等级不低于二级</w:t>
            </w:r>
          </w:p>
        </w:tc>
        <w:tc>
          <w:tcPr>
            <w:tcW w:w="2035" w:type="dxa"/>
            <w:tcBorders>
              <w:tl2br w:val="nil"/>
              <w:tr2bl w:val="nil"/>
            </w:tcBorders>
            <w:shd w:val="clear" w:color="auto" w:fill="auto"/>
            <w:vAlign w:val="center"/>
          </w:tcPr>
          <w:p w14:paraId="7E9F01B8">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本项目不属于水文要素影响型项目，地表水评价等级为三级B</w:t>
            </w:r>
          </w:p>
        </w:tc>
      </w:tr>
      <w:tr w14:paraId="68885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2B21C1A3">
            <w:pPr>
              <w:pStyle w:val="45"/>
              <w:spacing w:before="0" w:beforeAutospacing="0" w:line="360" w:lineRule="exact"/>
              <w:ind w:firstLine="0" w:firstLineChars="0"/>
              <w:jc w:val="center"/>
              <w:rPr>
                <w:color w:val="000000" w:themeColor="text1"/>
                <w:sz w:val="21"/>
                <w:szCs w:val="24"/>
                <w:highlight w:val="none"/>
                <w14:textFill>
                  <w14:solidFill>
                    <w14:schemeClr w14:val="tx1"/>
                  </w14:solidFill>
                </w14:textFill>
              </w:rPr>
            </w:pPr>
          </w:p>
        </w:tc>
        <w:tc>
          <w:tcPr>
            <w:tcW w:w="4915" w:type="dxa"/>
            <w:tcBorders>
              <w:tl2br w:val="nil"/>
              <w:tr2bl w:val="nil"/>
            </w:tcBorders>
            <w:shd w:val="clear" w:color="auto" w:fill="auto"/>
            <w:vAlign w:val="center"/>
          </w:tcPr>
          <w:p w14:paraId="503B294B">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e、根据HJ610、HJ964判断地下水水位或土壤影响范围内分布有天然林、公益林、湿地等生态保护目标的建设项目，生态影响评价等级不低于二级</w:t>
            </w:r>
          </w:p>
        </w:tc>
        <w:tc>
          <w:tcPr>
            <w:tcW w:w="2035" w:type="dxa"/>
            <w:tcBorders>
              <w:tl2br w:val="nil"/>
              <w:tr2bl w:val="nil"/>
            </w:tcBorders>
            <w:shd w:val="clear" w:color="auto" w:fill="auto"/>
            <w:vAlign w:val="center"/>
          </w:tcPr>
          <w:p w14:paraId="67587512">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不涉及</w:t>
            </w:r>
          </w:p>
        </w:tc>
      </w:tr>
      <w:tr w14:paraId="6E133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103FB6C9">
            <w:pPr>
              <w:pStyle w:val="45"/>
              <w:spacing w:before="0" w:beforeAutospacing="0" w:line="360" w:lineRule="exact"/>
              <w:ind w:firstLine="0" w:firstLineChars="0"/>
              <w:jc w:val="center"/>
              <w:rPr>
                <w:color w:val="000000" w:themeColor="text1"/>
                <w:sz w:val="21"/>
                <w:szCs w:val="24"/>
                <w:highlight w:val="none"/>
                <w14:textFill>
                  <w14:solidFill>
                    <w14:schemeClr w14:val="tx1"/>
                  </w14:solidFill>
                </w14:textFill>
              </w:rPr>
            </w:pPr>
          </w:p>
        </w:tc>
        <w:tc>
          <w:tcPr>
            <w:tcW w:w="4915" w:type="dxa"/>
            <w:tcBorders>
              <w:tl2br w:val="nil"/>
              <w:tr2bl w:val="nil"/>
            </w:tcBorders>
            <w:shd w:val="clear" w:color="auto" w:fill="auto"/>
            <w:vAlign w:val="center"/>
          </w:tcPr>
          <w:p w14:paraId="69953675">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f、当工程占地规模大于20km</w:t>
            </w:r>
            <w:r>
              <w:rPr>
                <w:rFonts w:hint="eastAsia"/>
                <w:color w:val="000000" w:themeColor="text1"/>
                <w:spacing w:val="-1"/>
                <w:sz w:val="21"/>
                <w:szCs w:val="21"/>
                <w:highlight w:val="none"/>
                <w:vertAlign w:val="superscript"/>
                <w14:textFill>
                  <w14:solidFill>
                    <w14:schemeClr w14:val="tx1"/>
                  </w14:solidFill>
                </w14:textFill>
              </w:rPr>
              <w:t>2</w:t>
            </w:r>
            <w:r>
              <w:rPr>
                <w:rFonts w:hint="eastAsia"/>
                <w:color w:val="000000" w:themeColor="text1"/>
                <w:spacing w:val="-1"/>
                <w:sz w:val="21"/>
                <w:szCs w:val="21"/>
                <w:highlight w:val="none"/>
                <w14:textFill>
                  <w14:solidFill>
                    <w14:schemeClr w14:val="tx1"/>
                  </w14:solidFill>
                </w14:textFill>
              </w:rPr>
              <w:t>时（包括永久和临时占用陆域和水域），评价等级不低于二级；改扩建项目的占地范围以新增占地（包括陆域和水域）确定</w:t>
            </w:r>
          </w:p>
        </w:tc>
        <w:tc>
          <w:tcPr>
            <w:tcW w:w="2035" w:type="dxa"/>
            <w:tcBorders>
              <w:tl2br w:val="nil"/>
              <w:tr2bl w:val="nil"/>
            </w:tcBorders>
            <w:shd w:val="clear" w:color="auto" w:fill="auto"/>
            <w:vAlign w:val="center"/>
          </w:tcPr>
          <w:p w14:paraId="632343FC">
            <w:pPr>
              <w:pStyle w:val="45"/>
              <w:spacing w:before="0" w:beforeAutospacing="0" w:line="360" w:lineRule="exact"/>
              <w:ind w:firstLine="0" w:firstLineChars="0"/>
              <w:jc w:val="center"/>
              <w:rPr>
                <w:rFonts w:hint="eastAsia" w:eastAsia="宋体"/>
                <w:color w:val="000000" w:themeColor="text1"/>
                <w:spacing w:val="-1"/>
                <w:sz w:val="21"/>
                <w:szCs w:val="21"/>
                <w:highlight w:val="none"/>
                <w:lang w:eastAsia="zh-CN"/>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本项目为扩建项目，新增占地面积</w:t>
            </w:r>
            <w:r>
              <w:rPr>
                <w:rFonts w:hint="eastAsia"/>
                <w:color w:val="000000" w:themeColor="text1"/>
                <w:spacing w:val="-1"/>
                <w:sz w:val="21"/>
                <w:szCs w:val="21"/>
                <w:highlight w:val="none"/>
                <w:lang w:val="en-US" w:eastAsia="zh-CN"/>
                <w14:textFill>
                  <w14:solidFill>
                    <w14:schemeClr w14:val="tx1"/>
                  </w14:solidFill>
                </w14:textFill>
              </w:rPr>
              <w:t>42.96</w:t>
            </w:r>
            <w:r>
              <w:rPr>
                <w:rFonts w:hint="eastAsia"/>
                <w:color w:val="000000" w:themeColor="text1"/>
                <w:spacing w:val="-1"/>
                <w:sz w:val="21"/>
                <w:szCs w:val="21"/>
                <w:highlight w:val="none"/>
                <w14:textFill>
                  <w14:solidFill>
                    <w14:schemeClr w14:val="tx1"/>
                  </w14:solidFill>
                </w14:textFill>
              </w:rPr>
              <w:t>hm</w:t>
            </w:r>
            <w:r>
              <w:rPr>
                <w:color w:val="000000" w:themeColor="text1"/>
                <w:spacing w:val="-1"/>
                <w:sz w:val="21"/>
                <w:szCs w:val="21"/>
                <w:highlight w:val="none"/>
                <w:vertAlign w:val="superscript"/>
                <w14:textFill>
                  <w14:solidFill>
                    <w14:schemeClr w14:val="tx1"/>
                  </w14:solidFill>
                </w14:textFill>
              </w:rPr>
              <w:t>2</w:t>
            </w:r>
            <w:r>
              <w:rPr>
                <w:rFonts w:hint="eastAsia"/>
                <w:color w:val="000000" w:themeColor="text1"/>
                <w:spacing w:val="-1"/>
                <w:sz w:val="21"/>
                <w:szCs w:val="21"/>
                <w:highlight w:val="none"/>
                <w:vertAlign w:val="baseline"/>
                <w:lang w:eastAsia="zh-CN"/>
                <w14:textFill>
                  <w14:solidFill>
                    <w14:schemeClr w14:val="tx1"/>
                  </w14:solidFill>
                </w14:textFill>
              </w:rPr>
              <w:t>，小</w:t>
            </w:r>
            <w:r>
              <w:rPr>
                <w:rFonts w:hint="eastAsia"/>
                <w:color w:val="000000" w:themeColor="text1"/>
                <w:spacing w:val="-1"/>
                <w:sz w:val="21"/>
                <w:szCs w:val="21"/>
                <w:highlight w:val="none"/>
                <w14:textFill>
                  <w14:solidFill>
                    <w14:schemeClr w14:val="tx1"/>
                  </w14:solidFill>
                </w14:textFill>
              </w:rPr>
              <w:t>于20km</w:t>
            </w:r>
            <w:r>
              <w:rPr>
                <w:rFonts w:hint="eastAsia"/>
                <w:color w:val="000000" w:themeColor="text1"/>
                <w:spacing w:val="-1"/>
                <w:sz w:val="21"/>
                <w:szCs w:val="21"/>
                <w:highlight w:val="none"/>
                <w:vertAlign w:val="superscript"/>
                <w14:textFill>
                  <w14:solidFill>
                    <w14:schemeClr w14:val="tx1"/>
                  </w14:solidFill>
                </w14:textFill>
              </w:rPr>
              <w:t>2</w:t>
            </w:r>
          </w:p>
        </w:tc>
      </w:tr>
      <w:tr w14:paraId="058CA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55B8622B">
            <w:pPr>
              <w:pStyle w:val="45"/>
              <w:spacing w:before="0" w:beforeAutospacing="0" w:line="360" w:lineRule="exact"/>
              <w:ind w:firstLine="0" w:firstLineChars="0"/>
              <w:jc w:val="center"/>
              <w:rPr>
                <w:color w:val="000000" w:themeColor="text1"/>
                <w:sz w:val="21"/>
                <w:szCs w:val="24"/>
                <w:highlight w:val="none"/>
                <w14:textFill>
                  <w14:solidFill>
                    <w14:schemeClr w14:val="tx1"/>
                  </w14:solidFill>
                </w14:textFill>
              </w:rPr>
            </w:pPr>
          </w:p>
        </w:tc>
        <w:tc>
          <w:tcPr>
            <w:tcW w:w="4915" w:type="dxa"/>
            <w:tcBorders>
              <w:tl2br w:val="nil"/>
              <w:tr2bl w:val="nil"/>
            </w:tcBorders>
            <w:shd w:val="clear" w:color="auto" w:fill="auto"/>
            <w:vAlign w:val="center"/>
          </w:tcPr>
          <w:p w14:paraId="67FBD533">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g、除本条a、b、c、d、e、f以外的情况，评价等级为三级</w:t>
            </w:r>
          </w:p>
        </w:tc>
        <w:tc>
          <w:tcPr>
            <w:tcW w:w="2035" w:type="dxa"/>
            <w:tcBorders>
              <w:tl2br w:val="nil"/>
              <w:tr2bl w:val="nil"/>
            </w:tcBorders>
            <w:shd w:val="clear" w:color="auto" w:fill="auto"/>
            <w:vAlign w:val="center"/>
          </w:tcPr>
          <w:p w14:paraId="4667F0E6">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属于</w:t>
            </w:r>
          </w:p>
        </w:tc>
      </w:tr>
      <w:tr w14:paraId="7FEB2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3F1E5BEF">
            <w:pPr>
              <w:pStyle w:val="45"/>
              <w:spacing w:before="0" w:beforeAutospacing="0" w:line="360" w:lineRule="exact"/>
              <w:ind w:firstLine="0" w:firstLineChars="0"/>
              <w:jc w:val="center"/>
              <w:rPr>
                <w:color w:val="000000" w:themeColor="text1"/>
                <w:sz w:val="21"/>
                <w:szCs w:val="24"/>
                <w:highlight w:val="none"/>
                <w14:textFill>
                  <w14:solidFill>
                    <w14:schemeClr w14:val="tx1"/>
                  </w14:solidFill>
                </w14:textFill>
              </w:rPr>
            </w:pPr>
          </w:p>
        </w:tc>
        <w:tc>
          <w:tcPr>
            <w:tcW w:w="4915" w:type="dxa"/>
            <w:tcBorders>
              <w:tl2br w:val="nil"/>
              <w:tr2bl w:val="nil"/>
            </w:tcBorders>
            <w:shd w:val="clear" w:color="auto" w:fill="auto"/>
            <w:vAlign w:val="center"/>
          </w:tcPr>
          <w:p w14:paraId="6387A769">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h、当评价等级判定同时符合上述多种情况时，应采用其中最高的评价等级</w:t>
            </w:r>
          </w:p>
        </w:tc>
        <w:tc>
          <w:tcPr>
            <w:tcW w:w="2035" w:type="dxa"/>
            <w:tcBorders>
              <w:tl2br w:val="nil"/>
              <w:tr2bl w:val="nil"/>
            </w:tcBorders>
            <w:shd w:val="clear" w:color="auto" w:fill="auto"/>
            <w:vAlign w:val="center"/>
          </w:tcPr>
          <w:p w14:paraId="0ED44CF3">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w:t>
            </w:r>
          </w:p>
        </w:tc>
      </w:tr>
    </w:tbl>
    <w:p w14:paraId="6F381883">
      <w:pPr>
        <w:keepNext w:val="0"/>
        <w:keepLines w:val="0"/>
        <w:pageBreakBefore w:val="0"/>
        <w:widowControl w:val="0"/>
        <w:kinsoku/>
        <w:wordWrap/>
        <w:overflowPunct w:val="0"/>
        <w:topLinePunct/>
        <w:autoSpaceDE/>
        <w:autoSpaceDN/>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14:textFill>
            <w14:solidFill>
              <w14:schemeClr w14:val="tx1"/>
            </w14:solidFill>
          </w14:textFill>
        </w:rPr>
        <w:t>本项目所在地不涉及国家公园、自然保护区、世界自然遗产、重要生境及自然公园等重要生态敏感区；项目区及评价范围内</w:t>
      </w:r>
      <w:r>
        <w:rPr>
          <w:rFonts w:hint="eastAsia"/>
          <w:color w:val="000000" w:themeColor="text1"/>
          <w:lang w:val="en-US" w:eastAsia="zh-CN"/>
          <w14:textFill>
            <w14:solidFill>
              <w14:schemeClr w14:val="tx1"/>
            </w14:solidFill>
          </w14:textFill>
        </w:rPr>
        <w:t>不</w:t>
      </w:r>
      <w:r>
        <w:rPr>
          <w:rFonts w:hint="eastAsia"/>
          <w:color w:val="000000" w:themeColor="text1"/>
          <w14:textFill>
            <w14:solidFill>
              <w14:schemeClr w14:val="tx1"/>
            </w14:solidFill>
          </w14:textFill>
        </w:rPr>
        <w:t>涉及生态保护红线；根据HJ2.3判断不属于水文要素影响型且地表水评价等级不低于二级的建设项目；根据HJ610、HJ964判断，项目区地下水水位或土壤影响范围内未分布天然林、公益林、湿地等生态保护目标；新增占地面积42.96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未导致评价区土地利用类型明显改变，</w:t>
      </w:r>
      <w:r>
        <w:rPr>
          <w:rFonts w:hint="eastAsia"/>
          <w:color w:val="000000" w:themeColor="text1"/>
          <w:highlight w:val="none"/>
          <w14:textFill>
            <w14:solidFill>
              <w14:schemeClr w14:val="tx1"/>
            </w14:solidFill>
          </w14:textFill>
        </w:rPr>
        <w:t>根据《环境影响评价技术导则 生态环境》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HJ19-2022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的评价等级判定要求，</w:t>
      </w:r>
      <w:r>
        <w:rPr>
          <w:rFonts w:hint="eastAsia"/>
          <w:color w:val="000000" w:themeColor="text1"/>
          <w:highlight w:val="none"/>
          <w:lang w:val="en-US" w:eastAsia="zh-CN"/>
          <w14:textFill>
            <w14:solidFill>
              <w14:schemeClr w14:val="tx1"/>
            </w14:solidFill>
          </w14:textFill>
        </w:rPr>
        <w:t>本次评价</w:t>
      </w:r>
      <w:r>
        <w:rPr>
          <w:rFonts w:hint="eastAsia"/>
          <w:color w:val="000000" w:themeColor="text1"/>
          <w:highlight w:val="none"/>
          <w14:textFill>
            <w14:solidFill>
              <w14:schemeClr w14:val="tx1"/>
            </w14:solidFill>
          </w14:textFill>
        </w:rPr>
        <w:t>将本项目生态影响评价等级</w:t>
      </w:r>
      <w:r>
        <w:rPr>
          <w:rFonts w:hint="eastAsia"/>
          <w:color w:val="000000" w:themeColor="text1"/>
          <w:highlight w:val="none"/>
          <w:lang w:val="en-US" w:eastAsia="zh-CN"/>
          <w14:textFill>
            <w14:solidFill>
              <w14:schemeClr w14:val="tx1"/>
            </w14:solidFill>
          </w14:textFill>
        </w:rPr>
        <w:t>判定</w:t>
      </w:r>
      <w:r>
        <w:rPr>
          <w:rFonts w:hint="eastAsia"/>
          <w:color w:val="000000" w:themeColor="text1"/>
          <w:highlight w:val="none"/>
          <w14:textFill>
            <w14:solidFill>
              <w14:schemeClr w14:val="tx1"/>
            </w14:solidFill>
          </w14:textFill>
        </w:rPr>
        <w:t>为三级。</w:t>
      </w:r>
    </w:p>
    <w:p w14:paraId="6EA27BA2">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2.6.1.7环境风险评价等级</w:t>
      </w:r>
    </w:p>
    <w:p w14:paraId="61445A1E">
      <w:pPr>
        <w:overflowPunct w:val="0"/>
        <w:topLinePunct/>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选矿厂</w:t>
      </w:r>
      <w:r>
        <w:rPr>
          <w:rFonts w:hint="eastAsia"/>
          <w:color w:val="000000" w:themeColor="text1"/>
          <w:highlight w:val="none"/>
          <w:lang w:eastAsia="zh-CN"/>
          <w14:textFill>
            <w14:solidFill>
              <w14:schemeClr w14:val="tx1"/>
            </w14:solidFill>
          </w14:textFill>
        </w:rPr>
        <w:t>环境风险</w:t>
      </w:r>
      <w:r>
        <w:rPr>
          <w:rFonts w:hint="eastAsia"/>
          <w:color w:val="000000" w:themeColor="text1"/>
          <w:highlight w:val="none"/>
          <w:lang w:val="en-US" w:eastAsia="zh-CN"/>
          <w14:textFill>
            <w14:solidFill>
              <w14:schemeClr w14:val="tx1"/>
            </w14:solidFill>
          </w14:textFill>
        </w:rPr>
        <w:t>评价等级</w:t>
      </w:r>
    </w:p>
    <w:p w14:paraId="540D65E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根据《建设项目环境风险评价技术导则》（HJ169-2018），建设项目涉及的物质及工艺系统危险性和所在地的环境敏感性确定环境风险潜势，按照表2.6-1</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确定评价工作等级。风险潜势为</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 4 \* ROMAN \* MERGEFORMAT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IV</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及以上，进行一级评价；风险潜势为</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 3 \* ROMAN \* MERGEFORMAT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III</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，进行二级评价；风险潜势为</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 2 \* ROMAN \* MERGEFORMAT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II</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，进行三级评价；风险潜势为</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 1 \* ROMAN \* MERGEFORMAT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I</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，可开展简单分析。</w:t>
      </w:r>
    </w:p>
    <w:p w14:paraId="5A640491">
      <w:pPr>
        <w:overflowPunct w:val="0"/>
        <w:topLinePunct/>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w:t>
      </w:r>
      <w:r>
        <w:rPr>
          <w:rFonts w:hint="eastAsia"/>
          <w:color w:val="000000" w:themeColor="text1"/>
          <w:highlight w:val="none"/>
          <w:lang w:eastAsia="zh-CN"/>
          <w14:textFill>
            <w14:solidFill>
              <w14:schemeClr w14:val="tx1"/>
            </w14:solidFill>
          </w14:textFill>
        </w:rPr>
        <w:t>本报告</w:t>
      </w:r>
      <w:r>
        <w:rPr>
          <w:rFonts w:hint="eastAsia"/>
          <w:color w:val="000000" w:themeColor="text1"/>
          <w:highlight w:val="none"/>
          <w:lang w:val="en-US" w:eastAsia="zh-CN"/>
          <w14:textFill>
            <w14:solidFill>
              <w14:schemeClr w14:val="tx1"/>
            </w14:solidFill>
          </w14:textFill>
        </w:rPr>
        <w:t>后文表5.3-1，</w:t>
      </w:r>
      <w:r>
        <w:rPr>
          <w:color w:val="000000" w:themeColor="text1"/>
          <w:sz w:val="24"/>
          <w14:textFill>
            <w14:solidFill>
              <w14:schemeClr w14:val="tx1"/>
            </w14:solidFill>
          </w14:textFill>
        </w:rPr>
        <w:t>项目危险物质数量与临界量比值Q为</w:t>
      </w:r>
      <w:r>
        <w:rPr>
          <w:rFonts w:hint="eastAsia"/>
          <w:color w:val="000000" w:themeColor="text1"/>
          <w:sz w:val="24"/>
          <w:lang w:val="en-US" w:eastAsia="zh-CN"/>
          <w14:textFill>
            <w14:solidFill>
              <w14:schemeClr w14:val="tx1"/>
            </w14:solidFill>
          </w14:textFill>
        </w:rPr>
        <w:t>0.0006</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本项目环境风险潜势为</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ROMAN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w:t>
      </w:r>
      <w:r>
        <w:rPr>
          <w:color w:val="000000" w:themeColor="text1"/>
          <w:sz w:val="24"/>
          <w14:textFill>
            <w14:solidFill>
              <w14:schemeClr w14:val="tx1"/>
            </w14:solidFill>
          </w14:textFill>
        </w:rPr>
        <w:fldChar w:fldCharType="end"/>
      </w:r>
      <w:r>
        <w:rPr>
          <w:rFonts w:hint="eastAsia"/>
          <w:color w:val="000000" w:themeColor="text1"/>
          <w:sz w:val="24"/>
          <w:lang w:eastAsia="zh-CN"/>
          <w14:textFill>
            <w14:solidFill>
              <w14:schemeClr w14:val="tx1"/>
            </w14:solidFill>
          </w14:textFill>
        </w:rPr>
        <w:t>。</w:t>
      </w:r>
      <w:r>
        <w:rPr>
          <w:rFonts w:hint="eastAsia"/>
          <w:color w:val="000000" w:themeColor="text1"/>
          <w:highlight w:val="none"/>
          <w14:textFill>
            <w14:solidFill>
              <w14:schemeClr w14:val="tx1"/>
            </w14:solidFill>
          </w14:textFill>
        </w:rPr>
        <w:t>根据表</w:t>
      </w:r>
      <w:r>
        <w:rPr>
          <w:rFonts w:hint="eastAsia"/>
          <w:color w:val="000000" w:themeColor="text1"/>
          <w:highlight w:val="none"/>
          <w:lang w:val="en-US" w:eastAsia="zh-CN"/>
          <w14:textFill>
            <w14:solidFill>
              <w14:schemeClr w14:val="tx1"/>
            </w14:solidFill>
          </w14:textFill>
        </w:rPr>
        <w:t>2.6-11，判定</w:t>
      </w:r>
      <w:r>
        <w:rPr>
          <w:rFonts w:hint="eastAsia"/>
          <w:color w:val="000000" w:themeColor="text1"/>
          <w:sz w:val="24"/>
          <w14:textFill>
            <w14:solidFill>
              <w14:schemeClr w14:val="tx1"/>
            </w14:solidFill>
          </w14:textFill>
        </w:rPr>
        <w:t>本项目环境风险仅进行简单分析</w:t>
      </w:r>
      <w:r>
        <w:rPr>
          <w:rFonts w:hint="eastAsia"/>
          <w:color w:val="000000" w:themeColor="text1"/>
          <w:sz w:val="24"/>
          <w:lang w:eastAsia="zh-CN"/>
          <w14:textFill>
            <w14:solidFill>
              <w14:schemeClr w14:val="tx1"/>
            </w14:solidFill>
          </w14:textFill>
        </w:rPr>
        <w:t>。</w:t>
      </w:r>
    </w:p>
    <w:p w14:paraId="3016CEBD">
      <w:pPr>
        <w:ind w:firstLine="0" w:firstLineChars="0"/>
        <w:jc w:val="center"/>
        <w:rPr>
          <w:b/>
          <w:bCs/>
          <w:color w:val="000000" w:themeColor="text1"/>
          <w:highlight w:val="none"/>
          <w14:textFill>
            <w14:solidFill>
              <w14:schemeClr w14:val="tx1"/>
            </w14:solidFill>
          </w14:textFill>
        </w:rPr>
      </w:pPr>
      <w:r>
        <w:rPr>
          <w:b/>
          <w:color w:val="000000" w:themeColor="text1"/>
          <w:kern w:val="0"/>
          <w:highlight w:val="none"/>
          <w14:textFill>
            <w14:solidFill>
              <w14:schemeClr w14:val="tx1"/>
            </w14:solidFill>
          </w14:textFill>
        </w:rPr>
        <w:t>表2.6-11    评价工作等级划分</w:t>
      </w:r>
    </w:p>
    <w:tbl>
      <w:tblPr>
        <w:tblStyle w:val="32"/>
        <w:tblW w:w="83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671"/>
        <w:gridCol w:w="1636"/>
        <w:gridCol w:w="1680"/>
        <w:gridCol w:w="1454"/>
      </w:tblGrid>
      <w:tr w14:paraId="66DF6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1" w:type="dxa"/>
            <w:tcBorders>
              <w:tl2br w:val="nil"/>
              <w:tr2bl w:val="nil"/>
            </w:tcBorders>
            <w:vAlign w:val="center"/>
          </w:tcPr>
          <w:p w14:paraId="76CFDDB5">
            <w:pPr>
              <w:pStyle w:val="31"/>
              <w:spacing w:after="0" w:line="360" w:lineRule="exact"/>
              <w:ind w:left="0" w:leftChars="0" w:firstLine="0" w:firstLineChars="0"/>
              <w:jc w:val="center"/>
              <w:rPr>
                <w:b/>
                <w:color w:val="000000" w:themeColor="text1"/>
                <w:kern w:val="0"/>
                <w:szCs w:val="16"/>
                <w:highlight w:val="none"/>
                <w14:textFill>
                  <w14:solidFill>
                    <w14:schemeClr w14:val="tx1"/>
                  </w14:solidFill>
                </w14:textFill>
              </w:rPr>
            </w:pPr>
            <w:r>
              <w:rPr>
                <w:b/>
                <w:color w:val="000000" w:themeColor="text1"/>
                <w:kern w:val="0"/>
                <w:szCs w:val="16"/>
                <w:highlight w:val="none"/>
                <w14:textFill>
                  <w14:solidFill>
                    <w14:schemeClr w14:val="tx1"/>
                  </w14:solidFill>
                </w14:textFill>
              </w:rPr>
              <w:t>环境风险潜势</w:t>
            </w:r>
          </w:p>
        </w:tc>
        <w:tc>
          <w:tcPr>
            <w:tcW w:w="1671" w:type="dxa"/>
            <w:tcBorders>
              <w:tl2br w:val="nil"/>
              <w:tr2bl w:val="nil"/>
            </w:tcBorders>
            <w:vAlign w:val="center"/>
          </w:tcPr>
          <w:p w14:paraId="76496E0C">
            <w:pPr>
              <w:pStyle w:val="31"/>
              <w:spacing w:after="0" w:line="360" w:lineRule="exact"/>
              <w:ind w:left="0" w:leftChars="0" w:firstLine="0" w:firstLineChars="0"/>
              <w:jc w:val="center"/>
              <w:rPr>
                <w:b/>
                <w:color w:val="000000" w:themeColor="text1"/>
                <w:kern w:val="0"/>
                <w:szCs w:val="16"/>
                <w:highlight w:val="none"/>
                <w14:textFill>
                  <w14:solidFill>
                    <w14:schemeClr w14:val="tx1"/>
                  </w14:solidFill>
                </w14:textFill>
              </w:rPr>
            </w:pPr>
            <w:r>
              <w:rPr>
                <w:b/>
                <w:color w:val="000000" w:themeColor="text1"/>
                <w:kern w:val="0"/>
                <w:szCs w:val="16"/>
                <w:highlight w:val="none"/>
                <w14:textFill>
                  <w14:solidFill>
                    <w14:schemeClr w14:val="tx1"/>
                  </w14:solidFill>
                </w14:textFill>
              </w:rPr>
              <w:fldChar w:fldCharType="begin"/>
            </w:r>
            <w:r>
              <w:rPr>
                <w:b/>
                <w:color w:val="000000" w:themeColor="text1"/>
                <w:kern w:val="0"/>
                <w:szCs w:val="16"/>
                <w:highlight w:val="none"/>
                <w14:textFill>
                  <w14:solidFill>
                    <w14:schemeClr w14:val="tx1"/>
                  </w14:solidFill>
                </w14:textFill>
              </w:rPr>
              <w:instrText xml:space="preserve"> = 4 \* ROMAN \* MERGEFORMAT </w:instrText>
            </w:r>
            <w:r>
              <w:rPr>
                <w:b/>
                <w:color w:val="000000" w:themeColor="text1"/>
                <w:kern w:val="0"/>
                <w:szCs w:val="16"/>
                <w:highlight w:val="none"/>
                <w14:textFill>
                  <w14:solidFill>
                    <w14:schemeClr w14:val="tx1"/>
                  </w14:solidFill>
                </w14:textFill>
              </w:rPr>
              <w:fldChar w:fldCharType="separate"/>
            </w:r>
            <w:r>
              <w:rPr>
                <w:b/>
                <w:color w:val="000000" w:themeColor="text1"/>
                <w:kern w:val="0"/>
                <w:szCs w:val="16"/>
                <w:highlight w:val="none"/>
                <w14:textFill>
                  <w14:solidFill>
                    <w14:schemeClr w14:val="tx1"/>
                  </w14:solidFill>
                </w14:textFill>
              </w:rPr>
              <w:t>IV</w:t>
            </w:r>
            <w:r>
              <w:rPr>
                <w:b/>
                <w:color w:val="000000" w:themeColor="text1"/>
                <w:kern w:val="0"/>
                <w:szCs w:val="16"/>
                <w:highlight w:val="none"/>
                <w14:textFill>
                  <w14:solidFill>
                    <w14:schemeClr w14:val="tx1"/>
                  </w14:solidFill>
                </w14:textFill>
              </w:rPr>
              <w:fldChar w:fldCharType="end"/>
            </w:r>
            <w:r>
              <w:rPr>
                <w:b/>
                <w:color w:val="000000" w:themeColor="text1"/>
                <w:kern w:val="0"/>
                <w:szCs w:val="16"/>
                <w:highlight w:val="none"/>
                <w14:textFill>
                  <w14:solidFill>
                    <w14:schemeClr w14:val="tx1"/>
                  </w14:solidFill>
                </w14:textFill>
              </w:rPr>
              <w:t>、</w:t>
            </w:r>
            <w:r>
              <w:rPr>
                <w:b/>
                <w:color w:val="000000" w:themeColor="text1"/>
                <w:kern w:val="0"/>
                <w:szCs w:val="16"/>
                <w:highlight w:val="none"/>
                <w14:textFill>
                  <w14:solidFill>
                    <w14:schemeClr w14:val="tx1"/>
                  </w14:solidFill>
                </w14:textFill>
              </w:rPr>
              <w:fldChar w:fldCharType="begin"/>
            </w:r>
            <w:r>
              <w:rPr>
                <w:b/>
                <w:color w:val="000000" w:themeColor="text1"/>
                <w:kern w:val="0"/>
                <w:szCs w:val="16"/>
                <w:highlight w:val="none"/>
                <w14:textFill>
                  <w14:solidFill>
                    <w14:schemeClr w14:val="tx1"/>
                  </w14:solidFill>
                </w14:textFill>
              </w:rPr>
              <w:instrText xml:space="preserve"> = 4 \* ROMAN \* MERGEFORMAT </w:instrText>
            </w:r>
            <w:r>
              <w:rPr>
                <w:b/>
                <w:color w:val="000000" w:themeColor="text1"/>
                <w:kern w:val="0"/>
                <w:szCs w:val="16"/>
                <w:highlight w:val="none"/>
                <w14:textFill>
                  <w14:solidFill>
                    <w14:schemeClr w14:val="tx1"/>
                  </w14:solidFill>
                </w14:textFill>
              </w:rPr>
              <w:fldChar w:fldCharType="separate"/>
            </w:r>
            <w:r>
              <w:rPr>
                <w:b/>
                <w:color w:val="000000" w:themeColor="text1"/>
                <w:kern w:val="0"/>
                <w:szCs w:val="16"/>
                <w:highlight w:val="none"/>
                <w14:textFill>
                  <w14:solidFill>
                    <w14:schemeClr w14:val="tx1"/>
                  </w14:solidFill>
                </w14:textFill>
              </w:rPr>
              <w:t>IV</w:t>
            </w:r>
            <w:r>
              <w:rPr>
                <w:b/>
                <w:color w:val="000000" w:themeColor="text1"/>
                <w:kern w:val="0"/>
                <w:szCs w:val="16"/>
                <w:highlight w:val="none"/>
                <w14:textFill>
                  <w14:solidFill>
                    <w14:schemeClr w14:val="tx1"/>
                  </w14:solidFill>
                </w14:textFill>
              </w:rPr>
              <w:fldChar w:fldCharType="end"/>
            </w:r>
            <w:r>
              <w:rPr>
                <w:b/>
                <w:color w:val="000000" w:themeColor="text1"/>
                <w:kern w:val="0"/>
                <w:szCs w:val="16"/>
                <w:highlight w:val="none"/>
                <w14:textFill>
                  <w14:solidFill>
                    <w14:schemeClr w14:val="tx1"/>
                  </w14:solidFill>
                </w14:textFill>
              </w:rPr>
              <w:t>+</w:t>
            </w:r>
          </w:p>
        </w:tc>
        <w:tc>
          <w:tcPr>
            <w:tcW w:w="1636" w:type="dxa"/>
            <w:tcBorders>
              <w:tl2br w:val="nil"/>
              <w:tr2bl w:val="nil"/>
            </w:tcBorders>
            <w:vAlign w:val="center"/>
          </w:tcPr>
          <w:p w14:paraId="6B1E590E">
            <w:pPr>
              <w:pStyle w:val="31"/>
              <w:spacing w:after="0" w:line="360" w:lineRule="exact"/>
              <w:ind w:left="0" w:leftChars="0" w:firstLine="0" w:firstLineChars="0"/>
              <w:jc w:val="center"/>
              <w:rPr>
                <w:b/>
                <w:color w:val="000000" w:themeColor="text1"/>
                <w:kern w:val="0"/>
                <w:szCs w:val="16"/>
                <w:highlight w:val="none"/>
                <w14:textFill>
                  <w14:solidFill>
                    <w14:schemeClr w14:val="tx1"/>
                  </w14:solidFill>
                </w14:textFill>
              </w:rPr>
            </w:pPr>
            <w:r>
              <w:rPr>
                <w:b/>
                <w:color w:val="000000" w:themeColor="text1"/>
                <w:kern w:val="0"/>
                <w:szCs w:val="16"/>
                <w:highlight w:val="none"/>
                <w14:textFill>
                  <w14:solidFill>
                    <w14:schemeClr w14:val="tx1"/>
                  </w14:solidFill>
                </w14:textFill>
              </w:rPr>
              <w:fldChar w:fldCharType="begin"/>
            </w:r>
            <w:r>
              <w:rPr>
                <w:b/>
                <w:color w:val="000000" w:themeColor="text1"/>
                <w:kern w:val="0"/>
                <w:szCs w:val="16"/>
                <w:highlight w:val="none"/>
                <w14:textFill>
                  <w14:solidFill>
                    <w14:schemeClr w14:val="tx1"/>
                  </w14:solidFill>
                </w14:textFill>
              </w:rPr>
              <w:instrText xml:space="preserve"> = 3 \* ROMAN \* MERGEFORMAT </w:instrText>
            </w:r>
            <w:r>
              <w:rPr>
                <w:b/>
                <w:color w:val="000000" w:themeColor="text1"/>
                <w:kern w:val="0"/>
                <w:szCs w:val="16"/>
                <w:highlight w:val="none"/>
                <w14:textFill>
                  <w14:solidFill>
                    <w14:schemeClr w14:val="tx1"/>
                  </w14:solidFill>
                </w14:textFill>
              </w:rPr>
              <w:fldChar w:fldCharType="separate"/>
            </w:r>
            <w:r>
              <w:rPr>
                <w:b/>
                <w:color w:val="000000" w:themeColor="text1"/>
                <w:kern w:val="0"/>
                <w:szCs w:val="16"/>
                <w:highlight w:val="none"/>
                <w14:textFill>
                  <w14:solidFill>
                    <w14:schemeClr w14:val="tx1"/>
                  </w14:solidFill>
                </w14:textFill>
              </w:rPr>
              <w:t>III</w:t>
            </w:r>
            <w:r>
              <w:rPr>
                <w:b/>
                <w:color w:val="000000" w:themeColor="text1"/>
                <w:kern w:val="0"/>
                <w:szCs w:val="16"/>
                <w:highlight w:val="none"/>
                <w14:textFill>
                  <w14:solidFill>
                    <w14:schemeClr w14:val="tx1"/>
                  </w14:solidFill>
                </w14:textFill>
              </w:rPr>
              <w:fldChar w:fldCharType="end"/>
            </w:r>
          </w:p>
        </w:tc>
        <w:tc>
          <w:tcPr>
            <w:tcW w:w="1680" w:type="dxa"/>
            <w:tcBorders>
              <w:tl2br w:val="nil"/>
              <w:tr2bl w:val="nil"/>
            </w:tcBorders>
            <w:vAlign w:val="center"/>
          </w:tcPr>
          <w:p w14:paraId="4F340EF7">
            <w:pPr>
              <w:pStyle w:val="31"/>
              <w:spacing w:after="0" w:line="360" w:lineRule="exact"/>
              <w:ind w:left="0" w:leftChars="0" w:firstLine="0" w:firstLineChars="0"/>
              <w:jc w:val="center"/>
              <w:rPr>
                <w:b/>
                <w:color w:val="000000" w:themeColor="text1"/>
                <w:kern w:val="0"/>
                <w:szCs w:val="16"/>
                <w:highlight w:val="none"/>
                <w14:textFill>
                  <w14:solidFill>
                    <w14:schemeClr w14:val="tx1"/>
                  </w14:solidFill>
                </w14:textFill>
              </w:rPr>
            </w:pPr>
            <w:r>
              <w:rPr>
                <w:b/>
                <w:color w:val="000000" w:themeColor="text1"/>
                <w:kern w:val="0"/>
                <w:szCs w:val="16"/>
                <w:highlight w:val="none"/>
                <w14:textFill>
                  <w14:solidFill>
                    <w14:schemeClr w14:val="tx1"/>
                  </w14:solidFill>
                </w14:textFill>
              </w:rPr>
              <w:fldChar w:fldCharType="begin"/>
            </w:r>
            <w:r>
              <w:rPr>
                <w:b/>
                <w:color w:val="000000" w:themeColor="text1"/>
                <w:kern w:val="0"/>
                <w:szCs w:val="16"/>
                <w:highlight w:val="none"/>
                <w14:textFill>
                  <w14:solidFill>
                    <w14:schemeClr w14:val="tx1"/>
                  </w14:solidFill>
                </w14:textFill>
              </w:rPr>
              <w:instrText xml:space="preserve"> = 2 \* ROMAN \* MERGEFORMAT </w:instrText>
            </w:r>
            <w:r>
              <w:rPr>
                <w:b/>
                <w:color w:val="000000" w:themeColor="text1"/>
                <w:kern w:val="0"/>
                <w:szCs w:val="16"/>
                <w:highlight w:val="none"/>
                <w14:textFill>
                  <w14:solidFill>
                    <w14:schemeClr w14:val="tx1"/>
                  </w14:solidFill>
                </w14:textFill>
              </w:rPr>
              <w:fldChar w:fldCharType="separate"/>
            </w:r>
            <w:r>
              <w:rPr>
                <w:b/>
                <w:color w:val="000000" w:themeColor="text1"/>
                <w:kern w:val="0"/>
                <w:szCs w:val="16"/>
                <w:highlight w:val="none"/>
                <w14:textFill>
                  <w14:solidFill>
                    <w14:schemeClr w14:val="tx1"/>
                  </w14:solidFill>
                </w14:textFill>
              </w:rPr>
              <w:t>II</w:t>
            </w:r>
            <w:r>
              <w:rPr>
                <w:b/>
                <w:color w:val="000000" w:themeColor="text1"/>
                <w:kern w:val="0"/>
                <w:szCs w:val="16"/>
                <w:highlight w:val="none"/>
                <w14:textFill>
                  <w14:solidFill>
                    <w14:schemeClr w14:val="tx1"/>
                  </w14:solidFill>
                </w14:textFill>
              </w:rPr>
              <w:fldChar w:fldCharType="end"/>
            </w:r>
          </w:p>
        </w:tc>
        <w:tc>
          <w:tcPr>
            <w:tcW w:w="1454" w:type="dxa"/>
            <w:tcBorders>
              <w:tl2br w:val="nil"/>
              <w:tr2bl w:val="nil"/>
            </w:tcBorders>
            <w:vAlign w:val="center"/>
          </w:tcPr>
          <w:p w14:paraId="095ADC1C">
            <w:pPr>
              <w:pStyle w:val="31"/>
              <w:spacing w:after="0" w:line="360" w:lineRule="exact"/>
              <w:ind w:left="0" w:leftChars="0" w:firstLine="0" w:firstLineChars="0"/>
              <w:jc w:val="center"/>
              <w:rPr>
                <w:b/>
                <w:color w:val="000000" w:themeColor="text1"/>
                <w:kern w:val="0"/>
                <w:szCs w:val="16"/>
                <w:highlight w:val="none"/>
                <w14:textFill>
                  <w14:solidFill>
                    <w14:schemeClr w14:val="tx1"/>
                  </w14:solidFill>
                </w14:textFill>
              </w:rPr>
            </w:pPr>
            <w:r>
              <w:rPr>
                <w:b/>
                <w:color w:val="000000" w:themeColor="text1"/>
                <w:kern w:val="0"/>
                <w:szCs w:val="16"/>
                <w:highlight w:val="none"/>
                <w14:textFill>
                  <w14:solidFill>
                    <w14:schemeClr w14:val="tx1"/>
                  </w14:solidFill>
                </w14:textFill>
              </w:rPr>
              <w:fldChar w:fldCharType="begin"/>
            </w:r>
            <w:r>
              <w:rPr>
                <w:b/>
                <w:color w:val="000000" w:themeColor="text1"/>
                <w:kern w:val="0"/>
                <w:szCs w:val="16"/>
                <w:highlight w:val="none"/>
                <w14:textFill>
                  <w14:solidFill>
                    <w14:schemeClr w14:val="tx1"/>
                  </w14:solidFill>
                </w14:textFill>
              </w:rPr>
              <w:instrText xml:space="preserve"> = 1 \* ROMAN \* MERGEFORMAT </w:instrText>
            </w:r>
            <w:r>
              <w:rPr>
                <w:b/>
                <w:color w:val="000000" w:themeColor="text1"/>
                <w:kern w:val="0"/>
                <w:szCs w:val="16"/>
                <w:highlight w:val="none"/>
                <w14:textFill>
                  <w14:solidFill>
                    <w14:schemeClr w14:val="tx1"/>
                  </w14:solidFill>
                </w14:textFill>
              </w:rPr>
              <w:fldChar w:fldCharType="separate"/>
            </w:r>
            <w:r>
              <w:rPr>
                <w:b/>
                <w:color w:val="000000" w:themeColor="text1"/>
                <w:kern w:val="0"/>
                <w:szCs w:val="16"/>
                <w:highlight w:val="none"/>
                <w14:textFill>
                  <w14:solidFill>
                    <w14:schemeClr w14:val="tx1"/>
                  </w14:solidFill>
                </w14:textFill>
              </w:rPr>
              <w:t>I</w:t>
            </w:r>
            <w:r>
              <w:rPr>
                <w:b/>
                <w:color w:val="000000" w:themeColor="text1"/>
                <w:kern w:val="0"/>
                <w:szCs w:val="16"/>
                <w:highlight w:val="none"/>
                <w14:textFill>
                  <w14:solidFill>
                    <w14:schemeClr w14:val="tx1"/>
                  </w14:solidFill>
                </w14:textFill>
              </w:rPr>
              <w:fldChar w:fldCharType="end"/>
            </w:r>
          </w:p>
        </w:tc>
      </w:tr>
      <w:tr w14:paraId="74B67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1" w:type="dxa"/>
            <w:tcBorders>
              <w:tl2br w:val="nil"/>
              <w:tr2bl w:val="nil"/>
            </w:tcBorders>
            <w:vAlign w:val="center"/>
          </w:tcPr>
          <w:p w14:paraId="4BF81BFF">
            <w:pPr>
              <w:pStyle w:val="31"/>
              <w:spacing w:after="0" w:line="360" w:lineRule="exact"/>
              <w:ind w:left="0" w:leftChars="0" w:firstLine="0" w:firstLineChars="0"/>
              <w:jc w:val="center"/>
              <w:rPr>
                <w:bCs/>
                <w:color w:val="000000" w:themeColor="text1"/>
                <w:kern w:val="0"/>
                <w:szCs w:val="16"/>
                <w:highlight w:val="none"/>
                <w14:textFill>
                  <w14:solidFill>
                    <w14:schemeClr w14:val="tx1"/>
                  </w14:solidFill>
                </w14:textFill>
              </w:rPr>
            </w:pPr>
            <w:r>
              <w:rPr>
                <w:bCs/>
                <w:color w:val="000000" w:themeColor="text1"/>
                <w:kern w:val="0"/>
                <w:szCs w:val="16"/>
                <w:highlight w:val="none"/>
                <w14:textFill>
                  <w14:solidFill>
                    <w14:schemeClr w14:val="tx1"/>
                  </w14:solidFill>
                </w14:textFill>
              </w:rPr>
              <w:t>评价工作等级</w:t>
            </w:r>
          </w:p>
        </w:tc>
        <w:tc>
          <w:tcPr>
            <w:tcW w:w="1671" w:type="dxa"/>
            <w:tcBorders>
              <w:tl2br w:val="nil"/>
              <w:tr2bl w:val="nil"/>
            </w:tcBorders>
            <w:vAlign w:val="center"/>
          </w:tcPr>
          <w:p w14:paraId="7E6165DC">
            <w:pPr>
              <w:pStyle w:val="31"/>
              <w:spacing w:after="0" w:line="360" w:lineRule="exact"/>
              <w:ind w:left="0" w:leftChars="0" w:firstLine="0" w:firstLineChars="0"/>
              <w:jc w:val="center"/>
              <w:rPr>
                <w:bCs/>
                <w:color w:val="000000" w:themeColor="text1"/>
                <w:kern w:val="0"/>
                <w:szCs w:val="16"/>
                <w:highlight w:val="none"/>
                <w14:textFill>
                  <w14:solidFill>
                    <w14:schemeClr w14:val="tx1"/>
                  </w14:solidFill>
                </w14:textFill>
              </w:rPr>
            </w:pPr>
            <w:r>
              <w:rPr>
                <w:bCs/>
                <w:color w:val="000000" w:themeColor="text1"/>
                <w:kern w:val="0"/>
                <w:szCs w:val="16"/>
                <w:highlight w:val="none"/>
                <w14:textFill>
                  <w14:solidFill>
                    <w14:schemeClr w14:val="tx1"/>
                  </w14:solidFill>
                </w14:textFill>
              </w:rPr>
              <w:t>一</w:t>
            </w:r>
          </w:p>
        </w:tc>
        <w:tc>
          <w:tcPr>
            <w:tcW w:w="1636" w:type="dxa"/>
            <w:tcBorders>
              <w:tl2br w:val="nil"/>
              <w:tr2bl w:val="nil"/>
            </w:tcBorders>
            <w:vAlign w:val="center"/>
          </w:tcPr>
          <w:p w14:paraId="66A5B69E">
            <w:pPr>
              <w:pStyle w:val="31"/>
              <w:spacing w:after="0" w:line="360" w:lineRule="exact"/>
              <w:ind w:left="0" w:leftChars="0" w:firstLine="0" w:firstLineChars="0"/>
              <w:jc w:val="center"/>
              <w:rPr>
                <w:bCs/>
                <w:color w:val="000000" w:themeColor="text1"/>
                <w:kern w:val="0"/>
                <w:szCs w:val="16"/>
                <w:highlight w:val="none"/>
                <w14:textFill>
                  <w14:solidFill>
                    <w14:schemeClr w14:val="tx1"/>
                  </w14:solidFill>
                </w14:textFill>
              </w:rPr>
            </w:pPr>
            <w:r>
              <w:rPr>
                <w:bCs/>
                <w:color w:val="000000" w:themeColor="text1"/>
                <w:kern w:val="0"/>
                <w:szCs w:val="16"/>
                <w:highlight w:val="none"/>
                <w14:textFill>
                  <w14:solidFill>
                    <w14:schemeClr w14:val="tx1"/>
                  </w14:solidFill>
                </w14:textFill>
              </w:rPr>
              <w:t>二</w:t>
            </w:r>
          </w:p>
        </w:tc>
        <w:tc>
          <w:tcPr>
            <w:tcW w:w="1680" w:type="dxa"/>
            <w:tcBorders>
              <w:tl2br w:val="nil"/>
              <w:tr2bl w:val="nil"/>
            </w:tcBorders>
            <w:vAlign w:val="center"/>
          </w:tcPr>
          <w:p w14:paraId="20F064D7">
            <w:pPr>
              <w:pStyle w:val="31"/>
              <w:spacing w:after="0" w:line="360" w:lineRule="exact"/>
              <w:ind w:left="0" w:leftChars="0" w:firstLine="0" w:firstLineChars="0"/>
              <w:jc w:val="center"/>
              <w:rPr>
                <w:bCs/>
                <w:color w:val="000000" w:themeColor="text1"/>
                <w:kern w:val="0"/>
                <w:szCs w:val="16"/>
                <w:highlight w:val="none"/>
                <w14:textFill>
                  <w14:solidFill>
                    <w14:schemeClr w14:val="tx1"/>
                  </w14:solidFill>
                </w14:textFill>
              </w:rPr>
            </w:pPr>
            <w:r>
              <w:rPr>
                <w:bCs/>
                <w:color w:val="000000" w:themeColor="text1"/>
                <w:kern w:val="0"/>
                <w:szCs w:val="16"/>
                <w:highlight w:val="none"/>
                <w14:textFill>
                  <w14:solidFill>
                    <w14:schemeClr w14:val="tx1"/>
                  </w14:solidFill>
                </w14:textFill>
              </w:rPr>
              <w:t>三</w:t>
            </w:r>
          </w:p>
        </w:tc>
        <w:tc>
          <w:tcPr>
            <w:tcW w:w="1454" w:type="dxa"/>
            <w:tcBorders>
              <w:tl2br w:val="nil"/>
              <w:tr2bl w:val="nil"/>
            </w:tcBorders>
            <w:vAlign w:val="center"/>
          </w:tcPr>
          <w:p w14:paraId="45346573">
            <w:pPr>
              <w:pStyle w:val="31"/>
              <w:spacing w:after="0" w:line="360" w:lineRule="exact"/>
              <w:ind w:left="0" w:leftChars="0" w:firstLine="0" w:firstLineChars="0"/>
              <w:jc w:val="center"/>
              <w:rPr>
                <w:bCs/>
                <w:color w:val="000000" w:themeColor="text1"/>
                <w:kern w:val="0"/>
                <w:szCs w:val="16"/>
                <w:highlight w:val="none"/>
                <w14:textFill>
                  <w14:solidFill>
                    <w14:schemeClr w14:val="tx1"/>
                  </w14:solidFill>
                </w14:textFill>
              </w:rPr>
            </w:pPr>
            <w:r>
              <w:rPr>
                <w:bCs/>
                <w:color w:val="000000" w:themeColor="text1"/>
                <w:kern w:val="0"/>
                <w:szCs w:val="16"/>
                <w:highlight w:val="none"/>
                <w14:textFill>
                  <w14:solidFill>
                    <w14:schemeClr w14:val="tx1"/>
                  </w14:solidFill>
                </w14:textFill>
              </w:rPr>
              <w:t>简单分析a</w:t>
            </w:r>
          </w:p>
        </w:tc>
      </w:tr>
      <w:tr w14:paraId="2B80F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2" w:type="dxa"/>
            <w:gridSpan w:val="5"/>
            <w:tcBorders>
              <w:tl2br w:val="nil"/>
              <w:tr2bl w:val="nil"/>
            </w:tcBorders>
            <w:vAlign w:val="center"/>
          </w:tcPr>
          <w:p w14:paraId="01F05F2B">
            <w:pPr>
              <w:pStyle w:val="31"/>
              <w:spacing w:after="0" w:line="360" w:lineRule="exact"/>
              <w:ind w:left="0" w:leftChars="0" w:firstLine="0" w:firstLineChars="0"/>
              <w:jc w:val="left"/>
              <w:rPr>
                <w:color w:val="000000" w:themeColor="text1"/>
                <w:szCs w:val="16"/>
                <w:highlight w:val="none"/>
                <w14:textFill>
                  <w14:solidFill>
                    <w14:schemeClr w14:val="tx1"/>
                  </w14:solidFill>
                </w14:textFill>
              </w:rPr>
            </w:pPr>
            <w:r>
              <w:rPr>
                <w:bCs/>
                <w:color w:val="000000" w:themeColor="text1"/>
                <w:kern w:val="0"/>
                <w:szCs w:val="16"/>
                <w:highlight w:val="none"/>
                <w14:textFill>
                  <w14:solidFill>
                    <w14:schemeClr w14:val="tx1"/>
                  </w14:solidFill>
                </w14:textFill>
              </w:rPr>
              <w:t>a是相对于详细评价工作内容而言，在描述危险物质、环境影响途径、环境危害后果、风险防范措施等方面给出定性的说明。</w:t>
            </w:r>
          </w:p>
        </w:tc>
      </w:tr>
    </w:tbl>
    <w:p w14:paraId="72B31C84">
      <w:pPr>
        <w:overflowPunct w:val="0"/>
        <w:topLinePunct/>
        <w:ind w:firstLine="480"/>
        <w:rPr>
          <w:rFonts w:hint="eastAsia"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（2）尾矿库</w:t>
      </w:r>
      <w:r>
        <w:rPr>
          <w:rFonts w:hint="eastAsia"/>
          <w:color w:val="000000" w:themeColor="text1"/>
          <w:highlight w:val="none"/>
          <w:lang w:val="en-US" w:eastAsia="zh-CN"/>
          <w14:textFill>
            <w14:solidFill>
              <w14:schemeClr w14:val="tx1"/>
            </w14:solidFill>
          </w14:textFill>
        </w:rPr>
        <w:t>环境风险等级</w:t>
      </w:r>
    </w:p>
    <w:p w14:paraId="16B0F57C">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《尾矿库环境风险评估技术导则（试行）》（HJ740-2015）从尾矿库的环境危害性（H）、周边环境敏感性（S）、控制机制可靠性（R）三个方面进行环境风险等级的划分。本次评价尾矿库环境风险等级为一般</w:t>
      </w:r>
      <w:r>
        <w:rPr>
          <w:color w:val="000000" w:themeColor="text1"/>
          <w:highlight w:val="none"/>
          <w14:textFill>
            <w14:solidFill>
              <w14:schemeClr w14:val="tx1"/>
            </w14:solidFill>
          </w14:textFill>
        </w:rPr>
        <w:t>（H3S</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R3）</w:t>
      </w:r>
      <w:r>
        <w:rPr>
          <w:rFonts w:hint="eastAsia"/>
          <w:color w:val="000000" w:themeColor="text1"/>
          <w:highlight w:val="none"/>
          <w:lang w:eastAsia="zh-CN"/>
          <w14:textFill>
            <w14:solidFill>
              <w14:schemeClr w14:val="tx1"/>
            </w14:solidFill>
          </w14:textFill>
        </w:rPr>
        <w:t>，尾矿库环境风险潜势判定详见本报告“5.3.2环境风险潜势初判”。</w:t>
      </w:r>
    </w:p>
    <w:p w14:paraId="25FF78E9">
      <w:pPr>
        <w:pStyle w:val="4"/>
        <w:rPr>
          <w:color w:val="000000" w:themeColor="text1"/>
          <w:highlight w:val="none"/>
          <w14:textFill>
            <w14:solidFill>
              <w14:schemeClr w14:val="tx1"/>
            </w14:solidFill>
          </w14:textFill>
        </w:rPr>
      </w:pPr>
      <w:bookmarkStart w:id="265" w:name="_Toc19418"/>
      <w:bookmarkStart w:id="266" w:name="_Toc5345"/>
      <w:bookmarkStart w:id="267" w:name="_Toc12187"/>
      <w:bookmarkStart w:id="268" w:name="_Toc21557"/>
      <w:bookmarkStart w:id="269" w:name="_Toc22727"/>
      <w:bookmarkStart w:id="270" w:name="_Toc4804"/>
      <w:bookmarkStart w:id="271" w:name="_Toc14513"/>
      <w:bookmarkStart w:id="272" w:name="_Toc5262"/>
      <w:bookmarkStart w:id="273" w:name="_Toc9002"/>
      <w:r>
        <w:rPr>
          <w:color w:val="000000" w:themeColor="text1"/>
          <w:highlight w:val="none"/>
          <w14:textFill>
            <w14:solidFill>
              <w14:schemeClr w14:val="tx1"/>
            </w14:solidFill>
          </w14:textFill>
        </w:rPr>
        <w:t>2.6.2评价范围</w:t>
      </w:r>
      <w:bookmarkEnd w:id="265"/>
      <w:bookmarkEnd w:id="266"/>
      <w:bookmarkEnd w:id="267"/>
      <w:bookmarkEnd w:id="268"/>
      <w:bookmarkEnd w:id="269"/>
      <w:bookmarkEnd w:id="270"/>
      <w:bookmarkEnd w:id="271"/>
      <w:bookmarkEnd w:id="272"/>
      <w:bookmarkEnd w:id="273"/>
    </w:p>
    <w:p w14:paraId="634F3B26">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根据评价工作等级及当地气象条件、自然环境状况确定各环境要素评价范围</w:t>
      </w:r>
      <w:r>
        <w:rPr>
          <w:rFonts w:hint="eastAsia"/>
          <w:color w:val="000000" w:themeColor="text1"/>
          <w:highlight w:val="none"/>
          <w:lang w:eastAsia="zh-CN"/>
          <w14:textFill>
            <w14:solidFill>
              <w14:schemeClr w14:val="tx1"/>
            </w14:solidFill>
          </w14:textFill>
        </w:rPr>
        <w:t>，</w:t>
      </w:r>
      <w:r>
        <w:rPr>
          <w:rFonts w:hAnsi="Times New Roman"/>
          <w:color w:val="000000" w:themeColor="text1"/>
          <w:szCs w:val="24"/>
          <w:highlight w:val="none"/>
          <w14:textFill>
            <w14:solidFill>
              <w14:schemeClr w14:val="tx1"/>
            </w14:solidFill>
          </w14:textFill>
        </w:rPr>
        <w:t>评价范围见图2.6-2。</w:t>
      </w:r>
    </w:p>
    <w:p w14:paraId="05F64F4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（1）环境空气</w:t>
      </w:r>
    </w:p>
    <w:p w14:paraId="39F26B05">
      <w:pPr>
        <w:overflowPunct w:val="0"/>
        <w:topLinePunct/>
        <w:ind w:firstLine="480"/>
        <w:rPr>
          <w:rFonts w:hAnsi="Times New Roman"/>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根据《环境影响评价技术导则 大气环境》（HJ2.2-2018）规定，本项目大气环境影响评价等级为</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级，故本项目大气环境影响评价范围为</w:t>
      </w:r>
      <w:r>
        <w:rPr>
          <w:rFonts w:hint="eastAsia"/>
          <w:color w:val="000000" w:themeColor="text1"/>
          <w:highlight w:val="none"/>
          <w:lang w:val="en-US" w:eastAsia="zh-CN"/>
          <w14:textFill>
            <w14:solidFill>
              <w14:schemeClr w14:val="tx1"/>
            </w14:solidFill>
          </w14:textFill>
        </w:rPr>
        <w:t>边长5km的矩形区域。</w:t>
      </w:r>
    </w:p>
    <w:p w14:paraId="78448592">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（2）水环境</w:t>
      </w:r>
    </w:p>
    <w:p w14:paraId="71F81ED3">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eastAsia"/>
          <w:color w:val="000000" w:themeColor="text1"/>
          <w:highlight w:val="none"/>
          <w14:textFill>
            <w14:solidFill>
              <w14:schemeClr w14:val="tx1"/>
            </w14:solidFill>
          </w14:textFill>
        </w:rPr>
        <w:t>地表水</w:t>
      </w:r>
    </w:p>
    <w:p w14:paraId="69E1118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本项目地表水评价等级为三级B，根据《环境影响评价技术导则 地表水环境》（HJ2.3-2018），确定本项目地表水环境影响评价范围为污水处理设施的环境可行性分析。</w:t>
      </w:r>
    </w:p>
    <w:p w14:paraId="7576E235">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eastAsia"/>
          <w:color w:val="000000" w:themeColor="text1"/>
          <w:highlight w:val="none"/>
          <w14:textFill>
            <w14:solidFill>
              <w14:schemeClr w14:val="tx1"/>
            </w14:solidFill>
          </w14:textFill>
        </w:rPr>
        <w:t>地下水</w:t>
      </w:r>
    </w:p>
    <w:p w14:paraId="5FF27ECC">
      <w:pPr>
        <w:spacing w:line="480" w:lineRule="exact"/>
        <w:ind w:firstLine="480" w:firstLineChars="200"/>
        <w:rPr>
          <w:rFonts w:hint="eastAsia" w:eastAsia="宋体"/>
          <w:color w:val="000000" w:themeColor="text1"/>
          <w:highlight w:val="yellow"/>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大面积被第四系全新统冲洪积层</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Q</w:t>
      </w:r>
      <w:r>
        <w:rPr>
          <w:rFonts w:hint="eastAsia"/>
          <w:color w:val="000000" w:themeColor="text1"/>
          <w:sz w:val="24"/>
          <w:szCs w:val="24"/>
          <w:highlight w:val="none"/>
          <w:vertAlign w:val="subscript"/>
          <w14:textFill>
            <w14:solidFill>
              <w14:schemeClr w14:val="tx1"/>
            </w14:solidFill>
          </w14:textFill>
        </w:rPr>
        <w:t>4</w:t>
      </w:r>
      <w:r>
        <w:rPr>
          <w:rFonts w:hint="eastAsia"/>
          <w:color w:val="000000" w:themeColor="text1"/>
          <w:sz w:val="24"/>
          <w:szCs w:val="24"/>
          <w:highlight w:val="none"/>
          <w:vertAlign w:val="superscript"/>
          <w14:textFill>
            <w14:solidFill>
              <w14:schemeClr w14:val="tx1"/>
            </w14:solidFill>
          </w14:textFill>
        </w:rPr>
        <w:t>aal</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覆盖，出露的地层为下寒武统双鹰山组。根据地下水赋存条件和水力特征，将</w:t>
      </w:r>
      <w:r>
        <w:rPr>
          <w:rFonts w:hint="eastAsia"/>
          <w:color w:val="000000" w:themeColor="text1"/>
          <w:sz w:val="24"/>
          <w:szCs w:val="24"/>
          <w:highlight w:val="none"/>
          <w:lang w:val="en-US"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内地下水划分为两个含水层组，分别为第四系松散岩类透水不含水层、变质岩类裂隙弱富水弱含水层。下寒武统双鹰山组第二岩性段为相对的隔水边界。</w:t>
      </w:r>
      <w:r>
        <w:rPr>
          <w:color w:val="000000" w:themeColor="text1"/>
          <w:sz w:val="24"/>
          <w:szCs w:val="24"/>
          <w:highlight w:val="none"/>
          <w14:textFill>
            <w14:solidFill>
              <w14:schemeClr w14:val="tx1"/>
            </w14:solidFill>
          </w14:textFill>
        </w:rPr>
        <w:t>依据《环境影响评价技术导则 地下水环境》（HJ610-2016）</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本</w:t>
      </w:r>
      <w:r>
        <w:rPr>
          <w:rFonts w:hint="eastAsia"/>
          <w:color w:val="000000" w:themeColor="text1"/>
          <w:sz w:val="24"/>
          <w:szCs w:val="24"/>
          <w:highlight w:val="none"/>
          <w14:textFill>
            <w14:solidFill>
              <w14:schemeClr w14:val="tx1"/>
            </w14:solidFill>
          </w14:textFill>
        </w:rPr>
        <w:t>次评价采用自定义法，结合区域水文地质情况，以所处水文地质单元边界为评价范围，具体评价范围：北至</w:t>
      </w:r>
      <w:r>
        <w:rPr>
          <w:rFonts w:hint="eastAsia"/>
          <w:color w:val="000000" w:themeColor="text1"/>
          <w:sz w:val="24"/>
          <w:szCs w:val="24"/>
          <w:highlight w:val="none"/>
          <w:lang w:val="en-US" w:eastAsia="zh-CN"/>
          <w14:textFill>
            <w14:solidFill>
              <w14:schemeClr w14:val="tx1"/>
            </w14:solidFill>
          </w14:textFill>
        </w:rPr>
        <w:t>选厂及尾矿库</w:t>
      </w:r>
      <w:r>
        <w:rPr>
          <w:rFonts w:hint="eastAsia"/>
          <w:color w:val="000000" w:themeColor="text1"/>
          <w:sz w:val="24"/>
          <w:szCs w:val="24"/>
          <w:highlight w:val="none"/>
          <w14:textFill>
            <w14:solidFill>
              <w14:schemeClr w14:val="tx1"/>
            </w14:solidFill>
          </w14:textFill>
        </w:rPr>
        <w:t>北侧外</w:t>
      </w:r>
      <w:r>
        <w:rPr>
          <w:color w:val="000000" w:themeColor="text1"/>
          <w:sz w:val="24"/>
          <w:szCs w:val="24"/>
          <w:highlight w:val="none"/>
          <w14:textFill>
            <w14:solidFill>
              <w14:schemeClr w14:val="tx1"/>
            </w14:solidFill>
          </w14:textFill>
        </w:rPr>
        <w:t>1</w:t>
      </w:r>
      <w:r>
        <w:rPr>
          <w:rFonts w:hint="eastAsia"/>
          <w:color w:val="000000" w:themeColor="text1"/>
          <w:sz w:val="24"/>
          <w:szCs w:val="24"/>
          <w:highlight w:val="none"/>
          <w14:textFill>
            <w14:solidFill>
              <w14:schemeClr w14:val="tx1"/>
            </w14:solidFill>
          </w14:textFill>
        </w:rPr>
        <w:t>km、</w:t>
      </w:r>
      <w:r>
        <w:rPr>
          <w:rFonts w:hint="eastAsia"/>
          <w:color w:val="000000" w:themeColor="text1"/>
          <w:sz w:val="24"/>
          <w:szCs w:val="24"/>
          <w:highlight w:val="none"/>
          <w:lang w:val="en-US" w:eastAsia="zh-CN"/>
          <w14:textFill>
            <w14:solidFill>
              <w14:schemeClr w14:val="tx1"/>
            </w14:solidFill>
          </w14:textFill>
        </w:rPr>
        <w:t>东</w:t>
      </w:r>
      <w:r>
        <w:rPr>
          <w:rFonts w:hint="eastAsia"/>
          <w:color w:val="000000" w:themeColor="text1"/>
          <w:sz w:val="24"/>
          <w:szCs w:val="24"/>
          <w:highlight w:val="none"/>
          <w14:textFill>
            <w14:solidFill>
              <w14:schemeClr w14:val="tx1"/>
            </w14:solidFill>
          </w14:textFill>
        </w:rPr>
        <w:t>至</w:t>
      </w:r>
      <w:r>
        <w:rPr>
          <w:rFonts w:hint="eastAsia"/>
          <w:color w:val="000000" w:themeColor="text1"/>
          <w:sz w:val="24"/>
          <w:szCs w:val="24"/>
          <w:highlight w:val="none"/>
          <w:lang w:val="en-US" w:eastAsia="zh-CN"/>
          <w14:textFill>
            <w14:solidFill>
              <w14:schemeClr w14:val="tx1"/>
            </w14:solidFill>
          </w14:textFill>
        </w:rPr>
        <w:t>选厂及尾矿库</w:t>
      </w:r>
      <w:r>
        <w:rPr>
          <w:rFonts w:hint="eastAsia"/>
          <w:color w:val="000000" w:themeColor="text1"/>
          <w:sz w:val="24"/>
          <w:szCs w:val="24"/>
          <w:highlight w:val="none"/>
          <w:lang w:eastAsia="zh-CN"/>
          <w14:textFill>
            <w14:solidFill>
              <w14:schemeClr w14:val="tx1"/>
            </w14:solidFill>
          </w14:textFill>
        </w:rPr>
        <w:t>东</w:t>
      </w:r>
      <w:r>
        <w:rPr>
          <w:rFonts w:hint="eastAsia"/>
          <w:color w:val="000000" w:themeColor="text1"/>
          <w:sz w:val="24"/>
          <w:szCs w:val="24"/>
          <w:highlight w:val="none"/>
          <w14:textFill>
            <w14:solidFill>
              <w14:schemeClr w14:val="tx1"/>
            </w14:solidFill>
          </w14:textFill>
        </w:rPr>
        <w:t>侧外1km、南至</w:t>
      </w:r>
      <w:r>
        <w:rPr>
          <w:rFonts w:hint="eastAsia"/>
          <w:color w:val="000000" w:themeColor="text1"/>
          <w:sz w:val="24"/>
          <w:szCs w:val="24"/>
          <w:highlight w:val="none"/>
          <w:lang w:val="en-US" w:eastAsia="zh-CN"/>
          <w14:textFill>
            <w14:solidFill>
              <w14:schemeClr w14:val="tx1"/>
            </w14:solidFill>
          </w14:textFill>
        </w:rPr>
        <w:t>选厂及尾矿库南</w:t>
      </w:r>
      <w:r>
        <w:rPr>
          <w:rFonts w:hint="eastAsia"/>
          <w:color w:val="000000" w:themeColor="text1"/>
          <w:sz w:val="24"/>
          <w:szCs w:val="24"/>
          <w:highlight w:val="none"/>
          <w14:textFill>
            <w14:solidFill>
              <w14:schemeClr w14:val="tx1"/>
            </w14:solidFill>
          </w14:textFill>
        </w:rPr>
        <w:t>侧外1km、西至</w:t>
      </w:r>
      <w:r>
        <w:rPr>
          <w:rFonts w:hint="eastAsia"/>
          <w:color w:val="000000" w:themeColor="text1"/>
          <w:sz w:val="24"/>
          <w:szCs w:val="24"/>
          <w:highlight w:val="none"/>
          <w:lang w:val="en-US" w:eastAsia="zh-CN"/>
          <w14:textFill>
            <w14:solidFill>
              <w14:schemeClr w14:val="tx1"/>
            </w14:solidFill>
          </w14:textFill>
        </w:rPr>
        <w:t>选厂及尾矿库南</w:t>
      </w:r>
      <w:r>
        <w:rPr>
          <w:rFonts w:hint="eastAsia"/>
          <w:color w:val="000000" w:themeColor="text1"/>
          <w:sz w:val="24"/>
          <w:szCs w:val="24"/>
          <w:highlight w:val="none"/>
          <w14:textFill>
            <w14:solidFill>
              <w14:schemeClr w14:val="tx1"/>
            </w14:solidFill>
          </w14:textFill>
        </w:rPr>
        <w:t>侧外</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km，评价范围约</w:t>
      </w:r>
      <w:r>
        <w:rPr>
          <w:rFonts w:hint="eastAsia"/>
          <w:color w:val="000000" w:themeColor="text1"/>
          <w:sz w:val="24"/>
          <w:szCs w:val="24"/>
          <w:highlight w:val="none"/>
          <w:lang w:val="en-US" w:eastAsia="zh-CN"/>
          <w14:textFill>
            <w14:solidFill>
              <w14:schemeClr w14:val="tx1"/>
            </w14:solidFill>
          </w14:textFill>
        </w:rPr>
        <w:t>15.26</w:t>
      </w:r>
      <w:r>
        <w:rPr>
          <w:rFonts w:hint="eastAsia"/>
          <w:color w:val="000000" w:themeColor="text1"/>
          <w:sz w:val="24"/>
          <w:szCs w:val="24"/>
          <w:highlight w:val="none"/>
          <w14:textFill>
            <w14:solidFill>
              <w14:schemeClr w14:val="tx1"/>
            </w14:solidFill>
          </w14:textFill>
        </w:rPr>
        <w:t>km</w:t>
      </w:r>
      <w:r>
        <w:rPr>
          <w:color w:val="000000" w:themeColor="text1"/>
          <w:sz w:val="24"/>
          <w:szCs w:val="24"/>
          <w:highlight w:val="none"/>
          <w:vertAlign w:val="superscript"/>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p>
    <w:p w14:paraId="4D8769D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（3）声环境</w:t>
      </w:r>
    </w:p>
    <w:p w14:paraId="254DA2AA">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本项目声环境评价范围为选矿厂</w:t>
      </w:r>
      <w:r>
        <w:rPr>
          <w:rFonts w:hint="eastAsia"/>
          <w:color w:val="000000" w:themeColor="text1"/>
          <w:highlight w:val="none"/>
          <w14:textFill>
            <w14:solidFill>
              <w14:schemeClr w14:val="tx1"/>
            </w14:solidFill>
          </w14:textFill>
        </w:rPr>
        <w:t>、尾矿库</w:t>
      </w:r>
      <w:r>
        <w:rPr>
          <w:color w:val="000000" w:themeColor="text1"/>
          <w:highlight w:val="none"/>
          <w14:textFill>
            <w14:solidFill>
              <w14:schemeClr w14:val="tx1"/>
            </w14:solidFill>
          </w14:textFill>
        </w:rPr>
        <w:t>边界外</w:t>
      </w:r>
      <w:r>
        <w:rPr>
          <w:rFonts w:hint="eastAsia"/>
          <w:color w:val="000000" w:themeColor="text1"/>
          <w:highlight w:val="none"/>
          <w:lang w:val="en-US" w:eastAsia="zh-CN"/>
          <w14:textFill>
            <w14:solidFill>
              <w14:schemeClr w14:val="tx1"/>
            </w14:solidFill>
          </w14:textFill>
        </w:rPr>
        <w:t>50</w:t>
      </w:r>
      <w:r>
        <w:rPr>
          <w:color w:val="000000" w:themeColor="text1"/>
          <w:highlight w:val="none"/>
          <w14:textFill>
            <w14:solidFill>
              <w14:schemeClr w14:val="tx1"/>
            </w14:solidFill>
          </w14:textFill>
        </w:rPr>
        <w:t>m范围</w:t>
      </w:r>
      <w:r>
        <w:rPr>
          <w:rFonts w:hint="eastAsia"/>
          <w:color w:val="000000" w:themeColor="text1"/>
          <w:highlight w:val="none"/>
          <w:lang w:val="en-US" w:eastAsia="zh-CN"/>
          <w14:textFill>
            <w14:solidFill>
              <w14:schemeClr w14:val="tx1"/>
            </w14:solidFill>
          </w14:textFill>
        </w:rPr>
        <w:t>内</w:t>
      </w:r>
      <w:r>
        <w:rPr>
          <w:color w:val="000000" w:themeColor="text1"/>
          <w:highlight w:val="none"/>
          <w14:textFill>
            <w14:solidFill>
              <w14:schemeClr w14:val="tx1"/>
            </w14:solidFill>
          </w14:textFill>
        </w:rPr>
        <w:t>。</w:t>
      </w:r>
    </w:p>
    <w:p w14:paraId="1D311DF4">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（4）土壤环境</w:t>
      </w:r>
    </w:p>
    <w:p w14:paraId="587A86D3">
      <w:pPr>
        <w:overflowPunct w:val="0"/>
        <w:topLinePunct/>
        <w:ind w:firstLine="48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项目区周边无敏感区，本项目</w:t>
      </w:r>
      <w:r>
        <w:rPr>
          <w:rFonts w:hint="default"/>
          <w:color w:val="000000" w:themeColor="text1"/>
          <w:highlight w:val="none"/>
          <w:lang w:val="en-US" w:eastAsia="zh-CN"/>
          <w14:textFill>
            <w14:solidFill>
              <w14:schemeClr w14:val="tx1"/>
            </w14:solidFill>
          </w14:textFill>
        </w:rPr>
        <w:t>土壤</w:t>
      </w:r>
      <w:r>
        <w:rPr>
          <w:rFonts w:hint="eastAsia"/>
          <w:color w:val="000000" w:themeColor="text1"/>
          <w:highlight w:val="none"/>
          <w:lang w:val="en-US" w:eastAsia="zh-CN"/>
          <w14:textFill>
            <w14:solidFill>
              <w14:schemeClr w14:val="tx1"/>
            </w14:solidFill>
          </w14:textFill>
        </w:rPr>
        <w:t>评价工作等级为二级，评价范围为选矿厂、尾矿库及边界外0.2km范围内</w:t>
      </w:r>
      <w:r>
        <w:rPr>
          <w:color w:val="000000" w:themeColor="text1"/>
          <w:highlight w:val="none"/>
          <w14:textFill>
            <w14:solidFill>
              <w14:schemeClr w14:val="tx1"/>
            </w14:solidFill>
          </w14:textFill>
        </w:rPr>
        <w:t>。</w:t>
      </w:r>
    </w:p>
    <w:p w14:paraId="741E8423">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（5）生态环境</w:t>
      </w:r>
    </w:p>
    <w:p w14:paraId="6D939582">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本项目生态环境评价范围为</w:t>
      </w:r>
      <w:r>
        <w:rPr>
          <w:rFonts w:hint="eastAsia"/>
          <w:color w:val="000000" w:themeColor="text1"/>
          <w:highlight w:val="none"/>
          <w14:textFill>
            <w14:solidFill>
              <w14:schemeClr w14:val="tx1"/>
            </w14:solidFill>
          </w14:textFill>
        </w:rPr>
        <w:t>尾矿库、选矿厂</w:t>
      </w:r>
      <w:r>
        <w:rPr>
          <w:color w:val="000000" w:themeColor="text1"/>
          <w:highlight w:val="none"/>
          <w14:textFill>
            <w14:solidFill>
              <w14:schemeClr w14:val="tx1"/>
            </w14:solidFill>
          </w14:textFill>
        </w:rPr>
        <w:t>边界外延500m</w:t>
      </w:r>
      <w:r>
        <w:rPr>
          <w:rFonts w:hint="eastAsia"/>
          <w:color w:val="000000" w:themeColor="text1"/>
          <w:highlight w:val="none"/>
          <w14:textFill>
            <w14:solidFill>
              <w14:schemeClr w14:val="tx1"/>
            </w14:solidFill>
          </w14:textFill>
        </w:rPr>
        <w:t>范围内</w:t>
      </w:r>
      <w:r>
        <w:rPr>
          <w:color w:val="000000" w:themeColor="text1"/>
          <w:highlight w:val="none"/>
          <w14:textFill>
            <w14:solidFill>
              <w14:schemeClr w14:val="tx1"/>
            </w14:solidFill>
          </w14:textFill>
        </w:rPr>
        <w:t>。</w:t>
      </w:r>
    </w:p>
    <w:p w14:paraId="74D7FDF5">
      <w:pPr>
        <w:numPr>
          <w:ilvl w:val="0"/>
          <w:numId w:val="0"/>
        </w:numPr>
        <w:overflowPunct w:val="0"/>
        <w:topLinePunct/>
        <w:ind w:firstLine="480" w:firstLineChars="200"/>
        <w:rPr>
          <w:color w:val="000000" w:themeColor="text1"/>
          <w:highlight w:val="none"/>
          <w14:textFill>
            <w14:solidFill>
              <w14:schemeClr w14:val="tx1"/>
            </w14:solidFill>
          </w14:textFill>
        </w:rPr>
      </w:pPr>
      <w: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t>（6）</w:t>
      </w:r>
      <w:r>
        <w:rPr>
          <w:color w:val="000000" w:themeColor="text1"/>
          <w:highlight w:val="none"/>
          <w14:textFill>
            <w14:solidFill>
              <w14:schemeClr w14:val="tx1"/>
            </w14:solidFill>
          </w14:textFill>
        </w:rPr>
        <w:t>环境风险：本选厂不使用剧毒或存放可燃、易燃、爆炸性物质，根据风险潜势初判，选矿厂风险潜势为</w:t>
      </w:r>
      <w:r>
        <w:rPr>
          <w:rFonts w:hint="default" w:ascii="Times New Roman" w:hAnsi="Times New Roman" w:eastAsia="宋体" w:cs="Times New Roman"/>
          <w:bCs/>
          <w:color w:val="000000" w:themeColor="text1"/>
          <w:kern w:val="0"/>
          <w:szCs w:val="16"/>
          <w:highlight w:val="none"/>
          <w:lang w:eastAsia="zh-CN"/>
          <w14:textFill>
            <w14:solidFill>
              <w14:schemeClr w14:val="tx1"/>
            </w14:solidFill>
          </w14:textFill>
        </w:rPr>
        <w:t>I</w:t>
      </w:r>
      <w:r>
        <w:rPr>
          <w:color w:val="000000" w:themeColor="text1"/>
          <w:highlight w:val="none"/>
          <w14:textFill>
            <w14:solidFill>
              <w14:schemeClr w14:val="tx1"/>
            </w14:solidFill>
          </w14:textFill>
        </w:rPr>
        <w:t>，因此环境风险评价等级为简单分析。主要的环境风险为尾矿库溃坝风险，因此环境风险评价范围为</w:t>
      </w:r>
      <w:r>
        <w:rPr>
          <w:color w:val="000000" w:themeColor="text1"/>
          <w:kern w:val="0"/>
          <w:highlight w:val="none"/>
          <w14:textFill>
            <w14:solidFill>
              <w14:schemeClr w14:val="tx1"/>
            </w14:solidFill>
          </w14:textFill>
        </w:rPr>
        <w:t>尾矿库及尾矿库下游不小于80倍坝高，即尾矿库及下游</w:t>
      </w:r>
      <w:r>
        <w:rPr>
          <w:rFonts w:hint="eastAsia"/>
          <w:color w:val="000000" w:themeColor="text1"/>
          <w:kern w:val="0"/>
          <w:highlight w:val="none"/>
          <w:lang w:val="en-US" w:eastAsia="zh-CN"/>
          <w14:textFill>
            <w14:solidFill>
              <w14:schemeClr w14:val="tx1"/>
            </w14:solidFill>
          </w14:textFill>
        </w:rPr>
        <w:t>2400</w:t>
      </w:r>
      <w:r>
        <w:rPr>
          <w:color w:val="000000" w:themeColor="text1"/>
          <w:kern w:val="0"/>
          <w:highlight w:val="none"/>
          <w14:textFill>
            <w14:solidFill>
              <w14:schemeClr w14:val="tx1"/>
            </w14:solidFill>
          </w14:textFill>
        </w:rPr>
        <w:t>m范围</w:t>
      </w:r>
      <w:r>
        <w:rPr>
          <w:rFonts w:hint="eastAsia"/>
          <w:color w:val="000000" w:themeColor="text1"/>
          <w:kern w:val="0"/>
          <w:highlight w:val="none"/>
          <w:lang w:val="en-US" w:eastAsia="zh-CN"/>
          <w14:textFill>
            <w14:solidFill>
              <w14:schemeClr w14:val="tx1"/>
            </w14:solidFill>
          </w14:textFill>
        </w:rPr>
        <w:t>内</w:t>
      </w:r>
      <w:r>
        <w:rPr>
          <w:color w:val="000000" w:themeColor="text1"/>
          <w:highlight w:val="none"/>
          <w14:textFill>
            <w14:solidFill>
              <w14:schemeClr w14:val="tx1"/>
            </w14:solidFill>
          </w14:textFill>
        </w:rPr>
        <w:t>。</w:t>
      </w:r>
    </w:p>
    <w:p w14:paraId="46CA1EF9">
      <w:pPr>
        <w:numPr>
          <w:ilvl w:val="0"/>
          <w:numId w:val="0"/>
        </w:numPr>
        <w:overflowPunct w:val="0"/>
        <w:topLinePunct/>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本项目各环境要素评价等级及评价范围情况汇总见表2.6-</w:t>
      </w:r>
      <w:r>
        <w:rPr>
          <w:rFonts w:hint="eastAsia" w:cs="Times New Roman"/>
          <w:color w:val="000000" w:themeColor="text1"/>
          <w:kern w:val="2"/>
          <w:sz w:val="24"/>
          <w:szCs w:val="24"/>
          <w:lang w:val="en-US" w:eastAsia="zh-CN" w:bidi="ar-SA"/>
          <w14:textFill>
            <w14:solidFill>
              <w14:schemeClr w14:val="tx1"/>
            </w14:solidFill>
          </w14:textFill>
        </w:rPr>
        <w:t>12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76796AE4">
      <w:pPr>
        <w:numPr>
          <w:ilvl w:val="0"/>
          <w:numId w:val="0"/>
        </w:numPr>
        <w:overflowPunct w:val="0"/>
        <w:topLinePunct/>
        <w:jc w:val="cente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表2.6-</w:t>
      </w:r>
      <w:r>
        <w:rPr>
          <w:rFonts w:hint="eastAsia" w:cs="Times New Roman"/>
          <w:b/>
          <w:bCs/>
          <w:color w:val="000000" w:themeColor="text1"/>
          <w:kern w:val="2"/>
          <w:sz w:val="24"/>
          <w:szCs w:val="24"/>
          <w:lang w:val="en-US" w:eastAsia="zh-CN" w:bidi="ar-SA"/>
          <w14:textFill>
            <w14:solidFill>
              <w14:schemeClr w14:val="tx1"/>
            </w14:solidFill>
          </w14:textFill>
        </w:rPr>
        <w:t>12</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b/>
          <w:bCs/>
          <w:snapToGrid w:val="0"/>
          <w:color w:val="000000" w:themeColor="text1"/>
          <w:sz w:val="24"/>
          <w:szCs w:val="24"/>
          <w14:textFill>
            <w14:solidFill>
              <w14:schemeClr w14:val="tx1"/>
            </w14:solidFill>
          </w14:textFill>
        </w:rPr>
        <w:t>本项目各要素环境影响评价范围汇总表</w:t>
      </w:r>
    </w:p>
    <w:tbl>
      <w:tblPr>
        <w:tblStyle w:val="32"/>
        <w:tblW w:w="508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21"/>
        <w:gridCol w:w="90"/>
        <w:gridCol w:w="874"/>
        <w:gridCol w:w="1432"/>
        <w:gridCol w:w="5466"/>
      </w:tblGrid>
      <w:tr w14:paraId="23AA5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934" w:type="pct"/>
            <w:gridSpan w:val="3"/>
            <w:noWrap w:val="0"/>
            <w:vAlign w:val="center"/>
          </w:tcPr>
          <w:p w14:paraId="356AD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b/>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24"/>
                <w:sz w:val="21"/>
                <w:szCs w:val="21"/>
                <w14:textFill>
                  <w14:solidFill>
                    <w14:schemeClr w14:val="tx1"/>
                  </w14:solidFill>
                </w14:textFill>
              </w:rPr>
              <w:t>环境要素</w:t>
            </w:r>
          </w:p>
        </w:tc>
        <w:tc>
          <w:tcPr>
            <w:tcW w:w="844" w:type="pct"/>
            <w:noWrap w:val="0"/>
            <w:vAlign w:val="center"/>
          </w:tcPr>
          <w:p w14:paraId="0DB41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b/>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24"/>
                <w:sz w:val="21"/>
                <w:szCs w:val="21"/>
                <w14:textFill>
                  <w14:solidFill>
                    <w14:schemeClr w14:val="tx1"/>
                  </w14:solidFill>
                </w14:textFill>
              </w:rPr>
              <w:t>评价等级</w:t>
            </w:r>
          </w:p>
        </w:tc>
        <w:tc>
          <w:tcPr>
            <w:tcW w:w="3220" w:type="pct"/>
            <w:noWrap w:val="0"/>
            <w:vAlign w:val="center"/>
          </w:tcPr>
          <w:p w14:paraId="62C0D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b/>
                <w:color w:val="000000" w:themeColor="text1"/>
                <w:kern w:val="0"/>
                <w:sz w:val="21"/>
                <w:szCs w:val="21"/>
                <w14:textFill>
                  <w14:solidFill>
                    <w14:schemeClr w14:val="tx1"/>
                  </w14:solidFill>
                </w14:textFill>
              </w:rPr>
            </w:pPr>
            <w:r>
              <w:rPr>
                <w:rFonts w:hint="eastAsia" w:ascii="Times New Roman" w:hAnsi="Times New Roman" w:eastAsia="宋体" w:cs="Times New Roman"/>
                <w:b/>
                <w:bCs/>
                <w:color w:val="000000" w:themeColor="text1"/>
                <w:kern w:val="24"/>
                <w:sz w:val="21"/>
                <w:szCs w:val="21"/>
                <w14:textFill>
                  <w14:solidFill>
                    <w14:schemeClr w14:val="tx1"/>
                  </w14:solidFill>
                </w14:textFill>
              </w:rPr>
              <w:t>评价范围</w:t>
            </w:r>
          </w:p>
        </w:tc>
      </w:tr>
      <w:tr w14:paraId="4833B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34" w:type="pct"/>
            <w:gridSpan w:val="3"/>
            <w:noWrap w:val="0"/>
            <w:vAlign w:val="center"/>
          </w:tcPr>
          <w:p w14:paraId="08465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24"/>
                <w:sz w:val="21"/>
                <w:szCs w:val="21"/>
                <w14:textFill>
                  <w14:solidFill>
                    <w14:schemeClr w14:val="tx1"/>
                  </w14:solidFill>
                </w14:textFill>
              </w:rPr>
              <w:t>环境空气</w:t>
            </w:r>
          </w:p>
        </w:tc>
        <w:tc>
          <w:tcPr>
            <w:tcW w:w="844" w:type="pct"/>
            <w:noWrap w:val="0"/>
            <w:vAlign w:val="center"/>
          </w:tcPr>
          <w:p w14:paraId="50278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Arial"/>
                <w:color w:val="000000" w:themeColor="text1"/>
                <w:kern w:val="0"/>
                <w:sz w:val="21"/>
                <w:szCs w:val="21"/>
                <w:lang w:val="en-US" w:eastAsia="zh-CN"/>
                <w14:textFill>
                  <w14:solidFill>
                    <w14:schemeClr w14:val="tx1"/>
                  </w14:solidFill>
                </w14:textFill>
              </w:rPr>
            </w:pPr>
            <w:r>
              <w:rPr>
                <w:rFonts w:hint="eastAsia" w:ascii="Times New Roman" w:hAnsi="Times New Roman" w:eastAsia="宋体" w:cs="Arial"/>
                <w:color w:val="000000" w:themeColor="text1"/>
                <w:kern w:val="0"/>
                <w:sz w:val="21"/>
                <w:szCs w:val="21"/>
                <w:lang w:val="en-US" w:eastAsia="zh-CN"/>
                <w14:textFill>
                  <w14:solidFill>
                    <w14:schemeClr w14:val="tx1"/>
                  </w14:solidFill>
                </w14:textFill>
              </w:rPr>
              <w:t>二级</w:t>
            </w:r>
          </w:p>
        </w:tc>
        <w:tc>
          <w:tcPr>
            <w:tcW w:w="3220" w:type="pct"/>
            <w:noWrap w:val="0"/>
            <w:vAlign w:val="center"/>
          </w:tcPr>
          <w:p w14:paraId="53C90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color w:val="000000" w:themeColor="text1"/>
                <w:kern w:val="0"/>
                <w:sz w:val="21"/>
                <w:szCs w:val="21"/>
                <w14:textFill>
                  <w14:solidFill>
                    <w14:schemeClr w14:val="tx1"/>
                  </w14:solidFill>
                </w14:textFill>
              </w:rPr>
            </w:pPr>
            <w:r>
              <w:rPr>
                <w:rFonts w:hint="default" w:ascii="Times New Roman" w:hAnsi="Times New Roman" w:eastAsia="宋体" w:cs="Arial"/>
                <w:color w:val="000000" w:themeColor="text1"/>
                <w:kern w:val="0"/>
                <w:sz w:val="21"/>
                <w:szCs w:val="21"/>
                <w14:textFill>
                  <w14:solidFill>
                    <w14:schemeClr w14:val="tx1"/>
                  </w14:solidFill>
                </w14:textFill>
              </w:rPr>
              <w:t>边长5km的矩形区域</w:t>
            </w:r>
          </w:p>
        </w:tc>
      </w:tr>
      <w:tr w14:paraId="2D7C4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34" w:type="pct"/>
            <w:gridSpan w:val="3"/>
            <w:noWrap w:val="0"/>
            <w:vAlign w:val="center"/>
          </w:tcPr>
          <w:p w14:paraId="24EE8E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24"/>
                <w:sz w:val="21"/>
                <w:szCs w:val="21"/>
                <w14:textFill>
                  <w14:solidFill>
                    <w14:schemeClr w14:val="tx1"/>
                  </w14:solidFill>
                </w14:textFill>
              </w:rPr>
              <w:t>地表水</w:t>
            </w:r>
          </w:p>
        </w:tc>
        <w:tc>
          <w:tcPr>
            <w:tcW w:w="844" w:type="pct"/>
            <w:noWrap w:val="0"/>
            <w:vAlign w:val="center"/>
          </w:tcPr>
          <w:p w14:paraId="55AFC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color w:val="000000" w:themeColor="text1"/>
                <w:kern w:val="0"/>
                <w:sz w:val="21"/>
                <w:szCs w:val="21"/>
                <w:lang w:val="en-US" w:eastAsia="zh-CN"/>
                <w14:textFill>
                  <w14:solidFill>
                    <w14:schemeClr w14:val="tx1"/>
                  </w14:solidFill>
                </w14:textFill>
              </w:rPr>
            </w:pPr>
            <w:r>
              <w:rPr>
                <w:rFonts w:hint="eastAsia" w:ascii="Times New Roman" w:hAnsi="Times New Roman" w:eastAsia="宋体" w:cs="Arial"/>
                <w:color w:val="000000" w:themeColor="text1"/>
                <w:kern w:val="0"/>
                <w:sz w:val="21"/>
                <w:szCs w:val="21"/>
                <w:lang w:val="en-US" w:eastAsia="zh-CN"/>
                <w14:textFill>
                  <w14:solidFill>
                    <w14:schemeClr w14:val="tx1"/>
                  </w14:solidFill>
                </w14:textFill>
              </w:rPr>
              <w:t>三级B</w:t>
            </w:r>
          </w:p>
        </w:tc>
        <w:tc>
          <w:tcPr>
            <w:tcW w:w="3220" w:type="pct"/>
            <w:noWrap w:val="0"/>
            <w:vAlign w:val="center"/>
          </w:tcPr>
          <w:p w14:paraId="64E532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color w:val="000000" w:themeColor="text1"/>
                <w:kern w:val="0"/>
                <w:sz w:val="21"/>
                <w:szCs w:val="21"/>
                <w14:textFill>
                  <w14:solidFill>
                    <w14:schemeClr w14:val="tx1"/>
                  </w14:solidFill>
                </w14:textFill>
              </w:rPr>
            </w:pPr>
            <w:r>
              <w:rPr>
                <w:rFonts w:hint="default" w:ascii="Times New Roman" w:hAnsi="Times New Roman" w:eastAsia="宋体" w:cs="Arial"/>
                <w:color w:val="000000" w:themeColor="text1"/>
                <w:kern w:val="0"/>
                <w:sz w:val="21"/>
                <w:szCs w:val="21"/>
                <w14:textFill>
                  <w14:solidFill>
                    <w14:schemeClr w14:val="tx1"/>
                  </w14:solidFill>
                </w14:textFill>
              </w:rPr>
              <w:t>污水处理设施的环境可行性分析</w:t>
            </w:r>
          </w:p>
        </w:tc>
      </w:tr>
      <w:tr w14:paraId="4244A3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2" w:hRule="atLeast"/>
          <w:jc w:val="center"/>
        </w:trPr>
        <w:tc>
          <w:tcPr>
            <w:tcW w:w="419" w:type="pct"/>
            <w:gridSpan w:val="2"/>
            <w:vMerge w:val="restart"/>
            <w:noWrap w:val="0"/>
            <w:vAlign w:val="center"/>
          </w:tcPr>
          <w:p w14:paraId="7E642A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24"/>
                <w:sz w:val="21"/>
                <w:szCs w:val="21"/>
                <w14:textFill>
                  <w14:solidFill>
                    <w14:schemeClr w14:val="tx1"/>
                  </w14:solidFill>
                </w14:textFill>
              </w:rPr>
              <w:t>地下水</w:t>
            </w:r>
          </w:p>
        </w:tc>
        <w:tc>
          <w:tcPr>
            <w:tcW w:w="515" w:type="pct"/>
            <w:noWrap w:val="0"/>
            <w:vAlign w:val="center"/>
          </w:tcPr>
          <w:p w14:paraId="5EEE33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4"/>
                <w:sz w:val="21"/>
                <w:szCs w:val="21"/>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14:textFill>
                  <w14:solidFill>
                    <w14:schemeClr w14:val="tx1"/>
                  </w14:solidFill>
                </w14:textFill>
              </w:rPr>
              <w:t>选矿厂</w:t>
            </w:r>
          </w:p>
        </w:tc>
        <w:tc>
          <w:tcPr>
            <w:tcW w:w="844" w:type="pct"/>
            <w:noWrap w:val="0"/>
            <w:vAlign w:val="center"/>
          </w:tcPr>
          <w:p w14:paraId="341F7A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color w:val="000000" w:themeColor="text1"/>
                <w:kern w:val="0"/>
                <w:sz w:val="21"/>
                <w:szCs w:val="21"/>
                <w14:textFill>
                  <w14:solidFill>
                    <w14:schemeClr w14:val="tx1"/>
                  </w14:solidFill>
                </w14:textFill>
              </w:rPr>
            </w:pPr>
            <w:r>
              <w:rPr>
                <w:rFonts w:hint="eastAsia" w:ascii="Times New Roman" w:hAnsi="Times New Roman" w:eastAsia="宋体" w:cs="Arial"/>
                <w:color w:val="000000" w:themeColor="text1"/>
                <w:kern w:val="0"/>
                <w:sz w:val="21"/>
                <w:szCs w:val="21"/>
                <w:lang w:val="en-US" w:eastAsia="zh-CN"/>
                <w14:textFill>
                  <w14:solidFill>
                    <w14:schemeClr w14:val="tx1"/>
                  </w14:solidFill>
                </w14:textFill>
              </w:rPr>
              <w:t>三级</w:t>
            </w:r>
          </w:p>
        </w:tc>
        <w:tc>
          <w:tcPr>
            <w:tcW w:w="3220" w:type="pct"/>
            <w:vMerge w:val="restart"/>
            <w:noWrap w:val="0"/>
            <w:vAlign w:val="center"/>
          </w:tcPr>
          <w:p w14:paraId="2CAFDE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4"/>
                <w:sz w:val="21"/>
                <w:szCs w:val="21"/>
                <w14:textFill>
                  <w14:solidFill>
                    <w14:schemeClr w14:val="tx1"/>
                  </w14:solidFill>
                </w14:textFill>
              </w:rPr>
            </w:pPr>
            <w:r>
              <w:rPr>
                <w:rFonts w:hint="eastAsia" w:ascii="Times New Roman" w:hAnsi="Times New Roman" w:eastAsia="宋体" w:cs="Times New Roman"/>
                <w:color w:val="000000" w:themeColor="text1"/>
                <w:kern w:val="24"/>
                <w:sz w:val="21"/>
                <w:szCs w:val="21"/>
                <w14:textFill>
                  <w14:solidFill>
                    <w14:schemeClr w14:val="tx1"/>
                  </w14:solidFill>
                </w14:textFill>
              </w:rPr>
              <w:t>北至选厂及尾矿库北侧外1km、东至选厂及尾矿库东侧外1km、南至选厂及尾矿库南侧外1km、西至选厂及尾矿库南侧外2km，评价范围约15.26km</w:t>
            </w:r>
            <w:r>
              <w:rPr>
                <w:rFonts w:hint="eastAsia" w:ascii="Times New Roman" w:hAnsi="Times New Roman" w:eastAsia="宋体" w:cs="Times New Roman"/>
                <w:color w:val="000000" w:themeColor="text1"/>
                <w:kern w:val="24"/>
                <w:sz w:val="21"/>
                <w:szCs w:val="21"/>
                <w:vertAlign w:val="superscript"/>
                <w14:textFill>
                  <w14:solidFill>
                    <w14:schemeClr w14:val="tx1"/>
                  </w14:solidFill>
                </w14:textFill>
              </w:rPr>
              <w:t>2</w:t>
            </w:r>
            <w:r>
              <w:rPr>
                <w:rFonts w:hint="eastAsia" w:ascii="Times New Roman" w:hAnsi="Times New Roman" w:eastAsia="宋体" w:cs="Times New Roman"/>
                <w:color w:val="000000" w:themeColor="text1"/>
                <w:kern w:val="24"/>
                <w:sz w:val="21"/>
                <w:szCs w:val="21"/>
                <w14:textFill>
                  <w14:solidFill>
                    <w14:schemeClr w14:val="tx1"/>
                  </w14:solidFill>
                </w14:textFill>
              </w:rPr>
              <w:t>。</w:t>
            </w:r>
          </w:p>
        </w:tc>
      </w:tr>
      <w:tr w14:paraId="1560FA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2" w:hRule="atLeast"/>
          <w:jc w:val="center"/>
        </w:trPr>
        <w:tc>
          <w:tcPr>
            <w:tcW w:w="419" w:type="pct"/>
            <w:gridSpan w:val="2"/>
            <w:vMerge w:val="continue"/>
            <w:noWrap w:val="0"/>
            <w:vAlign w:val="center"/>
          </w:tcPr>
          <w:p w14:paraId="40B9E5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4"/>
                <w:sz w:val="21"/>
                <w:szCs w:val="21"/>
                <w14:textFill>
                  <w14:solidFill>
                    <w14:schemeClr w14:val="tx1"/>
                  </w14:solidFill>
                </w14:textFill>
              </w:rPr>
            </w:pPr>
          </w:p>
        </w:tc>
        <w:tc>
          <w:tcPr>
            <w:tcW w:w="515" w:type="pct"/>
            <w:noWrap w:val="0"/>
            <w:vAlign w:val="center"/>
          </w:tcPr>
          <w:p w14:paraId="3DA037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4"/>
                <w:sz w:val="21"/>
                <w:szCs w:val="21"/>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14:textFill>
                  <w14:solidFill>
                    <w14:schemeClr w14:val="tx1"/>
                  </w14:solidFill>
                </w14:textFill>
              </w:rPr>
              <w:t>尾矿库</w:t>
            </w:r>
          </w:p>
        </w:tc>
        <w:tc>
          <w:tcPr>
            <w:tcW w:w="844" w:type="pct"/>
            <w:noWrap w:val="0"/>
            <w:vAlign w:val="center"/>
          </w:tcPr>
          <w:p w14:paraId="54017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4"/>
                <w:sz w:val="21"/>
                <w:szCs w:val="21"/>
                <w14:textFill>
                  <w14:solidFill>
                    <w14:schemeClr w14:val="tx1"/>
                  </w14:solidFill>
                </w14:textFill>
              </w:rPr>
            </w:pPr>
            <w:r>
              <w:rPr>
                <w:rFonts w:hint="eastAsia" w:ascii="Times New Roman" w:hAnsi="Times New Roman" w:eastAsia="宋体" w:cs="Arial"/>
                <w:color w:val="000000" w:themeColor="text1"/>
                <w:kern w:val="0"/>
                <w:sz w:val="21"/>
                <w:szCs w:val="21"/>
                <w:lang w:val="en-US" w:eastAsia="zh-CN"/>
                <w14:textFill>
                  <w14:solidFill>
                    <w14:schemeClr w14:val="tx1"/>
                  </w14:solidFill>
                </w14:textFill>
              </w:rPr>
              <w:t>二级</w:t>
            </w:r>
          </w:p>
        </w:tc>
        <w:tc>
          <w:tcPr>
            <w:tcW w:w="3220" w:type="pct"/>
            <w:vMerge w:val="continue"/>
            <w:noWrap w:val="0"/>
            <w:vAlign w:val="center"/>
          </w:tcPr>
          <w:p w14:paraId="3AB3D4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4"/>
                <w:sz w:val="21"/>
                <w:szCs w:val="21"/>
                <w14:textFill>
                  <w14:solidFill>
                    <w14:schemeClr w14:val="tx1"/>
                  </w14:solidFill>
                </w14:textFill>
              </w:rPr>
            </w:pPr>
          </w:p>
        </w:tc>
      </w:tr>
      <w:tr w14:paraId="300AB4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34" w:type="pct"/>
            <w:gridSpan w:val="3"/>
            <w:noWrap w:val="0"/>
            <w:vAlign w:val="center"/>
          </w:tcPr>
          <w:p w14:paraId="655E4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24"/>
                <w:sz w:val="21"/>
                <w:szCs w:val="21"/>
                <w14:textFill>
                  <w14:solidFill>
                    <w14:schemeClr w14:val="tx1"/>
                  </w14:solidFill>
                </w14:textFill>
              </w:rPr>
              <w:t>声环境</w:t>
            </w:r>
          </w:p>
        </w:tc>
        <w:tc>
          <w:tcPr>
            <w:tcW w:w="844" w:type="pct"/>
            <w:noWrap w:val="0"/>
            <w:vAlign w:val="center"/>
          </w:tcPr>
          <w:p w14:paraId="1F9F3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color w:val="000000" w:themeColor="text1"/>
                <w:kern w:val="0"/>
                <w:sz w:val="21"/>
                <w:szCs w:val="21"/>
                <w14:textFill>
                  <w14:solidFill>
                    <w14:schemeClr w14:val="tx1"/>
                  </w14:solidFill>
                </w14:textFill>
              </w:rPr>
            </w:pPr>
            <w:r>
              <w:rPr>
                <w:rFonts w:hint="eastAsia" w:ascii="Times New Roman" w:hAnsi="Times New Roman" w:eastAsia="宋体" w:cs="Arial"/>
                <w:color w:val="000000" w:themeColor="text1"/>
                <w:kern w:val="0"/>
                <w:sz w:val="21"/>
                <w:szCs w:val="21"/>
                <w:lang w:val="en-US" w:eastAsia="zh-CN"/>
                <w14:textFill>
                  <w14:solidFill>
                    <w14:schemeClr w14:val="tx1"/>
                  </w14:solidFill>
                </w14:textFill>
              </w:rPr>
              <w:t>二级</w:t>
            </w:r>
          </w:p>
        </w:tc>
        <w:tc>
          <w:tcPr>
            <w:tcW w:w="3220" w:type="pct"/>
            <w:noWrap w:val="0"/>
            <w:vAlign w:val="center"/>
          </w:tcPr>
          <w:p w14:paraId="11665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Arial"/>
                <w:color w:val="000000" w:themeColor="text1"/>
                <w:kern w:val="0"/>
                <w:sz w:val="21"/>
                <w:szCs w:val="21"/>
                <w:lang w:val="en-US" w:eastAsia="zh-CN"/>
                <w14:textFill>
                  <w14:solidFill>
                    <w14:schemeClr w14:val="tx1"/>
                  </w14:solidFill>
                </w14:textFill>
              </w:rPr>
            </w:pPr>
            <w:r>
              <w:rPr>
                <w:rFonts w:hint="default" w:ascii="Times New Roman" w:hAnsi="Times New Roman" w:eastAsia="宋体" w:cs="Arial"/>
                <w:color w:val="000000" w:themeColor="text1"/>
                <w:kern w:val="0"/>
                <w:sz w:val="21"/>
                <w:szCs w:val="21"/>
                <w14:textFill>
                  <w14:solidFill>
                    <w14:schemeClr w14:val="tx1"/>
                  </w14:solidFill>
                </w14:textFill>
              </w:rPr>
              <w:t>选矿厂、尾矿库边界外</w:t>
            </w:r>
            <w:r>
              <w:rPr>
                <w:rFonts w:hint="eastAsia" w:cs="Arial"/>
                <w:color w:val="000000" w:themeColor="text1"/>
                <w:kern w:val="0"/>
                <w:sz w:val="21"/>
                <w:szCs w:val="21"/>
                <w:lang w:val="en-US" w:eastAsia="zh-CN"/>
                <w14:textFill>
                  <w14:solidFill>
                    <w14:schemeClr w14:val="tx1"/>
                  </w14:solidFill>
                </w14:textFill>
              </w:rPr>
              <w:t>50</w:t>
            </w:r>
            <w:r>
              <w:rPr>
                <w:rFonts w:hint="default" w:ascii="Times New Roman" w:hAnsi="Times New Roman" w:eastAsia="宋体" w:cs="Arial"/>
                <w:color w:val="000000" w:themeColor="text1"/>
                <w:kern w:val="0"/>
                <w:sz w:val="21"/>
                <w:szCs w:val="21"/>
                <w14:textFill>
                  <w14:solidFill>
                    <w14:schemeClr w14:val="tx1"/>
                  </w14:solidFill>
                </w14:textFill>
              </w:rPr>
              <w:t>m范围</w:t>
            </w:r>
            <w:r>
              <w:rPr>
                <w:rFonts w:hint="eastAsia" w:ascii="Times New Roman" w:hAnsi="Times New Roman" w:eastAsia="宋体" w:cs="Arial"/>
                <w:color w:val="000000" w:themeColor="text1"/>
                <w:kern w:val="0"/>
                <w:sz w:val="21"/>
                <w:szCs w:val="21"/>
                <w:lang w:val="en-US" w:eastAsia="zh-CN"/>
                <w14:textFill>
                  <w14:solidFill>
                    <w14:schemeClr w14:val="tx1"/>
                  </w14:solidFill>
                </w14:textFill>
              </w:rPr>
              <w:t>内</w:t>
            </w:r>
          </w:p>
        </w:tc>
      </w:tr>
      <w:tr w14:paraId="08CE7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34" w:type="pct"/>
            <w:gridSpan w:val="3"/>
            <w:noWrap w:val="0"/>
            <w:vAlign w:val="center"/>
          </w:tcPr>
          <w:p w14:paraId="27E429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4"/>
                <w:sz w:val="21"/>
                <w:szCs w:val="21"/>
                <w14:textFill>
                  <w14:solidFill>
                    <w14:schemeClr w14:val="tx1"/>
                  </w14:solidFill>
                </w14:textFill>
              </w:rPr>
            </w:pPr>
            <w:r>
              <w:rPr>
                <w:rFonts w:hint="eastAsia" w:ascii="Times New Roman" w:hAnsi="Times New Roman" w:eastAsia="宋体" w:cs="Times New Roman"/>
                <w:color w:val="000000" w:themeColor="text1"/>
                <w:kern w:val="24"/>
                <w:sz w:val="21"/>
                <w:szCs w:val="21"/>
                <w14:textFill>
                  <w14:solidFill>
                    <w14:schemeClr w14:val="tx1"/>
                  </w14:solidFill>
                </w14:textFill>
              </w:rPr>
              <w:t>土壤环境</w:t>
            </w:r>
          </w:p>
        </w:tc>
        <w:tc>
          <w:tcPr>
            <w:tcW w:w="844" w:type="pct"/>
            <w:noWrap w:val="0"/>
            <w:vAlign w:val="center"/>
          </w:tcPr>
          <w:p w14:paraId="4612D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4"/>
                <w:sz w:val="21"/>
                <w:szCs w:val="21"/>
                <w14:textFill>
                  <w14:solidFill>
                    <w14:schemeClr w14:val="tx1"/>
                  </w14:solidFill>
                </w14:textFill>
              </w:rPr>
            </w:pPr>
            <w:r>
              <w:rPr>
                <w:rFonts w:hint="eastAsia" w:ascii="Times New Roman" w:hAnsi="Times New Roman" w:eastAsia="宋体" w:cs="Arial"/>
                <w:color w:val="000000" w:themeColor="text1"/>
                <w:kern w:val="0"/>
                <w:sz w:val="21"/>
                <w:szCs w:val="21"/>
                <w:lang w:val="en-US" w:eastAsia="zh-CN"/>
                <w14:textFill>
                  <w14:solidFill>
                    <w14:schemeClr w14:val="tx1"/>
                  </w14:solidFill>
                </w14:textFill>
              </w:rPr>
              <w:t>二级</w:t>
            </w:r>
          </w:p>
        </w:tc>
        <w:tc>
          <w:tcPr>
            <w:tcW w:w="3220" w:type="pct"/>
            <w:noWrap w:val="0"/>
            <w:vAlign w:val="center"/>
          </w:tcPr>
          <w:p w14:paraId="6FB0B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Arial"/>
                <w:color w:val="000000" w:themeColor="text1"/>
                <w:kern w:val="0"/>
                <w:sz w:val="21"/>
                <w:szCs w:val="21"/>
                <w14:textFill>
                  <w14:solidFill>
                    <w14:schemeClr w14:val="tx1"/>
                  </w14:solidFill>
                </w14:textFill>
              </w:rPr>
            </w:pPr>
            <w:r>
              <w:rPr>
                <w:rFonts w:hint="eastAsia" w:ascii="Times New Roman" w:hAnsi="Times New Roman" w:eastAsia="宋体" w:cs="Arial"/>
                <w:color w:val="000000" w:themeColor="text1"/>
                <w:kern w:val="0"/>
                <w:sz w:val="21"/>
                <w:szCs w:val="21"/>
                <w14:textFill>
                  <w14:solidFill>
                    <w14:schemeClr w14:val="tx1"/>
                  </w14:solidFill>
                </w14:textFill>
              </w:rPr>
              <w:t>选矿厂、尾矿库及边界外</w:t>
            </w:r>
            <w:r>
              <w:rPr>
                <w:rFonts w:hint="eastAsia" w:cs="Arial"/>
                <w:color w:val="000000" w:themeColor="text1"/>
                <w:kern w:val="0"/>
                <w:sz w:val="21"/>
                <w:szCs w:val="21"/>
                <w:lang w:val="en-US" w:eastAsia="zh-CN"/>
                <w14:textFill>
                  <w14:solidFill>
                    <w14:schemeClr w14:val="tx1"/>
                  </w14:solidFill>
                </w14:textFill>
              </w:rPr>
              <w:t>200</w:t>
            </w:r>
            <w:r>
              <w:rPr>
                <w:rFonts w:hint="eastAsia" w:ascii="Times New Roman" w:hAnsi="Times New Roman" w:eastAsia="宋体" w:cs="Arial"/>
                <w:color w:val="000000" w:themeColor="text1"/>
                <w:kern w:val="0"/>
                <w:sz w:val="21"/>
                <w:szCs w:val="21"/>
                <w14:textFill>
                  <w14:solidFill>
                    <w14:schemeClr w14:val="tx1"/>
                  </w14:solidFill>
                </w14:textFill>
              </w:rPr>
              <w:t>m范围内</w:t>
            </w:r>
          </w:p>
        </w:tc>
      </w:tr>
      <w:tr w14:paraId="0A207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34" w:type="pct"/>
            <w:gridSpan w:val="3"/>
            <w:noWrap w:val="0"/>
            <w:vAlign w:val="center"/>
          </w:tcPr>
          <w:p w14:paraId="7FEE99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kern w:val="24"/>
                <w:sz w:val="21"/>
                <w:szCs w:val="21"/>
                <w14:textFill>
                  <w14:solidFill>
                    <w14:schemeClr w14:val="tx1"/>
                  </w14:solidFill>
                </w14:textFill>
              </w:rPr>
              <w:t>生态</w:t>
            </w:r>
          </w:p>
        </w:tc>
        <w:tc>
          <w:tcPr>
            <w:tcW w:w="844" w:type="pct"/>
            <w:noWrap w:val="0"/>
            <w:vAlign w:val="center"/>
          </w:tcPr>
          <w:p w14:paraId="7084D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Arial"/>
                <w:color w:val="000000" w:themeColor="text1"/>
                <w:kern w:val="0"/>
                <w:sz w:val="21"/>
                <w:szCs w:val="21"/>
                <w14:textFill>
                  <w14:solidFill>
                    <w14:schemeClr w14:val="tx1"/>
                  </w14:solidFill>
                </w14:textFill>
              </w:rPr>
            </w:pPr>
            <w:r>
              <w:rPr>
                <w:rFonts w:hint="eastAsia" w:ascii="Times New Roman" w:hAnsi="Times New Roman" w:eastAsia="宋体" w:cs="Arial"/>
                <w:color w:val="000000" w:themeColor="text1"/>
                <w:kern w:val="0"/>
                <w:sz w:val="21"/>
                <w:szCs w:val="21"/>
                <w:lang w:val="en-US" w:eastAsia="zh-CN"/>
                <w14:textFill>
                  <w14:solidFill>
                    <w14:schemeClr w14:val="tx1"/>
                  </w14:solidFill>
                </w14:textFill>
              </w:rPr>
              <w:t>三级</w:t>
            </w:r>
          </w:p>
        </w:tc>
        <w:tc>
          <w:tcPr>
            <w:tcW w:w="3220" w:type="pct"/>
            <w:noWrap w:val="0"/>
            <w:vAlign w:val="center"/>
          </w:tcPr>
          <w:p w14:paraId="62559D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Arial"/>
                <w:color w:val="000000" w:themeColor="text1"/>
                <w:kern w:val="0"/>
                <w:sz w:val="21"/>
                <w:szCs w:val="21"/>
                <w:lang w:eastAsia="zh-CN"/>
                <w14:textFill>
                  <w14:solidFill>
                    <w14:schemeClr w14:val="tx1"/>
                  </w14:solidFill>
                </w14:textFill>
              </w:rPr>
            </w:pPr>
            <w:r>
              <w:rPr>
                <w:rFonts w:hint="eastAsia" w:ascii="Times New Roman" w:hAnsi="Times New Roman" w:eastAsia="宋体" w:cs="Arial"/>
                <w:color w:val="000000" w:themeColor="text1"/>
                <w:kern w:val="0"/>
                <w:sz w:val="21"/>
                <w:szCs w:val="21"/>
                <w:lang w:eastAsia="zh-CN"/>
                <w14:textFill>
                  <w14:solidFill>
                    <w14:schemeClr w14:val="tx1"/>
                  </w14:solidFill>
                </w14:textFill>
              </w:rPr>
              <w:t>尾矿库、选矿厂边界外延500m</w:t>
            </w:r>
            <w:r>
              <w:rPr>
                <w:rFonts w:hint="default" w:ascii="Times New Roman" w:hAnsi="Times New Roman" w:eastAsia="宋体" w:cs="Arial"/>
                <w:color w:val="000000" w:themeColor="text1"/>
                <w:kern w:val="0"/>
                <w:sz w:val="21"/>
                <w:szCs w:val="21"/>
                <w14:textFill>
                  <w14:solidFill>
                    <w14:schemeClr w14:val="tx1"/>
                  </w14:solidFill>
                </w14:textFill>
              </w:rPr>
              <w:t>范围</w:t>
            </w:r>
            <w:r>
              <w:rPr>
                <w:rFonts w:hint="eastAsia" w:ascii="Times New Roman" w:hAnsi="Times New Roman" w:eastAsia="宋体" w:cs="Arial"/>
                <w:color w:val="000000" w:themeColor="text1"/>
                <w:kern w:val="0"/>
                <w:sz w:val="21"/>
                <w:szCs w:val="21"/>
                <w:lang w:val="en-US" w:eastAsia="zh-CN"/>
                <w14:textFill>
                  <w14:solidFill>
                    <w14:schemeClr w14:val="tx1"/>
                  </w14:solidFill>
                </w14:textFill>
              </w:rPr>
              <w:t>内</w:t>
            </w:r>
          </w:p>
        </w:tc>
      </w:tr>
      <w:tr w14:paraId="45233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Merge w:val="restart"/>
            <w:noWrap w:val="0"/>
            <w:vAlign w:val="center"/>
          </w:tcPr>
          <w:p w14:paraId="6458D5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4"/>
                <w:sz w:val="21"/>
                <w:szCs w:val="21"/>
                <w14:textFill>
                  <w14:solidFill>
                    <w14:schemeClr w14:val="tx1"/>
                  </w14:solidFill>
                </w14:textFill>
              </w:rPr>
            </w:pPr>
            <w:r>
              <w:rPr>
                <w:rFonts w:hint="eastAsia" w:ascii="Times New Roman" w:hAnsi="Times New Roman" w:eastAsia="宋体" w:cs="Times New Roman"/>
                <w:color w:val="000000" w:themeColor="text1"/>
                <w:kern w:val="24"/>
                <w:sz w:val="21"/>
                <w:szCs w:val="21"/>
                <w14:textFill>
                  <w14:solidFill>
                    <w14:schemeClr w14:val="tx1"/>
                  </w14:solidFill>
                </w14:textFill>
              </w:rPr>
              <w:t>环境风险</w:t>
            </w:r>
          </w:p>
        </w:tc>
        <w:tc>
          <w:tcPr>
            <w:tcW w:w="568" w:type="pct"/>
            <w:gridSpan w:val="2"/>
            <w:noWrap w:val="0"/>
            <w:vAlign w:val="center"/>
          </w:tcPr>
          <w:p w14:paraId="14220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4"/>
                <w:sz w:val="21"/>
                <w:szCs w:val="21"/>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14:textFill>
                  <w14:solidFill>
                    <w14:schemeClr w14:val="tx1"/>
                  </w14:solidFill>
                </w14:textFill>
              </w:rPr>
              <w:t>选矿厂</w:t>
            </w:r>
          </w:p>
        </w:tc>
        <w:tc>
          <w:tcPr>
            <w:tcW w:w="844" w:type="pct"/>
            <w:noWrap w:val="0"/>
            <w:vAlign w:val="center"/>
          </w:tcPr>
          <w:p w14:paraId="7A0F8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14:textFill>
                  <w14:solidFill>
                    <w14:schemeClr w14:val="tx1"/>
                  </w14:solidFill>
                </w14:textFill>
              </w:rPr>
              <w:t>简单分析</w:t>
            </w:r>
          </w:p>
        </w:tc>
        <w:tc>
          <w:tcPr>
            <w:tcW w:w="3220" w:type="pct"/>
            <w:noWrap w:val="0"/>
            <w:vAlign w:val="center"/>
          </w:tcPr>
          <w:p w14:paraId="0D35B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4"/>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14:textFill>
                  <w14:solidFill>
                    <w14:schemeClr w14:val="tx1"/>
                  </w14:solidFill>
                </w14:textFill>
              </w:rPr>
              <w:t>不设置</w:t>
            </w:r>
          </w:p>
        </w:tc>
      </w:tr>
      <w:tr w14:paraId="266AF2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Merge w:val="continue"/>
            <w:noWrap w:val="0"/>
            <w:vAlign w:val="center"/>
          </w:tcPr>
          <w:p w14:paraId="293EE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4"/>
                <w:sz w:val="21"/>
                <w:szCs w:val="21"/>
                <w14:textFill>
                  <w14:solidFill>
                    <w14:schemeClr w14:val="tx1"/>
                  </w14:solidFill>
                </w14:textFill>
              </w:rPr>
            </w:pPr>
          </w:p>
        </w:tc>
        <w:tc>
          <w:tcPr>
            <w:tcW w:w="568" w:type="pct"/>
            <w:gridSpan w:val="2"/>
            <w:noWrap w:val="0"/>
            <w:vAlign w:val="center"/>
          </w:tcPr>
          <w:p w14:paraId="6D77BB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4"/>
                <w:sz w:val="21"/>
                <w:szCs w:val="21"/>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14:textFill>
                  <w14:solidFill>
                    <w14:schemeClr w14:val="tx1"/>
                  </w14:solidFill>
                </w14:textFill>
              </w:rPr>
              <w:t>尾矿库</w:t>
            </w:r>
          </w:p>
        </w:tc>
        <w:tc>
          <w:tcPr>
            <w:tcW w:w="844" w:type="pct"/>
            <w:noWrap w:val="0"/>
            <w:vAlign w:val="center"/>
          </w:tcPr>
          <w:p w14:paraId="4CDC1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4"/>
                <w:sz w:val="21"/>
                <w:szCs w:val="21"/>
                <w:lang w:val="en-US" w:eastAsia="zh-CN"/>
                <w14:textFill>
                  <w14:solidFill>
                    <w14:schemeClr w14:val="tx1"/>
                  </w14:solidFill>
                </w14:textFill>
              </w:rPr>
              <w:t>一般（H3S3R3）</w:t>
            </w:r>
          </w:p>
        </w:tc>
        <w:tc>
          <w:tcPr>
            <w:tcW w:w="3220" w:type="pct"/>
            <w:noWrap w:val="0"/>
            <w:vAlign w:val="center"/>
          </w:tcPr>
          <w:p w14:paraId="226EEC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kern w:val="24"/>
                <w:sz w:val="21"/>
                <w:szCs w:val="21"/>
                <w14:textFill>
                  <w14:solidFill>
                    <w14:schemeClr w14:val="tx1"/>
                  </w14:solidFill>
                </w14:textFill>
              </w:rPr>
            </w:pPr>
            <w:r>
              <w:rPr>
                <w:rFonts w:hint="eastAsia" w:ascii="Times New Roman" w:hAnsi="Times New Roman" w:eastAsia="宋体" w:cs="Times New Roman"/>
                <w:color w:val="000000" w:themeColor="text1"/>
                <w:kern w:val="24"/>
                <w:sz w:val="21"/>
                <w:szCs w:val="21"/>
                <w14:textFill>
                  <w14:solidFill>
                    <w14:schemeClr w14:val="tx1"/>
                  </w14:solidFill>
                </w14:textFill>
              </w:rPr>
              <w:t>尾矿库及下游</w:t>
            </w:r>
            <w:r>
              <w:rPr>
                <w:rFonts w:hint="eastAsia" w:cs="Times New Roman"/>
                <w:color w:val="000000" w:themeColor="text1"/>
                <w:kern w:val="24"/>
                <w:sz w:val="21"/>
                <w:szCs w:val="21"/>
                <w:lang w:val="en-US" w:eastAsia="zh-CN"/>
                <w14:textFill>
                  <w14:solidFill>
                    <w14:schemeClr w14:val="tx1"/>
                  </w14:solidFill>
                </w14:textFill>
              </w:rPr>
              <w:t>2400</w:t>
            </w:r>
            <w:r>
              <w:rPr>
                <w:rFonts w:hint="eastAsia" w:ascii="Times New Roman" w:hAnsi="Times New Roman" w:eastAsia="宋体" w:cs="Times New Roman"/>
                <w:color w:val="000000" w:themeColor="text1"/>
                <w:kern w:val="24"/>
                <w:sz w:val="21"/>
                <w:szCs w:val="21"/>
                <w14:textFill>
                  <w14:solidFill>
                    <w14:schemeClr w14:val="tx1"/>
                  </w14:solidFill>
                </w14:textFill>
              </w:rPr>
              <w:t>m范围</w:t>
            </w:r>
            <w:r>
              <w:rPr>
                <w:rFonts w:hint="eastAsia" w:ascii="Times New Roman" w:hAnsi="Times New Roman" w:eastAsia="宋体" w:cs="Arial"/>
                <w:color w:val="000000" w:themeColor="text1"/>
                <w:kern w:val="0"/>
                <w:sz w:val="21"/>
                <w:szCs w:val="21"/>
                <w14:textFill>
                  <w14:solidFill>
                    <w14:schemeClr w14:val="tx1"/>
                  </w14:solidFill>
                </w14:textFill>
              </w:rPr>
              <w:t>内</w:t>
            </w:r>
          </w:p>
        </w:tc>
      </w:tr>
    </w:tbl>
    <w:p w14:paraId="17C4F1EF">
      <w:pPr>
        <w:pStyle w:val="3"/>
        <w:rPr>
          <w:color w:val="000000" w:themeColor="text1"/>
          <w:highlight w:val="none"/>
          <w14:textFill>
            <w14:solidFill>
              <w14:schemeClr w14:val="tx1"/>
            </w14:solidFill>
          </w14:textFill>
        </w:rPr>
      </w:pPr>
      <w:bookmarkStart w:id="274" w:name="_Toc13137"/>
      <w:bookmarkStart w:id="275" w:name="_Toc29172"/>
      <w:bookmarkStart w:id="276" w:name="_Toc5734"/>
      <w:bookmarkStart w:id="277" w:name="_Toc22576"/>
      <w:bookmarkStart w:id="278" w:name="_Toc24597"/>
      <w:bookmarkStart w:id="279" w:name="_Toc14359"/>
      <w:bookmarkStart w:id="280" w:name="_Toc2244"/>
      <w:bookmarkStart w:id="281" w:name="_Toc24725"/>
      <w:bookmarkStart w:id="282" w:name="_Toc107414650"/>
      <w:bookmarkStart w:id="283" w:name="_Toc30962"/>
      <w:bookmarkStart w:id="284" w:name="_Toc107413883"/>
      <w:bookmarkStart w:id="285" w:name="_Toc608"/>
      <w:bookmarkStart w:id="286" w:name="_Toc8160"/>
      <w:bookmarkStart w:id="287" w:name="_Toc345"/>
      <w:bookmarkStart w:id="288" w:name="_Toc2877"/>
      <w:bookmarkStart w:id="289" w:name="_Toc844"/>
      <w:bookmarkStart w:id="290" w:name="_Toc8946"/>
      <w:bookmarkStart w:id="291" w:name="_Toc27638"/>
      <w:bookmarkStart w:id="292" w:name="_Toc25882"/>
      <w:r>
        <w:rPr>
          <w:color w:val="000000" w:themeColor="text1"/>
          <w:highlight w:val="none"/>
          <w14:textFill>
            <w14:solidFill>
              <w14:schemeClr w14:val="tx1"/>
            </w14:solidFill>
          </w14:textFill>
        </w:rPr>
        <w:t>2.7</w:t>
      </w:r>
      <w:bookmarkEnd w:id="258"/>
      <w:bookmarkEnd w:id="259"/>
      <w:bookmarkEnd w:id="260"/>
      <w:bookmarkEnd w:id="261"/>
      <w:bookmarkEnd w:id="262"/>
      <w:bookmarkEnd w:id="263"/>
      <w:bookmarkEnd w:id="264"/>
      <w:r>
        <w:rPr>
          <w:color w:val="000000" w:themeColor="text1"/>
          <w:highlight w:val="none"/>
          <w14:textFill>
            <w14:solidFill>
              <w14:schemeClr w14:val="tx1"/>
            </w14:solidFill>
          </w14:textFill>
        </w:rPr>
        <w:t>评价重点</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CB2371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根据项目区周边自然环境概况和环境质量现状，结合建设项目环境影响识别与评价因子的筛选结果，确定本次评价工作重点为：在工程分析的基础上，</w:t>
      </w:r>
      <w:r>
        <w:rPr>
          <w:color w:val="000000" w:themeColor="text1"/>
          <w:kern w:val="0"/>
          <w:highlight w:val="none"/>
          <w14:textFill>
            <w14:solidFill>
              <w14:schemeClr w14:val="tx1"/>
            </w14:solidFill>
          </w14:textFill>
        </w:rPr>
        <w:t>以环境空气预测与影响分析、固体废物处理处置分析、环境风险分析、选址合理性分析</w:t>
      </w:r>
      <w:r>
        <w:rPr>
          <w:color w:val="000000" w:themeColor="text1"/>
          <w:highlight w:val="none"/>
          <w14:textFill>
            <w14:solidFill>
              <w14:schemeClr w14:val="tx1"/>
            </w14:solidFill>
          </w14:textFill>
        </w:rPr>
        <w:t>，同时关注影响范围内公众对本项目的意见和建议。</w:t>
      </w:r>
    </w:p>
    <w:p w14:paraId="7BCC7B97">
      <w:pPr>
        <w:pStyle w:val="3"/>
        <w:rPr>
          <w:color w:val="000000" w:themeColor="text1"/>
          <w:highlight w:val="none"/>
          <w14:textFill>
            <w14:solidFill>
              <w14:schemeClr w14:val="tx1"/>
            </w14:solidFill>
          </w14:textFill>
        </w:rPr>
      </w:pPr>
      <w:bookmarkStart w:id="293" w:name="_Toc1768"/>
      <w:bookmarkStart w:id="294" w:name="_Toc484105092"/>
      <w:bookmarkStart w:id="295" w:name="_Toc6410"/>
      <w:bookmarkStart w:id="296" w:name="_Toc2971"/>
      <w:bookmarkStart w:id="297" w:name="_Toc13331"/>
      <w:bookmarkStart w:id="298" w:name="_Toc18270"/>
      <w:bookmarkStart w:id="299" w:name="_Toc32291"/>
      <w:bookmarkStart w:id="300" w:name="_Toc23105"/>
      <w:bookmarkStart w:id="301" w:name="_Toc30976"/>
      <w:bookmarkStart w:id="302" w:name="_Toc15615"/>
      <w:bookmarkStart w:id="303" w:name="_Toc5384"/>
      <w:bookmarkStart w:id="304" w:name="_Toc493523096"/>
      <w:bookmarkStart w:id="305" w:name="_Toc26798"/>
      <w:bookmarkStart w:id="306" w:name="_Toc31751"/>
      <w:bookmarkStart w:id="307" w:name="_Toc107414651"/>
      <w:bookmarkStart w:id="308" w:name="_Toc15606"/>
      <w:bookmarkStart w:id="309" w:name="_Toc1979"/>
      <w:bookmarkStart w:id="310" w:name="_Toc107413884"/>
      <w:bookmarkStart w:id="311" w:name="_Toc3493"/>
      <w:bookmarkStart w:id="312" w:name="_Toc20394"/>
      <w:bookmarkStart w:id="313" w:name="_Toc10016"/>
      <w:bookmarkStart w:id="314" w:name="_Toc26918"/>
      <w:bookmarkStart w:id="315" w:name="_Toc2585"/>
      <w:r>
        <w:rPr>
          <w:color w:val="000000" w:themeColor="text1"/>
          <w:highlight w:val="none"/>
          <w14:textFill>
            <w14:solidFill>
              <w14:schemeClr w14:val="tx1"/>
            </w14:solidFill>
          </w14:textFill>
        </w:rPr>
        <w:t>2.8主要环境保护目标和环境敏感目标</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29659615">
      <w:pPr>
        <w:pStyle w:val="4"/>
        <w:rPr>
          <w:color w:val="000000" w:themeColor="text1"/>
          <w:highlight w:val="none"/>
          <w14:textFill>
            <w14:solidFill>
              <w14:schemeClr w14:val="tx1"/>
            </w14:solidFill>
          </w14:textFill>
        </w:rPr>
      </w:pPr>
      <w:bookmarkStart w:id="316" w:name="_Toc18437"/>
      <w:bookmarkStart w:id="317" w:name="_Toc10590"/>
      <w:bookmarkStart w:id="318" w:name="_Toc1182"/>
      <w:bookmarkStart w:id="319" w:name="_Toc22431"/>
      <w:bookmarkStart w:id="320" w:name="_Toc3084"/>
      <w:bookmarkStart w:id="321" w:name="_Toc6584"/>
      <w:bookmarkStart w:id="322" w:name="_Toc12567"/>
      <w:bookmarkStart w:id="323" w:name="_Toc4199"/>
      <w:bookmarkStart w:id="324" w:name="_Toc1019"/>
      <w:r>
        <w:rPr>
          <w:color w:val="000000" w:themeColor="text1"/>
          <w:highlight w:val="none"/>
          <w14:textFill>
            <w14:solidFill>
              <w14:schemeClr w14:val="tx1"/>
            </w14:solidFill>
          </w14:textFill>
        </w:rPr>
        <w:t>2.8.1主要环境保护目标</w:t>
      </w:r>
      <w:bookmarkEnd w:id="316"/>
      <w:bookmarkEnd w:id="317"/>
      <w:bookmarkEnd w:id="318"/>
      <w:bookmarkEnd w:id="319"/>
      <w:bookmarkEnd w:id="320"/>
      <w:bookmarkEnd w:id="321"/>
      <w:bookmarkEnd w:id="322"/>
      <w:bookmarkEnd w:id="323"/>
      <w:bookmarkEnd w:id="324"/>
    </w:p>
    <w:p w14:paraId="5543CAE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（1）大气环境</w:t>
      </w:r>
    </w:p>
    <w:p w14:paraId="08050D24">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保护评价区环境空气，保证不因本项目而降低区域环境空气质量现状级别</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《环境空气质量标准》（GB3095-20</w:t>
      </w:r>
      <w:r>
        <w:rPr>
          <w:rFonts w:hint="eastAsia"/>
          <w:color w:val="000000" w:themeColor="text1"/>
          <w:highlight w:val="none"/>
          <w:lang w:val="en-US" w:eastAsia="zh-CN"/>
          <w14:textFill>
            <w14:solidFill>
              <w14:schemeClr w14:val="tx1"/>
            </w14:solidFill>
          </w14:textFill>
        </w:rPr>
        <w:t>26</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过渡阶段</w:t>
      </w:r>
      <w:r>
        <w:rPr>
          <w:color w:val="000000" w:themeColor="text1"/>
          <w:highlight w:val="none"/>
          <w14:textFill>
            <w14:solidFill>
              <w14:schemeClr w14:val="tx1"/>
            </w14:solidFill>
          </w14:textFill>
        </w:rPr>
        <w:t>二级</w:t>
      </w:r>
      <w:r>
        <w:rPr>
          <w:rFonts w:hint="eastAsia"/>
          <w:color w:val="000000" w:themeColor="text1"/>
          <w:highlight w:val="none"/>
          <w:lang w:val="en-US" w:eastAsia="zh-CN"/>
          <w14:textFill>
            <w14:solidFill>
              <w14:schemeClr w14:val="tx1"/>
            </w14:solidFill>
          </w14:textFill>
        </w:rPr>
        <w:t>浓度限值</w:t>
      </w:r>
      <w:r>
        <w:rPr>
          <w:color w:val="000000" w:themeColor="text1"/>
          <w:highlight w:val="none"/>
          <w14:textFill>
            <w14:solidFill>
              <w14:schemeClr w14:val="tx1"/>
            </w14:solidFill>
          </w14:textFill>
        </w:rPr>
        <w:t>。应确保评价区域内的大气环境质量不受本项目排放大气污染物的明显影响。</w:t>
      </w:r>
    </w:p>
    <w:p w14:paraId="28F4E4FC">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（2）水环境</w:t>
      </w:r>
    </w:p>
    <w:p w14:paraId="0160490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经现场踏勘，评价区域及周边无地表水体。水环境保护目标为</w:t>
      </w:r>
      <w:r>
        <w:rPr>
          <w:color w:val="000000" w:themeColor="text1"/>
          <w:highlight w:val="none"/>
          <w14:textFill>
            <w14:solidFill>
              <w14:schemeClr w14:val="tx1"/>
            </w14:solidFill>
          </w14:textFill>
        </w:rPr>
        <w:t>保护矿区上游及下游区域地下水水质，保证不因</w:t>
      </w:r>
      <w:r>
        <w:rPr>
          <w:rFonts w:hint="eastAsia"/>
          <w:color w:val="000000" w:themeColor="text1"/>
          <w:highlight w:val="none"/>
          <w:lang w:eastAsia="zh-CN"/>
          <w14:textFill>
            <w14:solidFill>
              <w14:schemeClr w14:val="tx1"/>
            </w14:solidFill>
          </w14:textFill>
        </w:rPr>
        <w:t>本项目</w:t>
      </w:r>
      <w:r>
        <w:rPr>
          <w:color w:val="000000" w:themeColor="text1"/>
          <w:highlight w:val="none"/>
          <w14:textFill>
            <w14:solidFill>
              <w14:schemeClr w14:val="tx1"/>
            </w14:solidFill>
          </w14:textFill>
        </w:rPr>
        <w:t>而降低区域地下水环境质量现状级别《地下水质量标准》（GB/T14848-2017）</w:t>
      </w:r>
      <w:r>
        <w:rPr>
          <w:rFonts w:hint="default" w:ascii="Times New Roman" w:hAnsi="Times New Roman" w:eastAsia="宋体" w:cs="Times New Roman"/>
          <w:bCs/>
          <w:color w:val="000000" w:themeColor="text1"/>
          <w:kern w:val="0"/>
          <w:szCs w:val="16"/>
          <w:highlight w:val="none"/>
          <w:lang w:eastAsia="zh-CN"/>
          <w14:textFill>
            <w14:solidFill>
              <w14:schemeClr w14:val="tx1"/>
            </w14:solidFill>
          </w14:textFill>
        </w:rPr>
        <w:t>III</w:t>
      </w:r>
      <w:r>
        <w:rPr>
          <w:color w:val="000000" w:themeColor="text1"/>
          <w:highlight w:val="none"/>
          <w14:textFill>
            <w14:solidFill>
              <w14:schemeClr w14:val="tx1"/>
            </w14:solidFill>
          </w14:textFill>
        </w:rPr>
        <w:t>类标准。</w:t>
      </w:r>
    </w:p>
    <w:p w14:paraId="09D0F37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）声环境</w:t>
      </w:r>
    </w:p>
    <w:p w14:paraId="4E9B22B8">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控制厂界噪声满足《工业企业厂界环境噪声排放标准》（GB12348-2008）中</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类标准。确保本项目区域声环境依旧满足《声环境质量标准》（GB3096-2008）中的</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类区要求。</w:t>
      </w:r>
    </w:p>
    <w:p w14:paraId="0E694089">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）土壤环境</w:t>
      </w:r>
    </w:p>
    <w:p w14:paraId="37CD3A1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保护项目区域土壤环境，保证不因本项目而降低区域土壤环境质量现状</w:t>
      </w:r>
      <w:r>
        <w:rPr>
          <w:rFonts w:hint="eastAsia"/>
          <w:color w:val="000000" w:themeColor="text1"/>
          <w:highlight w:val="none"/>
          <w14:textFill>
            <w14:solidFill>
              <w14:schemeClr w14:val="tx1"/>
            </w14:solidFill>
          </w14:textFill>
        </w:rPr>
        <w:t>——项目区内</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外</w:t>
      </w:r>
      <w:r>
        <w:rPr>
          <w:rFonts w:hint="eastAsia"/>
          <w:color w:val="000000" w:themeColor="text1"/>
          <w:highlight w:val="none"/>
          <w14:textFill>
            <w14:solidFill>
              <w14:schemeClr w14:val="tx1"/>
            </w14:solidFill>
          </w14:textFill>
        </w:rPr>
        <w:t>土壤环境质量满足</w:t>
      </w:r>
      <w:r>
        <w:rPr>
          <w:color w:val="000000" w:themeColor="text1"/>
          <w:highlight w:val="none"/>
          <w14:textFill>
            <w14:solidFill>
              <w14:schemeClr w14:val="tx1"/>
            </w14:solidFill>
          </w14:textFill>
        </w:rPr>
        <w:t>《土壤环境质量</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建设用地土壤污染风险管控标准（试行）》（GB36600-2018）的第二类筛选值标准</w:t>
      </w:r>
      <w:r>
        <w:rPr>
          <w:rFonts w:hint="eastAsia"/>
          <w:color w:val="000000" w:themeColor="text1"/>
          <w:spacing w:val="-1"/>
          <w:highlight w:val="none"/>
          <w14:textFill>
            <w14:solidFill>
              <w14:schemeClr w14:val="tx1"/>
            </w14:solidFill>
          </w14:textFill>
        </w:rPr>
        <w:t>。</w:t>
      </w:r>
    </w:p>
    <w:p w14:paraId="3D7F3FF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）环境风险保护目标</w:t>
      </w:r>
    </w:p>
    <w:p w14:paraId="02D7CDE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降低环境风险发生概率，保证环境风险发生时能够得到及时控制，保护选厂办公生活区人员</w:t>
      </w:r>
      <w:r>
        <w:rPr>
          <w:rFonts w:hint="eastAsia"/>
          <w:color w:val="000000" w:themeColor="text1"/>
          <w:highlight w:val="none"/>
          <w14:textFill>
            <w14:solidFill>
              <w14:schemeClr w14:val="tx1"/>
            </w14:solidFill>
          </w14:textFill>
        </w:rPr>
        <w:t>，降低事故状态下对区域地表水质量的影响。</w:t>
      </w:r>
    </w:p>
    <w:p w14:paraId="1729B295">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）生态</w:t>
      </w:r>
      <w:r>
        <w:rPr>
          <w:rFonts w:hint="eastAsia"/>
          <w:color w:val="000000" w:themeColor="text1"/>
          <w:highlight w:val="none"/>
          <w14:textFill>
            <w14:solidFill>
              <w14:schemeClr w14:val="tx1"/>
            </w14:solidFill>
          </w14:textFill>
        </w:rPr>
        <w:t>环境</w:t>
      </w:r>
    </w:p>
    <w:p w14:paraId="64102C94">
      <w:pPr>
        <w:overflowPunct w:val="0"/>
        <w:topLinePunct/>
        <w:ind w:firstLine="480"/>
        <w:rPr>
          <w:color w:val="000000" w:themeColor="text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保护区域水源涵养、生物多样性，</w:t>
      </w:r>
      <w:r>
        <w:rPr>
          <w:rFonts w:hint="eastAsia"/>
          <w:color w:val="000000" w:themeColor="text1"/>
          <w:highlight w:val="none"/>
          <w14:textFill>
            <w14:solidFill>
              <w14:schemeClr w14:val="tx1"/>
            </w14:solidFill>
          </w14:textFill>
        </w:rPr>
        <w:t>维持区域生态功能，将生态环境影响降低到最小；</w:t>
      </w:r>
      <w:r>
        <w:rPr>
          <w:color w:val="000000" w:themeColor="text1"/>
          <w:highlight w:val="none"/>
          <w14:textFill>
            <w14:solidFill>
              <w14:schemeClr w14:val="tx1"/>
            </w14:solidFill>
          </w14:textFill>
        </w:rPr>
        <w:t>保护项目区</w:t>
      </w:r>
      <w:r>
        <w:rPr>
          <w:bCs/>
          <w:color w:val="000000" w:themeColor="text1"/>
          <w:kern w:val="0"/>
          <w:szCs w:val="21"/>
          <w:highlight w:val="none"/>
          <w14:textFill>
            <w14:solidFill>
              <w14:schemeClr w14:val="tx1"/>
            </w14:solidFill>
          </w14:textFill>
        </w:rPr>
        <w:t>地表植被、</w:t>
      </w:r>
      <w:r>
        <w:rPr>
          <w:rFonts w:hint="eastAsia"/>
          <w:bCs/>
          <w:color w:val="000000" w:themeColor="text1"/>
          <w:kern w:val="0"/>
          <w:szCs w:val="21"/>
          <w:highlight w:val="none"/>
          <w14:textFill>
            <w14:solidFill>
              <w14:schemeClr w14:val="tx1"/>
            </w14:solidFill>
          </w14:textFill>
        </w:rPr>
        <w:t>动物、</w:t>
      </w:r>
      <w:r>
        <w:rPr>
          <w:bCs/>
          <w:color w:val="000000" w:themeColor="text1"/>
          <w:kern w:val="0"/>
          <w:szCs w:val="21"/>
          <w:highlight w:val="none"/>
          <w14:textFill>
            <w14:solidFill>
              <w14:schemeClr w14:val="tx1"/>
            </w14:solidFill>
          </w14:textFill>
        </w:rPr>
        <w:t>土壤</w:t>
      </w:r>
      <w:r>
        <w:rPr>
          <w:color w:val="000000" w:themeColor="text1"/>
          <w:highlight w:val="none"/>
          <w14:textFill>
            <w14:solidFill>
              <w14:schemeClr w14:val="tx1"/>
            </w14:solidFill>
          </w14:textFill>
        </w:rPr>
        <w:t>环境，</w:t>
      </w:r>
      <w:r>
        <w:rPr>
          <w:bCs/>
          <w:color w:val="000000" w:themeColor="text1"/>
          <w:kern w:val="0"/>
          <w:szCs w:val="21"/>
          <w:highlight w:val="none"/>
          <w14:textFill>
            <w14:solidFill>
              <w14:schemeClr w14:val="tx1"/>
            </w14:solidFill>
          </w14:textFill>
        </w:rPr>
        <w:t>保护生态系统结构和功能的完整性、稳定性</w:t>
      </w:r>
      <w:r>
        <w:rPr>
          <w:rFonts w:hint="eastAsia"/>
          <w:bCs/>
          <w:color w:val="000000" w:themeColor="text1"/>
          <w:kern w:val="0"/>
          <w:szCs w:val="21"/>
          <w:highlight w:val="none"/>
          <w14:textFill>
            <w14:solidFill>
              <w14:schemeClr w14:val="tx1"/>
            </w14:solidFill>
          </w14:textFill>
        </w:rPr>
        <w:t>，</w:t>
      </w:r>
      <w:r>
        <w:rPr>
          <w:bCs/>
          <w:color w:val="000000" w:themeColor="text1"/>
          <w:kern w:val="0"/>
          <w:szCs w:val="21"/>
          <w:highlight w:val="none"/>
          <w14:textFill>
            <w14:solidFill>
              <w14:schemeClr w14:val="tx1"/>
            </w14:solidFill>
          </w14:textFill>
        </w:rPr>
        <w:t>防</w:t>
      </w:r>
      <w:r>
        <w:rPr>
          <w:rFonts w:hint="eastAsia"/>
          <w:bCs/>
          <w:color w:val="000000" w:themeColor="text1"/>
          <w:kern w:val="0"/>
          <w:szCs w:val="21"/>
          <w:highlight w:val="none"/>
          <w14:textFill>
            <w14:solidFill>
              <w14:schemeClr w14:val="tx1"/>
            </w14:solidFill>
          </w14:textFill>
        </w:rPr>
        <w:t>止</w:t>
      </w:r>
      <w:r>
        <w:rPr>
          <w:bCs/>
          <w:color w:val="000000" w:themeColor="text1"/>
          <w:kern w:val="0"/>
          <w:szCs w:val="21"/>
          <w:highlight w:val="none"/>
          <w14:textFill>
            <w14:solidFill>
              <w14:schemeClr w14:val="tx1"/>
            </w14:solidFill>
          </w14:textFill>
        </w:rPr>
        <w:t>水土流失。</w:t>
      </w:r>
    </w:p>
    <w:p w14:paraId="0F5BFB87">
      <w:pPr>
        <w:pStyle w:val="4"/>
        <w:rPr>
          <w:color w:val="000000" w:themeColor="text1"/>
          <w:highlight w:val="none"/>
          <w14:textFill>
            <w14:solidFill>
              <w14:schemeClr w14:val="tx1"/>
            </w14:solidFill>
          </w14:textFill>
        </w:rPr>
      </w:pPr>
      <w:bookmarkStart w:id="325" w:name="_Toc23801"/>
      <w:bookmarkStart w:id="326" w:name="_Toc6951"/>
      <w:bookmarkStart w:id="327" w:name="_Toc12398"/>
      <w:bookmarkStart w:id="328" w:name="_Toc5013"/>
      <w:bookmarkStart w:id="329" w:name="_Toc14964"/>
      <w:bookmarkStart w:id="330" w:name="_Toc20745"/>
      <w:bookmarkStart w:id="331" w:name="_Toc25672"/>
      <w:bookmarkStart w:id="332" w:name="_Toc14966"/>
      <w:bookmarkStart w:id="333" w:name="_Toc9345"/>
      <w:r>
        <w:rPr>
          <w:color w:val="000000" w:themeColor="text1"/>
          <w:highlight w:val="none"/>
          <w14:textFill>
            <w14:solidFill>
              <w14:schemeClr w14:val="tx1"/>
            </w14:solidFill>
          </w14:textFill>
        </w:rPr>
        <w:t>2.8.2环境敏感目标分布</w:t>
      </w:r>
      <w:bookmarkEnd w:id="325"/>
      <w:bookmarkEnd w:id="326"/>
      <w:bookmarkEnd w:id="327"/>
      <w:bookmarkEnd w:id="328"/>
      <w:bookmarkEnd w:id="329"/>
      <w:bookmarkEnd w:id="330"/>
      <w:bookmarkEnd w:id="331"/>
      <w:bookmarkEnd w:id="332"/>
      <w:bookmarkEnd w:id="333"/>
    </w:p>
    <w:p w14:paraId="771154B5">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本项目环境敏感目标见表2.8-1。</w:t>
      </w:r>
    </w:p>
    <w:p w14:paraId="52BFFE0D">
      <w:pPr>
        <w:pStyle w:val="47"/>
        <w:widowControl w:val="0"/>
        <w:rPr>
          <w:color w:val="000000" w:themeColor="text1"/>
          <w:szCs w:val="32"/>
          <w:highlight w:val="none"/>
          <w:lang w:val="zh-CN"/>
          <w14:textFill>
            <w14:solidFill>
              <w14:schemeClr w14:val="tx1"/>
            </w14:solidFill>
          </w14:textFill>
        </w:rPr>
      </w:pPr>
      <w:r>
        <w:rPr>
          <w:color w:val="000000" w:themeColor="text1"/>
          <w:szCs w:val="32"/>
          <w:highlight w:val="none"/>
          <w:lang w:val="zh-CN"/>
          <w14:textFill>
            <w14:solidFill>
              <w14:schemeClr w14:val="tx1"/>
            </w14:solidFill>
          </w14:textFill>
        </w:rPr>
        <w:t>表</w:t>
      </w:r>
      <w:r>
        <w:rPr>
          <w:color w:val="000000" w:themeColor="text1"/>
          <w:szCs w:val="32"/>
          <w:highlight w:val="none"/>
          <w14:textFill>
            <w14:solidFill>
              <w14:schemeClr w14:val="tx1"/>
            </w14:solidFill>
          </w14:textFill>
        </w:rPr>
        <w:t>2</w:t>
      </w:r>
      <w:r>
        <w:rPr>
          <w:color w:val="000000" w:themeColor="text1"/>
          <w:szCs w:val="32"/>
          <w:highlight w:val="none"/>
          <w:lang w:val="zh-CN"/>
          <w14:textFill>
            <w14:solidFill>
              <w14:schemeClr w14:val="tx1"/>
            </w14:solidFill>
          </w14:textFill>
        </w:rPr>
        <w:t>.</w:t>
      </w:r>
      <w:r>
        <w:rPr>
          <w:color w:val="000000" w:themeColor="text1"/>
          <w:szCs w:val="32"/>
          <w:highlight w:val="none"/>
          <w14:textFill>
            <w14:solidFill>
              <w14:schemeClr w14:val="tx1"/>
            </w14:solidFill>
          </w14:textFill>
        </w:rPr>
        <w:t>8</w:t>
      </w:r>
      <w:r>
        <w:rPr>
          <w:color w:val="000000" w:themeColor="text1"/>
          <w:szCs w:val="32"/>
          <w:highlight w:val="none"/>
          <w:lang w:val="zh-CN"/>
          <w14:textFill>
            <w14:solidFill>
              <w14:schemeClr w14:val="tx1"/>
            </w14:solidFill>
          </w14:textFill>
        </w:rPr>
        <w:t>-1</w:t>
      </w:r>
      <w:r>
        <w:rPr>
          <w:color w:val="000000" w:themeColor="text1"/>
          <w:szCs w:val="32"/>
          <w:highlight w:val="none"/>
          <w14:textFill>
            <w14:solidFill>
              <w14:schemeClr w14:val="tx1"/>
            </w14:solidFill>
          </w14:textFill>
        </w:rPr>
        <w:t xml:space="preserve">    </w:t>
      </w:r>
      <w:r>
        <w:rPr>
          <w:color w:val="000000" w:themeColor="text1"/>
          <w:szCs w:val="32"/>
          <w:highlight w:val="none"/>
          <w:lang w:val="zh-CN"/>
          <w14:textFill>
            <w14:solidFill>
              <w14:schemeClr w14:val="tx1"/>
            </w14:solidFill>
          </w14:textFill>
        </w:rPr>
        <w:t>本项目的环境敏感目标</w:t>
      </w:r>
    </w:p>
    <w:tbl>
      <w:tblPr>
        <w:tblStyle w:val="32"/>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319"/>
        <w:gridCol w:w="697"/>
        <w:gridCol w:w="1196"/>
        <w:gridCol w:w="2019"/>
        <w:gridCol w:w="2431"/>
      </w:tblGrid>
      <w:tr w14:paraId="499C8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tblHeader/>
          <w:jc w:val="center"/>
        </w:trPr>
        <w:tc>
          <w:tcPr>
            <w:tcW w:w="857" w:type="dxa"/>
            <w:vMerge w:val="restart"/>
            <w:vAlign w:val="center"/>
          </w:tcPr>
          <w:p w14:paraId="027764BA">
            <w:pPr>
              <w:pStyle w:val="31"/>
              <w:spacing w:after="0" w:line="360" w:lineRule="exact"/>
              <w:ind w:left="0" w:leftChars="0"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环境要素</w:t>
            </w:r>
          </w:p>
        </w:tc>
        <w:tc>
          <w:tcPr>
            <w:tcW w:w="1319" w:type="dxa"/>
            <w:vMerge w:val="restart"/>
            <w:vAlign w:val="center"/>
          </w:tcPr>
          <w:p w14:paraId="2B9341A3">
            <w:pPr>
              <w:pStyle w:val="31"/>
              <w:spacing w:after="0" w:line="360" w:lineRule="exact"/>
              <w:ind w:left="0" w:leftChars="0"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保护对象</w:t>
            </w:r>
          </w:p>
        </w:tc>
        <w:tc>
          <w:tcPr>
            <w:tcW w:w="1893" w:type="dxa"/>
            <w:gridSpan w:val="2"/>
            <w:vAlign w:val="center"/>
          </w:tcPr>
          <w:p w14:paraId="05E8EDF0">
            <w:pPr>
              <w:pStyle w:val="31"/>
              <w:spacing w:after="0" w:line="360" w:lineRule="exact"/>
              <w:ind w:left="0" w:leftChars="0"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相对本项目</w:t>
            </w:r>
          </w:p>
        </w:tc>
        <w:tc>
          <w:tcPr>
            <w:tcW w:w="2019" w:type="dxa"/>
            <w:vMerge w:val="restart"/>
            <w:vAlign w:val="center"/>
          </w:tcPr>
          <w:p w14:paraId="1428BB77">
            <w:pPr>
              <w:pStyle w:val="31"/>
              <w:spacing w:after="0" w:line="360" w:lineRule="exact"/>
              <w:ind w:left="0" w:leftChars="0"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保护内容</w:t>
            </w:r>
          </w:p>
        </w:tc>
        <w:tc>
          <w:tcPr>
            <w:tcW w:w="2431" w:type="dxa"/>
            <w:vMerge w:val="restart"/>
            <w:vAlign w:val="center"/>
          </w:tcPr>
          <w:p w14:paraId="20BA486E">
            <w:pPr>
              <w:pStyle w:val="31"/>
              <w:spacing w:after="0" w:line="360" w:lineRule="exact"/>
              <w:ind w:left="0" w:leftChars="0"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保护目标</w:t>
            </w:r>
          </w:p>
        </w:tc>
      </w:tr>
      <w:tr w14:paraId="5EC92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tblHeader/>
          <w:jc w:val="center"/>
        </w:trPr>
        <w:tc>
          <w:tcPr>
            <w:tcW w:w="857" w:type="dxa"/>
            <w:vMerge w:val="continue"/>
            <w:vAlign w:val="center"/>
          </w:tcPr>
          <w:p w14:paraId="4D92CDBC">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p>
        </w:tc>
        <w:tc>
          <w:tcPr>
            <w:tcW w:w="1319" w:type="dxa"/>
            <w:vMerge w:val="continue"/>
            <w:vAlign w:val="center"/>
          </w:tcPr>
          <w:p w14:paraId="03D866C6">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p>
        </w:tc>
        <w:tc>
          <w:tcPr>
            <w:tcW w:w="697" w:type="dxa"/>
            <w:vAlign w:val="center"/>
          </w:tcPr>
          <w:p w14:paraId="2B1B520B">
            <w:pPr>
              <w:pStyle w:val="31"/>
              <w:spacing w:after="0" w:line="360" w:lineRule="exact"/>
              <w:ind w:left="0" w:leftChars="0"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方位</w:t>
            </w:r>
          </w:p>
        </w:tc>
        <w:tc>
          <w:tcPr>
            <w:tcW w:w="1196" w:type="dxa"/>
            <w:vAlign w:val="center"/>
          </w:tcPr>
          <w:p w14:paraId="2F6C2764">
            <w:pPr>
              <w:pStyle w:val="31"/>
              <w:spacing w:after="0" w:line="360" w:lineRule="exact"/>
              <w:ind w:left="0" w:leftChars="0"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距离</w:t>
            </w:r>
            <w:r>
              <w:rPr>
                <w:rFonts w:hint="eastAsia"/>
                <w:b/>
                <w:color w:val="000000" w:themeColor="text1"/>
                <w:kern w:val="0"/>
                <w:sz w:val="21"/>
                <w:szCs w:val="21"/>
                <w:highlight w:val="none"/>
                <w14:textFill>
                  <w14:solidFill>
                    <w14:schemeClr w14:val="tx1"/>
                  </w14:solidFill>
                </w14:textFill>
              </w:rPr>
              <w:t>（km）</w:t>
            </w:r>
          </w:p>
        </w:tc>
        <w:tc>
          <w:tcPr>
            <w:tcW w:w="2019" w:type="dxa"/>
            <w:vMerge w:val="continue"/>
            <w:vAlign w:val="center"/>
          </w:tcPr>
          <w:p w14:paraId="1E6459D3">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p>
        </w:tc>
        <w:tc>
          <w:tcPr>
            <w:tcW w:w="2431" w:type="dxa"/>
            <w:vMerge w:val="continue"/>
            <w:vAlign w:val="center"/>
          </w:tcPr>
          <w:p w14:paraId="46B93537">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p>
        </w:tc>
      </w:tr>
      <w:tr w14:paraId="233EA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57" w:type="dxa"/>
            <w:vAlign w:val="center"/>
          </w:tcPr>
          <w:p w14:paraId="1974E5F6">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地下水</w:t>
            </w:r>
          </w:p>
        </w:tc>
        <w:tc>
          <w:tcPr>
            <w:tcW w:w="1319" w:type="dxa"/>
            <w:vAlign w:val="center"/>
          </w:tcPr>
          <w:p w14:paraId="33206F91">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项目区地下水</w:t>
            </w:r>
          </w:p>
        </w:tc>
        <w:tc>
          <w:tcPr>
            <w:tcW w:w="697" w:type="dxa"/>
            <w:vAlign w:val="center"/>
          </w:tcPr>
          <w:p w14:paraId="4196FF09">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w:t>
            </w:r>
          </w:p>
        </w:tc>
        <w:tc>
          <w:tcPr>
            <w:tcW w:w="1196" w:type="dxa"/>
            <w:vAlign w:val="center"/>
          </w:tcPr>
          <w:p w14:paraId="5E1ED3B7">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w:t>
            </w:r>
          </w:p>
        </w:tc>
        <w:tc>
          <w:tcPr>
            <w:tcW w:w="2019" w:type="dxa"/>
            <w:vAlign w:val="center"/>
          </w:tcPr>
          <w:p w14:paraId="6903D220">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选矿厂、尾矿库周边地下水水量和水质</w:t>
            </w:r>
          </w:p>
        </w:tc>
        <w:tc>
          <w:tcPr>
            <w:tcW w:w="2431" w:type="dxa"/>
            <w:vAlign w:val="center"/>
          </w:tcPr>
          <w:p w14:paraId="5FDE8617">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《地下水质量标准》（GB/T14848-2017）Ⅲ类</w:t>
            </w:r>
          </w:p>
        </w:tc>
      </w:tr>
      <w:tr w14:paraId="2CF0A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857" w:type="dxa"/>
            <w:vAlign w:val="center"/>
          </w:tcPr>
          <w:p w14:paraId="26250E77">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环境空气</w:t>
            </w:r>
          </w:p>
        </w:tc>
        <w:tc>
          <w:tcPr>
            <w:tcW w:w="1319" w:type="dxa"/>
            <w:vAlign w:val="center"/>
          </w:tcPr>
          <w:p w14:paraId="555F1177">
            <w:pPr>
              <w:pStyle w:val="31"/>
              <w:spacing w:after="0" w:line="360" w:lineRule="exact"/>
              <w:ind w:left="0" w:leftChars="0"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w:t>
            </w:r>
          </w:p>
        </w:tc>
        <w:tc>
          <w:tcPr>
            <w:tcW w:w="1893" w:type="dxa"/>
            <w:gridSpan w:val="2"/>
            <w:vAlign w:val="center"/>
          </w:tcPr>
          <w:p w14:paraId="1C38E886">
            <w:pPr>
              <w:pStyle w:val="31"/>
              <w:spacing w:after="0" w:line="360" w:lineRule="exact"/>
              <w:ind w:left="0" w:leftChars="0"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w:t>
            </w:r>
          </w:p>
        </w:tc>
        <w:tc>
          <w:tcPr>
            <w:tcW w:w="2019" w:type="dxa"/>
            <w:vAlign w:val="center"/>
          </w:tcPr>
          <w:p w14:paraId="30041A4B">
            <w:pPr>
              <w:pStyle w:val="31"/>
              <w:spacing w:after="0" w:line="360" w:lineRule="exact"/>
              <w:ind w:left="0" w:leftChars="0" w:firstLine="0" w:firstLineChars="0"/>
              <w:jc w:val="center"/>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eastAsia="zh-CN"/>
                <w14:textFill>
                  <w14:solidFill>
                    <w14:schemeClr w14:val="tx1"/>
                  </w14:solidFill>
                </w14:textFill>
              </w:rPr>
              <w:t>/</w:t>
            </w:r>
          </w:p>
        </w:tc>
        <w:tc>
          <w:tcPr>
            <w:tcW w:w="2431" w:type="dxa"/>
            <w:vAlign w:val="center"/>
          </w:tcPr>
          <w:p w14:paraId="1CE09518">
            <w:pPr>
              <w:pStyle w:val="31"/>
              <w:spacing w:after="0" w:line="360" w:lineRule="exact"/>
              <w:ind w:left="0" w:leftChars="0" w:firstLine="0" w:firstLineChars="0"/>
              <w:jc w:val="center"/>
              <w:rPr>
                <w:rFonts w:hint="default" w:eastAsia="宋体"/>
                <w:bCs/>
                <w:color w:val="000000" w:themeColor="text1"/>
                <w:kern w:val="0"/>
                <w:sz w:val="21"/>
                <w:szCs w:val="21"/>
                <w:highlight w:val="none"/>
                <w:lang w:val="en-US" w:eastAsia="zh-CN"/>
                <w14:textFill>
                  <w14:solidFill>
                    <w14:schemeClr w14:val="tx1"/>
                  </w14:solidFill>
                </w14:textFill>
              </w:rPr>
            </w:pPr>
            <w:r>
              <w:rPr>
                <w:bCs/>
                <w:color w:val="000000" w:themeColor="text1"/>
                <w:kern w:val="0"/>
                <w:sz w:val="21"/>
                <w:szCs w:val="21"/>
                <w:highlight w:val="none"/>
                <w14:textFill>
                  <w14:solidFill>
                    <w14:schemeClr w14:val="tx1"/>
                  </w14:solidFill>
                </w14:textFill>
              </w:rPr>
              <w:t>《环境空气质量标准》（GB3095-20</w:t>
            </w:r>
            <w:r>
              <w:rPr>
                <w:rFonts w:hint="eastAsia"/>
                <w:bCs/>
                <w:color w:val="000000" w:themeColor="text1"/>
                <w:kern w:val="0"/>
                <w:sz w:val="21"/>
                <w:szCs w:val="21"/>
                <w:highlight w:val="none"/>
                <w:lang w:val="en-US" w:eastAsia="zh-CN"/>
                <w14:textFill>
                  <w14:solidFill>
                    <w14:schemeClr w14:val="tx1"/>
                  </w14:solidFill>
                </w14:textFill>
              </w:rPr>
              <w:t>26</w:t>
            </w:r>
            <w:r>
              <w:rPr>
                <w:bCs/>
                <w:color w:val="000000" w:themeColor="text1"/>
                <w:kern w:val="0"/>
                <w:sz w:val="21"/>
                <w:szCs w:val="21"/>
                <w:highlight w:val="none"/>
                <w14:textFill>
                  <w14:solidFill>
                    <w14:schemeClr w14:val="tx1"/>
                  </w14:solidFill>
                </w14:textFill>
              </w:rPr>
              <w:t>）</w:t>
            </w:r>
            <w:r>
              <w:rPr>
                <w:rFonts w:hint="eastAsia"/>
                <w:bCs/>
                <w:color w:val="000000" w:themeColor="text1"/>
                <w:kern w:val="0"/>
                <w:sz w:val="21"/>
                <w:szCs w:val="21"/>
                <w:highlight w:val="none"/>
                <w:lang w:val="en-US" w:eastAsia="zh-CN"/>
                <w14:textFill>
                  <w14:solidFill>
                    <w14:schemeClr w14:val="tx1"/>
                  </w14:solidFill>
                </w14:textFill>
              </w:rPr>
              <w:t>过渡阶段二级浓度限值</w:t>
            </w:r>
          </w:p>
        </w:tc>
      </w:tr>
      <w:tr w14:paraId="1D38D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57" w:type="dxa"/>
            <w:vAlign w:val="center"/>
          </w:tcPr>
          <w:p w14:paraId="279F6777">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声环境</w:t>
            </w:r>
          </w:p>
        </w:tc>
        <w:tc>
          <w:tcPr>
            <w:tcW w:w="3212" w:type="dxa"/>
            <w:gridSpan w:val="3"/>
            <w:vAlign w:val="center"/>
          </w:tcPr>
          <w:p w14:paraId="7944C0F8">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项目区厂界外</w:t>
            </w:r>
            <w:r>
              <w:rPr>
                <w:rFonts w:hint="eastAsia"/>
                <w:bCs/>
                <w:color w:val="000000" w:themeColor="text1"/>
                <w:kern w:val="0"/>
                <w:sz w:val="21"/>
                <w:szCs w:val="21"/>
                <w:highlight w:val="none"/>
                <w:lang w:val="en-US" w:eastAsia="zh-CN"/>
                <w14:textFill>
                  <w14:solidFill>
                    <w14:schemeClr w14:val="tx1"/>
                  </w14:solidFill>
                </w14:textFill>
              </w:rPr>
              <w:t>50</w:t>
            </w:r>
            <w:r>
              <w:rPr>
                <w:bCs/>
                <w:color w:val="000000" w:themeColor="text1"/>
                <w:kern w:val="0"/>
                <w:sz w:val="21"/>
                <w:szCs w:val="21"/>
                <w:highlight w:val="none"/>
                <w14:textFill>
                  <w14:solidFill>
                    <w14:schemeClr w14:val="tx1"/>
                  </w14:solidFill>
                </w14:textFill>
              </w:rPr>
              <w:t>m</w:t>
            </w:r>
          </w:p>
        </w:tc>
        <w:tc>
          <w:tcPr>
            <w:tcW w:w="2019" w:type="dxa"/>
            <w:vAlign w:val="center"/>
          </w:tcPr>
          <w:p w14:paraId="1E137480">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厂界噪声达标排放</w:t>
            </w:r>
          </w:p>
        </w:tc>
        <w:tc>
          <w:tcPr>
            <w:tcW w:w="2431" w:type="dxa"/>
            <w:vAlign w:val="center"/>
          </w:tcPr>
          <w:p w14:paraId="00E36ECF">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《声环境质量标准》（GB3096-2008）</w:t>
            </w:r>
            <w:r>
              <w:rPr>
                <w:rFonts w:hint="eastAsia"/>
                <w:bCs/>
                <w:color w:val="000000" w:themeColor="text1"/>
                <w:kern w:val="0"/>
                <w:sz w:val="21"/>
                <w:szCs w:val="21"/>
                <w:highlight w:val="none"/>
                <w:lang w:val="en-US" w:eastAsia="zh-CN"/>
                <w14:textFill>
                  <w14:solidFill>
                    <w14:schemeClr w14:val="tx1"/>
                  </w14:solidFill>
                </w14:textFill>
              </w:rPr>
              <w:t>2</w:t>
            </w:r>
            <w:r>
              <w:rPr>
                <w:bCs/>
                <w:color w:val="000000" w:themeColor="text1"/>
                <w:kern w:val="0"/>
                <w:sz w:val="21"/>
                <w:szCs w:val="21"/>
                <w:highlight w:val="none"/>
                <w14:textFill>
                  <w14:solidFill>
                    <w14:schemeClr w14:val="tx1"/>
                  </w14:solidFill>
                </w14:textFill>
              </w:rPr>
              <w:t>类</w:t>
            </w:r>
          </w:p>
        </w:tc>
      </w:tr>
      <w:tr w14:paraId="4A810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57" w:type="dxa"/>
            <w:vAlign w:val="center"/>
          </w:tcPr>
          <w:p w14:paraId="2DCBFD99">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土壤环境</w:t>
            </w:r>
          </w:p>
        </w:tc>
        <w:tc>
          <w:tcPr>
            <w:tcW w:w="3212" w:type="dxa"/>
            <w:gridSpan w:val="3"/>
            <w:vAlign w:val="center"/>
          </w:tcPr>
          <w:p w14:paraId="2738D9F1">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选矿厂</w:t>
            </w:r>
            <w:r>
              <w:rPr>
                <w:color w:val="000000" w:themeColor="text1"/>
                <w:sz w:val="21"/>
                <w:szCs w:val="21"/>
                <w:highlight w:val="none"/>
                <w14:textFill>
                  <w14:solidFill>
                    <w14:schemeClr w14:val="tx1"/>
                  </w14:solidFill>
                </w14:textFill>
              </w:rPr>
              <w:t>用地范围及外延</w:t>
            </w:r>
            <w:r>
              <w:rPr>
                <w:rFonts w:hint="eastAsia"/>
                <w:color w:val="000000" w:themeColor="text1"/>
                <w:sz w:val="21"/>
                <w:szCs w:val="21"/>
                <w:highlight w:val="none"/>
                <w:lang w:val="en-US" w:eastAsia="zh-CN"/>
                <w14:textFill>
                  <w14:solidFill>
                    <w14:schemeClr w14:val="tx1"/>
                  </w14:solidFill>
                </w14:textFill>
              </w:rPr>
              <w:t>200</w:t>
            </w:r>
            <w:r>
              <w:rPr>
                <w:color w:val="000000" w:themeColor="text1"/>
                <w:sz w:val="21"/>
                <w:szCs w:val="21"/>
                <w:highlight w:val="none"/>
                <w14:textFill>
                  <w14:solidFill>
                    <w14:schemeClr w14:val="tx1"/>
                  </w14:solidFill>
                </w14:textFill>
              </w:rPr>
              <w:t>m</w:t>
            </w:r>
          </w:p>
        </w:tc>
        <w:tc>
          <w:tcPr>
            <w:tcW w:w="2019" w:type="dxa"/>
            <w:vAlign w:val="center"/>
          </w:tcPr>
          <w:p w14:paraId="3C930C9C">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不受明显影响</w:t>
            </w:r>
          </w:p>
        </w:tc>
        <w:tc>
          <w:tcPr>
            <w:tcW w:w="2431" w:type="dxa"/>
            <w:vAlign w:val="center"/>
          </w:tcPr>
          <w:p w14:paraId="26F7A16B">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《土壤环境质量 建设用地土壤污染风险管控标准（试行）》（GB36600-2018）</w:t>
            </w:r>
          </w:p>
        </w:tc>
      </w:tr>
      <w:tr w14:paraId="73133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7" w:type="dxa"/>
            <w:vAlign w:val="center"/>
          </w:tcPr>
          <w:p w14:paraId="17FC81FA">
            <w:pPr>
              <w:pStyle w:val="31"/>
              <w:spacing w:after="0" w:line="360" w:lineRule="exact"/>
              <w:ind w:left="0" w:leftChars="0" w:firstLine="0" w:firstLineChars="0"/>
              <w:jc w:val="center"/>
              <w:rPr>
                <w:rFonts w:hint="eastAsia" w:eastAsia="宋体"/>
                <w:bCs/>
                <w:color w:val="000000" w:themeColor="text1"/>
                <w:kern w:val="0"/>
                <w:sz w:val="21"/>
                <w:szCs w:val="21"/>
                <w:highlight w:val="none"/>
                <w:lang w:eastAsia="zh-CN"/>
                <w14:textFill>
                  <w14:solidFill>
                    <w14:schemeClr w14:val="tx1"/>
                  </w14:solidFill>
                </w14:textFill>
              </w:rPr>
            </w:pPr>
            <w:r>
              <w:rPr>
                <w:rFonts w:hint="eastAsia"/>
                <w:bCs/>
                <w:color w:val="000000" w:themeColor="text1"/>
                <w:kern w:val="0"/>
                <w:sz w:val="21"/>
                <w:szCs w:val="21"/>
                <w:highlight w:val="none"/>
                <w:lang w:eastAsia="zh-CN"/>
                <w14:textFill>
                  <w14:solidFill>
                    <w14:schemeClr w14:val="tx1"/>
                  </w14:solidFill>
                </w14:textFill>
              </w:rPr>
              <w:t>生态环境</w:t>
            </w:r>
          </w:p>
        </w:tc>
        <w:tc>
          <w:tcPr>
            <w:tcW w:w="3212" w:type="dxa"/>
            <w:gridSpan w:val="3"/>
            <w:vAlign w:val="center"/>
          </w:tcPr>
          <w:p w14:paraId="20484052">
            <w:pPr>
              <w:pStyle w:val="31"/>
              <w:spacing w:after="0" w:line="360" w:lineRule="exact"/>
              <w:ind w:left="0" w:leftChars="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尾矿库、选矿厂</w:t>
            </w:r>
            <w:r>
              <w:rPr>
                <w:color w:val="000000" w:themeColor="text1"/>
                <w:sz w:val="21"/>
                <w:szCs w:val="21"/>
                <w:highlight w:val="none"/>
                <w14:textFill>
                  <w14:solidFill>
                    <w14:schemeClr w14:val="tx1"/>
                  </w14:solidFill>
                </w14:textFill>
              </w:rPr>
              <w:t>边界外延500m</w:t>
            </w:r>
            <w:r>
              <w:rPr>
                <w:rFonts w:hint="eastAsia"/>
                <w:color w:val="000000" w:themeColor="text1"/>
                <w:sz w:val="21"/>
                <w:szCs w:val="21"/>
                <w:highlight w:val="none"/>
                <w14:textFill>
                  <w14:solidFill>
                    <w14:schemeClr w14:val="tx1"/>
                  </w14:solidFill>
                </w14:textFill>
              </w:rPr>
              <w:t>、办公生活区</w:t>
            </w:r>
            <w:r>
              <w:rPr>
                <w:color w:val="000000" w:themeColor="text1"/>
                <w:sz w:val="21"/>
                <w:szCs w:val="21"/>
                <w:highlight w:val="none"/>
                <w14:textFill>
                  <w14:solidFill>
                    <w14:schemeClr w14:val="tx1"/>
                  </w14:solidFill>
                </w14:textFill>
              </w:rPr>
              <w:t>边界外延</w:t>
            </w:r>
            <w:r>
              <w:rPr>
                <w:rFonts w:hint="eastAsia"/>
                <w:color w:val="000000" w:themeColor="text1"/>
                <w:sz w:val="21"/>
                <w:szCs w:val="21"/>
                <w:highlight w:val="none"/>
                <w14:textFill>
                  <w14:solidFill>
                    <w14:schemeClr w14:val="tx1"/>
                  </w14:solidFill>
                </w14:textFill>
              </w:rPr>
              <w:t>2</w:t>
            </w:r>
            <w:r>
              <w:rPr>
                <w:color w:val="000000" w:themeColor="text1"/>
                <w:sz w:val="21"/>
                <w:szCs w:val="21"/>
                <w:highlight w:val="none"/>
                <w14:textFill>
                  <w14:solidFill>
                    <w14:schemeClr w14:val="tx1"/>
                  </w14:solidFill>
                </w14:textFill>
              </w:rPr>
              <w:t>00</w:t>
            </w:r>
            <w:r>
              <w:rPr>
                <w:rFonts w:hint="eastAsia"/>
                <w:color w:val="000000" w:themeColor="text1"/>
                <w:sz w:val="21"/>
                <w:szCs w:val="21"/>
                <w:highlight w:val="none"/>
                <w14:textFill>
                  <w14:solidFill>
                    <w14:schemeClr w14:val="tx1"/>
                  </w14:solidFill>
                </w14:textFill>
              </w:rPr>
              <w:t>m</w:t>
            </w:r>
          </w:p>
        </w:tc>
        <w:tc>
          <w:tcPr>
            <w:tcW w:w="2019" w:type="dxa"/>
            <w:vAlign w:val="center"/>
          </w:tcPr>
          <w:p w14:paraId="3F551EAF">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地表植被、</w:t>
            </w:r>
            <w:r>
              <w:rPr>
                <w:rFonts w:hint="eastAsia"/>
                <w:bCs/>
                <w:color w:val="000000" w:themeColor="text1"/>
                <w:kern w:val="0"/>
                <w:sz w:val="21"/>
                <w:szCs w:val="21"/>
                <w:highlight w:val="none"/>
                <w14:textFill>
                  <w14:solidFill>
                    <w14:schemeClr w14:val="tx1"/>
                  </w14:solidFill>
                </w14:textFill>
              </w:rPr>
              <w:t>动物、</w:t>
            </w:r>
            <w:r>
              <w:rPr>
                <w:bCs/>
                <w:color w:val="000000" w:themeColor="text1"/>
                <w:kern w:val="0"/>
                <w:sz w:val="21"/>
                <w:szCs w:val="21"/>
                <w:highlight w:val="none"/>
                <w14:textFill>
                  <w14:solidFill>
                    <w14:schemeClr w14:val="tx1"/>
                  </w14:solidFill>
                </w14:textFill>
              </w:rPr>
              <w:t>土壤</w:t>
            </w:r>
          </w:p>
        </w:tc>
        <w:tc>
          <w:tcPr>
            <w:tcW w:w="2431" w:type="dxa"/>
            <w:vAlign w:val="center"/>
          </w:tcPr>
          <w:p w14:paraId="4788A38B">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保护生态系统结构和功能的完整性、稳定性；防</w:t>
            </w:r>
            <w:r>
              <w:rPr>
                <w:rFonts w:hint="eastAsia"/>
                <w:bCs/>
                <w:color w:val="000000" w:themeColor="text1"/>
                <w:kern w:val="0"/>
                <w:sz w:val="21"/>
                <w:szCs w:val="21"/>
                <w:highlight w:val="none"/>
                <w14:textFill>
                  <w14:solidFill>
                    <w14:schemeClr w14:val="tx1"/>
                  </w14:solidFill>
                </w14:textFill>
              </w:rPr>
              <w:t>止</w:t>
            </w:r>
            <w:r>
              <w:rPr>
                <w:bCs/>
                <w:color w:val="000000" w:themeColor="text1"/>
                <w:kern w:val="0"/>
                <w:sz w:val="21"/>
                <w:szCs w:val="21"/>
                <w:highlight w:val="none"/>
                <w14:textFill>
                  <w14:solidFill>
                    <w14:schemeClr w14:val="tx1"/>
                  </w14:solidFill>
                </w14:textFill>
              </w:rPr>
              <w:t>水土流失。</w:t>
            </w:r>
          </w:p>
        </w:tc>
      </w:tr>
      <w:tr w14:paraId="22A6B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57" w:type="dxa"/>
            <w:vMerge w:val="restart"/>
            <w:vAlign w:val="center"/>
          </w:tcPr>
          <w:p w14:paraId="099E291A">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环境风险</w:t>
            </w:r>
          </w:p>
        </w:tc>
        <w:tc>
          <w:tcPr>
            <w:tcW w:w="1319" w:type="dxa"/>
            <w:vAlign w:val="center"/>
          </w:tcPr>
          <w:p w14:paraId="114724A3">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选矿生活区</w:t>
            </w:r>
          </w:p>
        </w:tc>
        <w:tc>
          <w:tcPr>
            <w:tcW w:w="1893" w:type="dxa"/>
            <w:gridSpan w:val="2"/>
            <w:vAlign w:val="center"/>
          </w:tcPr>
          <w:p w14:paraId="0E67FF60">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选</w:t>
            </w:r>
            <w:r>
              <w:rPr>
                <w:rFonts w:hint="eastAsia"/>
                <w:color w:val="000000" w:themeColor="text1"/>
                <w:sz w:val="21"/>
                <w:szCs w:val="21"/>
                <w:highlight w:val="none"/>
                <w14:textFill>
                  <w14:solidFill>
                    <w14:schemeClr w14:val="tx1"/>
                  </w14:solidFill>
                </w14:textFill>
              </w:rPr>
              <w:t>矿</w:t>
            </w:r>
            <w:r>
              <w:rPr>
                <w:bCs/>
                <w:color w:val="000000" w:themeColor="text1"/>
                <w:kern w:val="0"/>
                <w:sz w:val="21"/>
                <w:szCs w:val="21"/>
                <w:highlight w:val="none"/>
                <w14:textFill>
                  <w14:solidFill>
                    <w14:schemeClr w14:val="tx1"/>
                  </w14:solidFill>
                </w14:textFill>
              </w:rPr>
              <w:t>厂</w:t>
            </w:r>
            <w:r>
              <w:rPr>
                <w:rFonts w:hint="eastAsia"/>
                <w:bCs/>
                <w:color w:val="000000" w:themeColor="text1"/>
                <w:kern w:val="0"/>
                <w:sz w:val="21"/>
                <w:szCs w:val="21"/>
                <w:highlight w:val="none"/>
                <w:lang w:eastAsia="zh-CN"/>
                <w14:textFill>
                  <w14:solidFill>
                    <w14:schemeClr w14:val="tx1"/>
                  </w14:solidFill>
                </w14:textFill>
              </w:rPr>
              <w:t>南</w:t>
            </w:r>
            <w:r>
              <w:rPr>
                <w:bCs/>
                <w:color w:val="000000" w:themeColor="text1"/>
                <w:kern w:val="0"/>
                <w:sz w:val="21"/>
                <w:szCs w:val="21"/>
                <w:highlight w:val="none"/>
                <w14:textFill>
                  <w14:solidFill>
                    <w14:schemeClr w14:val="tx1"/>
                  </w14:solidFill>
                </w14:textFill>
              </w:rPr>
              <w:t>侧</w:t>
            </w:r>
          </w:p>
        </w:tc>
        <w:tc>
          <w:tcPr>
            <w:tcW w:w="4450" w:type="dxa"/>
            <w:gridSpan w:val="2"/>
            <w:vAlign w:val="center"/>
          </w:tcPr>
          <w:p w14:paraId="1DD31C4C">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不受风险事故明显影响</w:t>
            </w:r>
          </w:p>
        </w:tc>
      </w:tr>
      <w:tr w14:paraId="79EC4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57" w:type="dxa"/>
            <w:vMerge w:val="continue"/>
            <w:vAlign w:val="center"/>
          </w:tcPr>
          <w:p w14:paraId="3E38750A">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p>
        </w:tc>
        <w:tc>
          <w:tcPr>
            <w:tcW w:w="3212" w:type="dxa"/>
            <w:gridSpan w:val="3"/>
            <w:vAlign w:val="center"/>
          </w:tcPr>
          <w:p w14:paraId="43880183">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尾矿库</w:t>
            </w:r>
          </w:p>
        </w:tc>
        <w:tc>
          <w:tcPr>
            <w:tcW w:w="2019" w:type="dxa"/>
            <w:vAlign w:val="center"/>
          </w:tcPr>
          <w:p w14:paraId="77BF8F8C">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防止溃坝</w:t>
            </w:r>
          </w:p>
        </w:tc>
        <w:tc>
          <w:tcPr>
            <w:tcW w:w="2431" w:type="dxa"/>
            <w:vAlign w:val="center"/>
          </w:tcPr>
          <w:p w14:paraId="09285B19">
            <w:pPr>
              <w:pStyle w:val="31"/>
              <w:spacing w:after="0" w:line="360" w:lineRule="exact"/>
              <w:ind w:left="0" w:leftChars="0"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环境风险可控</w:t>
            </w:r>
          </w:p>
        </w:tc>
      </w:tr>
    </w:tbl>
    <w:p w14:paraId="54FDFDA8">
      <w:pPr>
        <w:ind w:firstLine="480"/>
        <w:rPr>
          <w:color w:val="000000" w:themeColor="text1"/>
          <w:highlight w:val="none"/>
          <w14:textFill>
            <w14:solidFill>
              <w14:schemeClr w14:val="tx1"/>
            </w14:solidFill>
          </w14:textFill>
        </w:rPr>
      </w:pPr>
    </w:p>
    <w:p w14:paraId="0A38602D">
      <w:pPr>
        <w:pStyle w:val="41"/>
        <w:ind w:firstLine="480"/>
        <w:rPr>
          <w:rFonts w:cs="Times New Roman"/>
          <w:color w:val="000000" w:themeColor="text1"/>
          <w:szCs w:val="24"/>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CF7E6C6">
      <w:pPr>
        <w:pStyle w:val="2"/>
        <w:spacing w:line="720" w:lineRule="exact"/>
        <w:rPr>
          <w:color w:val="000000" w:themeColor="text1"/>
          <w:highlight w:val="none"/>
          <w14:textFill>
            <w14:solidFill>
              <w14:schemeClr w14:val="tx1"/>
            </w14:solidFill>
          </w14:textFill>
        </w:rPr>
      </w:pPr>
      <w:bookmarkStart w:id="334" w:name="_Toc16505"/>
      <w:bookmarkStart w:id="335" w:name="_Toc24602"/>
      <w:bookmarkStart w:id="336" w:name="_Toc28574"/>
      <w:bookmarkStart w:id="337" w:name="_Toc107414652"/>
      <w:bookmarkStart w:id="338" w:name="_Toc107413885"/>
      <w:bookmarkStart w:id="339" w:name="_Toc19143"/>
      <w:bookmarkStart w:id="340" w:name="_Toc7126"/>
      <w:r>
        <w:rPr>
          <w:rFonts w:hint="eastAsia"/>
          <w:color w:val="000000" w:themeColor="text1"/>
          <w:highlight w:val="none"/>
          <w14:textFill>
            <w14:solidFill>
              <w14:schemeClr w14:val="tx1"/>
            </w14:solidFill>
          </w14:textFill>
        </w:rPr>
        <w:t>3建设项目工程分析</w:t>
      </w:r>
      <w:bookmarkEnd w:id="334"/>
      <w:bookmarkEnd w:id="335"/>
      <w:bookmarkEnd w:id="336"/>
      <w:bookmarkEnd w:id="337"/>
      <w:bookmarkEnd w:id="338"/>
      <w:bookmarkEnd w:id="339"/>
      <w:bookmarkEnd w:id="340"/>
    </w:p>
    <w:p w14:paraId="33DAD198">
      <w:pPr>
        <w:pStyle w:val="3"/>
        <w:spacing w:line="560" w:lineRule="atLeast"/>
        <w:rPr>
          <w:color w:val="000000" w:themeColor="text1"/>
          <w:highlight w:val="none"/>
          <w14:textFill>
            <w14:solidFill>
              <w14:schemeClr w14:val="tx1"/>
            </w14:solidFill>
          </w14:textFill>
        </w:rPr>
      </w:pPr>
      <w:bookmarkStart w:id="341" w:name="_Toc107413886"/>
      <w:bookmarkStart w:id="342" w:name="_Toc107414653"/>
      <w:bookmarkStart w:id="343" w:name="_Toc20611"/>
      <w:bookmarkStart w:id="344" w:name="_Toc14069"/>
      <w:bookmarkStart w:id="345" w:name="_Toc154"/>
      <w:bookmarkStart w:id="346" w:name="_Toc30970"/>
      <w:bookmarkStart w:id="347" w:name="_Toc25932"/>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.1现有工程回顾性分析</w:t>
      </w:r>
      <w:bookmarkEnd w:id="341"/>
      <w:bookmarkEnd w:id="342"/>
      <w:bookmarkEnd w:id="343"/>
      <w:bookmarkEnd w:id="344"/>
      <w:bookmarkEnd w:id="345"/>
      <w:bookmarkEnd w:id="346"/>
      <w:bookmarkEnd w:id="347"/>
    </w:p>
    <w:p w14:paraId="074E06E3">
      <w:pPr>
        <w:pStyle w:val="4"/>
        <w:rPr>
          <w:color w:val="000000" w:themeColor="text1"/>
          <w:highlight w:val="none"/>
          <w14:textFill>
            <w14:solidFill>
              <w14:schemeClr w14:val="tx1"/>
            </w14:solidFill>
          </w14:textFill>
        </w:rPr>
      </w:pPr>
      <w:bookmarkStart w:id="348" w:name="_Toc1708"/>
      <w:bookmarkStart w:id="349" w:name="_Toc31556"/>
      <w:bookmarkStart w:id="350" w:name="_Toc348"/>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.1.1现有工程</w:t>
      </w:r>
      <w:r>
        <w:rPr>
          <w:rFonts w:hint="eastAsia"/>
          <w:color w:val="000000" w:themeColor="text1"/>
          <w:highlight w:val="none"/>
          <w14:textFill>
            <w14:solidFill>
              <w14:schemeClr w14:val="tx1"/>
            </w14:solidFill>
          </w14:textFill>
        </w:rPr>
        <w:t>环保手续履行情况</w:t>
      </w:r>
      <w:bookmarkEnd w:id="348"/>
      <w:bookmarkEnd w:id="349"/>
      <w:bookmarkEnd w:id="350"/>
    </w:p>
    <w:p w14:paraId="4533CDA1">
      <w:pPr>
        <w:pStyle w:val="63"/>
        <w:overflowPunct w:val="0"/>
        <w:topLinePunct/>
        <w:spacing w:line="480" w:lineRule="exact"/>
        <w:ind w:firstLine="48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补办</w:t>
      </w:r>
      <w:r>
        <w:rPr>
          <w:rFonts w:hint="eastAsia" w:ascii="Times New Roman" w:hAnsi="Times New Roman" w:eastAsia="宋体" w:cs="Times New Roman"/>
          <w:color w:val="000000" w:themeColor="text1"/>
          <w:highlight w:val="none"/>
          <w:lang w:eastAsia="zh-CN"/>
          <w14:textFill>
            <w14:solidFill>
              <w14:schemeClr w14:val="tx1"/>
            </w14:solidFill>
          </w14:textFill>
        </w:rPr>
        <w:t>环评手续，</w:t>
      </w:r>
      <w:r>
        <w:rPr>
          <w:rFonts w:hint="eastAsia" w:ascii="Times New Roman" w:hAnsi="Times New Roman" w:eastAsia="宋体" w:cs="Times New Roman"/>
          <w:color w:val="000000" w:themeColor="text1"/>
          <w:highlight w:val="none"/>
          <w14:textFill>
            <w14:solidFill>
              <w14:schemeClr w14:val="tx1"/>
            </w14:solidFill>
          </w14:textFill>
        </w:rPr>
        <w:t>西成矿业</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于</w:t>
      </w:r>
      <w:r>
        <w:rPr>
          <w:rFonts w:hint="eastAsia" w:ascii="Times New Roman" w:hAnsi="Times New Roman" w:eastAsia="宋体" w:cs="Times New Roman"/>
          <w:color w:val="000000" w:themeColor="text1"/>
          <w:highlight w:val="none"/>
          <w14:textFill>
            <w14:solidFill>
              <w14:schemeClr w14:val="tx1"/>
            </w14:solidFill>
          </w14:textFill>
        </w:rPr>
        <w:t>2006年8月委托新疆昌吉回族自治州水利科学技术研究所编制完成了《哈密市西成矿业有限责任公司年产30万吨铁精粉建设项目环境影响报告表》（以下简称：报告表）；2006年9月20日，原哈密地区环境保护局以《关于哈密市西成矿业有限责任公司年产30万吨铁精粉建设项目环境影响报告表的批复》（哈地环审批字〔2006〕号）予以批复</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由于市场原因，选矿厂间断生产造成产能不高，不满足验收条件及工况，一直未进行环保验收，目前选矿厂处于停产状态</w:t>
      </w:r>
      <w:r>
        <w:rPr>
          <w:rFonts w:hint="eastAsia" w:ascii="Times New Roman" w:hAnsi="Times New Roman" w:eastAsia="宋体" w:cs="Times New Roman"/>
          <w:color w:val="000000" w:themeColor="text1"/>
          <w:highlight w:val="none"/>
          <w:lang w:eastAsia="zh-CN"/>
          <w14:textFill>
            <w14:solidFill>
              <w14:schemeClr w14:val="tx1"/>
            </w14:solidFill>
          </w14:textFill>
        </w:rPr>
        <w:t>。由于企业长期停产，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故</w:t>
      </w:r>
      <w:r>
        <w:rPr>
          <w:rFonts w:hint="eastAsia" w:ascii="Times New Roman" w:hAnsi="Times New Roman" w:eastAsia="宋体" w:cs="Times New Roman"/>
          <w:color w:val="000000" w:themeColor="text1"/>
          <w:highlight w:val="none"/>
          <w:lang w:eastAsia="zh-CN"/>
          <w14:textFill>
            <w14:solidFill>
              <w14:schemeClr w14:val="tx1"/>
            </w14:solidFill>
          </w14:textFill>
        </w:rPr>
        <w:t>未申请</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排污许可证，未</w:t>
      </w:r>
      <w:r>
        <w:rPr>
          <w:rFonts w:hint="eastAsia" w:ascii="Times New Roman" w:hAnsi="Times New Roman" w:eastAsia="宋体" w:cs="Times New Roman"/>
          <w:color w:val="000000" w:themeColor="text1"/>
          <w:highlight w:val="none"/>
          <w:lang w:eastAsia="zh-CN"/>
          <w14:textFill>
            <w14:solidFill>
              <w14:schemeClr w14:val="tx1"/>
            </w14:solidFill>
          </w14:textFill>
        </w:rPr>
        <w:t>编制突发环境事件应急预案。</w:t>
      </w:r>
    </w:p>
    <w:p w14:paraId="0193AD4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cs="宋体"/>
          <w:color w:val="000000" w:themeColor="text1"/>
          <w:kern w:val="0"/>
          <w:sz w:val="24"/>
          <w:szCs w:val="21"/>
          <w:highlight w:val="none"/>
          <w14:textFill>
            <w14:solidFill>
              <w14:schemeClr w14:val="tx1"/>
            </w14:solidFill>
          </w14:textFill>
        </w:rPr>
      </w:pPr>
      <w:r>
        <w:rPr>
          <w:rFonts w:hint="eastAsia" w:cs="宋体"/>
          <w:color w:val="000000" w:themeColor="text1"/>
          <w:kern w:val="0"/>
          <w:sz w:val="24"/>
          <w:szCs w:val="21"/>
          <w:highlight w:val="none"/>
          <w14:textFill>
            <w14:solidFill>
              <w14:schemeClr w14:val="tx1"/>
            </w14:solidFill>
          </w14:textFill>
        </w:rPr>
        <w:t>哈密市西成矿业有限责任公司已建工程环保手续履行情况一览表见表</w:t>
      </w:r>
      <w:r>
        <w:rPr>
          <w:rFonts w:cs="宋体"/>
          <w:color w:val="000000" w:themeColor="text1"/>
          <w:kern w:val="0"/>
          <w:sz w:val="24"/>
          <w:szCs w:val="21"/>
          <w:highlight w:val="none"/>
          <w14:textFill>
            <w14:solidFill>
              <w14:schemeClr w14:val="tx1"/>
            </w14:solidFill>
          </w14:textFill>
        </w:rPr>
        <w:t>3.1-1</w:t>
      </w:r>
      <w:r>
        <w:rPr>
          <w:rFonts w:hint="eastAsia" w:cs="宋体"/>
          <w:color w:val="000000" w:themeColor="text1"/>
          <w:kern w:val="0"/>
          <w:sz w:val="24"/>
          <w:szCs w:val="21"/>
          <w:highlight w:val="none"/>
          <w14:textFill>
            <w14:solidFill>
              <w14:schemeClr w14:val="tx1"/>
            </w14:solidFill>
          </w14:textFill>
        </w:rPr>
        <w:t>。</w:t>
      </w:r>
    </w:p>
    <w:p w14:paraId="64EFCF0A">
      <w:pPr>
        <w:pStyle w:val="54"/>
        <w:widowControl w:val="0"/>
        <w:spacing w:after="0" w:line="480" w:lineRule="exact"/>
        <w:ind w:firstLine="0" w:firstLineChars="0"/>
        <w:rPr>
          <w:rFonts w:ascii="Times New Roman" w:hAnsi="Times New Roman" w:eastAsia="宋体"/>
          <w:b/>
          <w:bCs/>
          <w:snapToGrid w:val="0"/>
          <w:color w:val="000000" w:themeColor="text1"/>
          <w:sz w:val="24"/>
          <w:szCs w:val="24"/>
          <w:highlight w:val="none"/>
          <w:lang w:val="zh-CN"/>
          <w14:textFill>
            <w14:solidFill>
              <w14:schemeClr w14:val="tx1"/>
            </w14:solidFill>
          </w14:textFill>
        </w:rPr>
      </w:pPr>
      <w:r>
        <w:rPr>
          <w:rFonts w:hint="eastAsia" w:ascii="Times New Roman" w:hAnsi="Times New Roman" w:eastAsia="宋体"/>
          <w:b/>
          <w:bCs/>
          <w:snapToGrid w:val="0"/>
          <w:color w:val="000000" w:themeColor="text1"/>
          <w:sz w:val="24"/>
          <w:szCs w:val="24"/>
          <w:highlight w:val="none"/>
          <w:lang w:val="zh-CN"/>
          <w14:textFill>
            <w14:solidFill>
              <w14:schemeClr w14:val="tx1"/>
            </w14:solidFill>
          </w14:textFill>
        </w:rPr>
        <w:t>表</w:t>
      </w:r>
      <w:r>
        <w:rPr>
          <w:rFonts w:ascii="Times New Roman" w:hAnsi="Times New Roman" w:eastAsia="宋体"/>
          <w:b/>
          <w:bCs/>
          <w:snapToGrid w:val="0"/>
          <w:color w:val="000000" w:themeColor="text1"/>
          <w:sz w:val="24"/>
          <w:szCs w:val="24"/>
          <w:highlight w:val="none"/>
          <w:lang w:val="zh-CN"/>
          <w14:textFill>
            <w14:solidFill>
              <w14:schemeClr w14:val="tx1"/>
            </w14:solidFill>
          </w14:textFill>
        </w:rPr>
        <w:t xml:space="preserve">3.1-1    </w:t>
      </w:r>
      <w:r>
        <w:rPr>
          <w:rFonts w:hint="eastAsia" w:ascii="Times New Roman" w:hAnsi="Times New Roman" w:eastAsia="宋体"/>
          <w:b/>
          <w:bCs/>
          <w:snapToGrid w:val="0"/>
          <w:color w:val="000000" w:themeColor="text1"/>
          <w:sz w:val="24"/>
          <w:szCs w:val="24"/>
          <w:highlight w:val="none"/>
          <w:lang w:val="zh-CN"/>
          <w14:textFill>
            <w14:solidFill>
              <w14:schemeClr w14:val="tx1"/>
            </w14:solidFill>
          </w14:textFill>
        </w:rPr>
        <w:t>已建工程环保手续履行情况一览表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1757"/>
        <w:gridCol w:w="3299"/>
        <w:gridCol w:w="1394"/>
        <w:gridCol w:w="1594"/>
      </w:tblGrid>
      <w:tr w14:paraId="1A1F0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277" w:type="pct"/>
            <w:noWrap w:val="0"/>
            <w:vAlign w:val="center"/>
          </w:tcPr>
          <w:p w14:paraId="7AA783F1">
            <w:pPr>
              <w:pStyle w:val="84"/>
              <w:keepNext w:val="0"/>
              <w:keepLines w:val="0"/>
              <w:suppressLineNumbers w:val="0"/>
              <w:adjustRightInd/>
              <w:snapToGrid/>
              <w:spacing w:before="0" w:beforeAutospacing="0" w:after="0" w:afterAutospacing="0" w:line="360" w:lineRule="exact"/>
              <w:ind w:left="0" w:right="0"/>
              <w:rPr>
                <w:rFonts w:hint="default" w:ascii="Times New Roman" w:hAnsi="Times New Roman" w:cs="Times New Roman"/>
                <w:b/>
                <w:bCs/>
                <w:color w:val="000000" w:themeColor="text1"/>
                <w:szCs w:val="20"/>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序号</w:t>
            </w:r>
          </w:p>
        </w:tc>
        <w:tc>
          <w:tcPr>
            <w:tcW w:w="1031" w:type="pct"/>
            <w:noWrap w:val="0"/>
            <w:vAlign w:val="center"/>
          </w:tcPr>
          <w:p w14:paraId="4DFA0F7E">
            <w:pPr>
              <w:pStyle w:val="84"/>
              <w:keepNext w:val="0"/>
              <w:keepLines w:val="0"/>
              <w:suppressLineNumbers w:val="0"/>
              <w:adjustRightInd/>
              <w:snapToGrid/>
              <w:spacing w:before="0" w:beforeAutospacing="0" w:after="0" w:afterAutospacing="0" w:line="360" w:lineRule="exact"/>
              <w:ind w:left="0" w:right="0"/>
              <w:rPr>
                <w:rFonts w:hint="default" w:ascii="Times New Roman" w:hAnsi="Times New Roman" w:cs="Times New Roman"/>
                <w:b/>
                <w:bCs/>
                <w:color w:val="000000" w:themeColor="text1"/>
                <w:szCs w:val="20"/>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项目名称</w:t>
            </w:r>
          </w:p>
        </w:tc>
        <w:tc>
          <w:tcPr>
            <w:tcW w:w="1936" w:type="pct"/>
            <w:noWrap w:val="0"/>
            <w:vAlign w:val="center"/>
          </w:tcPr>
          <w:p w14:paraId="01A39BEB">
            <w:pPr>
              <w:pStyle w:val="84"/>
              <w:keepNext w:val="0"/>
              <w:keepLines w:val="0"/>
              <w:suppressLineNumbers w:val="0"/>
              <w:adjustRightInd/>
              <w:snapToGrid/>
              <w:spacing w:before="0" w:beforeAutospacing="0" w:after="0" w:afterAutospacing="0" w:line="360" w:lineRule="exact"/>
              <w:ind w:left="0" w:right="0"/>
              <w:rPr>
                <w:rFonts w:hint="default" w:ascii="Times New Roman" w:hAnsi="Times New Roman" w:cs="Times New Roman"/>
                <w:b/>
                <w:bCs/>
                <w:color w:val="000000" w:themeColor="text1"/>
                <w:szCs w:val="20"/>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环评手续</w:t>
            </w:r>
          </w:p>
        </w:tc>
        <w:tc>
          <w:tcPr>
            <w:tcW w:w="818" w:type="pct"/>
            <w:noWrap w:val="0"/>
            <w:vAlign w:val="center"/>
          </w:tcPr>
          <w:p w14:paraId="54B32A04">
            <w:pPr>
              <w:pStyle w:val="84"/>
              <w:keepNext w:val="0"/>
              <w:keepLines w:val="0"/>
              <w:suppressLineNumbers w:val="0"/>
              <w:adjustRightInd/>
              <w:snapToGrid/>
              <w:spacing w:before="0" w:beforeAutospacing="0" w:after="0" w:afterAutospacing="0" w:line="360" w:lineRule="exact"/>
              <w:ind w:left="0" w:right="0"/>
              <w:rPr>
                <w:rFonts w:hint="default" w:ascii="Times New Roman" w:hAnsi="Times New Roman" w:cs="Times New Roman"/>
                <w:b/>
                <w:bCs/>
                <w:color w:val="000000" w:themeColor="text1"/>
                <w:szCs w:val="20"/>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竣工环境保护验收</w:t>
            </w:r>
          </w:p>
        </w:tc>
        <w:tc>
          <w:tcPr>
            <w:tcW w:w="935" w:type="pct"/>
            <w:noWrap w:val="0"/>
            <w:vAlign w:val="center"/>
          </w:tcPr>
          <w:p w14:paraId="47AE7802">
            <w:pPr>
              <w:pStyle w:val="84"/>
              <w:keepNext w:val="0"/>
              <w:keepLines w:val="0"/>
              <w:suppressLineNumbers w:val="0"/>
              <w:adjustRightInd/>
              <w:snapToGrid/>
              <w:spacing w:before="0" w:beforeAutospacing="0" w:after="0" w:afterAutospacing="0" w:line="360" w:lineRule="exact"/>
              <w:ind w:left="0" w:right="0"/>
              <w:rPr>
                <w:rFonts w:hint="default" w:ascii="Times New Roman" w:hAnsi="Times New Roman" w:cs="Times New Roman"/>
                <w:b/>
                <w:bCs/>
                <w:color w:val="000000" w:themeColor="text1"/>
                <w:szCs w:val="20"/>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生产情况</w:t>
            </w:r>
          </w:p>
        </w:tc>
      </w:tr>
      <w:tr w14:paraId="74A79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7" w:type="pct"/>
            <w:noWrap w:val="0"/>
            <w:vAlign w:val="center"/>
          </w:tcPr>
          <w:p w14:paraId="5961C370">
            <w:pPr>
              <w:pStyle w:val="84"/>
              <w:keepNext w:val="0"/>
              <w:keepLines w:val="0"/>
              <w:suppressLineNumbers w:val="0"/>
              <w:adjustRightInd/>
              <w:snapToGrid/>
              <w:spacing w:before="0" w:beforeAutospacing="0" w:after="0" w:afterAutospacing="0" w:line="360" w:lineRule="exact"/>
              <w:ind w:left="0" w:right="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1031" w:type="pct"/>
            <w:noWrap w:val="0"/>
            <w:vAlign w:val="center"/>
          </w:tcPr>
          <w:p w14:paraId="3160675A">
            <w:pPr>
              <w:pStyle w:val="84"/>
              <w:keepNext w:val="0"/>
              <w:keepLines w:val="0"/>
              <w:suppressLineNumbers w:val="0"/>
              <w:adjustRightInd/>
              <w:snapToGrid/>
              <w:spacing w:before="0" w:beforeAutospacing="0" w:after="0" w:afterAutospacing="0" w:line="360" w:lineRule="exact"/>
              <w:ind w:left="0" w:right="0"/>
              <w:rPr>
                <w:rFonts w:hint="default" w:ascii="Times New Roman" w:hAnsi="Times New Roman" w:cs="Times New Roman"/>
                <w:color w:val="000000" w:themeColor="text1"/>
                <w:szCs w:val="20"/>
                <w:highlight w:val="none"/>
                <w14:textFill>
                  <w14:solidFill>
                    <w14:schemeClr w14:val="tx1"/>
                  </w14:solidFill>
                </w14:textFill>
              </w:rPr>
            </w:pPr>
            <w:r>
              <w:rPr>
                <w:rFonts w:hint="eastAsia" w:ascii="Times New Roman" w:hAnsi="Times New Roman" w:cs="Times New Roman"/>
                <w:color w:val="000000" w:themeColor="text1"/>
                <w:szCs w:val="20"/>
                <w:highlight w:val="none"/>
                <w14:textFill>
                  <w14:solidFill>
                    <w14:schemeClr w14:val="tx1"/>
                  </w14:solidFill>
                </w14:textFill>
              </w:rPr>
              <w:t>哈密市西成矿业有限责任公司年产30万吨铁精粉建设项目</w:t>
            </w:r>
          </w:p>
        </w:tc>
        <w:tc>
          <w:tcPr>
            <w:tcW w:w="1936" w:type="pct"/>
            <w:noWrap w:val="0"/>
            <w:vAlign w:val="center"/>
          </w:tcPr>
          <w:p w14:paraId="16499812">
            <w:pPr>
              <w:pStyle w:val="84"/>
              <w:keepNext w:val="0"/>
              <w:keepLines w:val="0"/>
              <w:suppressLineNumbers w:val="0"/>
              <w:adjustRightInd/>
              <w:snapToGrid/>
              <w:spacing w:before="0" w:beforeAutospacing="0" w:after="0" w:afterAutospacing="0" w:line="360" w:lineRule="exact"/>
              <w:ind w:left="0" w:right="0"/>
              <w:rPr>
                <w:rFonts w:hint="default" w:ascii="Times New Roman" w:hAnsi="Times New Roman" w:cs="Times New Roman"/>
                <w:color w:val="000000" w:themeColor="text1"/>
                <w:szCs w:val="20"/>
                <w:highlight w:val="none"/>
                <w14:textFill>
                  <w14:solidFill>
                    <w14:schemeClr w14:val="tx1"/>
                  </w14:solidFill>
                </w14:textFill>
              </w:rPr>
            </w:pPr>
            <w:r>
              <w:rPr>
                <w:rFonts w:hint="eastAsia" w:ascii="Times New Roman" w:hAnsi="Times New Roman" w:cs="Times New Roman"/>
                <w:color w:val="000000" w:themeColor="text1"/>
                <w:szCs w:val="20"/>
                <w:highlight w:val="none"/>
                <w14:textFill>
                  <w14:solidFill>
                    <w14:schemeClr w14:val="tx1"/>
                  </w14:solidFill>
                </w14:textFill>
              </w:rPr>
              <w:t>2006年9月20日，取得《关于哈密市西成矿业有限责任公司年产30万吨铁精粉建设项目环境影响报告表的批复》（哈地环审批字〔2006〕号）</w:t>
            </w:r>
          </w:p>
        </w:tc>
        <w:tc>
          <w:tcPr>
            <w:tcW w:w="818" w:type="pct"/>
            <w:noWrap w:val="0"/>
            <w:vAlign w:val="center"/>
          </w:tcPr>
          <w:p w14:paraId="5F672EE3">
            <w:pPr>
              <w:pStyle w:val="84"/>
              <w:keepNext w:val="0"/>
              <w:keepLines w:val="0"/>
              <w:suppressLineNumbers w:val="0"/>
              <w:adjustRightInd/>
              <w:snapToGrid/>
              <w:spacing w:before="0" w:beforeAutospacing="0" w:after="0" w:afterAutospacing="0" w:line="360" w:lineRule="exact"/>
              <w:ind w:left="0" w:right="0"/>
              <w:rPr>
                <w:rFonts w:hint="eastAsia" w:ascii="Times New Roman" w:hAnsi="Times New Roman" w:cs="Times New Roman"/>
                <w:color w:val="000000" w:themeColor="text1"/>
                <w:szCs w:val="20"/>
                <w:highlight w:val="none"/>
                <w14:textFill>
                  <w14:solidFill>
                    <w14:schemeClr w14:val="tx1"/>
                  </w14:solidFill>
                </w14:textFill>
              </w:rPr>
            </w:pPr>
            <w:r>
              <w:rPr>
                <w:rFonts w:hint="eastAsia" w:ascii="Times New Roman" w:hAnsi="Times New Roman" w:cs="Times New Roman"/>
                <w:color w:val="000000" w:themeColor="text1"/>
                <w:szCs w:val="20"/>
                <w:highlight w:val="none"/>
                <w14:textFill>
                  <w14:solidFill>
                    <w14:schemeClr w14:val="tx1"/>
                  </w14:solidFill>
                </w14:textFill>
              </w:rPr>
              <w:t>未验收</w:t>
            </w:r>
          </w:p>
        </w:tc>
        <w:tc>
          <w:tcPr>
            <w:tcW w:w="935" w:type="pct"/>
            <w:noWrap w:val="0"/>
            <w:vAlign w:val="center"/>
          </w:tcPr>
          <w:p w14:paraId="26039E6F">
            <w:pPr>
              <w:pStyle w:val="84"/>
              <w:keepNext w:val="0"/>
              <w:keepLines w:val="0"/>
              <w:suppressLineNumbers w:val="0"/>
              <w:adjustRightInd/>
              <w:snapToGrid/>
              <w:spacing w:before="0" w:beforeAutospacing="0" w:after="0" w:afterAutospacing="0" w:line="360" w:lineRule="exact"/>
              <w:ind w:left="0" w:right="0"/>
              <w:rPr>
                <w:rFonts w:hint="eastAsia" w:ascii="Times New Roman" w:hAnsi="Times New Roman" w:eastAsia="宋体" w:cs="Times New Roman"/>
                <w:color w:val="000000" w:themeColor="text1"/>
                <w:szCs w:val="20"/>
                <w:highlight w:val="none"/>
                <w:lang w:eastAsia="zh-CN"/>
                <w14:textFill>
                  <w14:solidFill>
                    <w14:schemeClr w14:val="tx1"/>
                  </w14:solidFill>
                </w14:textFill>
              </w:rPr>
            </w:pPr>
            <w:r>
              <w:rPr>
                <w:rFonts w:hint="eastAsia" w:cs="Times New Roman"/>
                <w:color w:val="000000" w:themeColor="text1"/>
                <w:szCs w:val="20"/>
                <w:highlight w:val="none"/>
                <w:lang w:val="en-US" w:eastAsia="zh-CN"/>
                <w14:textFill>
                  <w14:solidFill>
                    <w14:schemeClr w14:val="tx1"/>
                  </w14:solidFill>
                </w14:textFill>
              </w:rPr>
              <w:t>不满足验收条件及工况，一直未进行竣工环境保护验收</w:t>
            </w:r>
            <w:r>
              <w:rPr>
                <w:rFonts w:hint="eastAsia" w:cs="Times New Roman"/>
                <w:color w:val="000000" w:themeColor="text1"/>
                <w:szCs w:val="20"/>
                <w:highlight w:val="none"/>
                <w:lang w:eastAsia="zh-CN"/>
                <w14:textFill>
                  <w14:solidFill>
                    <w14:schemeClr w14:val="tx1"/>
                  </w14:solidFill>
                </w14:textFill>
              </w:rPr>
              <w:t>。</w:t>
            </w:r>
          </w:p>
        </w:tc>
      </w:tr>
    </w:tbl>
    <w:p w14:paraId="6DDF0E97">
      <w:pPr>
        <w:pStyle w:val="4"/>
        <w:rPr>
          <w:color w:val="000000" w:themeColor="text1"/>
          <w:highlight w:val="none"/>
          <w14:textFill>
            <w14:solidFill>
              <w14:schemeClr w14:val="tx1"/>
            </w14:solidFill>
          </w14:textFill>
        </w:rPr>
      </w:pPr>
      <w:bookmarkStart w:id="351" w:name="_Toc19814"/>
      <w:bookmarkStart w:id="352" w:name="_Toc5371"/>
      <w:bookmarkStart w:id="353" w:name="_Toc27503"/>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现有工程概况</w:t>
      </w:r>
      <w:bookmarkEnd w:id="351"/>
      <w:bookmarkEnd w:id="352"/>
      <w:bookmarkEnd w:id="353"/>
    </w:p>
    <w:p w14:paraId="0B98C673">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西成矿业</w:t>
      </w:r>
      <w:r>
        <w:rPr>
          <w:rFonts w:hint="eastAsia"/>
          <w:color w:val="000000" w:themeColor="text1"/>
          <w:highlight w:val="none"/>
          <w:lang w:val="en-US" w:eastAsia="zh-CN"/>
          <w14:textFill>
            <w14:solidFill>
              <w14:schemeClr w14:val="tx1"/>
            </w14:solidFill>
          </w14:textFill>
        </w:rPr>
        <w:t>M1033铁矿选矿厂</w:t>
      </w:r>
      <w:r>
        <w:rPr>
          <w:rFonts w:hint="eastAsia"/>
          <w:color w:val="000000" w:themeColor="text1"/>
          <w:highlight w:val="none"/>
          <w14:textFill>
            <w14:solidFill>
              <w14:schemeClr w14:val="tx1"/>
            </w14:solidFill>
          </w14:textFill>
        </w:rPr>
        <w:t>位于</w:t>
      </w:r>
      <w:r>
        <w:rPr>
          <w:rFonts w:hint="eastAsia"/>
          <w:color w:val="000000" w:themeColor="text1"/>
          <w:highlight w:val="none"/>
          <w:lang w:val="en-US" w:eastAsia="zh-CN"/>
          <w14:textFill>
            <w14:solidFill>
              <w14:schemeClr w14:val="tx1"/>
            </w14:solidFill>
          </w14:textFill>
        </w:rPr>
        <w:t>哈密市东南方向，距离哈密市中心城区直线距离约179km，配套的M1033铁矿位于选矿厂东侧，属哈密市伊州区雅满苏镇管辖</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西成矿业</w:t>
      </w:r>
      <w:r>
        <w:rPr>
          <w:rFonts w:hint="eastAsia"/>
          <w:color w:val="000000" w:themeColor="text1"/>
          <w:highlight w:val="none"/>
          <w:lang w:val="en-US" w:eastAsia="zh-CN"/>
          <w14:textFill>
            <w14:solidFill>
              <w14:schemeClr w14:val="tx1"/>
            </w14:solidFill>
          </w14:textFill>
        </w:rPr>
        <w:t>M1033铁矿选矿厂始建于2002年，</w:t>
      </w:r>
      <w:r>
        <w:rPr>
          <w:color w:val="000000" w:themeColor="text1"/>
          <w:highlight w:val="none"/>
          <w14:textFill>
            <w14:solidFill>
              <w14:schemeClr w14:val="tx1"/>
            </w14:solidFill>
          </w14:textFill>
        </w:rPr>
        <w:t>选矿</w:t>
      </w:r>
      <w:r>
        <w:rPr>
          <w:rFonts w:hint="eastAsia"/>
          <w:color w:val="000000" w:themeColor="text1"/>
          <w:highlight w:val="none"/>
          <w:lang w:eastAsia="zh-CN"/>
          <w14:textFill>
            <w14:solidFill>
              <w14:schemeClr w14:val="tx1"/>
            </w14:solidFill>
          </w14:textFill>
        </w:rPr>
        <w:t>厂</w:t>
      </w:r>
      <w:r>
        <w:rPr>
          <w:rFonts w:hint="eastAsia"/>
          <w:color w:val="000000" w:themeColor="text1"/>
          <w:highlight w:val="none"/>
          <w14:textFill>
            <w14:solidFill>
              <w14:schemeClr w14:val="tx1"/>
            </w14:solidFill>
          </w14:textFill>
        </w:rPr>
        <w:t>位于矿山西</w:t>
      </w:r>
      <w:r>
        <w:rPr>
          <w:rFonts w:hint="eastAsia"/>
          <w:color w:val="000000" w:themeColor="text1"/>
          <w:highlight w:val="none"/>
          <w:lang w:eastAsia="zh-CN"/>
          <w14:textFill>
            <w14:solidFill>
              <w14:schemeClr w14:val="tx1"/>
            </w14:solidFill>
          </w14:textFill>
        </w:rPr>
        <w:t>侧</w:t>
      </w:r>
      <w:r>
        <w:rPr>
          <w:rFonts w:hint="eastAsia"/>
          <w:color w:val="000000" w:themeColor="text1"/>
          <w:highlight w:val="none"/>
          <w14:textFill>
            <w14:solidFill>
              <w14:schemeClr w14:val="tx1"/>
            </w14:solidFill>
          </w14:textFill>
        </w:rPr>
        <w:t>约</w:t>
      </w:r>
      <w:r>
        <w:rPr>
          <w:rFonts w:hint="eastAsia"/>
          <w:color w:val="000000" w:themeColor="text1"/>
          <w:highlight w:val="none"/>
          <w:lang w:val="en-US" w:eastAsia="zh-CN"/>
          <w14:textFill>
            <w14:solidFill>
              <w14:schemeClr w14:val="tx1"/>
            </w14:solidFill>
          </w14:textFill>
        </w:rPr>
        <w:t>700</w:t>
      </w:r>
      <w:r>
        <w:rPr>
          <w:rFonts w:hint="eastAsia"/>
          <w:color w:val="000000" w:themeColor="text1"/>
          <w:highlight w:val="none"/>
          <w14:textFill>
            <w14:solidFill>
              <w14:schemeClr w14:val="tx1"/>
            </w14:solidFill>
          </w14:textFill>
        </w:rPr>
        <w:t>m处，由破碎系统、选矿厂、尾矿库、生活区、配套的供水、排水、供电及道路等部分组成，以</w:t>
      </w:r>
      <w:r>
        <w:rPr>
          <w:rFonts w:hint="eastAsia"/>
          <w:color w:val="000000" w:themeColor="text1"/>
          <w:highlight w:val="none"/>
          <w:lang w:eastAsia="zh-CN"/>
          <w14:textFill>
            <w14:solidFill>
              <w14:schemeClr w14:val="tx1"/>
            </w14:solidFill>
          </w14:textFill>
        </w:rPr>
        <w:t>M1033铁矿</w:t>
      </w:r>
      <w:r>
        <w:rPr>
          <w:rFonts w:hint="eastAsia"/>
          <w:color w:val="000000" w:themeColor="text1"/>
          <w:highlight w:val="none"/>
          <w14:textFill>
            <w14:solidFill>
              <w14:schemeClr w14:val="tx1"/>
            </w14:solidFill>
          </w14:textFill>
        </w:rPr>
        <w:t>开采的矿石为主要原料，所处理的矿石为原生磁铁矿石，产品是</w:t>
      </w:r>
      <w:r>
        <w:rPr>
          <w:rFonts w:hint="eastAsia"/>
          <w:color w:val="000000" w:themeColor="text1"/>
          <w:highlight w:val="none"/>
          <w:lang w:eastAsia="zh-CN"/>
          <w14:textFill>
            <w14:solidFill>
              <w14:schemeClr w14:val="tx1"/>
            </w14:solidFill>
          </w14:textFill>
        </w:rPr>
        <w:t>铁精粉</w:t>
      </w:r>
      <w:r>
        <w:rPr>
          <w:rFonts w:hint="eastAsia"/>
          <w:color w:val="000000" w:themeColor="text1"/>
          <w:highlight w:val="none"/>
          <w14:textFill>
            <w14:solidFill>
              <w14:schemeClr w14:val="tx1"/>
            </w14:solidFill>
          </w14:textFill>
        </w:rPr>
        <w:t>，采用磨矿-磁</w:t>
      </w:r>
      <w:r>
        <w:rPr>
          <w:rFonts w:hint="eastAsia"/>
          <w:color w:val="000000" w:themeColor="text1"/>
          <w:highlight w:val="none"/>
          <w:lang w:eastAsia="zh-CN"/>
          <w14:textFill>
            <w14:solidFill>
              <w14:schemeClr w14:val="tx1"/>
            </w14:solidFill>
          </w14:textFill>
        </w:rPr>
        <w:t>选</w:t>
      </w:r>
      <w:r>
        <w:rPr>
          <w:rFonts w:hint="eastAsia"/>
          <w:color w:val="000000" w:themeColor="text1"/>
          <w:highlight w:val="none"/>
          <w14:textFill>
            <w14:solidFill>
              <w14:schemeClr w14:val="tx1"/>
            </w14:solidFill>
          </w14:textFill>
        </w:rPr>
        <w:t>-过滤工艺。</w:t>
      </w:r>
    </w:p>
    <w:p w14:paraId="5797FA2C">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占地面积：</w:t>
      </w:r>
      <w:r>
        <w:rPr>
          <w:rFonts w:hint="eastAsia"/>
          <w:color w:val="000000" w:themeColor="text1"/>
          <w:highlight w:val="none"/>
          <w14:textFill>
            <w14:solidFill>
              <w14:schemeClr w14:val="tx1"/>
            </w14:solidFill>
          </w14:textFill>
        </w:rPr>
        <w:t>选矿工程</w:t>
      </w:r>
      <w:r>
        <w:rPr>
          <w:rFonts w:hint="eastAsia" w:cs="Times New Roman"/>
          <w:color w:val="000000" w:themeColor="text1"/>
          <w:highlight w:val="none"/>
          <w14:textFill>
            <w14:solidFill>
              <w14:schemeClr w14:val="tx1"/>
            </w14:solidFill>
          </w14:textFill>
        </w:rPr>
        <w:t>总占地面积约</w:t>
      </w:r>
      <w:r>
        <w:rPr>
          <w:rFonts w:hint="eastAsia" w:cs="Times New Roman"/>
          <w:color w:val="000000" w:themeColor="text1"/>
          <w:highlight w:val="none"/>
          <w:lang w:val="en-US" w:eastAsia="zh-CN"/>
          <w14:textFill>
            <w14:solidFill>
              <w14:schemeClr w14:val="tx1"/>
            </w14:solidFill>
          </w14:textFill>
        </w:rPr>
        <w:t>9h</w:t>
      </w:r>
      <w:r>
        <w:rPr>
          <w:rFonts w:hint="eastAsia" w:cs="Times New Roman"/>
          <w:color w:val="000000" w:themeColor="text1"/>
          <w:highlight w:val="none"/>
          <w14:textFill>
            <w14:solidFill>
              <w14:schemeClr w14:val="tx1"/>
            </w14:solidFill>
          </w14:textFill>
        </w:rPr>
        <w:t>m</w:t>
      </w:r>
      <w:r>
        <w:rPr>
          <w:rFonts w:hint="eastAsia" w:cs="Times New Roman"/>
          <w:color w:val="000000" w:themeColor="text1"/>
          <w:highlight w:val="none"/>
          <w:vertAlign w:val="superscript"/>
          <w14:textFill>
            <w14:solidFill>
              <w14:schemeClr w14:val="tx1"/>
            </w14:solidFill>
          </w14:textFill>
        </w:rPr>
        <w:t>2</w:t>
      </w:r>
      <w:r>
        <w:rPr>
          <w:rFonts w:hint="eastAsia" w:cs="Times New Roman"/>
          <w:color w:val="000000" w:themeColor="text1"/>
          <w:highlight w:val="none"/>
          <w14:textFill>
            <w14:solidFill>
              <w14:schemeClr w14:val="tx1"/>
            </w14:solidFill>
          </w14:textFill>
        </w:rPr>
        <w:t>，尾矿库占地面积约26.07</w:t>
      </w:r>
      <w:r>
        <w:rPr>
          <w:rFonts w:hint="eastAsia" w:cs="Times New Roman"/>
          <w:color w:val="000000" w:themeColor="text1"/>
          <w:highlight w:val="none"/>
          <w:lang w:val="en-US" w:eastAsia="zh-CN"/>
          <w14:textFill>
            <w14:solidFill>
              <w14:schemeClr w14:val="tx1"/>
            </w14:solidFill>
          </w14:textFill>
        </w:rPr>
        <w:t>h</w:t>
      </w:r>
      <w:r>
        <w:rPr>
          <w:rFonts w:hint="eastAsia" w:cs="Times New Roman"/>
          <w:color w:val="000000" w:themeColor="text1"/>
          <w:highlight w:val="none"/>
          <w14:textFill>
            <w14:solidFill>
              <w14:schemeClr w14:val="tx1"/>
            </w14:solidFill>
          </w14:textFill>
        </w:rPr>
        <w:t>m</w:t>
      </w:r>
      <w:r>
        <w:rPr>
          <w:rFonts w:hint="eastAsia" w:cs="Times New Roman"/>
          <w:color w:val="000000" w:themeColor="text1"/>
          <w:highlight w:val="none"/>
          <w:vertAlign w:val="superscript"/>
          <w14:textFill>
            <w14:solidFill>
              <w14:schemeClr w14:val="tx1"/>
            </w14:solidFill>
          </w14:textFill>
        </w:rPr>
        <w:t>2</w:t>
      </w:r>
      <w:r>
        <w:rPr>
          <w:rFonts w:hint="eastAsia" w:cs="Times New Roman"/>
          <w:color w:val="000000" w:themeColor="text1"/>
          <w:highlight w:val="none"/>
          <w14:textFill>
            <w14:solidFill>
              <w14:schemeClr w14:val="tx1"/>
            </w14:solidFill>
          </w14:textFill>
        </w:rPr>
        <w:t>，办公生活区占地面积约</w:t>
      </w:r>
      <w:r>
        <w:rPr>
          <w:rFonts w:hint="eastAsia" w:cs="Times New Roman"/>
          <w:color w:val="000000" w:themeColor="text1"/>
          <w:highlight w:val="none"/>
          <w:lang w:val="en-US" w:eastAsia="zh-CN"/>
          <w14:textFill>
            <w14:solidFill>
              <w14:schemeClr w14:val="tx1"/>
            </w14:solidFill>
          </w14:textFill>
        </w:rPr>
        <w:t>1.16</w:t>
      </w:r>
      <w:r>
        <w:rPr>
          <w:rFonts w:hint="eastAsia" w:cs="Times New Roman"/>
          <w:color w:val="000000" w:themeColor="text1"/>
          <w:highlight w:val="none"/>
          <w14:textFill>
            <w14:solidFill>
              <w14:schemeClr w14:val="tx1"/>
            </w14:solidFill>
          </w14:textFill>
        </w:rPr>
        <w:t>km</w:t>
      </w:r>
      <w:r>
        <w:rPr>
          <w:rFonts w:hint="eastAsia" w:cs="Times New Roman"/>
          <w:color w:val="000000" w:themeColor="text1"/>
          <w:highlight w:val="none"/>
          <w:vertAlign w:val="superscript"/>
          <w14:textFill>
            <w14:solidFill>
              <w14:schemeClr w14:val="tx1"/>
            </w14:solidFill>
          </w14:textFill>
        </w:rPr>
        <w:t>2</w:t>
      </w:r>
      <w:r>
        <w:rPr>
          <w:rFonts w:hint="eastAsia" w:cs="Times New Roman"/>
          <w:color w:val="000000" w:themeColor="text1"/>
          <w:highlight w:val="none"/>
          <w14:textFill>
            <w14:solidFill>
              <w14:schemeClr w14:val="tx1"/>
            </w14:solidFill>
          </w14:textFill>
        </w:rPr>
        <w:t>。</w:t>
      </w:r>
    </w:p>
    <w:p w14:paraId="0CEA2031">
      <w:pPr>
        <w:pStyle w:val="63"/>
        <w:overflowPunct w:val="0"/>
        <w:topLinePunct/>
        <w:spacing w:line="480" w:lineRule="exact"/>
        <w:ind w:firstLine="48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建设内容及规模：</w:t>
      </w:r>
      <w:r>
        <w:rPr>
          <w:rFonts w:hint="eastAsia" w:ascii="宋体" w:hAnsi="宋体" w:eastAsia="宋体" w:cs="宋体"/>
          <w:color w:val="000000" w:themeColor="text1"/>
          <w:highlight w:val="none"/>
          <w14:textFill>
            <w14:solidFill>
              <w14:schemeClr w14:val="tx1"/>
            </w14:solidFill>
          </w14:textFill>
        </w:rPr>
        <w:t>主要包括原矿仓、破碎筛分</w:t>
      </w:r>
      <w:r>
        <w:rPr>
          <w:rFonts w:hint="eastAsia" w:ascii="宋体" w:hAnsi="宋体" w:eastAsia="宋体" w:cs="宋体"/>
          <w:color w:val="000000" w:themeColor="text1"/>
          <w:highlight w:val="none"/>
          <w:lang w:eastAsia="zh-CN"/>
          <w14:textFill>
            <w14:solidFill>
              <w14:schemeClr w14:val="tx1"/>
            </w14:solidFill>
          </w14:textFill>
        </w:rPr>
        <w:t>系统</w:t>
      </w:r>
      <w:r>
        <w:rPr>
          <w:rFonts w:hint="eastAsia" w:ascii="宋体" w:hAnsi="宋体" w:eastAsia="宋体" w:cs="宋体"/>
          <w:color w:val="000000" w:themeColor="text1"/>
          <w:highlight w:val="none"/>
          <w14:textFill>
            <w14:solidFill>
              <w14:schemeClr w14:val="tx1"/>
            </w14:solidFill>
          </w14:textFill>
        </w:rPr>
        <w:t>、磨矿磁选厂房、浓缩脱水厂房、带式输送机通廊、仓库、机修间、电修间、高位回水池、材料备品库、</w:t>
      </w:r>
      <w:r>
        <w:rPr>
          <w:rFonts w:hint="eastAsia" w:ascii="宋体" w:hAnsi="宋体" w:eastAsia="宋体" w:cs="宋体"/>
          <w:color w:val="000000" w:themeColor="text1"/>
          <w:highlight w:val="none"/>
          <w:lang w:eastAsia="zh-CN"/>
          <w14:textFill>
            <w14:solidFill>
              <w14:schemeClr w14:val="tx1"/>
            </w14:solidFill>
          </w14:textFill>
        </w:rPr>
        <w:t>成品库、生活区</w:t>
      </w:r>
      <w:r>
        <w:rPr>
          <w:rFonts w:hint="eastAsia" w:ascii="宋体" w:hAnsi="宋体" w:eastAsia="宋体" w:cs="宋体"/>
          <w:color w:val="000000" w:themeColor="text1"/>
          <w:highlight w:val="none"/>
          <w14:textFill>
            <w14:solidFill>
              <w14:schemeClr w14:val="tx1"/>
            </w14:solidFill>
          </w14:textFill>
        </w:rPr>
        <w:t>等</w:t>
      </w:r>
      <w:r>
        <w:rPr>
          <w:rFonts w:hint="eastAsia" w:ascii="宋体" w:hAnsi="宋体" w:eastAsia="宋体" w:cs="宋体"/>
          <w:color w:val="000000" w:themeColor="text1"/>
          <w:highlight w:val="none"/>
          <w:lang w:eastAsia="zh-CN"/>
          <w14:textFill>
            <w14:solidFill>
              <w14:schemeClr w14:val="tx1"/>
            </w14:solidFill>
          </w14:textFill>
        </w:rPr>
        <w:t>，配套</w:t>
      </w:r>
      <w:r>
        <w:rPr>
          <w:rFonts w:hint="eastAsia" w:ascii="Times New Roman" w:hAnsi="Times New Roman" w:eastAsia="宋体" w:cs="Times New Roman"/>
          <w:color w:val="000000" w:themeColor="text1"/>
          <w:highlight w:val="none"/>
          <w14:textFill>
            <w14:solidFill>
              <w14:schemeClr w14:val="tx1"/>
            </w14:solidFill>
          </w14:textFill>
        </w:rPr>
        <w:t>排水、供电及道路等部分组成。</w:t>
      </w:r>
      <w:r>
        <w:rPr>
          <w:rFonts w:ascii="Times New Roman" w:hAnsi="Times New Roman" w:eastAsia="宋体" w:cs="Times New Roman"/>
          <w:color w:val="000000" w:themeColor="text1"/>
          <w:highlight w:val="none"/>
          <w14:textFill>
            <w14:solidFill>
              <w14:schemeClr w14:val="tx1"/>
            </w14:solidFill>
          </w14:textFill>
        </w:rPr>
        <w:t>选矿工程</w:t>
      </w:r>
      <w:r>
        <w:rPr>
          <w:rFonts w:hint="eastAsia" w:ascii="Times New Roman" w:hAnsi="Times New Roman" w:eastAsia="宋体" w:cs="Times New Roman"/>
          <w:color w:val="000000" w:themeColor="text1"/>
          <w:highlight w:val="none"/>
          <w14:textFill>
            <w14:solidFill>
              <w14:schemeClr w14:val="tx1"/>
            </w14:solidFill>
          </w14:textFill>
        </w:rPr>
        <w:t>以</w:t>
      </w:r>
      <w:r>
        <w:rPr>
          <w:rFonts w:hint="eastAsia" w:ascii="Times New Roman" w:hAnsi="Times New Roman" w:eastAsia="宋体" w:cs="Times New Roman"/>
          <w:color w:val="000000" w:themeColor="text1"/>
          <w:highlight w:val="none"/>
          <w:lang w:eastAsia="zh-CN"/>
          <w14:textFill>
            <w14:solidFill>
              <w14:schemeClr w14:val="tx1"/>
            </w14:solidFill>
          </w14:textFill>
        </w:rPr>
        <w:t>M1033铁矿</w:t>
      </w:r>
      <w:r>
        <w:rPr>
          <w:rFonts w:hint="eastAsia" w:ascii="Times New Roman" w:hAnsi="Times New Roman" w:eastAsia="宋体" w:cs="Times New Roman"/>
          <w:color w:val="000000" w:themeColor="text1"/>
          <w:highlight w:val="none"/>
          <w14:textFill>
            <w14:solidFill>
              <w14:schemeClr w14:val="tx1"/>
            </w14:solidFill>
          </w14:textFill>
        </w:rPr>
        <w:t>开采的矿石为主要原料，所处理的矿石为磁铁矿石，产品是</w:t>
      </w:r>
      <w:r>
        <w:rPr>
          <w:rFonts w:hint="eastAsia" w:ascii="Times New Roman" w:hAnsi="Times New Roman" w:eastAsia="宋体" w:cs="Times New Roman"/>
          <w:color w:val="000000" w:themeColor="text1"/>
          <w:highlight w:val="none"/>
          <w:lang w:eastAsia="zh-CN"/>
          <w14:textFill>
            <w14:solidFill>
              <w14:schemeClr w14:val="tx1"/>
            </w14:solidFill>
          </w14:textFill>
        </w:rPr>
        <w:t>铁精粉</w:t>
      </w:r>
      <w:r>
        <w:rPr>
          <w:rFonts w:hint="eastAsia" w:ascii="Times New Roman" w:hAnsi="Times New Roman" w:eastAsia="宋体" w:cs="Times New Roman"/>
          <w:color w:val="000000" w:themeColor="text1"/>
          <w:highlight w:val="none"/>
          <w14:textFill>
            <w14:solidFill>
              <w14:schemeClr w14:val="tx1"/>
            </w14:solidFill>
          </w14:textFill>
        </w:rPr>
        <w:t>，采用磨矿-磁</w:t>
      </w:r>
      <w:r>
        <w:rPr>
          <w:rFonts w:hint="eastAsia" w:ascii="Times New Roman" w:hAnsi="Times New Roman" w:eastAsia="宋体" w:cs="Times New Roman"/>
          <w:color w:val="000000" w:themeColor="text1"/>
          <w:highlight w:val="none"/>
          <w:lang w:eastAsia="zh-CN"/>
          <w14:textFill>
            <w14:solidFill>
              <w14:schemeClr w14:val="tx1"/>
            </w14:solidFill>
          </w14:textFill>
        </w:rPr>
        <w:t>选</w:t>
      </w:r>
      <w:r>
        <w:rPr>
          <w:rFonts w:hint="eastAsia" w:ascii="Times New Roman" w:hAnsi="Times New Roman" w:eastAsia="宋体" w:cs="Times New Roman"/>
          <w:color w:val="000000" w:themeColor="text1"/>
          <w:highlight w:val="none"/>
          <w14:textFill>
            <w14:solidFill>
              <w14:schemeClr w14:val="tx1"/>
            </w14:solidFill>
          </w14:textFill>
        </w:rPr>
        <w:t>-过滤工艺。</w:t>
      </w:r>
      <w:r>
        <w:rPr>
          <w:rFonts w:ascii="Times New Roman" w:hAnsi="Times New Roman" w:eastAsia="宋体" w:cs="Times New Roman"/>
          <w:color w:val="000000" w:themeColor="text1"/>
          <w:highlight w:val="none"/>
          <w14:textFill>
            <w14:solidFill>
              <w14:schemeClr w14:val="tx1"/>
            </w14:solidFill>
          </w14:textFill>
        </w:rPr>
        <w:t>选矿工程</w:t>
      </w:r>
      <w:r>
        <w:rPr>
          <w:rFonts w:hint="eastAsia" w:ascii="Times New Roman" w:hAnsi="Times New Roman" w:eastAsia="宋体" w:cs="Times New Roman"/>
          <w:color w:val="000000" w:themeColor="text1"/>
          <w:highlight w:val="none"/>
          <w14:textFill>
            <w14:solidFill>
              <w14:schemeClr w14:val="tx1"/>
            </w14:solidFill>
          </w14:textFill>
        </w:rPr>
        <w:t>可处理磁铁矿石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highlight w:val="none"/>
          <w14:textFill>
            <w14:solidFill>
              <w14:schemeClr w14:val="tx1"/>
            </w14:solidFill>
          </w14:textFill>
        </w:rPr>
        <w:t>0万t/a，可生产</w:t>
      </w:r>
      <w:r>
        <w:rPr>
          <w:rFonts w:hint="eastAsia" w:ascii="Times New Roman" w:hAnsi="Times New Roman" w:eastAsia="宋体" w:cs="Times New Roman"/>
          <w:color w:val="000000" w:themeColor="text1"/>
          <w:highlight w:val="none"/>
          <w:lang w:eastAsia="zh-CN"/>
          <w14:textFill>
            <w14:solidFill>
              <w14:schemeClr w14:val="tx1"/>
            </w14:solidFill>
          </w14:textFill>
        </w:rPr>
        <w:t>铁精粉</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highlight w:val="none"/>
          <w14:textFill>
            <w14:solidFill>
              <w14:schemeClr w14:val="tx1"/>
            </w14:solidFill>
          </w14:textFill>
        </w:rPr>
        <w:t>万t/a。</w:t>
      </w:r>
    </w:p>
    <w:p w14:paraId="160737FB">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劳动定员：选矿厂职工定员</w:t>
      </w:r>
      <w:r>
        <w:rPr>
          <w:rFonts w:hint="eastAsia"/>
          <w:color w:val="000000" w:themeColor="text1"/>
          <w:highlight w:val="none"/>
          <w:lang w:val="en-US" w:eastAsia="zh-CN"/>
          <w14:textFill>
            <w14:solidFill>
              <w14:schemeClr w14:val="tx1"/>
            </w14:solidFill>
          </w14:textFill>
        </w:rPr>
        <w:t>50</w:t>
      </w:r>
      <w:r>
        <w:rPr>
          <w:rFonts w:hint="eastAsia"/>
          <w:color w:val="000000" w:themeColor="text1"/>
          <w:highlight w:val="none"/>
          <w14:textFill>
            <w14:solidFill>
              <w14:schemeClr w14:val="tx1"/>
            </w14:solidFill>
          </w14:textFill>
        </w:rPr>
        <w:t>人。</w:t>
      </w:r>
    </w:p>
    <w:p w14:paraId="00FA65E6">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生产制度：年工作300天，三班/天，8小时/班。</w:t>
      </w:r>
    </w:p>
    <w:p w14:paraId="2D2ADAA9">
      <w:pPr>
        <w:pStyle w:val="4"/>
        <w:rPr>
          <w:color w:val="000000" w:themeColor="text1"/>
          <w:highlight w:val="none"/>
          <w14:textFill>
            <w14:solidFill>
              <w14:schemeClr w14:val="tx1"/>
            </w14:solidFill>
          </w14:textFill>
        </w:rPr>
      </w:pPr>
      <w:bookmarkStart w:id="354" w:name="_Toc28614"/>
      <w:bookmarkStart w:id="355" w:name="_Toc12379"/>
      <w:bookmarkStart w:id="356" w:name="_Toc28364"/>
      <w:r>
        <w:rPr>
          <w:color w:val="000000" w:themeColor="text1"/>
          <w:highlight w:val="none"/>
          <w14:textFill>
            <w14:solidFill>
              <w14:schemeClr w14:val="tx1"/>
            </w14:solidFill>
          </w14:textFill>
        </w:rPr>
        <w:t>3.1.</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现有工程内容</w:t>
      </w:r>
      <w:bookmarkEnd w:id="354"/>
      <w:bookmarkEnd w:id="355"/>
      <w:bookmarkEnd w:id="356"/>
    </w:p>
    <w:p w14:paraId="0125A908">
      <w:pPr>
        <w:pStyle w:val="5"/>
        <w:tabs>
          <w:tab w:val="left" w:pos="2041"/>
          <w:tab w:val="left" w:pos="3402"/>
        </w:tabs>
        <w:ind w:firstLine="482" w:firstLineChars="200"/>
        <w:rPr>
          <w:rFonts w:hint="default"/>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3.1.3.1建设内容</w:t>
      </w:r>
    </w:p>
    <w:p w14:paraId="01B6CB91">
      <w:pPr>
        <w:pStyle w:val="63"/>
        <w:overflowPunct w:val="0"/>
        <w:topLinePunct/>
        <w:spacing w:line="480" w:lineRule="exact"/>
        <w:ind w:firstLine="480"/>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现有工程</w:t>
      </w:r>
      <w:r>
        <w:rPr>
          <w:rFonts w:hint="eastAsia" w:ascii="Times New Roman" w:hAnsi="Times New Roman" w:eastAsia="宋体" w:cs="Times New Roman"/>
          <w:color w:val="000000" w:themeColor="text1"/>
          <w:highlight w:val="none"/>
          <w14:textFill>
            <w14:solidFill>
              <w14:schemeClr w14:val="tx1"/>
            </w14:solidFill>
          </w14:textFill>
        </w:rPr>
        <w:t>包括主体工程、辅助工程、公用工程、储运工程、环保工程等内容，现有工程组成详见表3.1-</w:t>
      </w:r>
      <w:r>
        <w:rPr>
          <w:rFonts w:ascii="Times New Roman" w:hAnsi="Times New Roman" w:eastAsia="宋体" w:cs="Times New Roman"/>
          <w:color w:val="000000" w:themeColor="text1"/>
          <w:highlight w:val="none"/>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w:t>
      </w:r>
    </w:p>
    <w:p w14:paraId="325182E5">
      <w:pPr>
        <w:ind w:firstLine="0" w:firstLineChars="0"/>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表3.1-</w:t>
      </w:r>
      <w:r>
        <w:rPr>
          <w:b/>
          <w:color w:val="000000" w:themeColor="text1"/>
          <w:highlight w:val="none"/>
          <w14:textFill>
            <w14:solidFill>
              <w14:schemeClr w14:val="tx1"/>
            </w14:solidFill>
          </w14:textFill>
        </w:rPr>
        <w:t>2</w:t>
      </w:r>
      <w:r>
        <w:rPr>
          <w:rFonts w:hint="eastAsia"/>
          <w:b/>
          <w:color w:val="000000" w:themeColor="text1"/>
          <w:highlight w:val="none"/>
          <w14:textFill>
            <w14:solidFill>
              <w14:schemeClr w14:val="tx1"/>
            </w14:solidFill>
          </w14:textFill>
        </w:rPr>
        <w:t xml:space="preserve">    项目组成</w:t>
      </w:r>
      <w:r>
        <w:rPr>
          <w:b/>
          <w:color w:val="000000" w:themeColor="text1"/>
          <w:kern w:val="0"/>
          <w:highlight w:val="none"/>
          <w:lang w:val="zh-CN"/>
          <w14:textFill>
            <w14:solidFill>
              <w14:schemeClr w14:val="tx1"/>
            </w14:solidFill>
          </w14:textFill>
        </w:rPr>
        <w:t>一览</w:t>
      </w:r>
      <w:r>
        <w:rPr>
          <w:rFonts w:hint="eastAsia"/>
          <w:b/>
          <w:color w:val="000000" w:themeColor="text1"/>
          <w:highlight w:val="none"/>
          <w14:textFill>
            <w14:solidFill>
              <w14:schemeClr w14:val="tx1"/>
            </w14:solidFill>
          </w14:textFill>
        </w:rPr>
        <w:t>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765"/>
        <w:gridCol w:w="3539"/>
        <w:gridCol w:w="3541"/>
      </w:tblGrid>
      <w:tr w14:paraId="7A720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841" w:type="pct"/>
            <w:gridSpan w:val="2"/>
            <w:tcBorders>
              <w:tl2br w:val="nil"/>
              <w:tr2bl w:val="nil"/>
            </w:tcBorders>
            <w:vAlign w:val="center"/>
          </w:tcPr>
          <w:p w14:paraId="4B9A46DB">
            <w:pPr>
              <w:pStyle w:val="14"/>
              <w:adjustRightInd w:val="0"/>
              <w:snapToGrid w:val="0"/>
              <w:spacing w:line="360" w:lineRule="exact"/>
              <w:ind w:firstLine="0" w:firstLineChars="0"/>
              <w:jc w:val="center"/>
              <w:rPr>
                <w:rFonts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单元名称</w:t>
            </w:r>
          </w:p>
        </w:tc>
        <w:tc>
          <w:tcPr>
            <w:tcW w:w="2078" w:type="pct"/>
            <w:tcBorders>
              <w:tl2br w:val="nil"/>
              <w:tr2bl w:val="nil"/>
            </w:tcBorders>
            <w:vAlign w:val="center"/>
          </w:tcPr>
          <w:p w14:paraId="35226F80">
            <w:pPr>
              <w:pStyle w:val="14"/>
              <w:adjustRightInd w:val="0"/>
              <w:snapToGrid w:val="0"/>
              <w:spacing w:line="360" w:lineRule="exact"/>
              <w:ind w:firstLine="0" w:firstLineChars="0"/>
              <w:jc w:val="center"/>
              <w:rPr>
                <w:rFonts w:ascii="Times New Roman" w:hAnsi="Times New Roman" w:cs="Times New Roman"/>
                <w:b/>
                <w:bCs/>
                <w:color w:val="000000" w:themeColor="text1"/>
                <w:sz w:val="21"/>
                <w:highlight w:val="none"/>
                <w14:textFill>
                  <w14:solidFill>
                    <w14:schemeClr w14:val="tx1"/>
                  </w14:solidFill>
                </w14:textFill>
              </w:rPr>
            </w:pPr>
            <w:r>
              <w:rPr>
                <w:rFonts w:hint="eastAsia" w:ascii="Times New Roman" w:hAnsi="Times New Roman" w:cs="Times New Roman"/>
                <w:b/>
                <w:bCs/>
                <w:color w:val="000000" w:themeColor="text1"/>
                <w:sz w:val="21"/>
                <w:highlight w:val="none"/>
                <w14:textFill>
                  <w14:solidFill>
                    <w14:schemeClr w14:val="tx1"/>
                  </w14:solidFill>
                </w14:textFill>
              </w:rPr>
              <w:t>环评阶段建设内容</w:t>
            </w:r>
          </w:p>
        </w:tc>
        <w:tc>
          <w:tcPr>
            <w:tcW w:w="2079" w:type="pct"/>
            <w:tcBorders>
              <w:tl2br w:val="nil"/>
              <w:tr2bl w:val="nil"/>
            </w:tcBorders>
            <w:vAlign w:val="center"/>
          </w:tcPr>
          <w:p w14:paraId="195A7A1A">
            <w:pPr>
              <w:pStyle w:val="14"/>
              <w:adjustRightInd w:val="0"/>
              <w:snapToGrid w:val="0"/>
              <w:spacing w:line="360" w:lineRule="exact"/>
              <w:ind w:firstLine="0" w:firstLineChars="0"/>
              <w:jc w:val="center"/>
              <w:rPr>
                <w:rFonts w:ascii="Times New Roman" w:hAnsi="Times New Roman" w:cs="Times New Roman"/>
                <w:b/>
                <w:bCs/>
                <w:color w:val="000000" w:themeColor="text1"/>
                <w:sz w:val="21"/>
                <w:highlight w:val="none"/>
                <w14:textFill>
                  <w14:solidFill>
                    <w14:schemeClr w14:val="tx1"/>
                  </w14:solidFill>
                </w14:textFill>
              </w:rPr>
            </w:pPr>
            <w:r>
              <w:rPr>
                <w:rFonts w:hint="eastAsia" w:ascii="Times New Roman" w:hAnsi="Times New Roman" w:cs="Times New Roman"/>
                <w:b/>
                <w:bCs/>
                <w:color w:val="000000" w:themeColor="text1"/>
                <w:sz w:val="21"/>
                <w:highlight w:val="none"/>
                <w14:textFill>
                  <w14:solidFill>
                    <w14:schemeClr w14:val="tx1"/>
                  </w14:solidFill>
                </w14:textFill>
              </w:rPr>
              <w:t>实际工程</w:t>
            </w:r>
            <w:r>
              <w:rPr>
                <w:rFonts w:ascii="Times New Roman" w:hAnsi="Times New Roman" w:cs="Times New Roman"/>
                <w:b/>
                <w:bCs/>
                <w:color w:val="000000" w:themeColor="text1"/>
                <w:sz w:val="21"/>
                <w:highlight w:val="none"/>
                <w14:textFill>
                  <w14:solidFill>
                    <w14:schemeClr w14:val="tx1"/>
                  </w14:solidFill>
                </w14:textFill>
              </w:rPr>
              <w:t>内容</w:t>
            </w:r>
          </w:p>
        </w:tc>
      </w:tr>
      <w:tr w14:paraId="3CE44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restart"/>
            <w:tcBorders>
              <w:tl2br w:val="nil"/>
              <w:tr2bl w:val="nil"/>
            </w:tcBorders>
            <w:vAlign w:val="center"/>
          </w:tcPr>
          <w:p w14:paraId="22B5CDAB">
            <w:pPr>
              <w:pStyle w:val="14"/>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bCs/>
                <w:color w:val="000000" w:themeColor="text1"/>
                <w:sz w:val="21"/>
                <w:highlight w:val="none"/>
                <w14:textFill>
                  <w14:solidFill>
                    <w14:schemeClr w14:val="tx1"/>
                  </w14:solidFill>
                </w14:textFill>
              </w:rPr>
              <w:t>主体工程</w:t>
            </w:r>
          </w:p>
        </w:tc>
        <w:tc>
          <w:tcPr>
            <w:tcW w:w="449" w:type="pct"/>
            <w:tcBorders>
              <w:tl2br w:val="nil"/>
              <w:tr2bl w:val="nil"/>
            </w:tcBorders>
            <w:vAlign w:val="center"/>
          </w:tcPr>
          <w:p w14:paraId="53D07044">
            <w:pPr>
              <w:pStyle w:val="14"/>
              <w:snapToGrid w:val="0"/>
              <w:spacing w:line="360" w:lineRule="exact"/>
              <w:ind w:firstLine="0" w:firstLineChars="0"/>
              <w:jc w:val="center"/>
              <w:rPr>
                <w:rFonts w:hint="eastAsia" w:ascii="Times New Roman" w:hAnsi="Times New Roman" w:eastAsia="宋体" w:cs="Times New Roman"/>
                <w:color w:val="000000" w:themeColor="text1"/>
                <w:sz w:val="21"/>
                <w:highlight w:val="none"/>
                <w:lang w:eastAsia="zh-CN"/>
                <w14:textFill>
                  <w14:solidFill>
                    <w14:schemeClr w14:val="tx1"/>
                  </w14:solidFill>
                </w14:textFill>
              </w:rPr>
            </w:pPr>
            <w:r>
              <w:rPr>
                <w:rFonts w:hint="eastAsia" w:ascii="Times New Roman" w:hAnsi="Times New Roman" w:cs="Times New Roman"/>
                <w:color w:val="000000" w:themeColor="text1"/>
                <w:sz w:val="21"/>
                <w:highlight w:val="none"/>
                <w:lang w:eastAsia="zh-CN"/>
                <w14:textFill>
                  <w14:solidFill>
                    <w14:schemeClr w14:val="tx1"/>
                  </w14:solidFill>
                </w14:textFill>
              </w:rPr>
              <w:t>选矿厂</w:t>
            </w:r>
          </w:p>
        </w:tc>
        <w:tc>
          <w:tcPr>
            <w:tcW w:w="2078" w:type="pct"/>
            <w:tcBorders>
              <w:tl2br w:val="nil"/>
              <w:tr2bl w:val="nil"/>
            </w:tcBorders>
            <w:vAlign w:val="center"/>
          </w:tcPr>
          <w:p w14:paraId="4276F9EA">
            <w:pPr>
              <w:pStyle w:val="14"/>
              <w:widowControl/>
              <w:topLinePunct/>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lang w:eastAsia="zh-CN"/>
                <w14:textFill>
                  <w14:solidFill>
                    <w14:schemeClr w14:val="tx1"/>
                  </w14:solidFill>
                </w14:textFill>
              </w:rPr>
              <w:t>选矿厂生产厂区占地面积为</w:t>
            </w:r>
            <w:r>
              <w:rPr>
                <w:rFonts w:hint="eastAsia" w:ascii="Times New Roman" w:hAnsi="Times New Roman" w:cs="Times New Roman"/>
                <w:color w:val="000000" w:themeColor="text1"/>
                <w:sz w:val="21"/>
                <w:highlight w:val="none"/>
                <w:lang w:val="en-US" w:eastAsia="zh-CN"/>
                <w14:textFill>
                  <w14:solidFill>
                    <w14:schemeClr w14:val="tx1"/>
                  </w14:solidFill>
                </w14:textFill>
              </w:rPr>
              <w:t>9万m</w:t>
            </w:r>
            <w:r>
              <w:rPr>
                <w:rFonts w:hint="eastAsia" w:ascii="Times New Roman" w:hAnsi="Times New Roman" w:cs="Times New Roman"/>
                <w:color w:val="000000" w:themeColor="text1"/>
                <w:sz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highlight w:val="none"/>
                <w:lang w:val="en-US" w:eastAsia="zh-CN"/>
                <w14:textFill>
                  <w14:solidFill>
                    <w14:schemeClr w14:val="tx1"/>
                  </w14:solidFill>
                </w14:textFill>
              </w:rPr>
              <w:t>，原矿仓布置在厂区东南部，破碎系统布置在厂区北部，</w:t>
            </w:r>
            <w:r>
              <w:rPr>
                <w:rFonts w:hint="eastAsia" w:ascii="Times New Roman" w:hAnsi="Times New Roman" w:cs="Times New Roman"/>
                <w:color w:val="000000" w:themeColor="text1"/>
                <w:sz w:val="21"/>
                <w:highlight w:val="none"/>
                <w:lang w:eastAsia="zh-CN"/>
                <w14:textFill>
                  <w14:solidFill>
                    <w14:schemeClr w14:val="tx1"/>
                  </w14:solidFill>
                </w14:textFill>
              </w:rPr>
              <w:t>主厂房（磨矿车间、磁选车间）位于破碎系统的西部，选矿车间占地面积</w:t>
            </w:r>
            <w:r>
              <w:rPr>
                <w:rFonts w:hint="eastAsia" w:ascii="Times New Roman" w:hAnsi="Times New Roman" w:cs="Times New Roman"/>
                <w:color w:val="000000" w:themeColor="text1"/>
                <w:sz w:val="21"/>
                <w:highlight w:val="none"/>
                <w:lang w:val="en-US" w:eastAsia="zh-CN"/>
                <w14:textFill>
                  <w14:solidFill>
                    <w14:schemeClr w14:val="tx1"/>
                  </w14:solidFill>
                </w14:textFill>
              </w:rPr>
              <w:t>966m</w:t>
            </w:r>
            <w:r>
              <w:rPr>
                <w:rFonts w:hint="eastAsia" w:ascii="Times New Roman" w:hAnsi="Times New Roman" w:cs="Times New Roman"/>
                <w:color w:val="000000" w:themeColor="text1"/>
                <w:sz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highlight w:val="none"/>
                <w:lang w:val="en-US" w:eastAsia="zh-CN"/>
                <w14:textFill>
                  <w14:solidFill>
                    <w14:schemeClr w14:val="tx1"/>
                  </w14:solidFill>
                </w14:textFill>
              </w:rPr>
              <w:t>，过滤车间占地面积120m</w:t>
            </w:r>
            <w:r>
              <w:rPr>
                <w:rFonts w:hint="eastAsia" w:ascii="Times New Roman" w:hAnsi="Times New Roman" w:cs="Times New Roman"/>
                <w:color w:val="000000" w:themeColor="text1"/>
                <w:sz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highlight w:val="none"/>
                <w:lang w:val="en-US" w:eastAsia="zh-CN"/>
                <w14:textFill>
                  <w14:solidFill>
                    <w14:schemeClr w14:val="tx1"/>
                  </w14:solidFill>
                </w14:textFill>
              </w:rPr>
              <w:t>。工业场地破碎工段由原矿仓、粗破碎工段、筛分细破碎工段及转运站组成。</w:t>
            </w:r>
          </w:p>
        </w:tc>
        <w:tc>
          <w:tcPr>
            <w:tcW w:w="2079" w:type="pct"/>
            <w:tcBorders>
              <w:tl2br w:val="nil"/>
              <w:tr2bl w:val="nil"/>
            </w:tcBorders>
            <w:vAlign w:val="center"/>
          </w:tcPr>
          <w:p w14:paraId="1462070B">
            <w:pPr>
              <w:pStyle w:val="83"/>
              <w:spacing w:line="360" w:lineRule="exact"/>
              <w:ind w:firstLine="0" w:firstLineChars="0"/>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与环评一致，其中，</w:t>
            </w:r>
            <w:r>
              <w:rPr>
                <w:rFonts w:hint="eastAsia" w:ascii="Times New Roman" w:hAnsi="Times New Roman" w:cs="Times New Roman"/>
                <w:color w:val="000000" w:themeColor="text1"/>
                <w:sz w:val="21"/>
                <w:szCs w:val="21"/>
                <w:highlight w:val="none"/>
                <w:lang w:eastAsia="zh-CN"/>
                <w14:textFill>
                  <w14:solidFill>
                    <w14:schemeClr w14:val="tx1"/>
                  </w14:solidFill>
                </w14:textFill>
              </w:rPr>
              <w:t>破碎线已废弃</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2BBC5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tcBorders>
              <w:tl2br w:val="nil"/>
              <w:tr2bl w:val="nil"/>
            </w:tcBorders>
            <w:vAlign w:val="center"/>
          </w:tcPr>
          <w:p w14:paraId="0E61379E">
            <w:pPr>
              <w:pStyle w:val="14"/>
              <w:snapToGrid w:val="0"/>
              <w:spacing w:line="360" w:lineRule="exact"/>
              <w:ind w:firstLine="0" w:firstLineChars="0"/>
              <w:jc w:val="center"/>
              <w:rPr>
                <w:rFonts w:ascii="Times New Roman" w:hAnsi="Times New Roman" w:cs="Times New Roman"/>
                <w:bCs/>
                <w:color w:val="000000" w:themeColor="text1"/>
                <w:sz w:val="21"/>
                <w:highlight w:val="none"/>
                <w14:textFill>
                  <w14:solidFill>
                    <w14:schemeClr w14:val="tx1"/>
                  </w14:solidFill>
                </w14:textFill>
              </w:rPr>
            </w:pPr>
          </w:p>
        </w:tc>
        <w:tc>
          <w:tcPr>
            <w:tcW w:w="449" w:type="pct"/>
            <w:tcBorders>
              <w:tl2br w:val="nil"/>
              <w:tr2bl w:val="nil"/>
            </w:tcBorders>
            <w:vAlign w:val="center"/>
          </w:tcPr>
          <w:p w14:paraId="41C502A8">
            <w:pPr>
              <w:pStyle w:val="14"/>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尾矿库</w:t>
            </w:r>
          </w:p>
        </w:tc>
        <w:tc>
          <w:tcPr>
            <w:tcW w:w="2078" w:type="pct"/>
            <w:tcBorders>
              <w:tl2br w:val="nil"/>
              <w:tr2bl w:val="nil"/>
            </w:tcBorders>
            <w:vAlign w:val="center"/>
          </w:tcPr>
          <w:p w14:paraId="29963248">
            <w:pPr>
              <w:pStyle w:val="14"/>
              <w:topLinePunct/>
              <w:snapToGrid w:val="0"/>
              <w:spacing w:line="360" w:lineRule="exact"/>
              <w:ind w:firstLine="0" w:firstLineChars="0"/>
              <w:jc w:val="center"/>
              <w:rPr>
                <w:rFonts w:hint="default" w:ascii="Times New Roman" w:hAnsi="Times New Roman" w:cs="Times New Roman"/>
                <w:color w:val="000000" w:themeColor="text1"/>
                <w:sz w:val="21"/>
                <w:highlight w:val="none"/>
                <w:lang w:val="en-US"/>
                <w14:textFill>
                  <w14:solidFill>
                    <w14:schemeClr w14:val="tx1"/>
                  </w14:solidFill>
                </w14:textFill>
              </w:rPr>
            </w:pPr>
            <w:r>
              <w:rPr>
                <w:rFonts w:hint="eastAsia" w:ascii="Times New Roman" w:hAnsi="Times New Roman"/>
                <w:color w:val="000000" w:themeColor="text1"/>
                <w:sz w:val="21"/>
                <w:highlight w:val="none"/>
                <w:lang w:eastAsia="zh-CN"/>
                <w14:textFill>
                  <w14:solidFill>
                    <w14:schemeClr w14:val="tx1"/>
                  </w14:solidFill>
                </w14:textFill>
              </w:rPr>
              <w:t>选矿厂设有两个尾矿库，位于选矿车间西侧，容积为</w:t>
            </w:r>
            <w:r>
              <w:rPr>
                <w:rFonts w:hint="eastAsia" w:ascii="Times New Roman" w:hAnsi="Times New Roman"/>
                <w:color w:val="000000" w:themeColor="text1"/>
                <w:sz w:val="21"/>
                <w:highlight w:val="none"/>
                <w:lang w:val="en-US" w:eastAsia="zh-CN"/>
                <w14:textFill>
                  <w14:solidFill>
                    <w14:schemeClr w14:val="tx1"/>
                  </w14:solidFill>
                </w14:textFill>
              </w:rPr>
              <w:t>8万m</w:t>
            </w:r>
            <w:r>
              <w:rPr>
                <w:rFonts w:hint="eastAsia" w:ascii="Times New Roman" w:hAnsi="Times New Roman"/>
                <w:color w:val="000000" w:themeColor="text1"/>
                <w:sz w:val="21"/>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1"/>
                <w:highlight w:val="none"/>
                <w:lang w:val="en-US" w:eastAsia="zh-CN"/>
                <w14:textFill>
                  <w14:solidFill>
                    <w14:schemeClr w14:val="tx1"/>
                  </w14:solidFill>
                </w14:textFill>
              </w:rPr>
              <w:t>的1号</w:t>
            </w:r>
            <w:r>
              <w:rPr>
                <w:rFonts w:hint="eastAsia" w:ascii="Times New Roman" w:hAnsi="Times New Roman"/>
                <w:color w:val="000000" w:themeColor="text1"/>
                <w:sz w:val="21"/>
                <w:highlight w:val="none"/>
                <w:lang w:eastAsia="zh-CN"/>
                <w14:textFill>
                  <w14:solidFill>
                    <w14:schemeClr w14:val="tx1"/>
                  </w14:solidFill>
                </w14:textFill>
              </w:rPr>
              <w:t>尾矿库修建于</w:t>
            </w:r>
            <w:r>
              <w:rPr>
                <w:rFonts w:hint="eastAsia" w:ascii="Times New Roman" w:hAnsi="Times New Roman"/>
                <w:color w:val="000000" w:themeColor="text1"/>
                <w:sz w:val="21"/>
                <w:highlight w:val="none"/>
                <w:lang w:val="en-US" w:eastAsia="zh-CN"/>
                <w14:textFill>
                  <w14:solidFill>
                    <w14:schemeClr w14:val="tx1"/>
                  </w14:solidFill>
                </w14:textFill>
              </w:rPr>
              <w:t>2004年，容积为25万m</w:t>
            </w:r>
            <w:r>
              <w:rPr>
                <w:rFonts w:hint="eastAsia" w:ascii="Times New Roman" w:hAnsi="Times New Roman"/>
                <w:color w:val="000000" w:themeColor="text1"/>
                <w:sz w:val="21"/>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1"/>
                <w:highlight w:val="none"/>
                <w:lang w:val="en-US" w:eastAsia="zh-CN"/>
                <w14:textFill>
                  <w14:solidFill>
                    <w14:schemeClr w14:val="tx1"/>
                  </w14:solidFill>
                </w14:textFill>
              </w:rPr>
              <w:t>的2号</w:t>
            </w:r>
            <w:r>
              <w:rPr>
                <w:rFonts w:hint="eastAsia" w:ascii="Times New Roman" w:hAnsi="Times New Roman"/>
                <w:color w:val="000000" w:themeColor="text1"/>
                <w:sz w:val="21"/>
                <w:highlight w:val="none"/>
                <w:lang w:eastAsia="zh-CN"/>
                <w14:textFill>
                  <w14:solidFill>
                    <w14:schemeClr w14:val="tx1"/>
                  </w14:solidFill>
                </w14:textFill>
              </w:rPr>
              <w:t>尾矿库修建于</w:t>
            </w:r>
            <w:r>
              <w:rPr>
                <w:rFonts w:hint="eastAsia" w:ascii="Times New Roman" w:hAnsi="Times New Roman"/>
                <w:color w:val="000000" w:themeColor="text1"/>
                <w:sz w:val="21"/>
                <w:highlight w:val="none"/>
                <w:lang w:val="en-US" w:eastAsia="zh-CN"/>
                <w14:textFill>
                  <w14:solidFill>
                    <w14:schemeClr w14:val="tx1"/>
                  </w14:solidFill>
                </w14:textFill>
              </w:rPr>
              <w:t>2005年。坝体总长为1200m，服务年限为10a。</w:t>
            </w:r>
          </w:p>
        </w:tc>
        <w:tc>
          <w:tcPr>
            <w:tcW w:w="2079" w:type="pct"/>
            <w:tcBorders>
              <w:tl2br w:val="nil"/>
              <w:tr2bl w:val="nil"/>
            </w:tcBorders>
            <w:vAlign w:val="center"/>
          </w:tcPr>
          <w:p w14:paraId="47BE5134">
            <w:pPr>
              <w:pStyle w:val="14"/>
              <w:topLinePunct/>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与环评一致。</w:t>
            </w:r>
            <w:r>
              <w:rPr>
                <w:rFonts w:hint="eastAsia" w:ascii="Times New Roman" w:hAnsi="Times New Roman"/>
                <w:color w:val="000000" w:themeColor="text1"/>
                <w:sz w:val="21"/>
                <w:highlight w:val="none"/>
                <w:lang w:val="en-US" w:eastAsia="zh-CN"/>
                <w14:textFill>
                  <w14:solidFill>
                    <w14:schemeClr w14:val="tx1"/>
                  </w14:solidFill>
                </w14:textFill>
              </w:rPr>
              <w:t>由于尾矿库修建时间较早，相关设施较落后，不符合现有的尾矿库设计规范，且尾矿库容量不满足改建后正常生产产生的尾矿堆存量。企业拟在选厂南侧新建尾矿库，并将现有尾矿库的尾矿用于新尾矿库铺筑，然后将原有尾矿库恢复为原有地貌。</w:t>
            </w:r>
          </w:p>
        </w:tc>
      </w:tr>
      <w:tr w14:paraId="5BBD7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2" w:type="pct"/>
            <w:tcBorders>
              <w:tl2br w:val="nil"/>
              <w:tr2bl w:val="nil"/>
            </w:tcBorders>
            <w:vAlign w:val="center"/>
          </w:tcPr>
          <w:p w14:paraId="1B1B906B">
            <w:pPr>
              <w:pStyle w:val="14"/>
              <w:snapToGrid w:val="0"/>
              <w:spacing w:line="360" w:lineRule="exact"/>
              <w:ind w:firstLine="0" w:firstLineChars="0"/>
              <w:jc w:val="center"/>
              <w:rPr>
                <w:rFonts w:ascii="Times New Roman" w:hAnsi="Times New Roman" w:cs="Times New Roman"/>
                <w:bCs/>
                <w:color w:val="000000" w:themeColor="text1"/>
                <w:sz w:val="21"/>
                <w:highlight w:val="none"/>
                <w14:textFill>
                  <w14:solidFill>
                    <w14:schemeClr w14:val="tx1"/>
                  </w14:solidFill>
                </w14:textFill>
              </w:rPr>
            </w:pPr>
            <w:r>
              <w:rPr>
                <w:rFonts w:hint="eastAsia" w:ascii="Times New Roman" w:hAnsi="Times New Roman" w:cs="Times New Roman"/>
                <w:bCs/>
                <w:color w:val="000000" w:themeColor="text1"/>
                <w:sz w:val="21"/>
                <w:highlight w:val="none"/>
                <w14:textFill>
                  <w14:solidFill>
                    <w14:schemeClr w14:val="tx1"/>
                  </w14:solidFill>
                </w14:textFill>
              </w:rPr>
              <w:t>辅助工程</w:t>
            </w:r>
          </w:p>
        </w:tc>
        <w:tc>
          <w:tcPr>
            <w:tcW w:w="449" w:type="pct"/>
            <w:tcBorders>
              <w:tl2br w:val="nil"/>
              <w:tr2bl w:val="nil"/>
            </w:tcBorders>
            <w:vAlign w:val="center"/>
          </w:tcPr>
          <w:p w14:paraId="18626DC7">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办公生活区</w:t>
            </w:r>
          </w:p>
        </w:tc>
        <w:tc>
          <w:tcPr>
            <w:tcW w:w="2078" w:type="pct"/>
            <w:tcBorders>
              <w:tl2br w:val="nil"/>
              <w:tr2bl w:val="nil"/>
            </w:tcBorders>
            <w:vAlign w:val="center"/>
          </w:tcPr>
          <w:p w14:paraId="665C0525">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ascii="Times New Roman" w:hAnsi="Times New Roman"/>
                <w:color w:val="000000" w:themeColor="text1"/>
                <w:sz w:val="21"/>
                <w:highlight w:val="none"/>
                <w14:textFill>
                  <w14:solidFill>
                    <w14:schemeClr w14:val="tx1"/>
                  </w14:solidFill>
                </w14:textFill>
              </w:rPr>
              <w:t>选矿</w:t>
            </w:r>
            <w:r>
              <w:rPr>
                <w:rFonts w:hint="eastAsia" w:ascii="Times New Roman" w:hAnsi="Times New Roman"/>
                <w:color w:val="000000" w:themeColor="text1"/>
                <w:sz w:val="21"/>
                <w:highlight w:val="none"/>
                <w:lang w:eastAsia="zh-CN"/>
                <w14:textFill>
                  <w14:solidFill>
                    <w14:schemeClr w14:val="tx1"/>
                  </w14:solidFill>
                </w14:textFill>
              </w:rPr>
              <w:t>办公室</w:t>
            </w:r>
            <w:r>
              <w:rPr>
                <w:rFonts w:ascii="Times New Roman" w:hAnsi="Times New Roman"/>
                <w:color w:val="000000" w:themeColor="text1"/>
                <w:sz w:val="21"/>
                <w:highlight w:val="none"/>
                <w14:textFill>
                  <w14:solidFill>
                    <w14:schemeClr w14:val="tx1"/>
                  </w14:solidFill>
                </w14:textFill>
              </w:rPr>
              <w:t>、职工宿舍、食堂及浴池。</w:t>
            </w:r>
          </w:p>
        </w:tc>
        <w:tc>
          <w:tcPr>
            <w:tcW w:w="2079" w:type="pct"/>
            <w:tcBorders>
              <w:tl2br w:val="nil"/>
              <w:tr2bl w:val="nil"/>
            </w:tcBorders>
            <w:vAlign w:val="center"/>
          </w:tcPr>
          <w:p w14:paraId="1962DC13">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与环评一致</w:t>
            </w:r>
            <w:r>
              <w:rPr>
                <w:rFonts w:ascii="Times New Roman" w:hAnsi="Times New Roman"/>
                <w:color w:val="000000" w:themeColor="text1"/>
                <w:sz w:val="21"/>
                <w:highlight w:val="none"/>
                <w14:textFill>
                  <w14:solidFill>
                    <w14:schemeClr w14:val="tx1"/>
                  </w14:solidFill>
                </w14:textFill>
              </w:rPr>
              <w:t>。</w:t>
            </w:r>
          </w:p>
        </w:tc>
      </w:tr>
      <w:tr w14:paraId="5710B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restart"/>
            <w:tcBorders>
              <w:tl2br w:val="nil"/>
              <w:tr2bl w:val="nil"/>
            </w:tcBorders>
            <w:vAlign w:val="center"/>
          </w:tcPr>
          <w:p w14:paraId="20F24488">
            <w:pPr>
              <w:pStyle w:val="14"/>
              <w:snapToGrid w:val="0"/>
              <w:spacing w:line="360" w:lineRule="exact"/>
              <w:ind w:firstLine="0" w:firstLineChars="0"/>
              <w:jc w:val="center"/>
              <w:rPr>
                <w:rFonts w:ascii="Times New Roman" w:hAnsi="Times New Roman" w:cs="Times New Roman"/>
                <w:bCs/>
                <w:color w:val="000000" w:themeColor="text1"/>
                <w:kern w:val="0"/>
                <w:sz w:val="21"/>
                <w:highlight w:val="none"/>
                <w14:textFill>
                  <w14:solidFill>
                    <w14:schemeClr w14:val="tx1"/>
                  </w14:solidFill>
                </w14:textFill>
              </w:rPr>
            </w:pPr>
            <w:r>
              <w:rPr>
                <w:rFonts w:hint="eastAsia" w:ascii="Times New Roman" w:hAnsi="Times New Roman" w:cs="Times New Roman"/>
                <w:bCs/>
                <w:color w:val="000000" w:themeColor="text1"/>
                <w:sz w:val="21"/>
                <w:highlight w:val="none"/>
                <w14:textFill>
                  <w14:solidFill>
                    <w14:schemeClr w14:val="tx1"/>
                  </w14:solidFill>
                </w14:textFill>
              </w:rPr>
              <w:t>公用工程</w:t>
            </w:r>
          </w:p>
        </w:tc>
        <w:tc>
          <w:tcPr>
            <w:tcW w:w="449" w:type="pct"/>
            <w:tcBorders>
              <w:tl2br w:val="nil"/>
              <w:tr2bl w:val="nil"/>
            </w:tcBorders>
            <w:vAlign w:val="center"/>
          </w:tcPr>
          <w:p w14:paraId="401C4A73">
            <w:pPr>
              <w:pStyle w:val="14"/>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给水工程</w:t>
            </w:r>
          </w:p>
        </w:tc>
        <w:tc>
          <w:tcPr>
            <w:tcW w:w="2078" w:type="pct"/>
            <w:tcBorders>
              <w:tl2br w:val="nil"/>
              <w:tr2bl w:val="nil"/>
            </w:tcBorders>
            <w:vAlign w:val="center"/>
          </w:tcPr>
          <w:p w14:paraId="3C928375">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hint="eastAsia" w:ascii="Times New Roman" w:hAnsi="Times New Roman"/>
                <w:color w:val="000000" w:themeColor="text1"/>
                <w:sz w:val="21"/>
                <w:highlight w:val="none"/>
                <w:lang w:val="en-US" w:eastAsia="zh-CN"/>
                <w14:textFill>
                  <w14:solidFill>
                    <w14:schemeClr w14:val="tx1"/>
                  </w14:solidFill>
                </w14:textFill>
              </w:rPr>
              <w:t>生活区供水为90km外的雅满苏矿区的生活用水，由60m</w:t>
            </w:r>
            <w:r>
              <w:rPr>
                <w:rFonts w:hint="eastAsia" w:ascii="Times New Roman" w:hAnsi="Times New Roman"/>
                <w:color w:val="000000" w:themeColor="text1"/>
                <w:sz w:val="21"/>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1"/>
                <w:highlight w:val="none"/>
                <w:lang w:val="en-US" w:eastAsia="zh-CN"/>
                <w14:textFill>
                  <w14:solidFill>
                    <w14:schemeClr w14:val="tx1"/>
                  </w14:solidFill>
                </w14:textFill>
              </w:rPr>
              <w:t>地埋式储水罐储存，用水时用泵抽出。补充</w:t>
            </w:r>
            <w:r>
              <w:rPr>
                <w:rFonts w:hint="eastAsia" w:ascii="Times New Roman" w:hAnsi="Times New Roman"/>
                <w:color w:val="000000" w:themeColor="text1"/>
                <w:sz w:val="21"/>
                <w:highlight w:val="none"/>
                <w:lang w:eastAsia="zh-CN"/>
                <w14:textFill>
                  <w14:solidFill>
                    <w14:schemeClr w14:val="tx1"/>
                  </w14:solidFill>
                </w14:textFill>
              </w:rPr>
              <w:t>水源为距离选矿厂</w:t>
            </w:r>
            <w:r>
              <w:rPr>
                <w:rFonts w:hint="eastAsia" w:ascii="Times New Roman" w:hAnsi="Times New Roman"/>
                <w:color w:val="000000" w:themeColor="text1"/>
                <w:sz w:val="21"/>
                <w:highlight w:val="none"/>
                <w:lang w:val="en-US" w:eastAsia="zh-CN"/>
                <w14:textFill>
                  <w14:solidFill>
                    <w14:schemeClr w14:val="tx1"/>
                  </w14:solidFill>
                </w14:textFill>
              </w:rPr>
              <w:t>5km的已建机电井，通过输水管线加压输送至项目区。矿井涌水通过泵站输送至清水池，供矿区生产使用。项目区设置了两个清水池。</w:t>
            </w:r>
          </w:p>
        </w:tc>
        <w:tc>
          <w:tcPr>
            <w:tcW w:w="2079" w:type="pct"/>
            <w:tcBorders>
              <w:tl2br w:val="nil"/>
              <w:tr2bl w:val="nil"/>
            </w:tcBorders>
            <w:vAlign w:val="center"/>
          </w:tcPr>
          <w:p w14:paraId="1B0214CB">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与环评一致</w:t>
            </w:r>
          </w:p>
        </w:tc>
      </w:tr>
      <w:tr w14:paraId="13645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continue"/>
            <w:tcBorders>
              <w:tl2br w:val="nil"/>
              <w:tr2bl w:val="nil"/>
            </w:tcBorders>
            <w:vAlign w:val="center"/>
          </w:tcPr>
          <w:p w14:paraId="3809568E">
            <w:pPr>
              <w:pStyle w:val="14"/>
              <w:snapToGrid w:val="0"/>
              <w:spacing w:line="360" w:lineRule="exact"/>
              <w:ind w:firstLine="0" w:firstLineChars="0"/>
              <w:jc w:val="center"/>
              <w:rPr>
                <w:rFonts w:ascii="Times New Roman" w:hAnsi="Times New Roman" w:cs="Times New Roman"/>
                <w:bCs/>
                <w:color w:val="000000" w:themeColor="text1"/>
                <w:sz w:val="21"/>
                <w:highlight w:val="none"/>
                <w14:textFill>
                  <w14:solidFill>
                    <w14:schemeClr w14:val="tx1"/>
                  </w14:solidFill>
                </w14:textFill>
              </w:rPr>
            </w:pPr>
          </w:p>
        </w:tc>
        <w:tc>
          <w:tcPr>
            <w:tcW w:w="449" w:type="pct"/>
            <w:tcBorders>
              <w:tl2br w:val="nil"/>
              <w:tr2bl w:val="nil"/>
            </w:tcBorders>
            <w:vAlign w:val="center"/>
          </w:tcPr>
          <w:p w14:paraId="29E7B28C">
            <w:pPr>
              <w:pStyle w:val="14"/>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排水工程</w:t>
            </w:r>
          </w:p>
        </w:tc>
        <w:tc>
          <w:tcPr>
            <w:tcW w:w="2078" w:type="pct"/>
            <w:tcBorders>
              <w:tl2br w:val="nil"/>
              <w:tr2bl w:val="nil"/>
            </w:tcBorders>
            <w:vAlign w:val="center"/>
          </w:tcPr>
          <w:p w14:paraId="0FFCAC72">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ascii="Times New Roman" w:hAnsi="Times New Roman"/>
                <w:color w:val="000000" w:themeColor="text1"/>
                <w:sz w:val="21"/>
                <w:highlight w:val="none"/>
                <w14:textFill>
                  <w14:solidFill>
                    <w14:schemeClr w14:val="tx1"/>
                  </w14:solidFill>
                </w14:textFill>
              </w:rPr>
              <w:t>选矿厂正常生产期间生产废水大部</w:t>
            </w:r>
            <w:r>
              <w:rPr>
                <w:rFonts w:hint="eastAsia" w:ascii="Times New Roman" w:hAnsi="Times New Roman"/>
                <w:color w:val="000000" w:themeColor="text1"/>
                <w:sz w:val="21"/>
                <w:highlight w:val="none"/>
                <w14:textFill>
                  <w14:solidFill>
                    <w14:schemeClr w14:val="tx1"/>
                  </w14:solidFill>
                </w14:textFill>
              </w:rPr>
              <w:t>分</w:t>
            </w:r>
            <w:r>
              <w:rPr>
                <w:rFonts w:ascii="Times New Roman" w:hAnsi="Times New Roman"/>
                <w:color w:val="000000" w:themeColor="text1"/>
                <w:sz w:val="21"/>
                <w:highlight w:val="none"/>
                <w14:textFill>
                  <w14:solidFill>
                    <w14:schemeClr w14:val="tx1"/>
                  </w14:solidFill>
                </w14:textFill>
              </w:rPr>
              <w:t>循环使用，少部分进入尾矿及在生产环节中蒸发损失；生活污水经化粪池处理后</w:t>
            </w:r>
            <w:r>
              <w:rPr>
                <w:rFonts w:hint="eastAsia" w:ascii="Times New Roman" w:hAnsi="Times New Roman"/>
                <w:color w:val="000000" w:themeColor="text1"/>
                <w:sz w:val="21"/>
                <w:highlight w:val="none"/>
                <w:lang w:eastAsia="zh-CN"/>
                <w14:textFill>
                  <w14:solidFill>
                    <w14:schemeClr w14:val="tx1"/>
                  </w14:solidFill>
                </w14:textFill>
              </w:rPr>
              <w:t>绿化</w:t>
            </w:r>
            <w:r>
              <w:rPr>
                <w:rFonts w:ascii="Times New Roman" w:hAnsi="Times New Roman"/>
                <w:color w:val="000000" w:themeColor="text1"/>
                <w:sz w:val="21"/>
                <w:highlight w:val="none"/>
                <w14:textFill>
                  <w14:solidFill>
                    <w14:schemeClr w14:val="tx1"/>
                  </w14:solidFill>
                </w14:textFill>
              </w:rPr>
              <w:t>。</w:t>
            </w:r>
          </w:p>
        </w:tc>
        <w:tc>
          <w:tcPr>
            <w:tcW w:w="2079" w:type="pct"/>
            <w:tcBorders>
              <w:tl2br w:val="nil"/>
              <w:tr2bl w:val="nil"/>
            </w:tcBorders>
            <w:vAlign w:val="center"/>
          </w:tcPr>
          <w:p w14:paraId="7433DC33">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选矿废水主要来自选矿过程中产生的尾矿矿浆，主要污染因子为pH、SS。选矿废水部分被铁精粉带走，</w:t>
            </w:r>
            <w:r>
              <w:rPr>
                <w:rFonts w:hint="eastAsia" w:ascii="Times New Roman" w:hAnsi="Times New Roman" w:cs="Times New Roman"/>
                <w:color w:val="000000" w:themeColor="text1"/>
                <w:sz w:val="21"/>
                <w:highlight w:val="none"/>
                <w14:textFill>
                  <w14:solidFill>
                    <w14:schemeClr w14:val="tx1"/>
                  </w14:solidFill>
                </w14:textFill>
              </w:rPr>
              <w:t>精矿过滤水、尾矿浓缩压滤溢流水</w:t>
            </w:r>
            <w:r>
              <w:rPr>
                <w:rFonts w:ascii="Times New Roman" w:hAnsi="Times New Roman" w:cs="Times New Roman"/>
                <w:color w:val="000000" w:themeColor="text1"/>
                <w:sz w:val="21"/>
                <w:highlight w:val="none"/>
                <w14:textFill>
                  <w14:solidFill>
                    <w14:schemeClr w14:val="tx1"/>
                  </w14:solidFill>
                </w14:textFill>
              </w:rPr>
              <w:t>返回生产工序循环利用，尾矿库设有回水系统，使用水泵将库内澄清水通过管道泵送至选矿厂生产回水池，供选矿循环使用，实现生产废水零排放。</w:t>
            </w:r>
            <w:r>
              <w:rPr>
                <w:rFonts w:hint="eastAsia" w:ascii="Times New Roman" w:hAnsi="Times New Roman" w:cs="Times New Roman"/>
                <w:color w:val="000000" w:themeColor="text1"/>
                <w:sz w:val="21"/>
                <w:highlight w:val="none"/>
                <w14:textFill>
                  <w14:solidFill>
                    <w14:schemeClr w14:val="tx1"/>
                  </w14:solidFill>
                </w14:textFill>
              </w:rPr>
              <w:t>生活污水通过下水管道进入</w:t>
            </w:r>
            <w:r>
              <w:rPr>
                <w:rFonts w:hint="eastAsia" w:ascii="Times New Roman" w:hAnsi="Times New Roman" w:cs="Times New Roman"/>
                <w:color w:val="000000" w:themeColor="text1"/>
                <w:sz w:val="21"/>
                <w:highlight w:val="none"/>
                <w:lang w:val="en-US" w:eastAsia="zh-CN"/>
                <w14:textFill>
                  <w14:solidFill>
                    <w14:schemeClr w14:val="tx1"/>
                  </w14:solidFill>
                </w14:textFill>
              </w:rPr>
              <w:t>地埋式一体化污水处理设施</w:t>
            </w:r>
            <w:r>
              <w:rPr>
                <w:rFonts w:hint="eastAsia" w:ascii="Times New Roman" w:hAnsi="Times New Roman" w:cs="Times New Roman"/>
                <w:color w:val="000000" w:themeColor="text1"/>
                <w:sz w:val="21"/>
                <w:highlight w:val="none"/>
                <w14:textFill>
                  <w14:solidFill>
                    <w14:schemeClr w14:val="tx1"/>
                  </w14:solidFill>
                </w14:textFill>
              </w:rPr>
              <w:t>处理后用于</w:t>
            </w:r>
            <w:r>
              <w:rPr>
                <w:rFonts w:hint="eastAsia" w:ascii="Times New Roman" w:hAnsi="Times New Roman" w:cs="Times New Roman"/>
                <w:color w:val="000000" w:themeColor="text1"/>
                <w:sz w:val="21"/>
                <w:highlight w:val="none"/>
                <w:lang w:val="en-US" w:eastAsia="zh-CN"/>
                <w14:textFill>
                  <w14:solidFill>
                    <w14:schemeClr w14:val="tx1"/>
                  </w14:solidFill>
                </w14:textFill>
              </w:rPr>
              <w:t>厂区</w:t>
            </w:r>
            <w:r>
              <w:rPr>
                <w:rFonts w:hint="eastAsia" w:ascii="Times New Roman" w:hAnsi="Times New Roman" w:cs="Times New Roman"/>
                <w:color w:val="000000" w:themeColor="text1"/>
                <w:sz w:val="21"/>
                <w:highlight w:val="none"/>
                <w14:textFill>
                  <w14:solidFill>
                    <w14:schemeClr w14:val="tx1"/>
                  </w14:solidFill>
                </w14:textFill>
              </w:rPr>
              <w:t>绿化。</w:t>
            </w:r>
          </w:p>
        </w:tc>
      </w:tr>
      <w:tr w14:paraId="1A223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continue"/>
            <w:tcBorders>
              <w:tl2br w:val="nil"/>
              <w:tr2bl w:val="nil"/>
            </w:tcBorders>
            <w:vAlign w:val="center"/>
          </w:tcPr>
          <w:p w14:paraId="614DEB77">
            <w:pPr>
              <w:pStyle w:val="14"/>
              <w:snapToGrid w:val="0"/>
              <w:spacing w:line="360" w:lineRule="exact"/>
              <w:ind w:firstLine="0" w:firstLineChars="0"/>
              <w:jc w:val="center"/>
              <w:rPr>
                <w:rFonts w:ascii="Times New Roman" w:hAnsi="Times New Roman" w:cs="Times New Roman"/>
                <w:bCs/>
                <w:color w:val="000000" w:themeColor="text1"/>
                <w:sz w:val="21"/>
                <w:highlight w:val="none"/>
                <w14:textFill>
                  <w14:solidFill>
                    <w14:schemeClr w14:val="tx1"/>
                  </w14:solidFill>
                </w14:textFill>
              </w:rPr>
            </w:pPr>
          </w:p>
        </w:tc>
        <w:tc>
          <w:tcPr>
            <w:tcW w:w="449" w:type="pct"/>
            <w:tcBorders>
              <w:tl2br w:val="nil"/>
              <w:tr2bl w:val="nil"/>
            </w:tcBorders>
            <w:vAlign w:val="center"/>
          </w:tcPr>
          <w:p w14:paraId="17E736AF">
            <w:pPr>
              <w:pStyle w:val="14"/>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供热工程</w:t>
            </w:r>
          </w:p>
        </w:tc>
        <w:tc>
          <w:tcPr>
            <w:tcW w:w="2078" w:type="pct"/>
            <w:tcBorders>
              <w:tl2br w:val="nil"/>
              <w:tr2bl w:val="nil"/>
            </w:tcBorders>
            <w:vAlign w:val="center"/>
          </w:tcPr>
          <w:p w14:paraId="53A0685C">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hint="eastAsia" w:ascii="Times New Roman" w:hAnsi="Times New Roman"/>
                <w:color w:val="000000" w:themeColor="text1"/>
                <w:sz w:val="21"/>
                <w:highlight w:val="none"/>
                <w:lang w:eastAsia="zh-CN"/>
                <w14:textFill>
                  <w14:solidFill>
                    <w14:schemeClr w14:val="tx1"/>
                  </w14:solidFill>
                </w14:textFill>
              </w:rPr>
              <w:t>采用</w:t>
            </w:r>
            <w:r>
              <w:rPr>
                <w:rFonts w:ascii="Times New Roman" w:hAnsi="Times New Roman"/>
                <w:color w:val="000000" w:themeColor="text1"/>
                <w:sz w:val="21"/>
                <w:highlight w:val="none"/>
                <w14:textFill>
                  <w14:solidFill>
                    <w14:schemeClr w14:val="tx1"/>
                  </w14:solidFill>
                </w14:textFill>
              </w:rPr>
              <w:t>1台</w:t>
            </w:r>
            <w:r>
              <w:rPr>
                <w:rFonts w:hint="eastAsia" w:ascii="Times New Roman" w:hAnsi="Times New Roman"/>
                <w:color w:val="000000" w:themeColor="text1"/>
                <w:sz w:val="21"/>
                <w:highlight w:val="none"/>
                <w:lang w:val="en-US" w:eastAsia="zh-CN"/>
                <w14:textFill>
                  <w14:solidFill>
                    <w14:schemeClr w14:val="tx1"/>
                  </w14:solidFill>
                </w14:textFill>
              </w:rPr>
              <w:t>CLSG立式常用锅炉</w:t>
            </w:r>
            <w:r>
              <w:rPr>
                <w:rFonts w:hint="eastAsia" w:ascii="Times New Roman" w:hAnsi="Times New Roman"/>
                <w:color w:val="000000" w:themeColor="text1"/>
                <w:sz w:val="21"/>
                <w:highlight w:val="none"/>
                <w:lang w:eastAsia="zh-CN"/>
                <w14:textFill>
                  <w14:solidFill>
                    <w14:schemeClr w14:val="tx1"/>
                  </w14:solidFill>
                </w14:textFill>
              </w:rPr>
              <w:t>供暖</w:t>
            </w:r>
            <w:r>
              <w:rPr>
                <w:rFonts w:hint="eastAsia" w:ascii="Times New Roman" w:hAnsi="Times New Roman"/>
                <w:color w:val="000000" w:themeColor="text1"/>
                <w:sz w:val="21"/>
                <w:highlight w:val="none"/>
                <w14:textFill>
                  <w14:solidFill>
                    <w14:schemeClr w14:val="tx1"/>
                  </w14:solidFill>
                </w14:textFill>
              </w:rPr>
              <w:t>。</w:t>
            </w:r>
          </w:p>
        </w:tc>
        <w:tc>
          <w:tcPr>
            <w:tcW w:w="2079" w:type="pct"/>
            <w:tcBorders>
              <w:tl2br w:val="nil"/>
              <w:tr2bl w:val="nil"/>
            </w:tcBorders>
            <w:vAlign w:val="center"/>
          </w:tcPr>
          <w:p w14:paraId="32D8B4BD">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hint="eastAsia" w:ascii="Times New Roman" w:hAnsi="Times New Roman"/>
                <w:color w:val="000000" w:themeColor="text1"/>
                <w:sz w:val="21"/>
                <w:highlight w:val="none"/>
                <w:lang w:eastAsia="zh-CN"/>
                <w14:textFill>
                  <w14:solidFill>
                    <w14:schemeClr w14:val="tx1"/>
                  </w14:solidFill>
                </w14:textFill>
              </w:rPr>
              <w:t>原有燃煤</w:t>
            </w:r>
            <w:r>
              <w:rPr>
                <w:rFonts w:ascii="Times New Roman" w:hAnsi="Times New Roman"/>
                <w:color w:val="000000" w:themeColor="text1"/>
                <w:sz w:val="21"/>
                <w:highlight w:val="none"/>
                <w14:textFill>
                  <w14:solidFill>
                    <w14:schemeClr w14:val="tx1"/>
                  </w14:solidFill>
                </w14:textFill>
              </w:rPr>
              <w:t>锅炉</w:t>
            </w:r>
            <w:r>
              <w:rPr>
                <w:rFonts w:hint="eastAsia" w:ascii="Times New Roman" w:hAnsi="Times New Roman"/>
                <w:color w:val="000000" w:themeColor="text1"/>
                <w:sz w:val="21"/>
                <w:highlight w:val="none"/>
                <w:lang w:val="en-US" w:eastAsia="zh-CN"/>
                <w14:textFill>
                  <w14:solidFill>
                    <w14:schemeClr w14:val="tx1"/>
                  </w14:solidFill>
                </w14:textFill>
              </w:rPr>
              <w:t>2020年已拆除</w:t>
            </w:r>
            <w:r>
              <w:rPr>
                <w:rFonts w:hint="eastAsia" w:ascii="Times New Roman" w:hAnsi="Times New Roman"/>
                <w:color w:val="000000" w:themeColor="text1"/>
                <w:sz w:val="21"/>
                <w:highlight w:val="none"/>
                <w14:textFill>
                  <w14:solidFill>
                    <w14:schemeClr w14:val="tx1"/>
                  </w14:solidFill>
                </w14:textFill>
              </w:rPr>
              <w:t>，</w:t>
            </w:r>
            <w:r>
              <w:rPr>
                <w:rFonts w:hint="eastAsia" w:ascii="Times New Roman" w:hAnsi="Times New Roman"/>
                <w:color w:val="000000" w:themeColor="text1"/>
                <w:sz w:val="21"/>
                <w:highlight w:val="none"/>
                <w:lang w:val="en-US" w:eastAsia="zh-CN"/>
                <w14:textFill>
                  <w14:solidFill>
                    <w14:schemeClr w14:val="tx1"/>
                  </w14:solidFill>
                </w14:textFill>
              </w:rPr>
              <w:t>由</w:t>
            </w:r>
            <w:r>
              <w:rPr>
                <w:rFonts w:hint="eastAsia" w:ascii="Times New Roman" w:hAnsi="Times New Roman"/>
                <w:color w:val="000000" w:themeColor="text1"/>
                <w:sz w:val="21"/>
                <w:highlight w:val="none"/>
                <w14:textFill>
                  <w14:solidFill>
                    <w14:schemeClr w14:val="tx1"/>
                  </w14:solidFill>
                </w14:textFill>
              </w:rPr>
              <w:t>1台</w:t>
            </w:r>
            <w:r>
              <w:rPr>
                <w:rFonts w:hint="eastAsia" w:ascii="Times New Roman" w:hAnsi="Times New Roman"/>
                <w:color w:val="000000" w:themeColor="text1"/>
                <w:sz w:val="21"/>
                <w:highlight w:val="none"/>
                <w:lang w:val="en-US" w:eastAsia="zh-CN"/>
                <w14:textFill>
                  <w14:solidFill>
                    <w14:schemeClr w14:val="tx1"/>
                  </w14:solidFill>
                </w14:textFill>
              </w:rPr>
              <w:t>2t电</w:t>
            </w:r>
            <w:r>
              <w:rPr>
                <w:rFonts w:hint="eastAsia" w:ascii="Times New Roman" w:hAnsi="Times New Roman"/>
                <w:color w:val="000000" w:themeColor="text1"/>
                <w:sz w:val="21"/>
                <w:highlight w:val="none"/>
                <w14:textFill>
                  <w14:solidFill>
                    <w14:schemeClr w14:val="tx1"/>
                  </w14:solidFill>
                </w14:textFill>
              </w:rPr>
              <w:t>锅炉</w:t>
            </w:r>
            <w:r>
              <w:rPr>
                <w:rFonts w:hint="eastAsia" w:ascii="Times New Roman" w:hAnsi="Times New Roman"/>
                <w:color w:val="000000" w:themeColor="text1"/>
                <w:sz w:val="21"/>
                <w:highlight w:val="none"/>
                <w:lang w:val="en-US" w:eastAsia="zh-CN"/>
                <w14:textFill>
                  <w14:solidFill>
                    <w14:schemeClr w14:val="tx1"/>
                  </w14:solidFill>
                </w14:textFill>
              </w:rPr>
              <w:t>替代</w:t>
            </w:r>
            <w:r>
              <w:rPr>
                <w:rFonts w:hint="eastAsia" w:ascii="Times New Roman" w:hAnsi="Times New Roman"/>
                <w:color w:val="000000" w:themeColor="text1"/>
                <w:sz w:val="21"/>
                <w:highlight w:val="none"/>
                <w14:textFill>
                  <w14:solidFill>
                    <w14:schemeClr w14:val="tx1"/>
                  </w14:solidFill>
                </w14:textFill>
              </w:rPr>
              <w:t>。</w:t>
            </w:r>
          </w:p>
        </w:tc>
      </w:tr>
      <w:tr w14:paraId="39FEA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continue"/>
            <w:tcBorders>
              <w:tl2br w:val="nil"/>
              <w:tr2bl w:val="nil"/>
            </w:tcBorders>
            <w:vAlign w:val="center"/>
          </w:tcPr>
          <w:p w14:paraId="523C937B">
            <w:pPr>
              <w:pStyle w:val="14"/>
              <w:snapToGrid w:val="0"/>
              <w:spacing w:line="360" w:lineRule="exact"/>
              <w:ind w:firstLine="0" w:firstLineChars="0"/>
              <w:jc w:val="center"/>
              <w:rPr>
                <w:rFonts w:ascii="Times New Roman" w:hAnsi="Times New Roman" w:cs="Times New Roman"/>
                <w:bCs/>
                <w:color w:val="000000" w:themeColor="text1"/>
                <w:sz w:val="21"/>
                <w:highlight w:val="none"/>
                <w14:textFill>
                  <w14:solidFill>
                    <w14:schemeClr w14:val="tx1"/>
                  </w14:solidFill>
                </w14:textFill>
              </w:rPr>
            </w:pPr>
          </w:p>
        </w:tc>
        <w:tc>
          <w:tcPr>
            <w:tcW w:w="449" w:type="pct"/>
            <w:tcBorders>
              <w:tl2br w:val="nil"/>
              <w:tr2bl w:val="nil"/>
            </w:tcBorders>
            <w:vAlign w:val="center"/>
          </w:tcPr>
          <w:p w14:paraId="455FB7AB">
            <w:pPr>
              <w:pStyle w:val="14"/>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供电工程</w:t>
            </w:r>
          </w:p>
        </w:tc>
        <w:tc>
          <w:tcPr>
            <w:tcW w:w="2078" w:type="pct"/>
            <w:tcBorders>
              <w:tl2br w:val="nil"/>
              <w:tr2bl w:val="nil"/>
            </w:tcBorders>
            <w:vAlign w:val="center"/>
          </w:tcPr>
          <w:p w14:paraId="5F40C8C6">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hint="eastAsia" w:ascii="Times New Roman" w:hAnsi="Times New Roman"/>
                <w:color w:val="000000" w:themeColor="text1"/>
                <w:sz w:val="21"/>
                <w:highlight w:val="none"/>
                <w:lang w:eastAsia="zh-CN"/>
                <w14:textFill>
                  <w14:solidFill>
                    <w14:schemeClr w14:val="tx1"/>
                  </w14:solidFill>
                </w14:textFill>
              </w:rPr>
              <w:t>矿区</w:t>
            </w:r>
            <w:r>
              <w:rPr>
                <w:rFonts w:hint="eastAsia" w:ascii="Times New Roman" w:hAnsi="Times New Roman"/>
                <w:color w:val="000000" w:themeColor="text1"/>
                <w:sz w:val="21"/>
                <w:highlight w:val="none"/>
                <w14:textFill>
                  <w14:solidFill>
                    <w14:schemeClr w14:val="tx1"/>
                  </w14:solidFill>
                </w14:textFill>
              </w:rPr>
              <w:t>供电电源来自哈密市雅满苏变电所及35kV输电线路。选矿厂主厂房附近的变配电室内，变压器出口电压0.4kV。</w:t>
            </w:r>
          </w:p>
        </w:tc>
        <w:tc>
          <w:tcPr>
            <w:tcW w:w="2079" w:type="pct"/>
            <w:tcBorders>
              <w:tl2br w:val="nil"/>
              <w:tr2bl w:val="nil"/>
            </w:tcBorders>
            <w:vAlign w:val="center"/>
          </w:tcPr>
          <w:p w14:paraId="22C64597">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与环评一致</w:t>
            </w:r>
            <w:r>
              <w:rPr>
                <w:rFonts w:hint="eastAsia" w:ascii="Times New Roman" w:hAnsi="Times New Roman" w:cs="Times New Roman"/>
                <w:color w:val="000000" w:themeColor="text1"/>
                <w:sz w:val="21"/>
                <w:highlight w:val="none"/>
                <w14:textFill>
                  <w14:solidFill>
                    <w14:schemeClr w14:val="tx1"/>
                  </w14:solidFill>
                </w14:textFill>
              </w:rPr>
              <w:t>。</w:t>
            </w:r>
          </w:p>
        </w:tc>
      </w:tr>
      <w:tr w14:paraId="292B9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restart"/>
            <w:tcBorders>
              <w:tl2br w:val="nil"/>
              <w:tr2bl w:val="nil"/>
            </w:tcBorders>
            <w:vAlign w:val="center"/>
          </w:tcPr>
          <w:p w14:paraId="39198EA9">
            <w:pPr>
              <w:pStyle w:val="14"/>
              <w:snapToGrid w:val="0"/>
              <w:spacing w:line="360" w:lineRule="exact"/>
              <w:ind w:firstLine="0" w:firstLineChars="0"/>
              <w:jc w:val="center"/>
              <w:rPr>
                <w:rFonts w:ascii="Times New Roman" w:hAnsi="Times New Roman" w:cs="Times New Roman"/>
                <w:bCs/>
                <w:color w:val="000000" w:themeColor="text1"/>
                <w:sz w:val="21"/>
                <w:highlight w:val="none"/>
                <w14:textFill>
                  <w14:solidFill>
                    <w14:schemeClr w14:val="tx1"/>
                  </w14:solidFill>
                </w14:textFill>
              </w:rPr>
            </w:pPr>
            <w:r>
              <w:rPr>
                <w:rFonts w:hint="eastAsia" w:ascii="Times New Roman" w:hAnsi="Times New Roman" w:cs="Times New Roman"/>
                <w:bCs/>
                <w:color w:val="000000" w:themeColor="text1"/>
                <w:sz w:val="21"/>
                <w:highlight w:val="none"/>
                <w14:textFill>
                  <w14:solidFill>
                    <w14:schemeClr w14:val="tx1"/>
                  </w14:solidFill>
                </w14:textFill>
              </w:rPr>
              <w:t>储运工程</w:t>
            </w:r>
          </w:p>
        </w:tc>
        <w:tc>
          <w:tcPr>
            <w:tcW w:w="449" w:type="pct"/>
            <w:tcBorders>
              <w:tl2br w:val="nil"/>
              <w:tr2bl w:val="nil"/>
            </w:tcBorders>
            <w:vAlign w:val="center"/>
          </w:tcPr>
          <w:p w14:paraId="42820179">
            <w:pPr>
              <w:pStyle w:val="14"/>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道路</w:t>
            </w:r>
          </w:p>
        </w:tc>
        <w:tc>
          <w:tcPr>
            <w:tcW w:w="2078" w:type="pct"/>
            <w:tcBorders>
              <w:tl2br w:val="nil"/>
              <w:tr2bl w:val="nil"/>
            </w:tcBorders>
            <w:vAlign w:val="center"/>
          </w:tcPr>
          <w:p w14:paraId="26D4A7F3">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hint="eastAsia" w:ascii="Times New Roman" w:hAnsi="Times New Roman"/>
                <w:color w:val="000000" w:themeColor="text1"/>
                <w:sz w:val="21"/>
                <w:highlight w:val="none"/>
                <w:lang w:eastAsia="zh-CN"/>
                <w14:textFill>
                  <w14:solidFill>
                    <w14:schemeClr w14:val="tx1"/>
                  </w14:solidFill>
                </w14:textFill>
              </w:rPr>
              <w:t>未设置道路建设内容</w:t>
            </w:r>
            <w:r>
              <w:rPr>
                <w:rFonts w:hint="eastAsia" w:ascii="Times New Roman" w:hAnsi="Times New Roman"/>
                <w:color w:val="000000" w:themeColor="text1"/>
                <w:sz w:val="21"/>
                <w:highlight w:val="none"/>
                <w14:textFill>
                  <w14:solidFill>
                    <w14:schemeClr w14:val="tx1"/>
                  </w14:solidFill>
                </w14:textFill>
              </w:rPr>
              <w:t>。</w:t>
            </w:r>
          </w:p>
        </w:tc>
        <w:tc>
          <w:tcPr>
            <w:tcW w:w="2079" w:type="pct"/>
            <w:tcBorders>
              <w:tl2br w:val="nil"/>
              <w:tr2bl w:val="nil"/>
            </w:tcBorders>
            <w:vAlign w:val="center"/>
          </w:tcPr>
          <w:p w14:paraId="589CE9F6">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lang w:eastAsia="zh-CN"/>
                <w14:textFill>
                  <w14:solidFill>
                    <w14:schemeClr w14:val="tx1"/>
                  </w14:solidFill>
                </w14:textFill>
              </w:rPr>
              <w:t>现状为砂石路</w:t>
            </w:r>
            <w:r>
              <w:rPr>
                <w:rFonts w:hint="eastAsia" w:ascii="Times New Roman" w:hAnsi="Times New Roman" w:cs="Times New Roman"/>
                <w:color w:val="000000" w:themeColor="text1"/>
                <w:sz w:val="21"/>
                <w:highlight w:val="none"/>
                <w14:textFill>
                  <w14:solidFill>
                    <w14:schemeClr w14:val="tx1"/>
                  </w14:solidFill>
                </w14:textFill>
              </w:rPr>
              <w:t>。</w:t>
            </w:r>
          </w:p>
        </w:tc>
      </w:tr>
      <w:tr w14:paraId="1FD2E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continue"/>
            <w:tcBorders>
              <w:tl2br w:val="nil"/>
              <w:tr2bl w:val="nil"/>
            </w:tcBorders>
            <w:vAlign w:val="center"/>
          </w:tcPr>
          <w:p w14:paraId="2E8A9780">
            <w:pPr>
              <w:pStyle w:val="14"/>
              <w:snapToGrid w:val="0"/>
              <w:spacing w:line="360" w:lineRule="exact"/>
              <w:ind w:firstLine="0" w:firstLineChars="0"/>
              <w:jc w:val="center"/>
              <w:rPr>
                <w:rFonts w:hint="eastAsia" w:ascii="Times New Roman" w:hAnsi="Times New Roman" w:cs="Times New Roman"/>
                <w:bCs/>
                <w:color w:val="000000" w:themeColor="text1"/>
                <w:sz w:val="21"/>
                <w:highlight w:val="none"/>
                <w14:textFill>
                  <w14:solidFill>
                    <w14:schemeClr w14:val="tx1"/>
                  </w14:solidFill>
                </w14:textFill>
              </w:rPr>
            </w:pPr>
          </w:p>
        </w:tc>
        <w:tc>
          <w:tcPr>
            <w:tcW w:w="449" w:type="pct"/>
            <w:tcBorders>
              <w:tl2br w:val="nil"/>
              <w:tr2bl w:val="nil"/>
            </w:tcBorders>
            <w:vAlign w:val="center"/>
          </w:tcPr>
          <w:p w14:paraId="1B4AD6AA">
            <w:pPr>
              <w:pStyle w:val="14"/>
              <w:snapToGrid w:val="0"/>
              <w:spacing w:line="360" w:lineRule="exact"/>
              <w:ind w:firstLine="0" w:firstLineChars="0"/>
              <w:jc w:val="center"/>
              <w:rPr>
                <w:rFonts w:hint="eastAsia" w:ascii="Times New Roman" w:hAnsi="Times New Roman" w:eastAsia="宋体" w:cs="Times New Roman"/>
                <w:color w:val="000000" w:themeColor="text1"/>
                <w:sz w:val="21"/>
                <w:highlight w:val="none"/>
                <w:lang w:eastAsia="zh-CN"/>
                <w14:textFill>
                  <w14:solidFill>
                    <w14:schemeClr w14:val="tx1"/>
                  </w14:solidFill>
                </w14:textFill>
              </w:rPr>
            </w:pPr>
            <w:r>
              <w:rPr>
                <w:rFonts w:hint="eastAsia" w:ascii="Times New Roman" w:hAnsi="Times New Roman" w:cs="Times New Roman"/>
                <w:color w:val="000000" w:themeColor="text1"/>
                <w:sz w:val="21"/>
                <w:highlight w:val="none"/>
                <w:lang w:eastAsia="zh-CN"/>
                <w14:textFill>
                  <w14:solidFill>
                    <w14:schemeClr w14:val="tx1"/>
                  </w14:solidFill>
                </w14:textFill>
              </w:rPr>
              <w:t>产品堆场</w:t>
            </w:r>
          </w:p>
        </w:tc>
        <w:tc>
          <w:tcPr>
            <w:tcW w:w="2078" w:type="pct"/>
            <w:tcBorders>
              <w:tl2br w:val="nil"/>
              <w:tr2bl w:val="nil"/>
            </w:tcBorders>
            <w:vAlign w:val="center"/>
          </w:tcPr>
          <w:p w14:paraId="2564D830">
            <w:pPr>
              <w:pStyle w:val="14"/>
              <w:snapToGrid w:val="0"/>
              <w:spacing w:line="360" w:lineRule="exact"/>
              <w:ind w:firstLine="0" w:firstLineChars="0"/>
              <w:jc w:val="center"/>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color w:val="000000" w:themeColor="text1"/>
                <w:sz w:val="21"/>
                <w:highlight w:val="none"/>
                <w:lang w:eastAsia="zh-CN"/>
                <w14:textFill>
                  <w14:solidFill>
                    <w14:schemeClr w14:val="tx1"/>
                  </w14:solidFill>
                </w14:textFill>
              </w:rPr>
              <w:t>铁精粉堆放地占地面积</w:t>
            </w:r>
            <w:r>
              <w:rPr>
                <w:rFonts w:hint="eastAsia" w:ascii="Times New Roman" w:hAnsi="Times New Roman"/>
                <w:color w:val="000000" w:themeColor="text1"/>
                <w:sz w:val="21"/>
                <w:highlight w:val="none"/>
                <w:lang w:val="en-US" w:eastAsia="zh-CN"/>
                <w14:textFill>
                  <w14:solidFill>
                    <w14:schemeClr w14:val="tx1"/>
                  </w14:solidFill>
                </w14:textFill>
              </w:rPr>
              <w:t>10000m</w:t>
            </w:r>
            <w:r>
              <w:rPr>
                <w:rFonts w:hint="eastAsia" w:ascii="Times New Roman" w:hAnsi="Times New Roman"/>
                <w:color w:val="000000" w:themeColor="text1"/>
                <w:sz w:val="21"/>
                <w:highlight w:val="none"/>
                <w:vertAlign w:val="superscript"/>
                <w:lang w:val="en-US" w:eastAsia="zh-CN"/>
                <w14:textFill>
                  <w14:solidFill>
                    <w14:schemeClr w14:val="tx1"/>
                  </w14:solidFill>
                </w14:textFill>
              </w:rPr>
              <w:t>2</w:t>
            </w:r>
            <w:r>
              <w:rPr>
                <w:rFonts w:hint="eastAsia" w:ascii="Times New Roman" w:hAnsi="Times New Roman"/>
                <w:color w:val="000000" w:themeColor="text1"/>
                <w:sz w:val="21"/>
                <w:highlight w:val="none"/>
                <w:lang w:val="en-US" w:eastAsia="zh-CN"/>
                <w14:textFill>
                  <w14:solidFill>
                    <w14:schemeClr w14:val="tx1"/>
                  </w14:solidFill>
                </w14:textFill>
              </w:rPr>
              <w:t>。</w:t>
            </w:r>
          </w:p>
        </w:tc>
        <w:tc>
          <w:tcPr>
            <w:tcW w:w="2079" w:type="pct"/>
            <w:tcBorders>
              <w:tl2br w:val="nil"/>
              <w:tr2bl w:val="nil"/>
            </w:tcBorders>
            <w:vAlign w:val="center"/>
          </w:tcPr>
          <w:p w14:paraId="07E5DC52">
            <w:pPr>
              <w:pStyle w:val="14"/>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与环评一致</w:t>
            </w:r>
            <w:r>
              <w:rPr>
                <w:rFonts w:hint="eastAsia" w:ascii="Times New Roman" w:hAnsi="Times New Roman" w:cs="Times New Roman"/>
                <w:color w:val="000000" w:themeColor="text1"/>
                <w:sz w:val="21"/>
                <w:highlight w:val="none"/>
                <w14:textFill>
                  <w14:solidFill>
                    <w14:schemeClr w14:val="tx1"/>
                  </w14:solidFill>
                </w14:textFill>
              </w:rPr>
              <w:t>。</w:t>
            </w:r>
          </w:p>
        </w:tc>
      </w:tr>
      <w:tr w14:paraId="2257A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continue"/>
            <w:tcBorders>
              <w:tl2br w:val="nil"/>
              <w:tr2bl w:val="nil"/>
            </w:tcBorders>
            <w:vAlign w:val="center"/>
          </w:tcPr>
          <w:p w14:paraId="0DE787FE">
            <w:pPr>
              <w:pStyle w:val="14"/>
              <w:snapToGrid w:val="0"/>
              <w:spacing w:line="360" w:lineRule="exact"/>
              <w:ind w:firstLine="0" w:firstLineChars="0"/>
              <w:jc w:val="center"/>
              <w:rPr>
                <w:rFonts w:ascii="Times New Roman" w:hAnsi="Times New Roman" w:cs="Times New Roman"/>
                <w:bCs/>
                <w:color w:val="000000" w:themeColor="text1"/>
                <w:sz w:val="21"/>
                <w:highlight w:val="none"/>
                <w14:textFill>
                  <w14:solidFill>
                    <w14:schemeClr w14:val="tx1"/>
                  </w14:solidFill>
                </w14:textFill>
              </w:rPr>
            </w:pPr>
          </w:p>
        </w:tc>
        <w:tc>
          <w:tcPr>
            <w:tcW w:w="449" w:type="pct"/>
            <w:tcBorders>
              <w:tl2br w:val="nil"/>
              <w:tr2bl w:val="nil"/>
            </w:tcBorders>
            <w:vAlign w:val="center"/>
          </w:tcPr>
          <w:p w14:paraId="0900C6CB">
            <w:pPr>
              <w:pStyle w:val="14"/>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尾矿输送系统</w:t>
            </w:r>
          </w:p>
        </w:tc>
        <w:tc>
          <w:tcPr>
            <w:tcW w:w="2078" w:type="pct"/>
            <w:tcBorders>
              <w:tl2br w:val="nil"/>
              <w:tr2bl w:val="nil"/>
            </w:tcBorders>
            <w:vAlign w:val="center"/>
          </w:tcPr>
          <w:p w14:paraId="43186C7F">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ascii="Times New Roman" w:hAnsi="Times New Roman"/>
                <w:color w:val="000000" w:themeColor="text1"/>
                <w:sz w:val="21"/>
                <w:highlight w:val="none"/>
                <w14:textFill>
                  <w14:solidFill>
                    <w14:schemeClr w14:val="tx1"/>
                  </w14:solidFill>
                </w14:textFill>
              </w:rPr>
              <w:t>主要由尾矿浓密池、尾矿输送泵房组成。</w:t>
            </w:r>
          </w:p>
        </w:tc>
        <w:tc>
          <w:tcPr>
            <w:tcW w:w="2079" w:type="pct"/>
            <w:tcBorders>
              <w:tl2br w:val="nil"/>
              <w:tr2bl w:val="nil"/>
            </w:tcBorders>
            <w:vAlign w:val="center"/>
          </w:tcPr>
          <w:p w14:paraId="663CAE70">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与环评一致</w:t>
            </w:r>
            <w:r>
              <w:rPr>
                <w:rFonts w:hint="eastAsia" w:ascii="Times New Roman" w:hAnsi="Times New Roman" w:cs="Times New Roman"/>
                <w:color w:val="000000" w:themeColor="text1"/>
                <w:sz w:val="21"/>
                <w:highlight w:val="none"/>
                <w14:textFill>
                  <w14:solidFill>
                    <w14:schemeClr w14:val="tx1"/>
                  </w14:solidFill>
                </w14:textFill>
              </w:rPr>
              <w:t>。</w:t>
            </w:r>
          </w:p>
        </w:tc>
      </w:tr>
      <w:tr w14:paraId="5076B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restart"/>
            <w:tcBorders>
              <w:tl2br w:val="nil"/>
              <w:tr2bl w:val="nil"/>
            </w:tcBorders>
            <w:vAlign w:val="center"/>
          </w:tcPr>
          <w:p w14:paraId="589C119D">
            <w:pPr>
              <w:pStyle w:val="14"/>
              <w:snapToGrid w:val="0"/>
              <w:spacing w:line="360" w:lineRule="exact"/>
              <w:ind w:firstLine="0" w:firstLineChars="0"/>
              <w:jc w:val="center"/>
              <w:rPr>
                <w:rFonts w:ascii="Times New Roman" w:hAnsi="Times New Roman" w:cs="Times New Roman"/>
                <w:bCs/>
                <w:color w:val="000000" w:themeColor="text1"/>
                <w:sz w:val="21"/>
                <w:highlight w:val="none"/>
                <w14:textFill>
                  <w14:solidFill>
                    <w14:schemeClr w14:val="tx1"/>
                  </w14:solidFill>
                </w14:textFill>
              </w:rPr>
            </w:pPr>
            <w:r>
              <w:rPr>
                <w:rFonts w:hint="eastAsia" w:ascii="Times New Roman" w:hAnsi="Times New Roman" w:cs="Times New Roman"/>
                <w:bCs/>
                <w:color w:val="000000" w:themeColor="text1"/>
                <w:sz w:val="21"/>
                <w:highlight w:val="none"/>
                <w14:textFill>
                  <w14:solidFill>
                    <w14:schemeClr w14:val="tx1"/>
                  </w14:solidFill>
                </w14:textFill>
              </w:rPr>
              <w:t>环保工程</w:t>
            </w:r>
          </w:p>
        </w:tc>
        <w:tc>
          <w:tcPr>
            <w:tcW w:w="449" w:type="pct"/>
            <w:tcBorders>
              <w:tl2br w:val="nil"/>
              <w:tr2bl w:val="nil"/>
            </w:tcBorders>
            <w:vAlign w:val="center"/>
          </w:tcPr>
          <w:p w14:paraId="715C06C2">
            <w:pPr>
              <w:pStyle w:val="14"/>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废气处理</w:t>
            </w:r>
          </w:p>
        </w:tc>
        <w:tc>
          <w:tcPr>
            <w:tcW w:w="2078" w:type="pct"/>
            <w:tcBorders>
              <w:tl2br w:val="nil"/>
              <w:tr2bl w:val="nil"/>
            </w:tcBorders>
            <w:vAlign w:val="center"/>
          </w:tcPr>
          <w:p w14:paraId="139970D3">
            <w:pPr>
              <w:pStyle w:val="14"/>
              <w:snapToGrid w:val="0"/>
              <w:spacing w:line="360" w:lineRule="exact"/>
              <w:ind w:firstLine="0" w:firstLineChars="0"/>
              <w:jc w:val="center"/>
              <w:rPr>
                <w:rFonts w:ascii="Times New Roman" w:hAnsi="Times New Roman" w:cs="宋体"/>
                <w:color w:val="000000" w:themeColor="text1"/>
                <w:sz w:val="21"/>
                <w:highlight w:val="none"/>
                <w14:textFill>
                  <w14:solidFill>
                    <w14:schemeClr w14:val="tx1"/>
                  </w14:solidFill>
                </w14:textFill>
              </w:rPr>
            </w:pPr>
            <w:r>
              <w:rPr>
                <w:rFonts w:hint="eastAsia" w:ascii="Times New Roman" w:hAnsi="Times New Roman" w:cs="宋体"/>
                <w:color w:val="000000" w:themeColor="text1"/>
                <w:sz w:val="21"/>
                <w:highlight w:val="none"/>
                <w14:textFill>
                  <w14:solidFill>
                    <w14:schemeClr w14:val="tx1"/>
                  </w14:solidFill>
                </w14:textFill>
              </w:rPr>
              <w:t>破碎粉尘：</w:t>
            </w:r>
            <w:r>
              <w:rPr>
                <w:rFonts w:hint="eastAsia" w:ascii="Times New Roman" w:hAnsi="Times New Roman" w:cs="宋体"/>
                <w:color w:val="000000" w:themeColor="text1"/>
                <w:sz w:val="21"/>
                <w:highlight w:val="none"/>
                <w:lang w:eastAsia="zh-CN"/>
                <w14:textFill>
                  <w14:solidFill>
                    <w14:schemeClr w14:val="tx1"/>
                  </w14:solidFill>
                </w14:textFill>
              </w:rPr>
              <w:t>多管旋风式除尘器</w:t>
            </w:r>
            <w:r>
              <w:rPr>
                <w:rFonts w:hint="eastAsia" w:ascii="Times New Roman" w:hAnsi="Times New Roman" w:cs="宋体"/>
                <w:color w:val="000000" w:themeColor="text1"/>
                <w:sz w:val="21"/>
                <w:highlight w:val="none"/>
                <w14:textFill>
                  <w14:solidFill>
                    <w14:schemeClr w14:val="tx1"/>
                  </w14:solidFill>
                </w14:textFill>
              </w:rPr>
              <w:t>设施</w:t>
            </w:r>
            <w:r>
              <w:rPr>
                <w:rFonts w:hint="eastAsia" w:ascii="Times New Roman" w:hAnsi="Times New Roman" w:cs="宋体"/>
                <w:color w:val="000000" w:themeColor="text1"/>
                <w:sz w:val="21"/>
                <w:highlight w:val="none"/>
                <w:lang w:eastAsia="zh-CN"/>
                <w14:textFill>
                  <w14:solidFill>
                    <w14:schemeClr w14:val="tx1"/>
                  </w14:solidFill>
                </w14:textFill>
              </w:rPr>
              <w:t>和</w:t>
            </w:r>
            <w:r>
              <w:rPr>
                <w:rFonts w:hint="eastAsia" w:ascii="Times New Roman" w:hAnsi="Times New Roman" w:cs="宋体"/>
                <w:color w:val="000000" w:themeColor="text1"/>
                <w:sz w:val="21"/>
                <w:highlight w:val="none"/>
                <w14:textFill>
                  <w14:solidFill>
                    <w14:schemeClr w14:val="tx1"/>
                  </w14:solidFill>
                </w14:textFill>
              </w:rPr>
              <w:t>脉冲布袋除尘器；</w:t>
            </w:r>
          </w:p>
          <w:p w14:paraId="7B725DAE">
            <w:pPr>
              <w:pStyle w:val="14"/>
              <w:snapToGrid w:val="0"/>
              <w:spacing w:line="360" w:lineRule="exact"/>
              <w:ind w:firstLine="0" w:firstLineChars="0"/>
              <w:jc w:val="center"/>
              <w:rPr>
                <w:rFonts w:ascii="Times New Roman" w:hAnsi="Times New Roman" w:cs="宋体"/>
                <w:color w:val="000000" w:themeColor="text1"/>
                <w:sz w:val="21"/>
                <w:highlight w:val="none"/>
                <w14:textFill>
                  <w14:solidFill>
                    <w14:schemeClr w14:val="tx1"/>
                  </w14:solidFill>
                </w14:textFill>
              </w:rPr>
            </w:pPr>
            <w:r>
              <w:rPr>
                <w:rFonts w:hint="eastAsia" w:ascii="Times New Roman" w:hAnsi="Times New Roman" w:cs="宋体"/>
                <w:color w:val="000000" w:themeColor="text1"/>
                <w:sz w:val="21"/>
                <w:highlight w:val="none"/>
                <w14:textFill>
                  <w14:solidFill>
                    <w14:schemeClr w14:val="tx1"/>
                  </w14:solidFill>
                </w14:textFill>
              </w:rPr>
              <w:t>运输扬尘：洒水降尘、车辆限速。</w:t>
            </w:r>
          </w:p>
        </w:tc>
        <w:tc>
          <w:tcPr>
            <w:tcW w:w="2079" w:type="pct"/>
            <w:tcBorders>
              <w:tl2br w:val="nil"/>
              <w:tr2bl w:val="nil"/>
            </w:tcBorders>
            <w:vAlign w:val="center"/>
          </w:tcPr>
          <w:p w14:paraId="2FCBC17D">
            <w:pPr>
              <w:pStyle w:val="14"/>
              <w:snapToGrid w:val="0"/>
              <w:spacing w:line="360" w:lineRule="exact"/>
              <w:ind w:firstLine="0" w:firstLineChars="0"/>
              <w:jc w:val="center"/>
              <w:rPr>
                <w:rFonts w:ascii="Times New Roman" w:hAnsi="Times New Roman" w:cs="宋体"/>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老破碎线已废弃</w:t>
            </w:r>
            <w:r>
              <w:rPr>
                <w:rFonts w:hint="eastAsia" w:ascii="Times New Roman" w:hAnsi="Times New Roman" w:cs="宋体"/>
                <w:color w:val="000000" w:themeColor="text1"/>
                <w:sz w:val="21"/>
                <w:highlight w:val="none"/>
                <w:lang w:eastAsia="zh-CN"/>
                <w14:textFill>
                  <w14:solidFill>
                    <w14:schemeClr w14:val="tx1"/>
                  </w14:solidFill>
                </w14:textFill>
              </w:rPr>
              <w:t>，</w:t>
            </w:r>
            <w:r>
              <w:rPr>
                <w:rFonts w:hint="eastAsia" w:ascii="Times New Roman" w:hAnsi="Times New Roman" w:cs="宋体"/>
                <w:color w:val="000000" w:themeColor="text1"/>
                <w:sz w:val="21"/>
                <w:highlight w:val="none"/>
                <w14:textFill>
                  <w14:solidFill>
                    <w14:schemeClr w14:val="tx1"/>
                  </w14:solidFill>
                </w14:textFill>
              </w:rPr>
              <w:t>其余与</w:t>
            </w:r>
            <w:r>
              <w:rPr>
                <w:rFonts w:ascii="Times New Roman" w:hAnsi="Times New Roman" w:cs="Times New Roman"/>
                <w:color w:val="000000" w:themeColor="text1"/>
                <w:sz w:val="21"/>
                <w:highlight w:val="none"/>
                <w14:textFill>
                  <w14:solidFill>
                    <w14:schemeClr w14:val="tx1"/>
                  </w14:solidFill>
                </w14:textFill>
              </w:rPr>
              <w:t>环评一致</w:t>
            </w:r>
            <w:r>
              <w:rPr>
                <w:rFonts w:hint="eastAsia" w:ascii="Times New Roman" w:hAnsi="Times New Roman" w:cs="Times New Roman"/>
                <w:color w:val="000000" w:themeColor="text1"/>
                <w:sz w:val="21"/>
                <w:highlight w:val="none"/>
                <w14:textFill>
                  <w14:solidFill>
                    <w14:schemeClr w14:val="tx1"/>
                  </w14:solidFill>
                </w14:textFill>
              </w:rPr>
              <w:t>。</w:t>
            </w:r>
          </w:p>
        </w:tc>
      </w:tr>
      <w:tr w14:paraId="38B35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tcBorders>
              <w:tl2br w:val="nil"/>
              <w:tr2bl w:val="nil"/>
            </w:tcBorders>
            <w:vAlign w:val="center"/>
          </w:tcPr>
          <w:p w14:paraId="02239CF9">
            <w:pPr>
              <w:pStyle w:val="14"/>
              <w:snapToGrid w:val="0"/>
              <w:spacing w:line="360" w:lineRule="exact"/>
              <w:ind w:firstLine="0" w:firstLineChars="0"/>
              <w:jc w:val="center"/>
              <w:rPr>
                <w:rFonts w:ascii="Times New Roman" w:hAnsi="Times New Roman" w:cs="Times New Roman"/>
                <w:bCs/>
                <w:color w:val="000000" w:themeColor="text1"/>
                <w:sz w:val="21"/>
                <w:highlight w:val="none"/>
                <w14:textFill>
                  <w14:solidFill>
                    <w14:schemeClr w14:val="tx1"/>
                  </w14:solidFill>
                </w14:textFill>
              </w:rPr>
            </w:pPr>
          </w:p>
        </w:tc>
        <w:tc>
          <w:tcPr>
            <w:tcW w:w="449" w:type="pct"/>
            <w:tcBorders>
              <w:tl2br w:val="nil"/>
              <w:tr2bl w:val="nil"/>
            </w:tcBorders>
            <w:vAlign w:val="center"/>
          </w:tcPr>
          <w:p w14:paraId="68C14973">
            <w:pPr>
              <w:pStyle w:val="14"/>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废水处理</w:t>
            </w:r>
          </w:p>
        </w:tc>
        <w:tc>
          <w:tcPr>
            <w:tcW w:w="2078" w:type="pct"/>
            <w:tcBorders>
              <w:tl2br w:val="nil"/>
              <w:tr2bl w:val="nil"/>
            </w:tcBorders>
            <w:vAlign w:val="center"/>
          </w:tcPr>
          <w:p w14:paraId="5754AFD7">
            <w:pPr>
              <w:pStyle w:val="14"/>
              <w:snapToGrid w:val="0"/>
              <w:spacing w:line="360" w:lineRule="exact"/>
              <w:ind w:firstLine="0" w:firstLineChars="0"/>
              <w:jc w:val="center"/>
              <w:rPr>
                <w:rFonts w:ascii="Times New Roman" w:hAnsi="Times New Roman" w:cs="宋体"/>
                <w:color w:val="000000" w:themeColor="text1"/>
                <w:sz w:val="21"/>
                <w:highlight w:val="none"/>
                <w14:textFill>
                  <w14:solidFill>
                    <w14:schemeClr w14:val="tx1"/>
                  </w14:solidFill>
                </w14:textFill>
              </w:rPr>
            </w:pPr>
            <w:r>
              <w:rPr>
                <w:rFonts w:ascii="Times New Roman" w:hAnsi="Times New Roman"/>
                <w:color w:val="000000" w:themeColor="text1"/>
                <w:sz w:val="21"/>
                <w:highlight w:val="none"/>
                <w14:textFill>
                  <w14:solidFill>
                    <w14:schemeClr w14:val="tx1"/>
                  </w14:solidFill>
                </w14:textFill>
              </w:rPr>
              <w:t>选矿厂正常生产期间生产废水大部</w:t>
            </w:r>
            <w:r>
              <w:rPr>
                <w:rFonts w:hint="eastAsia" w:ascii="Times New Roman" w:hAnsi="Times New Roman"/>
                <w:color w:val="000000" w:themeColor="text1"/>
                <w:sz w:val="21"/>
                <w:highlight w:val="none"/>
                <w14:textFill>
                  <w14:solidFill>
                    <w14:schemeClr w14:val="tx1"/>
                  </w14:solidFill>
                </w14:textFill>
              </w:rPr>
              <w:t>分</w:t>
            </w:r>
            <w:r>
              <w:rPr>
                <w:rFonts w:ascii="Times New Roman" w:hAnsi="Times New Roman"/>
                <w:color w:val="000000" w:themeColor="text1"/>
                <w:sz w:val="21"/>
                <w:highlight w:val="none"/>
                <w14:textFill>
                  <w14:solidFill>
                    <w14:schemeClr w14:val="tx1"/>
                  </w14:solidFill>
                </w14:textFill>
              </w:rPr>
              <w:t>循环使用，少部分进入尾矿及在生产环节中蒸发损失；生活污水经化粪池处理后绿化。</w:t>
            </w:r>
          </w:p>
        </w:tc>
        <w:tc>
          <w:tcPr>
            <w:tcW w:w="2079" w:type="pct"/>
            <w:tcBorders>
              <w:tl2br w:val="nil"/>
              <w:tr2bl w:val="nil"/>
            </w:tcBorders>
            <w:vAlign w:val="center"/>
          </w:tcPr>
          <w:p w14:paraId="34142451">
            <w:pPr>
              <w:pStyle w:val="14"/>
              <w:snapToGrid w:val="0"/>
              <w:spacing w:line="360" w:lineRule="exact"/>
              <w:ind w:firstLine="0" w:firstLineChars="0"/>
              <w:jc w:val="center"/>
              <w:rPr>
                <w:rFonts w:ascii="Times New Roman" w:hAnsi="Times New Roman" w:cs="宋体"/>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选矿废水主要来自选矿过程中产生的尾矿矿浆，主要污染因子为pH、SS。选矿废水部分被铁精粉带走，</w:t>
            </w:r>
            <w:r>
              <w:rPr>
                <w:rFonts w:hint="eastAsia" w:ascii="Times New Roman" w:hAnsi="Times New Roman" w:cs="Times New Roman"/>
                <w:color w:val="000000" w:themeColor="text1"/>
                <w:sz w:val="21"/>
                <w:highlight w:val="none"/>
                <w14:textFill>
                  <w14:solidFill>
                    <w14:schemeClr w14:val="tx1"/>
                  </w14:solidFill>
                </w14:textFill>
              </w:rPr>
              <w:t>精矿过滤水、尾矿浓缩压滤溢流水</w:t>
            </w:r>
            <w:r>
              <w:rPr>
                <w:rFonts w:ascii="Times New Roman" w:hAnsi="Times New Roman" w:cs="Times New Roman"/>
                <w:color w:val="000000" w:themeColor="text1"/>
                <w:sz w:val="21"/>
                <w:highlight w:val="none"/>
                <w14:textFill>
                  <w14:solidFill>
                    <w14:schemeClr w14:val="tx1"/>
                  </w14:solidFill>
                </w14:textFill>
              </w:rPr>
              <w:t>返回生产工序循环利用，尾矿库设有回水系统，使用水泵将库内澄清水通过管道泵送至选矿厂生产回水池，供选矿循环使用。</w:t>
            </w:r>
            <w:r>
              <w:rPr>
                <w:rFonts w:hint="eastAsia" w:ascii="Times New Roman" w:hAnsi="Times New Roman" w:cs="Times New Roman"/>
                <w:color w:val="000000" w:themeColor="text1"/>
                <w:sz w:val="21"/>
                <w:highlight w:val="none"/>
                <w14:textFill>
                  <w14:solidFill>
                    <w14:schemeClr w14:val="tx1"/>
                  </w14:solidFill>
                </w14:textFill>
              </w:rPr>
              <w:t>生活污水、通过下水管道进入</w:t>
            </w:r>
            <w:r>
              <w:rPr>
                <w:rFonts w:hint="eastAsia" w:ascii="Times New Roman" w:hAnsi="Times New Roman" w:cs="Times New Roman"/>
                <w:color w:val="000000" w:themeColor="text1"/>
                <w:sz w:val="21"/>
                <w:highlight w:val="none"/>
                <w:lang w:eastAsia="zh-CN"/>
                <w14:textFill>
                  <w14:solidFill>
                    <w14:schemeClr w14:val="tx1"/>
                  </w14:solidFill>
                </w14:textFill>
              </w:rPr>
              <w:t>地埋式一体化污水处理设施</w:t>
            </w:r>
            <w:r>
              <w:rPr>
                <w:rFonts w:hint="eastAsia" w:ascii="Times New Roman" w:hAnsi="Times New Roman" w:cs="Times New Roman"/>
                <w:color w:val="000000" w:themeColor="text1"/>
                <w:sz w:val="21"/>
                <w:highlight w:val="none"/>
                <w14:textFill>
                  <w14:solidFill>
                    <w14:schemeClr w14:val="tx1"/>
                  </w14:solidFill>
                </w14:textFill>
              </w:rPr>
              <w:t>处理后用于</w:t>
            </w:r>
            <w:r>
              <w:rPr>
                <w:rFonts w:hint="eastAsia" w:ascii="Times New Roman" w:hAnsi="Times New Roman" w:cs="Times New Roman"/>
                <w:color w:val="000000" w:themeColor="text1"/>
                <w:sz w:val="21"/>
                <w:highlight w:val="none"/>
                <w:lang w:eastAsia="zh-CN"/>
                <w14:textFill>
                  <w14:solidFill>
                    <w14:schemeClr w14:val="tx1"/>
                  </w14:solidFill>
                </w14:textFill>
              </w:rPr>
              <w:t>绿化</w:t>
            </w:r>
            <w:r>
              <w:rPr>
                <w:rFonts w:hint="eastAsia" w:ascii="Times New Roman" w:hAnsi="Times New Roman" w:cs="Times New Roman"/>
                <w:color w:val="000000" w:themeColor="text1"/>
                <w:sz w:val="21"/>
                <w:highlight w:val="none"/>
                <w14:textFill>
                  <w14:solidFill>
                    <w14:schemeClr w14:val="tx1"/>
                  </w14:solidFill>
                </w14:textFill>
              </w:rPr>
              <w:t>。</w:t>
            </w:r>
          </w:p>
        </w:tc>
      </w:tr>
      <w:tr w14:paraId="3BE8E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continue"/>
            <w:tcBorders>
              <w:tl2br w:val="nil"/>
              <w:tr2bl w:val="nil"/>
            </w:tcBorders>
            <w:vAlign w:val="center"/>
          </w:tcPr>
          <w:p w14:paraId="1782665F">
            <w:pPr>
              <w:pStyle w:val="14"/>
              <w:snapToGrid w:val="0"/>
              <w:spacing w:line="360" w:lineRule="exact"/>
              <w:ind w:firstLine="0" w:firstLineChars="0"/>
              <w:jc w:val="center"/>
              <w:rPr>
                <w:rFonts w:ascii="Times New Roman" w:hAnsi="Times New Roman" w:cs="Times New Roman"/>
                <w:bCs/>
                <w:color w:val="000000" w:themeColor="text1"/>
                <w:sz w:val="21"/>
                <w:highlight w:val="none"/>
                <w14:textFill>
                  <w14:solidFill>
                    <w14:schemeClr w14:val="tx1"/>
                  </w14:solidFill>
                </w14:textFill>
              </w:rPr>
            </w:pPr>
          </w:p>
        </w:tc>
        <w:tc>
          <w:tcPr>
            <w:tcW w:w="449" w:type="pct"/>
            <w:tcBorders>
              <w:tl2br w:val="nil"/>
              <w:tr2bl w:val="nil"/>
            </w:tcBorders>
            <w:vAlign w:val="center"/>
          </w:tcPr>
          <w:p w14:paraId="2AAA0455">
            <w:pPr>
              <w:pStyle w:val="14"/>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噪声治理</w:t>
            </w:r>
          </w:p>
        </w:tc>
        <w:tc>
          <w:tcPr>
            <w:tcW w:w="2078" w:type="pct"/>
            <w:tcBorders>
              <w:tl2br w:val="nil"/>
              <w:tr2bl w:val="nil"/>
            </w:tcBorders>
            <w:vAlign w:val="center"/>
          </w:tcPr>
          <w:p w14:paraId="3E957355">
            <w:pPr>
              <w:pStyle w:val="14"/>
              <w:snapToGrid w:val="0"/>
              <w:spacing w:line="360" w:lineRule="exact"/>
              <w:ind w:firstLine="0" w:firstLineChars="0"/>
              <w:jc w:val="center"/>
              <w:rPr>
                <w:rFonts w:ascii="Times New Roman" w:hAnsi="Times New Roman" w:cs="宋体"/>
                <w:color w:val="000000" w:themeColor="text1"/>
                <w:sz w:val="21"/>
                <w:highlight w:val="none"/>
                <w14:textFill>
                  <w14:solidFill>
                    <w14:schemeClr w14:val="tx1"/>
                  </w14:solidFill>
                </w14:textFill>
              </w:rPr>
            </w:pPr>
            <w:r>
              <w:rPr>
                <w:rFonts w:ascii="Times New Roman" w:hAnsi="Times New Roman"/>
                <w:color w:val="000000" w:themeColor="text1"/>
                <w:sz w:val="21"/>
                <w:highlight w:val="none"/>
                <w14:textFill>
                  <w14:solidFill>
                    <w14:schemeClr w14:val="tx1"/>
                  </w14:solidFill>
                </w14:textFill>
              </w:rPr>
              <w:t>选用低噪声设备、隔声</w:t>
            </w:r>
            <w:r>
              <w:rPr>
                <w:rFonts w:hint="eastAsia" w:ascii="Times New Roman" w:hAnsi="Times New Roman"/>
                <w:color w:val="000000" w:themeColor="text1"/>
                <w:sz w:val="21"/>
                <w:highlight w:val="none"/>
                <w:lang w:eastAsia="zh-CN"/>
                <w14:textFill>
                  <w14:solidFill>
                    <w14:schemeClr w14:val="tx1"/>
                  </w14:solidFill>
                </w14:textFill>
              </w:rPr>
              <w:t>减振</w:t>
            </w:r>
            <w:r>
              <w:rPr>
                <w:rFonts w:hint="eastAsia" w:ascii="Times New Roman" w:hAnsi="Times New Roman"/>
                <w:color w:val="000000" w:themeColor="text1"/>
                <w:sz w:val="21"/>
                <w:highlight w:val="none"/>
                <w14:textFill>
                  <w14:solidFill>
                    <w14:schemeClr w14:val="tx1"/>
                  </w14:solidFill>
                </w14:textFill>
              </w:rPr>
              <w:t>。</w:t>
            </w:r>
          </w:p>
        </w:tc>
        <w:tc>
          <w:tcPr>
            <w:tcW w:w="2079" w:type="pct"/>
            <w:tcBorders>
              <w:tl2br w:val="nil"/>
              <w:tr2bl w:val="nil"/>
            </w:tcBorders>
            <w:vAlign w:val="center"/>
          </w:tcPr>
          <w:p w14:paraId="6789248C">
            <w:pPr>
              <w:pStyle w:val="14"/>
              <w:snapToGrid w:val="0"/>
              <w:spacing w:line="360" w:lineRule="exact"/>
              <w:ind w:firstLine="0" w:firstLineChars="0"/>
              <w:jc w:val="center"/>
              <w:rPr>
                <w:rFonts w:ascii="Times New Roman" w:hAnsi="Times New Roman" w:cs="宋体"/>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与环评一致</w:t>
            </w:r>
            <w:r>
              <w:rPr>
                <w:rFonts w:hint="eastAsia" w:ascii="Times New Roman" w:hAnsi="Times New Roman" w:cs="Times New Roman"/>
                <w:color w:val="000000" w:themeColor="text1"/>
                <w:sz w:val="21"/>
                <w:highlight w:val="none"/>
                <w14:textFill>
                  <w14:solidFill>
                    <w14:schemeClr w14:val="tx1"/>
                  </w14:solidFill>
                </w14:textFill>
              </w:rPr>
              <w:t>。</w:t>
            </w:r>
          </w:p>
        </w:tc>
      </w:tr>
      <w:tr w14:paraId="74936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2" w:type="pct"/>
            <w:vMerge w:val="continue"/>
            <w:tcBorders>
              <w:tl2br w:val="nil"/>
              <w:tr2bl w:val="nil"/>
            </w:tcBorders>
            <w:vAlign w:val="center"/>
          </w:tcPr>
          <w:p w14:paraId="16378C5B">
            <w:pPr>
              <w:pStyle w:val="14"/>
              <w:snapToGrid w:val="0"/>
              <w:spacing w:line="360" w:lineRule="exact"/>
              <w:ind w:firstLine="0" w:firstLineChars="0"/>
              <w:jc w:val="center"/>
              <w:rPr>
                <w:rFonts w:ascii="Times New Roman" w:hAnsi="Times New Roman" w:cs="Times New Roman"/>
                <w:bCs/>
                <w:color w:val="000000" w:themeColor="text1"/>
                <w:sz w:val="21"/>
                <w:highlight w:val="none"/>
                <w14:textFill>
                  <w14:solidFill>
                    <w14:schemeClr w14:val="tx1"/>
                  </w14:solidFill>
                </w14:textFill>
              </w:rPr>
            </w:pPr>
          </w:p>
        </w:tc>
        <w:tc>
          <w:tcPr>
            <w:tcW w:w="449" w:type="pct"/>
            <w:tcBorders>
              <w:tl2br w:val="nil"/>
              <w:tr2bl w:val="nil"/>
            </w:tcBorders>
            <w:vAlign w:val="center"/>
          </w:tcPr>
          <w:p w14:paraId="3D67CCC4">
            <w:pPr>
              <w:pStyle w:val="14"/>
              <w:snapToGrid w:val="0"/>
              <w:spacing w:line="360" w:lineRule="exact"/>
              <w:ind w:firstLine="0" w:firstLineChars="0"/>
              <w:jc w:val="center"/>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固体废物</w:t>
            </w:r>
          </w:p>
        </w:tc>
        <w:tc>
          <w:tcPr>
            <w:tcW w:w="2078" w:type="pct"/>
            <w:tcBorders>
              <w:tl2br w:val="nil"/>
              <w:tr2bl w:val="nil"/>
            </w:tcBorders>
            <w:vAlign w:val="center"/>
          </w:tcPr>
          <w:p w14:paraId="10557DAD">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ascii="Times New Roman" w:hAnsi="Times New Roman"/>
                <w:color w:val="000000" w:themeColor="text1"/>
                <w:sz w:val="21"/>
                <w:highlight w:val="none"/>
                <w14:textFill>
                  <w14:solidFill>
                    <w14:schemeClr w14:val="tx1"/>
                  </w14:solidFill>
                </w14:textFill>
              </w:rPr>
              <w:t>尾矿全部排入尾矿库</w:t>
            </w:r>
            <w:r>
              <w:rPr>
                <w:rFonts w:hint="eastAsia" w:ascii="Times New Roman" w:hAnsi="Times New Roman"/>
                <w:color w:val="000000" w:themeColor="text1"/>
                <w:sz w:val="21"/>
                <w:highlight w:val="none"/>
                <w14:textFill>
                  <w14:solidFill>
                    <w14:schemeClr w14:val="tx1"/>
                  </w14:solidFill>
                </w14:textFill>
              </w:rPr>
              <w:t>；</w:t>
            </w:r>
            <w:r>
              <w:rPr>
                <w:rFonts w:ascii="Times New Roman" w:hAnsi="Times New Roman"/>
                <w:color w:val="000000" w:themeColor="text1"/>
                <w:sz w:val="21"/>
                <w:highlight w:val="none"/>
                <w14:textFill>
                  <w14:solidFill>
                    <w14:schemeClr w14:val="tx1"/>
                  </w14:solidFill>
                </w14:textFill>
              </w:rPr>
              <w:t>生活垃圾集中收集后</w:t>
            </w:r>
            <w:r>
              <w:rPr>
                <w:rFonts w:hint="eastAsia" w:ascii="Times New Roman" w:hAnsi="Times New Roman"/>
                <w:color w:val="000000" w:themeColor="text1"/>
                <w:sz w:val="21"/>
                <w:highlight w:val="none"/>
                <w14:textFill>
                  <w14:solidFill>
                    <w14:schemeClr w14:val="tx1"/>
                  </w14:solidFill>
                </w14:textFill>
              </w:rPr>
              <w:t>，</w:t>
            </w:r>
            <w:r>
              <w:rPr>
                <w:rFonts w:hint="eastAsia" w:ascii="Times New Roman" w:hAnsi="Times New Roman"/>
                <w:color w:val="000000" w:themeColor="text1"/>
                <w:sz w:val="21"/>
                <w:highlight w:val="none"/>
                <w:lang w:eastAsia="zh-CN"/>
                <w14:textFill>
                  <w14:solidFill>
                    <w14:schemeClr w14:val="tx1"/>
                  </w14:solidFill>
                </w14:textFill>
              </w:rPr>
              <w:t>运至环保部门指定地点进行有效处置</w:t>
            </w:r>
            <w:r>
              <w:rPr>
                <w:rFonts w:hint="eastAsia" w:ascii="Times New Roman" w:hAnsi="Times New Roman"/>
                <w:color w:val="000000" w:themeColor="text1"/>
                <w:sz w:val="21"/>
                <w:highlight w:val="none"/>
                <w14:textFill>
                  <w14:solidFill>
                    <w14:schemeClr w14:val="tx1"/>
                  </w14:solidFill>
                </w14:textFill>
              </w:rPr>
              <w:t>。</w:t>
            </w:r>
          </w:p>
        </w:tc>
        <w:tc>
          <w:tcPr>
            <w:tcW w:w="2079" w:type="pct"/>
            <w:tcBorders>
              <w:tl2br w:val="nil"/>
              <w:tr2bl w:val="nil"/>
            </w:tcBorders>
            <w:vAlign w:val="center"/>
          </w:tcPr>
          <w:p w14:paraId="18D5F0FD">
            <w:pPr>
              <w:pStyle w:val="14"/>
              <w:snapToGrid w:val="0"/>
              <w:spacing w:line="360" w:lineRule="exact"/>
              <w:ind w:firstLine="0" w:firstLineChars="0"/>
              <w:jc w:val="center"/>
              <w:rPr>
                <w:rFonts w:ascii="Times New Roman" w:hAnsi="Times New Roman"/>
                <w:color w:val="000000" w:themeColor="text1"/>
                <w:sz w:val="21"/>
                <w:highlight w:val="none"/>
                <w14:textFill>
                  <w14:solidFill>
                    <w14:schemeClr w14:val="tx1"/>
                  </w14:solidFill>
                </w14:textFill>
              </w:rPr>
            </w:pPr>
            <w:r>
              <w:rPr>
                <w:rFonts w:ascii="Times New Roman" w:hAnsi="Times New Roman"/>
                <w:color w:val="000000" w:themeColor="text1"/>
                <w:sz w:val="21"/>
                <w:highlight w:val="none"/>
                <w14:textFill>
                  <w14:solidFill>
                    <w14:schemeClr w14:val="tx1"/>
                  </w14:solidFill>
                </w14:textFill>
              </w:rPr>
              <w:t>尾矿全部排入尾矿库，实现零排放</w:t>
            </w:r>
            <w:r>
              <w:rPr>
                <w:rFonts w:hint="eastAsia" w:ascii="Times New Roman" w:hAnsi="Times New Roman"/>
                <w:color w:val="000000" w:themeColor="text1"/>
                <w:sz w:val="21"/>
                <w:highlight w:val="none"/>
                <w14:textFill>
                  <w14:solidFill>
                    <w14:schemeClr w14:val="tx1"/>
                  </w14:solidFill>
                </w14:textFill>
              </w:rPr>
              <w:t>；</w:t>
            </w:r>
            <w:r>
              <w:rPr>
                <w:rFonts w:ascii="Times New Roman" w:hAnsi="Times New Roman"/>
                <w:color w:val="000000" w:themeColor="text1"/>
                <w:sz w:val="21"/>
                <w:highlight w:val="none"/>
                <w14:textFill>
                  <w14:solidFill>
                    <w14:schemeClr w14:val="tx1"/>
                  </w14:solidFill>
                </w14:textFill>
              </w:rPr>
              <w:t>生活垃圾集中收集后</w:t>
            </w:r>
            <w:r>
              <w:rPr>
                <w:rFonts w:hint="eastAsia" w:ascii="Times New Roman" w:hAnsi="Times New Roman"/>
                <w:color w:val="000000" w:themeColor="text1"/>
                <w:sz w:val="21"/>
                <w:highlight w:val="none"/>
                <w14:textFill>
                  <w14:solidFill>
                    <w14:schemeClr w14:val="tx1"/>
                  </w14:solidFill>
                </w14:textFill>
              </w:rPr>
              <w:t>定期清运。</w:t>
            </w:r>
          </w:p>
        </w:tc>
      </w:tr>
    </w:tbl>
    <w:p w14:paraId="502740DD">
      <w:pPr>
        <w:pStyle w:val="47"/>
        <w:widowControl w:val="0"/>
        <w:overflowPunct w:val="0"/>
        <w:topLinePunct/>
        <w:ind w:firstLine="480" w:firstLineChars="200"/>
        <w:jc w:val="both"/>
        <w:rPr>
          <w:b w:val="0"/>
          <w:color w:val="000000" w:themeColor="text1"/>
          <w:szCs w:val="21"/>
          <w:highlight w:val="none"/>
          <w14:textFill>
            <w14:solidFill>
              <w14:schemeClr w14:val="tx1"/>
            </w14:solidFill>
          </w14:textFill>
        </w:rPr>
      </w:pPr>
      <w:bookmarkStart w:id="357" w:name="_Toc20098"/>
      <w:bookmarkStart w:id="358" w:name="_Toc1956"/>
      <w:bookmarkStart w:id="359" w:name="_Toc18563"/>
      <w:r>
        <w:rPr>
          <w:rFonts w:hint="eastAsia"/>
          <w:b w:val="0"/>
          <w:color w:val="000000" w:themeColor="text1"/>
          <w:szCs w:val="21"/>
          <w:highlight w:val="none"/>
          <w:lang w:eastAsia="zh-CN"/>
          <w14:textFill>
            <w14:solidFill>
              <w14:schemeClr w14:val="tx1"/>
            </w14:solidFill>
          </w14:textFill>
        </w:rPr>
        <w:t>破碎系统已废弃，</w:t>
      </w:r>
      <w:r>
        <w:rPr>
          <w:rFonts w:hint="eastAsia"/>
          <w:b w:val="0"/>
          <w:color w:val="000000" w:themeColor="text1"/>
          <w:szCs w:val="21"/>
          <w:highlight w:val="none"/>
          <w14:textFill>
            <w14:solidFill>
              <w14:schemeClr w14:val="tx1"/>
            </w14:solidFill>
          </w14:textFill>
        </w:rPr>
        <w:t>现有工程</w:t>
      </w:r>
      <w:r>
        <w:rPr>
          <w:b w:val="0"/>
          <w:color w:val="000000" w:themeColor="text1"/>
          <w:szCs w:val="21"/>
          <w:highlight w:val="none"/>
          <w14:textFill>
            <w14:solidFill>
              <w14:schemeClr w14:val="tx1"/>
            </w14:solidFill>
          </w14:textFill>
        </w:rPr>
        <w:t>主要设备一览表见表</w:t>
      </w:r>
      <w:r>
        <w:rPr>
          <w:rFonts w:hint="eastAsia"/>
          <w:b w:val="0"/>
          <w:color w:val="000000" w:themeColor="text1"/>
          <w:szCs w:val="21"/>
          <w:highlight w:val="none"/>
          <w14:textFill>
            <w14:solidFill>
              <w14:schemeClr w14:val="tx1"/>
            </w14:solidFill>
          </w14:textFill>
        </w:rPr>
        <w:t>3.1</w:t>
      </w:r>
      <w:r>
        <w:rPr>
          <w:b w:val="0"/>
          <w:color w:val="000000" w:themeColor="text1"/>
          <w:szCs w:val="21"/>
          <w:highlight w:val="none"/>
          <w14:textFill>
            <w14:solidFill>
              <w14:schemeClr w14:val="tx1"/>
            </w14:solidFill>
          </w14:textFill>
        </w:rPr>
        <w:t>-3。</w:t>
      </w:r>
    </w:p>
    <w:p w14:paraId="50DFA623">
      <w:pPr>
        <w:pStyle w:val="47"/>
        <w:widowControl w:val="0"/>
        <w:rPr>
          <w:color w:val="000000" w:themeColor="text1"/>
          <w:highlight w:val="none"/>
          <w14:textFill>
            <w14:solidFill>
              <w14:schemeClr w14:val="tx1"/>
            </w14:solidFill>
          </w14:textFill>
        </w:rPr>
      </w:pPr>
      <w:r>
        <w:rPr>
          <w:color w:val="000000" w:themeColor="text1"/>
          <w:highlight w:val="none"/>
          <w:lang w:val="zh-CN"/>
          <w14:textFill>
            <w14:solidFill>
              <w14:schemeClr w14:val="tx1"/>
            </w14:solidFill>
          </w14:textFill>
        </w:rPr>
        <w:t>表</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w:t>
      </w:r>
      <w:r>
        <w:rPr>
          <w:color w:val="000000" w:themeColor="text1"/>
          <w:highlight w:val="none"/>
          <w:lang w:val="zh-CN"/>
          <w14:textFill>
            <w14:solidFill>
              <w14:schemeClr w14:val="tx1"/>
            </w14:solidFill>
          </w14:textFill>
        </w:rPr>
        <w:t>-</w:t>
      </w:r>
      <w:r>
        <w:rPr>
          <w:color w:val="000000" w:themeColor="text1"/>
          <w:highlight w:val="none"/>
          <w14:textFill>
            <w14:solidFill>
              <w14:schemeClr w14:val="tx1"/>
            </w14:solidFill>
          </w14:textFill>
        </w:rPr>
        <w:t>3</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现有工程</w:t>
      </w:r>
      <w:r>
        <w:rPr>
          <w:color w:val="000000" w:themeColor="text1"/>
          <w:highlight w:val="none"/>
          <w:lang w:val="zh-CN"/>
          <w14:textFill>
            <w14:solidFill>
              <w14:schemeClr w14:val="tx1"/>
            </w14:solidFill>
          </w14:textFill>
        </w:rPr>
        <w:t>主要设备一览表</w:t>
      </w:r>
    </w:p>
    <w:tbl>
      <w:tblPr>
        <w:tblStyle w:val="3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496"/>
        <w:gridCol w:w="2337"/>
        <w:gridCol w:w="4385"/>
        <w:gridCol w:w="1109"/>
      </w:tblGrid>
      <w:tr w14:paraId="6118D6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tblHeader/>
          <w:jc w:val="center"/>
        </w:trPr>
        <w:tc>
          <w:tcPr>
            <w:tcW w:w="298" w:type="pct"/>
            <w:tcBorders>
              <w:tl2br w:val="nil"/>
              <w:tr2bl w:val="nil"/>
            </w:tcBorders>
            <w:vAlign w:val="center"/>
          </w:tcPr>
          <w:p w14:paraId="1D2782DC">
            <w:pPr>
              <w:widowControl/>
              <w:spacing w:line="360" w:lineRule="exact"/>
              <w:ind w:firstLine="0" w:firstLineChars="0"/>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序号</w:t>
            </w:r>
          </w:p>
        </w:tc>
        <w:tc>
          <w:tcPr>
            <w:tcW w:w="1403" w:type="pct"/>
            <w:tcBorders>
              <w:tl2br w:val="nil"/>
              <w:tr2bl w:val="nil"/>
            </w:tcBorders>
            <w:vAlign w:val="center"/>
          </w:tcPr>
          <w:p w14:paraId="076A39CB">
            <w:pPr>
              <w:widowControl/>
              <w:spacing w:line="360" w:lineRule="exact"/>
              <w:ind w:firstLine="0" w:firstLineChars="0"/>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设备名称</w:t>
            </w:r>
          </w:p>
        </w:tc>
        <w:tc>
          <w:tcPr>
            <w:tcW w:w="2633" w:type="pct"/>
            <w:tcBorders>
              <w:tl2br w:val="nil"/>
              <w:tr2bl w:val="nil"/>
            </w:tcBorders>
            <w:vAlign w:val="center"/>
          </w:tcPr>
          <w:p w14:paraId="29CD04B4">
            <w:pPr>
              <w:widowControl/>
              <w:spacing w:line="360" w:lineRule="exact"/>
              <w:ind w:firstLine="0" w:firstLineChars="0"/>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规格型号</w:t>
            </w:r>
          </w:p>
        </w:tc>
        <w:tc>
          <w:tcPr>
            <w:tcW w:w="665" w:type="pct"/>
            <w:tcBorders>
              <w:tl2br w:val="nil"/>
              <w:tr2bl w:val="nil"/>
            </w:tcBorders>
            <w:vAlign w:val="center"/>
          </w:tcPr>
          <w:p w14:paraId="436D4EAC">
            <w:pPr>
              <w:widowControl/>
              <w:spacing w:line="360" w:lineRule="exact"/>
              <w:ind w:firstLine="0" w:firstLineChars="0"/>
              <w:jc w:val="center"/>
              <w:textAlignment w:val="center"/>
              <w:rPr>
                <w:b/>
                <w:bCs/>
                <w:color w:val="000000" w:themeColor="text1"/>
                <w:kern w:val="0"/>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实际数量</w:t>
            </w:r>
          </w:p>
        </w:tc>
      </w:tr>
      <w:tr w14:paraId="45AF56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5000" w:type="pct"/>
            <w:gridSpan w:val="4"/>
            <w:tcBorders>
              <w:tl2br w:val="nil"/>
              <w:tr2bl w:val="nil"/>
            </w:tcBorders>
            <w:vAlign w:val="center"/>
          </w:tcPr>
          <w:p w14:paraId="4ED9D794">
            <w:pPr>
              <w:widowControl/>
              <w:spacing w:line="360" w:lineRule="exact"/>
              <w:ind w:firstLine="0" w:firstLineChars="0"/>
              <w:jc w:val="center"/>
              <w:textAlignment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一、选矿厂</w:t>
            </w:r>
          </w:p>
        </w:tc>
      </w:tr>
      <w:tr w14:paraId="26C98B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01BA98C3">
            <w:pPr>
              <w:widowControl/>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w:t>
            </w:r>
          </w:p>
        </w:tc>
        <w:tc>
          <w:tcPr>
            <w:tcW w:w="4701" w:type="pct"/>
            <w:gridSpan w:val="3"/>
            <w:tcBorders>
              <w:tl2br w:val="nil"/>
              <w:tr2bl w:val="nil"/>
            </w:tcBorders>
            <w:vAlign w:val="center"/>
          </w:tcPr>
          <w:p w14:paraId="5D79710E">
            <w:pPr>
              <w:widowControl/>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磨矿主体设备</w:t>
            </w:r>
          </w:p>
        </w:tc>
      </w:tr>
      <w:tr w14:paraId="4FF854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3C73D023">
            <w:pPr>
              <w:widowControl/>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403" w:type="pct"/>
            <w:tcBorders>
              <w:tl2br w:val="nil"/>
              <w:tr2bl w:val="nil"/>
            </w:tcBorders>
            <w:vAlign w:val="center"/>
          </w:tcPr>
          <w:p w14:paraId="324ACA8B">
            <w:pPr>
              <w:widowControl/>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湿式格子型球磨机</w:t>
            </w:r>
          </w:p>
        </w:tc>
        <w:tc>
          <w:tcPr>
            <w:tcW w:w="2633" w:type="pct"/>
            <w:tcBorders>
              <w:tl2br w:val="nil"/>
              <w:tr2bl w:val="nil"/>
            </w:tcBorders>
            <w:vAlign w:val="center"/>
          </w:tcPr>
          <w:p w14:paraId="5CD22FFB">
            <w:pPr>
              <w:pStyle w:val="45"/>
              <w:kinsoku w:val="0"/>
              <w:overflowPunct w:val="0"/>
              <w:spacing w:before="0" w:beforeAutospacing="0" w:line="360" w:lineRule="exact"/>
              <w:ind w:firstLine="0" w:firstLineChars="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lang w:val="en-US" w:eastAsia="zh-CN"/>
                <w14:textFill>
                  <w14:solidFill>
                    <w14:schemeClr w14:val="tx1"/>
                  </w14:solidFill>
                </w14:textFill>
              </w:rPr>
              <w:t>MQCG2700×2700</w:t>
            </w:r>
          </w:p>
        </w:tc>
        <w:tc>
          <w:tcPr>
            <w:tcW w:w="665" w:type="pct"/>
            <w:tcBorders>
              <w:tl2br w:val="nil"/>
              <w:tr2bl w:val="nil"/>
            </w:tcBorders>
            <w:vAlign w:val="center"/>
          </w:tcPr>
          <w:p w14:paraId="78B868AB">
            <w:pPr>
              <w:pStyle w:val="45"/>
              <w:kinsoku w:val="0"/>
              <w:overflowPunct w:val="0"/>
              <w:spacing w:before="0" w:beforeAutospacing="0" w:line="360" w:lineRule="exact"/>
              <w:ind w:firstLine="0" w:firstLineChars="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1</w:t>
            </w:r>
            <w:r>
              <w:rPr>
                <w:rFonts w:hint="eastAsia"/>
                <w:color w:val="000000" w:themeColor="text1"/>
                <w:kern w:val="2"/>
                <w:sz w:val="21"/>
                <w:szCs w:val="21"/>
                <w:highlight w:val="none"/>
                <w14:textFill>
                  <w14:solidFill>
                    <w14:schemeClr w14:val="tx1"/>
                  </w14:solidFill>
                </w14:textFill>
              </w:rPr>
              <w:t>台</w:t>
            </w:r>
          </w:p>
        </w:tc>
      </w:tr>
      <w:tr w14:paraId="372FB9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78F62243">
            <w:pPr>
              <w:widowControl/>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403" w:type="pct"/>
            <w:tcBorders>
              <w:tl2br w:val="nil"/>
              <w:tr2bl w:val="nil"/>
            </w:tcBorders>
            <w:vAlign w:val="center"/>
          </w:tcPr>
          <w:p w14:paraId="1EF90522">
            <w:pPr>
              <w:widowControl/>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湿式溢流型球磨机</w:t>
            </w:r>
          </w:p>
        </w:tc>
        <w:tc>
          <w:tcPr>
            <w:tcW w:w="2633" w:type="pct"/>
            <w:tcBorders>
              <w:tl2br w:val="nil"/>
              <w:tr2bl w:val="nil"/>
            </w:tcBorders>
            <w:vAlign w:val="center"/>
          </w:tcPr>
          <w:p w14:paraId="6C3B889A">
            <w:pPr>
              <w:pStyle w:val="45"/>
              <w:kinsoku w:val="0"/>
              <w:overflowPunct w:val="0"/>
              <w:spacing w:before="0" w:beforeAutospacing="0" w:line="360" w:lineRule="exact"/>
              <w:ind w:firstLine="0" w:firstLineChars="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lang w:val="en-US" w:eastAsia="zh-CN"/>
                <w14:textFill>
                  <w14:solidFill>
                    <w14:schemeClr w14:val="tx1"/>
                  </w14:solidFill>
                </w14:textFill>
              </w:rPr>
              <w:t>MQCY2700×2700</w:t>
            </w:r>
          </w:p>
        </w:tc>
        <w:tc>
          <w:tcPr>
            <w:tcW w:w="665" w:type="pct"/>
            <w:tcBorders>
              <w:tl2br w:val="nil"/>
              <w:tr2bl w:val="nil"/>
            </w:tcBorders>
            <w:vAlign w:val="center"/>
          </w:tcPr>
          <w:p w14:paraId="4D2BFE55">
            <w:pPr>
              <w:pStyle w:val="45"/>
              <w:kinsoku w:val="0"/>
              <w:overflowPunct w:val="0"/>
              <w:spacing w:before="0" w:beforeAutospacing="0" w:line="360" w:lineRule="exact"/>
              <w:ind w:firstLine="0" w:firstLineChars="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1</w:t>
            </w:r>
            <w:r>
              <w:rPr>
                <w:rFonts w:hint="eastAsia"/>
                <w:color w:val="000000" w:themeColor="text1"/>
                <w:kern w:val="2"/>
                <w:sz w:val="21"/>
                <w:szCs w:val="21"/>
                <w:highlight w:val="none"/>
                <w14:textFill>
                  <w14:solidFill>
                    <w14:schemeClr w14:val="tx1"/>
                  </w14:solidFill>
                </w14:textFill>
              </w:rPr>
              <w:t>台</w:t>
            </w:r>
          </w:p>
        </w:tc>
      </w:tr>
      <w:tr w14:paraId="62B273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41EE2E5E">
            <w:pPr>
              <w:widowControl/>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1403" w:type="pct"/>
            <w:tcBorders>
              <w:tl2br w:val="nil"/>
              <w:tr2bl w:val="nil"/>
            </w:tcBorders>
            <w:vAlign w:val="center"/>
          </w:tcPr>
          <w:p w14:paraId="783315FA">
            <w:pPr>
              <w:widowControl/>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湿式格子型球磨机</w:t>
            </w:r>
          </w:p>
        </w:tc>
        <w:tc>
          <w:tcPr>
            <w:tcW w:w="2633" w:type="pct"/>
            <w:tcBorders>
              <w:tl2br w:val="nil"/>
              <w:tr2bl w:val="nil"/>
            </w:tcBorders>
            <w:vAlign w:val="center"/>
          </w:tcPr>
          <w:p w14:paraId="63B6C18B">
            <w:pPr>
              <w:pStyle w:val="45"/>
              <w:kinsoku w:val="0"/>
              <w:overflowPunct w:val="0"/>
              <w:spacing w:before="0" w:beforeAutospacing="0" w:line="360" w:lineRule="exact"/>
              <w:ind w:firstLine="0" w:firstLineChars="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lang w:val="en-US" w:eastAsia="zh-CN"/>
                <w14:textFill>
                  <w14:solidFill>
                    <w14:schemeClr w14:val="tx1"/>
                  </w14:solidFill>
                </w14:textFill>
              </w:rPr>
              <w:t>MQCG2100×2100</w:t>
            </w:r>
          </w:p>
        </w:tc>
        <w:tc>
          <w:tcPr>
            <w:tcW w:w="665" w:type="pct"/>
            <w:tcBorders>
              <w:tl2br w:val="nil"/>
              <w:tr2bl w:val="nil"/>
            </w:tcBorders>
            <w:vAlign w:val="center"/>
          </w:tcPr>
          <w:p w14:paraId="15B452B6">
            <w:pPr>
              <w:pStyle w:val="45"/>
              <w:kinsoku w:val="0"/>
              <w:overflowPunct w:val="0"/>
              <w:spacing w:before="0" w:beforeAutospacing="0" w:line="360" w:lineRule="exact"/>
              <w:ind w:firstLine="0" w:firstLineChars="0"/>
              <w:jc w:val="center"/>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1</w:t>
            </w:r>
            <w:r>
              <w:rPr>
                <w:rFonts w:hint="eastAsia"/>
                <w:color w:val="000000" w:themeColor="text1"/>
                <w:kern w:val="2"/>
                <w:sz w:val="21"/>
                <w:szCs w:val="21"/>
                <w:highlight w:val="none"/>
                <w14:textFill>
                  <w14:solidFill>
                    <w14:schemeClr w14:val="tx1"/>
                  </w14:solidFill>
                </w14:textFill>
              </w:rPr>
              <w:t>台</w:t>
            </w:r>
          </w:p>
        </w:tc>
      </w:tr>
      <w:tr w14:paraId="2AC3A1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685D9B4F">
            <w:pPr>
              <w:widowControl/>
              <w:spacing w:line="360" w:lineRule="exact"/>
              <w:ind w:firstLine="0" w:firstLineChars="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1403" w:type="pct"/>
            <w:tcBorders>
              <w:tl2br w:val="nil"/>
              <w:tr2bl w:val="nil"/>
            </w:tcBorders>
            <w:vAlign w:val="center"/>
          </w:tcPr>
          <w:p w14:paraId="3C6B3DA4">
            <w:pPr>
              <w:widowControl/>
              <w:spacing w:line="360" w:lineRule="exact"/>
              <w:ind w:firstLine="0" w:firstLineChars="0"/>
              <w:jc w:val="center"/>
              <w:textAlignment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湿式溢流型球磨机</w:t>
            </w:r>
          </w:p>
        </w:tc>
        <w:tc>
          <w:tcPr>
            <w:tcW w:w="2633" w:type="pct"/>
            <w:tcBorders>
              <w:tl2br w:val="nil"/>
              <w:tr2bl w:val="nil"/>
            </w:tcBorders>
            <w:vAlign w:val="center"/>
          </w:tcPr>
          <w:p w14:paraId="23BCEA30">
            <w:pPr>
              <w:pStyle w:val="45"/>
              <w:kinsoku w:val="0"/>
              <w:overflowPunct w:val="0"/>
              <w:spacing w:before="0" w:beforeAutospacing="0" w:line="360" w:lineRule="exact"/>
              <w:ind w:firstLine="0" w:firstLineChars="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lang w:val="en-US" w:eastAsia="zh-CN"/>
                <w14:textFill>
                  <w14:solidFill>
                    <w14:schemeClr w14:val="tx1"/>
                  </w14:solidFill>
                </w14:textFill>
              </w:rPr>
              <w:t>MQCY2100×2100</w:t>
            </w:r>
          </w:p>
        </w:tc>
        <w:tc>
          <w:tcPr>
            <w:tcW w:w="665" w:type="pct"/>
            <w:tcBorders>
              <w:tl2br w:val="nil"/>
              <w:tr2bl w:val="nil"/>
            </w:tcBorders>
            <w:vAlign w:val="center"/>
          </w:tcPr>
          <w:p w14:paraId="7A97B861">
            <w:pPr>
              <w:pStyle w:val="45"/>
              <w:kinsoku w:val="0"/>
              <w:overflowPunct w:val="0"/>
              <w:spacing w:before="0" w:beforeAutospacing="0" w:line="360" w:lineRule="exact"/>
              <w:ind w:firstLine="0" w:firstLineChars="0"/>
              <w:jc w:val="center"/>
              <w:rPr>
                <w:rFonts w:hint="eastAsia" w:eastAsia="宋体"/>
                <w:color w:val="000000" w:themeColor="text1"/>
                <w:kern w:val="2"/>
                <w:sz w:val="21"/>
                <w:szCs w:val="21"/>
                <w:highlight w:val="none"/>
                <w:lang w:val="en-US" w:eastAsia="zh-CN"/>
                <w14:textFill>
                  <w14:solidFill>
                    <w14:schemeClr w14:val="tx1"/>
                  </w14:solidFill>
                </w14:textFill>
              </w:rPr>
            </w:pPr>
            <w:r>
              <w:rPr>
                <w:rFonts w:hint="eastAsia"/>
                <w:color w:val="000000" w:themeColor="text1"/>
                <w:kern w:val="2"/>
                <w:sz w:val="21"/>
                <w:szCs w:val="21"/>
                <w:highlight w:val="none"/>
                <w:lang w:val="en-US" w:eastAsia="zh-CN"/>
                <w14:textFill>
                  <w14:solidFill>
                    <w14:schemeClr w14:val="tx1"/>
                  </w14:solidFill>
                </w14:textFill>
              </w:rPr>
              <w:t>1台</w:t>
            </w:r>
          </w:p>
        </w:tc>
      </w:tr>
      <w:tr w14:paraId="447482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06781CB0">
            <w:pPr>
              <w:widowControl/>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p>
        </w:tc>
        <w:tc>
          <w:tcPr>
            <w:tcW w:w="4701" w:type="pct"/>
            <w:gridSpan w:val="3"/>
            <w:tcBorders>
              <w:tl2br w:val="nil"/>
              <w:tr2bl w:val="nil"/>
            </w:tcBorders>
            <w:vAlign w:val="center"/>
          </w:tcPr>
          <w:p w14:paraId="76AA93C8">
            <w:pPr>
              <w:pStyle w:val="45"/>
              <w:kinsoku w:val="0"/>
              <w:overflowPunct w:val="0"/>
              <w:spacing w:before="0" w:beforeAutospacing="0" w:line="360" w:lineRule="exact"/>
              <w:ind w:firstLine="0" w:firstLineChars="0"/>
              <w:jc w:val="center"/>
              <w:rPr>
                <w:color w:val="000000" w:themeColor="text1"/>
                <w:kern w:val="2"/>
                <w:sz w:val="21"/>
                <w:szCs w:val="21"/>
                <w:highlight w:val="none"/>
                <w14:textFill>
                  <w14:solidFill>
                    <w14:schemeClr w14:val="tx1"/>
                  </w14:solidFill>
                </w14:textFill>
              </w:rPr>
            </w:pPr>
            <w:r>
              <w:rPr>
                <w:rFonts w:hint="eastAsia"/>
                <w:color w:val="000000" w:themeColor="text1"/>
                <w:kern w:val="2"/>
                <w:sz w:val="21"/>
                <w:szCs w:val="21"/>
                <w:highlight w:val="none"/>
                <w:lang w:eastAsia="zh-CN"/>
                <w14:textFill>
                  <w14:solidFill>
                    <w14:schemeClr w14:val="tx1"/>
                  </w14:solidFill>
                </w14:textFill>
              </w:rPr>
              <w:t>分级</w:t>
            </w:r>
            <w:r>
              <w:rPr>
                <w:rFonts w:hint="eastAsia"/>
                <w:color w:val="000000" w:themeColor="text1"/>
                <w:kern w:val="2"/>
                <w:sz w:val="21"/>
                <w:szCs w:val="21"/>
                <w:highlight w:val="none"/>
                <w14:textFill>
                  <w14:solidFill>
                    <w14:schemeClr w14:val="tx1"/>
                  </w14:solidFill>
                </w14:textFill>
              </w:rPr>
              <w:t>设备</w:t>
            </w:r>
          </w:p>
        </w:tc>
      </w:tr>
      <w:tr w14:paraId="640533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04E97129">
            <w:pPr>
              <w:widowControl/>
              <w:spacing w:line="360" w:lineRule="exact"/>
              <w:ind w:firstLine="0" w:firstLineChars="0"/>
              <w:jc w:val="center"/>
              <w:textAlignment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1403" w:type="pct"/>
            <w:tcBorders>
              <w:tl2br w:val="nil"/>
              <w:tr2bl w:val="nil"/>
            </w:tcBorders>
            <w:vAlign w:val="center"/>
          </w:tcPr>
          <w:p w14:paraId="76D16588">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单螺旋分级机</w:t>
            </w:r>
          </w:p>
        </w:tc>
        <w:tc>
          <w:tcPr>
            <w:tcW w:w="2633" w:type="pct"/>
            <w:tcBorders>
              <w:tl2br w:val="nil"/>
              <w:tr2bl w:val="nil"/>
            </w:tcBorders>
            <w:vAlign w:val="center"/>
          </w:tcPr>
          <w:p w14:paraId="1485AFC7">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FG-24</w:t>
            </w:r>
          </w:p>
        </w:tc>
        <w:tc>
          <w:tcPr>
            <w:tcW w:w="665" w:type="pct"/>
            <w:tcBorders>
              <w:tl2br w:val="nil"/>
              <w:tr2bl w:val="nil"/>
            </w:tcBorders>
            <w:vAlign w:val="center"/>
          </w:tcPr>
          <w:p w14:paraId="18B657EC">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1</w:t>
            </w:r>
            <w:r>
              <w:rPr>
                <w:rFonts w:hint="eastAsia"/>
                <w:color w:val="000000" w:themeColor="text1"/>
                <w:kern w:val="2"/>
                <w:sz w:val="21"/>
                <w:szCs w:val="21"/>
                <w:highlight w:val="none"/>
                <w14:textFill>
                  <w14:solidFill>
                    <w14:schemeClr w14:val="tx1"/>
                  </w14:solidFill>
                </w14:textFill>
              </w:rPr>
              <w:t>台</w:t>
            </w:r>
          </w:p>
        </w:tc>
      </w:tr>
      <w:tr w14:paraId="395919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6EEC5CB8">
            <w:pPr>
              <w:widowControl/>
              <w:spacing w:line="360" w:lineRule="exact"/>
              <w:ind w:firstLine="0" w:firstLineChars="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1403" w:type="pct"/>
            <w:tcBorders>
              <w:tl2br w:val="nil"/>
              <w:tr2bl w:val="nil"/>
            </w:tcBorders>
            <w:vAlign w:val="center"/>
          </w:tcPr>
          <w:p w14:paraId="72FDC153">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单螺旋分级机</w:t>
            </w:r>
          </w:p>
        </w:tc>
        <w:tc>
          <w:tcPr>
            <w:tcW w:w="2633" w:type="pct"/>
            <w:tcBorders>
              <w:tl2br w:val="nil"/>
              <w:tr2bl w:val="nil"/>
            </w:tcBorders>
            <w:vAlign w:val="center"/>
          </w:tcPr>
          <w:p w14:paraId="5EDA6A27">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FG-20</w:t>
            </w:r>
          </w:p>
        </w:tc>
        <w:tc>
          <w:tcPr>
            <w:tcW w:w="665" w:type="pct"/>
            <w:tcBorders>
              <w:tl2br w:val="nil"/>
              <w:tr2bl w:val="nil"/>
            </w:tcBorders>
            <w:vAlign w:val="center"/>
          </w:tcPr>
          <w:p w14:paraId="16721A31">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1</w:t>
            </w:r>
            <w:r>
              <w:rPr>
                <w:rFonts w:hint="eastAsia"/>
                <w:color w:val="000000" w:themeColor="text1"/>
                <w:kern w:val="2"/>
                <w:sz w:val="21"/>
                <w:szCs w:val="21"/>
                <w:highlight w:val="none"/>
                <w14:textFill>
                  <w14:solidFill>
                    <w14:schemeClr w14:val="tx1"/>
                  </w14:solidFill>
                </w14:textFill>
              </w:rPr>
              <w:t>台</w:t>
            </w:r>
          </w:p>
        </w:tc>
      </w:tr>
      <w:tr w14:paraId="3C46B9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430F550F">
            <w:pPr>
              <w:widowControl/>
              <w:spacing w:line="360" w:lineRule="exact"/>
              <w:ind w:firstLine="0" w:firstLineChars="0"/>
              <w:jc w:val="center"/>
              <w:textAlignment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三</w:t>
            </w:r>
          </w:p>
        </w:tc>
        <w:tc>
          <w:tcPr>
            <w:tcW w:w="4701" w:type="pct"/>
            <w:gridSpan w:val="3"/>
            <w:tcBorders>
              <w:tl2br w:val="nil"/>
              <w:tr2bl w:val="nil"/>
            </w:tcBorders>
            <w:vAlign w:val="center"/>
          </w:tcPr>
          <w:p w14:paraId="2BF0356C">
            <w:pPr>
              <w:pStyle w:val="45"/>
              <w:kinsoku w:val="0"/>
              <w:overflowPunct w:val="0"/>
              <w:spacing w:before="0" w:beforeAutospacing="0" w:line="360" w:lineRule="exact"/>
              <w:ind w:firstLine="0" w:firstLineChars="0"/>
              <w:jc w:val="center"/>
              <w:rPr>
                <w:color w:val="000000" w:themeColor="text1"/>
                <w:sz w:val="21"/>
                <w:szCs w:val="24"/>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磁选设备</w:t>
            </w:r>
          </w:p>
        </w:tc>
      </w:tr>
      <w:tr w14:paraId="1F9091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3E8F68EE">
            <w:pPr>
              <w:pStyle w:val="45"/>
              <w:kinsoku w:val="0"/>
              <w:overflowPunct w:val="0"/>
              <w:spacing w:before="0" w:beforeAutospacing="0" w:line="360" w:lineRule="exact"/>
              <w:ind w:firstLine="0" w:firstLineChars="0"/>
              <w:jc w:val="center"/>
              <w:rPr>
                <w:rFonts w:hint="default"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7</w:t>
            </w:r>
          </w:p>
        </w:tc>
        <w:tc>
          <w:tcPr>
            <w:tcW w:w="1403" w:type="pct"/>
            <w:tcBorders>
              <w:tl2br w:val="nil"/>
              <w:tr2bl w:val="nil"/>
            </w:tcBorders>
            <w:vAlign w:val="top"/>
          </w:tcPr>
          <w:p w14:paraId="2BE9D7AD">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浓缩磁选机</w:t>
            </w:r>
          </w:p>
        </w:tc>
        <w:tc>
          <w:tcPr>
            <w:tcW w:w="2633" w:type="pct"/>
            <w:tcBorders>
              <w:tl2br w:val="nil"/>
              <w:tr2bl w:val="nil"/>
            </w:tcBorders>
            <w:vAlign w:val="top"/>
          </w:tcPr>
          <w:p w14:paraId="114D9D80">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NCT-1230</w:t>
            </w:r>
          </w:p>
        </w:tc>
        <w:tc>
          <w:tcPr>
            <w:tcW w:w="665" w:type="pct"/>
            <w:tcBorders>
              <w:tl2br w:val="nil"/>
              <w:tr2bl w:val="nil"/>
            </w:tcBorders>
            <w:vAlign w:val="center"/>
          </w:tcPr>
          <w:p w14:paraId="1406C7A6">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rFonts w:cs="Calibri"/>
                <w:color w:val="000000" w:themeColor="text1"/>
                <w:sz w:val="21"/>
                <w:szCs w:val="24"/>
                <w:highlight w:val="none"/>
                <w14:textFill>
                  <w14:solidFill>
                    <w14:schemeClr w14:val="tx1"/>
                  </w14:solidFill>
                </w14:textFill>
              </w:rPr>
              <w:t>2</w:t>
            </w:r>
            <w:r>
              <w:rPr>
                <w:rFonts w:hint="eastAsia" w:cs="Calibri"/>
                <w:color w:val="000000" w:themeColor="text1"/>
                <w:sz w:val="21"/>
                <w:szCs w:val="24"/>
                <w:highlight w:val="none"/>
                <w14:textFill>
                  <w14:solidFill>
                    <w14:schemeClr w14:val="tx1"/>
                  </w14:solidFill>
                </w14:textFill>
              </w:rPr>
              <w:t>台</w:t>
            </w:r>
          </w:p>
        </w:tc>
      </w:tr>
      <w:tr w14:paraId="5F8FFE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01062548">
            <w:pPr>
              <w:pStyle w:val="45"/>
              <w:kinsoku w:val="0"/>
              <w:overflowPunct w:val="0"/>
              <w:spacing w:before="0" w:beforeAutospacing="0" w:line="360" w:lineRule="exact"/>
              <w:ind w:firstLine="0" w:firstLineChars="0"/>
              <w:jc w:val="center"/>
              <w:rPr>
                <w:rFonts w:hint="default"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8</w:t>
            </w:r>
          </w:p>
        </w:tc>
        <w:tc>
          <w:tcPr>
            <w:tcW w:w="1403" w:type="pct"/>
            <w:tcBorders>
              <w:tl2br w:val="nil"/>
              <w:tr2bl w:val="nil"/>
            </w:tcBorders>
            <w:vAlign w:val="top"/>
          </w:tcPr>
          <w:p w14:paraId="2BB5B78D">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湿式半逆流磁选机</w:t>
            </w:r>
          </w:p>
        </w:tc>
        <w:tc>
          <w:tcPr>
            <w:tcW w:w="2633" w:type="pct"/>
            <w:tcBorders>
              <w:tl2br w:val="nil"/>
              <w:tr2bl w:val="nil"/>
            </w:tcBorders>
            <w:vAlign w:val="top"/>
          </w:tcPr>
          <w:p w14:paraId="7005F482">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CTB-1024</w:t>
            </w:r>
          </w:p>
        </w:tc>
        <w:tc>
          <w:tcPr>
            <w:tcW w:w="665" w:type="pct"/>
            <w:tcBorders>
              <w:tl2br w:val="nil"/>
              <w:tr2bl w:val="nil"/>
            </w:tcBorders>
            <w:vAlign w:val="center"/>
          </w:tcPr>
          <w:p w14:paraId="79D909BF">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rFonts w:cs="Calibri"/>
                <w:color w:val="000000" w:themeColor="text1"/>
                <w:sz w:val="21"/>
                <w:szCs w:val="24"/>
                <w:highlight w:val="none"/>
                <w14:textFill>
                  <w14:solidFill>
                    <w14:schemeClr w14:val="tx1"/>
                  </w14:solidFill>
                </w14:textFill>
              </w:rPr>
              <w:t>2</w:t>
            </w:r>
            <w:r>
              <w:rPr>
                <w:rFonts w:hint="eastAsia" w:cs="Calibri"/>
                <w:color w:val="000000" w:themeColor="text1"/>
                <w:sz w:val="21"/>
                <w:szCs w:val="24"/>
                <w:highlight w:val="none"/>
                <w14:textFill>
                  <w14:solidFill>
                    <w14:schemeClr w14:val="tx1"/>
                  </w14:solidFill>
                </w14:textFill>
              </w:rPr>
              <w:t>台</w:t>
            </w:r>
          </w:p>
        </w:tc>
      </w:tr>
      <w:tr w14:paraId="238563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22C6C9D1">
            <w:pPr>
              <w:pStyle w:val="45"/>
              <w:kinsoku w:val="0"/>
              <w:overflowPunct w:val="0"/>
              <w:spacing w:before="0" w:beforeAutospacing="0" w:line="360" w:lineRule="exact"/>
              <w:ind w:firstLine="0" w:firstLineChars="0"/>
              <w:jc w:val="center"/>
              <w:rPr>
                <w:rFonts w:hint="default"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9</w:t>
            </w:r>
          </w:p>
        </w:tc>
        <w:tc>
          <w:tcPr>
            <w:tcW w:w="1403" w:type="pct"/>
            <w:tcBorders>
              <w:tl2br w:val="nil"/>
              <w:tr2bl w:val="nil"/>
            </w:tcBorders>
            <w:vAlign w:val="top"/>
          </w:tcPr>
          <w:p w14:paraId="5EF68BBB">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湿式半逆流磁选机</w:t>
            </w:r>
          </w:p>
        </w:tc>
        <w:tc>
          <w:tcPr>
            <w:tcW w:w="2633" w:type="pct"/>
            <w:tcBorders>
              <w:tl2br w:val="nil"/>
              <w:tr2bl w:val="nil"/>
            </w:tcBorders>
            <w:vAlign w:val="top"/>
          </w:tcPr>
          <w:p w14:paraId="212CEEBF">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CTB-1230</w:t>
            </w:r>
          </w:p>
        </w:tc>
        <w:tc>
          <w:tcPr>
            <w:tcW w:w="665" w:type="pct"/>
            <w:tcBorders>
              <w:tl2br w:val="nil"/>
              <w:tr2bl w:val="nil"/>
            </w:tcBorders>
            <w:vAlign w:val="center"/>
          </w:tcPr>
          <w:p w14:paraId="0E66A8DD">
            <w:pPr>
              <w:kinsoku w:val="0"/>
              <w:overflowPunct w:val="0"/>
              <w:spacing w:before="0" w:beforeAutospacing="0" w:line="360" w:lineRule="exact"/>
              <w:ind w:left="0" w:leftChars="0" w:firstLine="0" w:firstLineChars="0"/>
              <w:jc w:val="center"/>
              <w:rPr>
                <w:rFonts w:cs="Calibri"/>
                <w:color w:val="000000" w:themeColor="text1"/>
                <w:sz w:val="21"/>
                <w:szCs w:val="24"/>
                <w:highlight w:val="none"/>
                <w14:textFill>
                  <w14:solidFill>
                    <w14:schemeClr w14:val="tx1"/>
                  </w14:solidFill>
                </w14:textFill>
              </w:rPr>
            </w:pPr>
            <w:r>
              <w:rPr>
                <w:rFonts w:cs="Calibri"/>
                <w:color w:val="000000" w:themeColor="text1"/>
                <w:sz w:val="21"/>
                <w:szCs w:val="24"/>
                <w:highlight w:val="none"/>
                <w14:textFill>
                  <w14:solidFill>
                    <w14:schemeClr w14:val="tx1"/>
                  </w14:solidFill>
                </w14:textFill>
              </w:rPr>
              <w:t>2</w:t>
            </w:r>
            <w:r>
              <w:rPr>
                <w:rFonts w:hint="eastAsia" w:cs="Calibri"/>
                <w:color w:val="000000" w:themeColor="text1"/>
                <w:sz w:val="21"/>
                <w:szCs w:val="24"/>
                <w:highlight w:val="none"/>
                <w14:textFill>
                  <w14:solidFill>
                    <w14:schemeClr w14:val="tx1"/>
                  </w14:solidFill>
                </w14:textFill>
              </w:rPr>
              <w:t>台</w:t>
            </w:r>
          </w:p>
        </w:tc>
      </w:tr>
      <w:tr w14:paraId="2C313C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45C5A1BD">
            <w:pPr>
              <w:pStyle w:val="45"/>
              <w:kinsoku w:val="0"/>
              <w:overflowPunct w:val="0"/>
              <w:spacing w:before="0" w:beforeAutospacing="0" w:line="360" w:lineRule="exact"/>
              <w:ind w:firstLine="0" w:firstLineChars="0"/>
              <w:jc w:val="center"/>
              <w:rPr>
                <w:rFonts w:hint="default"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10</w:t>
            </w:r>
          </w:p>
        </w:tc>
        <w:tc>
          <w:tcPr>
            <w:tcW w:w="1403" w:type="pct"/>
            <w:tcBorders>
              <w:tl2br w:val="nil"/>
              <w:tr2bl w:val="nil"/>
            </w:tcBorders>
            <w:vAlign w:val="top"/>
          </w:tcPr>
          <w:p w14:paraId="670720DA">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湿式半逆流磁选机</w:t>
            </w:r>
          </w:p>
        </w:tc>
        <w:tc>
          <w:tcPr>
            <w:tcW w:w="2633" w:type="pct"/>
            <w:tcBorders>
              <w:tl2br w:val="nil"/>
              <w:tr2bl w:val="nil"/>
            </w:tcBorders>
            <w:vAlign w:val="top"/>
          </w:tcPr>
          <w:p w14:paraId="00D5BEB8">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CTB-1230</w:t>
            </w:r>
          </w:p>
        </w:tc>
        <w:tc>
          <w:tcPr>
            <w:tcW w:w="665" w:type="pct"/>
            <w:tcBorders>
              <w:tl2br w:val="nil"/>
              <w:tr2bl w:val="nil"/>
            </w:tcBorders>
            <w:vAlign w:val="center"/>
          </w:tcPr>
          <w:p w14:paraId="7B2F380B">
            <w:pPr>
              <w:kinsoku w:val="0"/>
              <w:overflowPunct w:val="0"/>
              <w:spacing w:before="0" w:beforeAutospacing="0" w:line="360" w:lineRule="exact"/>
              <w:ind w:left="0" w:leftChars="0" w:firstLine="0" w:firstLineChars="0"/>
              <w:jc w:val="center"/>
              <w:rPr>
                <w:rFonts w:cs="Calibri"/>
                <w:color w:val="000000" w:themeColor="text1"/>
                <w:sz w:val="21"/>
                <w:szCs w:val="24"/>
                <w:highlight w:val="none"/>
                <w14:textFill>
                  <w14:solidFill>
                    <w14:schemeClr w14:val="tx1"/>
                  </w14:solidFill>
                </w14:textFill>
              </w:rPr>
            </w:pPr>
            <w:r>
              <w:rPr>
                <w:rFonts w:cs="Calibri"/>
                <w:color w:val="000000" w:themeColor="text1"/>
                <w:sz w:val="21"/>
                <w:szCs w:val="24"/>
                <w:highlight w:val="none"/>
                <w14:textFill>
                  <w14:solidFill>
                    <w14:schemeClr w14:val="tx1"/>
                  </w14:solidFill>
                </w14:textFill>
              </w:rPr>
              <w:t>2</w:t>
            </w:r>
            <w:r>
              <w:rPr>
                <w:rFonts w:hint="eastAsia" w:cs="Calibri"/>
                <w:color w:val="000000" w:themeColor="text1"/>
                <w:sz w:val="21"/>
                <w:szCs w:val="24"/>
                <w:highlight w:val="none"/>
                <w14:textFill>
                  <w14:solidFill>
                    <w14:schemeClr w14:val="tx1"/>
                  </w14:solidFill>
                </w14:textFill>
              </w:rPr>
              <w:t>台</w:t>
            </w:r>
          </w:p>
        </w:tc>
      </w:tr>
      <w:tr w14:paraId="0DA30F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7934723D">
            <w:pPr>
              <w:pStyle w:val="45"/>
              <w:kinsoku w:val="0"/>
              <w:overflowPunct w:val="0"/>
              <w:spacing w:before="0" w:beforeAutospacing="0" w:line="360" w:lineRule="exact"/>
              <w:ind w:firstLine="0" w:firstLineChars="0"/>
              <w:jc w:val="center"/>
              <w:rPr>
                <w:rFonts w:hint="default"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11</w:t>
            </w:r>
          </w:p>
        </w:tc>
        <w:tc>
          <w:tcPr>
            <w:tcW w:w="1403" w:type="pct"/>
            <w:tcBorders>
              <w:tl2br w:val="nil"/>
              <w:tr2bl w:val="nil"/>
            </w:tcBorders>
            <w:vAlign w:val="top"/>
          </w:tcPr>
          <w:p w14:paraId="35C8C107">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湿式半逆流磁选机</w:t>
            </w:r>
          </w:p>
        </w:tc>
        <w:tc>
          <w:tcPr>
            <w:tcW w:w="2633" w:type="pct"/>
            <w:tcBorders>
              <w:tl2br w:val="nil"/>
              <w:tr2bl w:val="nil"/>
            </w:tcBorders>
            <w:vAlign w:val="center"/>
          </w:tcPr>
          <w:p w14:paraId="06874442">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CTB-1016</w:t>
            </w:r>
          </w:p>
        </w:tc>
        <w:tc>
          <w:tcPr>
            <w:tcW w:w="665" w:type="pct"/>
            <w:tcBorders>
              <w:tl2br w:val="nil"/>
              <w:tr2bl w:val="nil"/>
            </w:tcBorders>
            <w:vAlign w:val="center"/>
          </w:tcPr>
          <w:p w14:paraId="2DECC2CC">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rFonts w:cs="Calibri"/>
                <w:color w:val="000000" w:themeColor="text1"/>
                <w:sz w:val="21"/>
                <w:szCs w:val="24"/>
                <w:highlight w:val="none"/>
                <w14:textFill>
                  <w14:solidFill>
                    <w14:schemeClr w14:val="tx1"/>
                  </w14:solidFill>
                </w14:textFill>
              </w:rPr>
              <w:t>2</w:t>
            </w:r>
            <w:r>
              <w:rPr>
                <w:rFonts w:hint="eastAsia" w:cs="Calibri"/>
                <w:color w:val="000000" w:themeColor="text1"/>
                <w:sz w:val="21"/>
                <w:szCs w:val="24"/>
                <w:highlight w:val="none"/>
                <w14:textFill>
                  <w14:solidFill>
                    <w14:schemeClr w14:val="tx1"/>
                  </w14:solidFill>
                </w14:textFill>
              </w:rPr>
              <w:t>台</w:t>
            </w:r>
          </w:p>
        </w:tc>
      </w:tr>
      <w:tr w14:paraId="6FB569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005AFD07">
            <w:pPr>
              <w:pStyle w:val="45"/>
              <w:kinsoku w:val="0"/>
              <w:overflowPunct w:val="0"/>
              <w:spacing w:before="0" w:beforeAutospacing="0" w:line="360" w:lineRule="exact"/>
              <w:ind w:firstLine="0" w:firstLineChars="0"/>
              <w:jc w:val="center"/>
              <w:rPr>
                <w:rFonts w:hint="default"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12</w:t>
            </w:r>
          </w:p>
        </w:tc>
        <w:tc>
          <w:tcPr>
            <w:tcW w:w="1403" w:type="pct"/>
            <w:tcBorders>
              <w:tl2br w:val="nil"/>
              <w:tr2bl w:val="nil"/>
            </w:tcBorders>
            <w:vAlign w:val="top"/>
          </w:tcPr>
          <w:p w14:paraId="343F0036">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渣浆泵</w:t>
            </w:r>
          </w:p>
        </w:tc>
        <w:tc>
          <w:tcPr>
            <w:tcW w:w="2633" w:type="pct"/>
            <w:tcBorders>
              <w:tl2br w:val="nil"/>
              <w:tr2bl w:val="nil"/>
            </w:tcBorders>
            <w:vAlign w:val="center"/>
          </w:tcPr>
          <w:p w14:paraId="4AEE77E7">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w:t>
            </w:r>
          </w:p>
        </w:tc>
        <w:tc>
          <w:tcPr>
            <w:tcW w:w="665" w:type="pct"/>
            <w:tcBorders>
              <w:tl2br w:val="nil"/>
              <w:tr2bl w:val="nil"/>
            </w:tcBorders>
            <w:vAlign w:val="center"/>
          </w:tcPr>
          <w:p w14:paraId="5BF87AA2">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rFonts w:cs="Calibri"/>
                <w:color w:val="000000" w:themeColor="text1"/>
                <w:sz w:val="21"/>
                <w:szCs w:val="24"/>
                <w:highlight w:val="none"/>
                <w14:textFill>
                  <w14:solidFill>
                    <w14:schemeClr w14:val="tx1"/>
                  </w14:solidFill>
                </w14:textFill>
              </w:rPr>
              <w:t>2</w:t>
            </w:r>
            <w:r>
              <w:rPr>
                <w:rFonts w:hint="eastAsia" w:cs="Calibri"/>
                <w:color w:val="000000" w:themeColor="text1"/>
                <w:sz w:val="21"/>
                <w:szCs w:val="24"/>
                <w:highlight w:val="none"/>
                <w14:textFill>
                  <w14:solidFill>
                    <w14:schemeClr w14:val="tx1"/>
                  </w14:solidFill>
                </w14:textFill>
              </w:rPr>
              <w:t>台</w:t>
            </w:r>
          </w:p>
        </w:tc>
      </w:tr>
      <w:tr w14:paraId="7AF772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415FF55B">
            <w:pPr>
              <w:pStyle w:val="45"/>
              <w:kinsoku w:val="0"/>
              <w:overflowPunct w:val="0"/>
              <w:spacing w:before="0" w:beforeAutospacing="0" w:line="360" w:lineRule="exact"/>
              <w:ind w:firstLine="0" w:firstLineChars="0"/>
              <w:jc w:val="center"/>
              <w:rPr>
                <w:rFonts w:hint="default"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13</w:t>
            </w:r>
          </w:p>
        </w:tc>
        <w:tc>
          <w:tcPr>
            <w:tcW w:w="1403" w:type="pct"/>
            <w:tcBorders>
              <w:tl2br w:val="nil"/>
              <w:tr2bl w:val="nil"/>
            </w:tcBorders>
            <w:vAlign w:val="top"/>
          </w:tcPr>
          <w:p w14:paraId="0755AB20">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渣浆泵</w:t>
            </w:r>
          </w:p>
        </w:tc>
        <w:tc>
          <w:tcPr>
            <w:tcW w:w="2633" w:type="pct"/>
            <w:tcBorders>
              <w:tl2br w:val="nil"/>
              <w:tr2bl w:val="nil"/>
            </w:tcBorders>
            <w:vAlign w:val="center"/>
          </w:tcPr>
          <w:p w14:paraId="7941D20B">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w:t>
            </w:r>
          </w:p>
        </w:tc>
        <w:tc>
          <w:tcPr>
            <w:tcW w:w="665" w:type="pct"/>
            <w:tcBorders>
              <w:tl2br w:val="nil"/>
              <w:tr2bl w:val="nil"/>
            </w:tcBorders>
            <w:vAlign w:val="center"/>
          </w:tcPr>
          <w:p w14:paraId="2EFBB1A7">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rFonts w:cs="Calibri"/>
                <w:color w:val="000000" w:themeColor="text1"/>
                <w:sz w:val="21"/>
                <w:szCs w:val="24"/>
                <w:highlight w:val="none"/>
                <w14:textFill>
                  <w14:solidFill>
                    <w14:schemeClr w14:val="tx1"/>
                  </w14:solidFill>
                </w14:textFill>
              </w:rPr>
              <w:t>2</w:t>
            </w:r>
            <w:r>
              <w:rPr>
                <w:rFonts w:hint="eastAsia" w:cs="Calibri"/>
                <w:color w:val="000000" w:themeColor="text1"/>
                <w:sz w:val="21"/>
                <w:szCs w:val="24"/>
                <w:highlight w:val="none"/>
                <w14:textFill>
                  <w14:solidFill>
                    <w14:schemeClr w14:val="tx1"/>
                  </w14:solidFill>
                </w14:textFill>
              </w:rPr>
              <w:t>台</w:t>
            </w:r>
          </w:p>
        </w:tc>
      </w:tr>
      <w:tr w14:paraId="7119B1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19B80BFA">
            <w:pPr>
              <w:widowControl/>
              <w:spacing w:line="360" w:lineRule="exact"/>
              <w:ind w:firstLine="0" w:firstLineChars="0"/>
              <w:jc w:val="center"/>
              <w:textAlignment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四</w:t>
            </w:r>
          </w:p>
        </w:tc>
        <w:tc>
          <w:tcPr>
            <w:tcW w:w="4701" w:type="pct"/>
            <w:gridSpan w:val="3"/>
            <w:tcBorders>
              <w:tl2br w:val="nil"/>
              <w:tr2bl w:val="nil"/>
            </w:tcBorders>
            <w:vAlign w:val="center"/>
          </w:tcPr>
          <w:p w14:paraId="74D65C20">
            <w:pPr>
              <w:widowControl/>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其他设备</w:t>
            </w:r>
          </w:p>
        </w:tc>
      </w:tr>
      <w:tr w14:paraId="0B91EF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1D56640C">
            <w:pPr>
              <w:widowControl/>
              <w:spacing w:line="360" w:lineRule="exact"/>
              <w:ind w:firstLine="0" w:firstLineChars="0"/>
              <w:jc w:val="center"/>
              <w:textAlignment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4</w:t>
            </w:r>
          </w:p>
        </w:tc>
        <w:tc>
          <w:tcPr>
            <w:tcW w:w="1403" w:type="pct"/>
            <w:tcBorders>
              <w:tl2br w:val="nil"/>
              <w:tr2bl w:val="nil"/>
            </w:tcBorders>
            <w:vAlign w:val="top"/>
          </w:tcPr>
          <w:p w14:paraId="327B901C">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盘式过滤机</w:t>
            </w:r>
          </w:p>
        </w:tc>
        <w:tc>
          <w:tcPr>
            <w:tcW w:w="2633" w:type="pct"/>
            <w:tcBorders>
              <w:tl2br w:val="nil"/>
              <w:tr2bl w:val="nil"/>
            </w:tcBorders>
            <w:vAlign w:val="top"/>
          </w:tcPr>
          <w:p w14:paraId="6B341969">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ZPG-84</w:t>
            </w:r>
          </w:p>
        </w:tc>
        <w:tc>
          <w:tcPr>
            <w:tcW w:w="665" w:type="pct"/>
            <w:tcBorders>
              <w:tl2br w:val="nil"/>
              <w:tr2bl w:val="nil"/>
            </w:tcBorders>
            <w:vAlign w:val="center"/>
          </w:tcPr>
          <w:p w14:paraId="7D4148F0">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color w:val="000000" w:themeColor="text1"/>
                <w:sz w:val="21"/>
                <w:szCs w:val="24"/>
                <w:highlight w:val="none"/>
                <w14:textFill>
                  <w14:solidFill>
                    <w14:schemeClr w14:val="tx1"/>
                  </w14:solidFill>
                </w14:textFill>
              </w:rPr>
              <w:t>1</w:t>
            </w:r>
            <w:r>
              <w:rPr>
                <w:rFonts w:hint="eastAsia"/>
                <w:color w:val="000000" w:themeColor="text1"/>
                <w:kern w:val="2"/>
                <w:sz w:val="21"/>
                <w:szCs w:val="21"/>
                <w:highlight w:val="none"/>
                <w14:textFill>
                  <w14:solidFill>
                    <w14:schemeClr w14:val="tx1"/>
                  </w14:solidFill>
                </w14:textFill>
              </w:rPr>
              <w:t>台</w:t>
            </w:r>
          </w:p>
        </w:tc>
      </w:tr>
      <w:tr w14:paraId="683041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79895280">
            <w:pPr>
              <w:widowControl/>
              <w:spacing w:line="360" w:lineRule="exact"/>
              <w:ind w:firstLine="0" w:firstLineChars="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5</w:t>
            </w:r>
          </w:p>
        </w:tc>
        <w:tc>
          <w:tcPr>
            <w:tcW w:w="1403" w:type="pct"/>
            <w:tcBorders>
              <w:tl2br w:val="nil"/>
              <w:tr2bl w:val="nil"/>
            </w:tcBorders>
            <w:vAlign w:val="top"/>
          </w:tcPr>
          <w:p w14:paraId="01055931">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渣浆泵</w:t>
            </w:r>
          </w:p>
        </w:tc>
        <w:tc>
          <w:tcPr>
            <w:tcW w:w="2633" w:type="pct"/>
            <w:tcBorders>
              <w:tl2br w:val="nil"/>
              <w:tr2bl w:val="nil"/>
            </w:tcBorders>
            <w:vAlign w:val="top"/>
          </w:tcPr>
          <w:p w14:paraId="04676FA7">
            <w:pPr>
              <w:pStyle w:val="45"/>
              <w:kinsoku w:val="0"/>
              <w:overflowPunct w:val="0"/>
              <w:spacing w:before="0" w:beforeAutospacing="0" w:line="360" w:lineRule="exact"/>
              <w:ind w:firstLine="0" w:firstLineChars="0"/>
              <w:jc w:val="center"/>
              <w:rPr>
                <w:rFonts w:hint="default"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w:t>
            </w:r>
          </w:p>
        </w:tc>
        <w:tc>
          <w:tcPr>
            <w:tcW w:w="665" w:type="pct"/>
            <w:tcBorders>
              <w:tl2br w:val="nil"/>
              <w:tr2bl w:val="nil"/>
            </w:tcBorders>
            <w:vAlign w:val="center"/>
          </w:tcPr>
          <w:p w14:paraId="03C4440B">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2</w:t>
            </w:r>
            <w:r>
              <w:rPr>
                <w:rFonts w:hint="eastAsia"/>
                <w:color w:val="000000" w:themeColor="text1"/>
                <w:kern w:val="2"/>
                <w:sz w:val="21"/>
                <w:szCs w:val="21"/>
                <w:highlight w:val="none"/>
                <w14:textFill>
                  <w14:solidFill>
                    <w14:schemeClr w14:val="tx1"/>
                  </w14:solidFill>
                </w14:textFill>
              </w:rPr>
              <w:t>台</w:t>
            </w:r>
          </w:p>
        </w:tc>
      </w:tr>
      <w:tr w14:paraId="11E5A3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736DC2AF">
            <w:pPr>
              <w:widowControl/>
              <w:spacing w:line="360" w:lineRule="exact"/>
              <w:ind w:firstLine="0" w:firstLineChars="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w:t>
            </w:r>
          </w:p>
        </w:tc>
        <w:tc>
          <w:tcPr>
            <w:tcW w:w="1403" w:type="pct"/>
            <w:tcBorders>
              <w:tl2br w:val="nil"/>
              <w:tr2bl w:val="nil"/>
            </w:tcBorders>
            <w:vAlign w:val="top"/>
          </w:tcPr>
          <w:p w14:paraId="495D3723">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液下泵</w:t>
            </w:r>
          </w:p>
        </w:tc>
        <w:tc>
          <w:tcPr>
            <w:tcW w:w="2633" w:type="pct"/>
            <w:tcBorders>
              <w:tl2br w:val="nil"/>
              <w:tr2bl w:val="nil"/>
            </w:tcBorders>
            <w:vAlign w:val="top"/>
          </w:tcPr>
          <w:p w14:paraId="4A83E5D3">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40PV-SP</w:t>
            </w:r>
          </w:p>
        </w:tc>
        <w:tc>
          <w:tcPr>
            <w:tcW w:w="665" w:type="pct"/>
            <w:tcBorders>
              <w:tl2br w:val="nil"/>
              <w:tr2bl w:val="nil"/>
            </w:tcBorders>
            <w:vAlign w:val="center"/>
          </w:tcPr>
          <w:p w14:paraId="71D66DF7">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2</w:t>
            </w:r>
            <w:r>
              <w:rPr>
                <w:rFonts w:hint="eastAsia"/>
                <w:color w:val="000000" w:themeColor="text1"/>
                <w:kern w:val="2"/>
                <w:sz w:val="21"/>
                <w:szCs w:val="21"/>
                <w:highlight w:val="none"/>
                <w14:textFill>
                  <w14:solidFill>
                    <w14:schemeClr w14:val="tx1"/>
                  </w14:solidFill>
                </w14:textFill>
              </w:rPr>
              <w:t>台</w:t>
            </w:r>
          </w:p>
        </w:tc>
      </w:tr>
      <w:tr w14:paraId="2DA07C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298" w:type="pct"/>
            <w:tcBorders>
              <w:tl2br w:val="nil"/>
              <w:tr2bl w:val="nil"/>
            </w:tcBorders>
            <w:vAlign w:val="center"/>
          </w:tcPr>
          <w:p w14:paraId="11ADF7EA">
            <w:pPr>
              <w:widowControl/>
              <w:spacing w:line="360" w:lineRule="exact"/>
              <w:ind w:firstLine="0" w:firstLineChars="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w:t>
            </w:r>
          </w:p>
        </w:tc>
        <w:tc>
          <w:tcPr>
            <w:tcW w:w="1403" w:type="pct"/>
            <w:tcBorders>
              <w:tl2br w:val="nil"/>
              <w:tr2bl w:val="nil"/>
            </w:tcBorders>
            <w:vAlign w:val="top"/>
          </w:tcPr>
          <w:p w14:paraId="6FA91583">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高效浓密机</w:t>
            </w:r>
          </w:p>
        </w:tc>
        <w:tc>
          <w:tcPr>
            <w:tcW w:w="2633" w:type="pct"/>
            <w:tcBorders>
              <w:tl2br w:val="nil"/>
              <w:tr2bl w:val="nil"/>
            </w:tcBorders>
            <w:vAlign w:val="top"/>
          </w:tcPr>
          <w:p w14:paraId="1D04B3DC">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GZN-55</w:t>
            </w:r>
          </w:p>
        </w:tc>
        <w:tc>
          <w:tcPr>
            <w:tcW w:w="665" w:type="pct"/>
            <w:tcBorders>
              <w:tl2br w:val="nil"/>
              <w:tr2bl w:val="nil"/>
            </w:tcBorders>
            <w:vAlign w:val="center"/>
          </w:tcPr>
          <w:p w14:paraId="538D19CB">
            <w:pPr>
              <w:pStyle w:val="45"/>
              <w:kinsoku w:val="0"/>
              <w:overflowPunct w:val="0"/>
              <w:spacing w:before="0" w:beforeAutospacing="0" w:line="360" w:lineRule="exact"/>
              <w:ind w:firstLine="0" w:firstLineChars="0"/>
              <w:jc w:val="center"/>
              <w:rPr>
                <w:rFonts w:cs="Calibri"/>
                <w:color w:val="000000" w:themeColor="text1"/>
                <w:sz w:val="21"/>
                <w:szCs w:val="24"/>
                <w:highlight w:val="none"/>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1</w:t>
            </w:r>
            <w:r>
              <w:rPr>
                <w:rFonts w:hint="eastAsia"/>
                <w:color w:val="000000" w:themeColor="text1"/>
                <w:kern w:val="2"/>
                <w:sz w:val="21"/>
                <w:szCs w:val="21"/>
                <w:highlight w:val="none"/>
                <w14:textFill>
                  <w14:solidFill>
                    <w14:schemeClr w14:val="tx1"/>
                  </w14:solidFill>
                </w14:textFill>
              </w:rPr>
              <w:t>台</w:t>
            </w:r>
          </w:p>
        </w:tc>
      </w:tr>
      <w:tr w14:paraId="7607AE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0BEB3DA4">
            <w:pPr>
              <w:widowControl/>
              <w:spacing w:line="360" w:lineRule="exact"/>
              <w:ind w:firstLine="0" w:firstLineChars="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w:t>
            </w:r>
          </w:p>
        </w:tc>
        <w:tc>
          <w:tcPr>
            <w:tcW w:w="1403" w:type="pct"/>
            <w:tcBorders>
              <w:tl2br w:val="nil"/>
              <w:tr2bl w:val="nil"/>
            </w:tcBorders>
            <w:vAlign w:val="top"/>
          </w:tcPr>
          <w:p w14:paraId="4FC2A90B">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渣浆泵</w:t>
            </w:r>
          </w:p>
        </w:tc>
        <w:tc>
          <w:tcPr>
            <w:tcW w:w="2633" w:type="pct"/>
            <w:tcBorders>
              <w:tl2br w:val="nil"/>
              <w:tr2bl w:val="nil"/>
            </w:tcBorders>
            <w:vAlign w:val="top"/>
          </w:tcPr>
          <w:p w14:paraId="15D5F89D">
            <w:pPr>
              <w:pStyle w:val="45"/>
              <w:kinsoku w:val="0"/>
              <w:overflowPunct w:val="0"/>
              <w:spacing w:before="0" w:beforeAutospacing="0" w:line="360" w:lineRule="exact"/>
              <w:ind w:firstLine="0" w:firstLineChars="0"/>
              <w:jc w:val="center"/>
              <w:rPr>
                <w:rFonts w:hint="default"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w:t>
            </w:r>
          </w:p>
        </w:tc>
        <w:tc>
          <w:tcPr>
            <w:tcW w:w="665" w:type="pct"/>
            <w:tcBorders>
              <w:tl2br w:val="nil"/>
              <w:tr2bl w:val="nil"/>
            </w:tcBorders>
            <w:vAlign w:val="center"/>
          </w:tcPr>
          <w:p w14:paraId="248723F5">
            <w:pPr>
              <w:pStyle w:val="45"/>
              <w:kinsoku w:val="0"/>
              <w:overflowPunct w:val="0"/>
              <w:spacing w:before="0" w:beforeAutospacing="0" w:line="360" w:lineRule="exact"/>
              <w:ind w:firstLine="0" w:firstLineChars="0"/>
              <w:jc w:val="center"/>
              <w:rPr>
                <w:color w:val="000000" w:themeColor="text1"/>
                <w:kern w:val="2"/>
                <w:sz w:val="21"/>
                <w:szCs w:val="21"/>
                <w:highlight w:val="none"/>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2</w:t>
            </w:r>
            <w:r>
              <w:rPr>
                <w:rFonts w:hint="eastAsia"/>
                <w:color w:val="000000" w:themeColor="text1"/>
                <w:sz w:val="21"/>
                <w:szCs w:val="24"/>
                <w:highlight w:val="none"/>
                <w14:textFill>
                  <w14:solidFill>
                    <w14:schemeClr w14:val="tx1"/>
                  </w14:solidFill>
                </w14:textFill>
              </w:rPr>
              <w:t>台</w:t>
            </w:r>
          </w:p>
        </w:tc>
      </w:tr>
      <w:tr w14:paraId="7617B9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298" w:type="pct"/>
            <w:tcBorders>
              <w:tl2br w:val="nil"/>
              <w:tr2bl w:val="nil"/>
            </w:tcBorders>
            <w:vAlign w:val="center"/>
          </w:tcPr>
          <w:p w14:paraId="4FB1F1BA">
            <w:pPr>
              <w:widowControl/>
              <w:spacing w:line="360" w:lineRule="exact"/>
              <w:ind w:firstLine="0" w:firstLineChars="0"/>
              <w:jc w:val="center"/>
              <w:textAlignment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19</w:t>
            </w:r>
          </w:p>
        </w:tc>
        <w:tc>
          <w:tcPr>
            <w:tcW w:w="1403" w:type="pct"/>
            <w:tcBorders>
              <w:tl2br w:val="nil"/>
              <w:tr2bl w:val="nil"/>
            </w:tcBorders>
            <w:vAlign w:val="top"/>
          </w:tcPr>
          <w:p w14:paraId="0AB67D92">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液下泵</w:t>
            </w:r>
          </w:p>
        </w:tc>
        <w:tc>
          <w:tcPr>
            <w:tcW w:w="2633" w:type="pct"/>
            <w:tcBorders>
              <w:tl2br w:val="nil"/>
              <w:tr2bl w:val="nil"/>
            </w:tcBorders>
            <w:vAlign w:val="top"/>
          </w:tcPr>
          <w:p w14:paraId="6AA411F8">
            <w:pPr>
              <w:pStyle w:val="45"/>
              <w:kinsoku w:val="0"/>
              <w:overflowPunct w:val="0"/>
              <w:spacing w:before="0" w:beforeAutospacing="0" w:line="360" w:lineRule="exact"/>
              <w:ind w:firstLine="0" w:firstLineChars="0"/>
              <w:jc w:val="center"/>
              <w:rPr>
                <w:rFonts w:hint="eastAsia" w:cs="Calibri"/>
                <w:color w:val="000000" w:themeColor="text1"/>
                <w:sz w:val="21"/>
                <w:szCs w:val="24"/>
                <w:highlight w:val="none"/>
                <w:lang w:val="en-US" w:eastAsia="zh-CN"/>
                <w14:textFill>
                  <w14:solidFill>
                    <w14:schemeClr w14:val="tx1"/>
                  </w14:solidFill>
                </w14:textFill>
              </w:rPr>
            </w:pPr>
            <w:r>
              <w:rPr>
                <w:rFonts w:hint="eastAsia" w:cs="Calibri"/>
                <w:color w:val="000000" w:themeColor="text1"/>
                <w:sz w:val="21"/>
                <w:szCs w:val="24"/>
                <w:highlight w:val="none"/>
                <w:lang w:val="en-US" w:eastAsia="zh-CN"/>
                <w14:textFill>
                  <w14:solidFill>
                    <w14:schemeClr w14:val="tx1"/>
                  </w14:solidFill>
                </w14:textFill>
              </w:rPr>
              <w:t>40PV-SP</w:t>
            </w:r>
          </w:p>
        </w:tc>
        <w:tc>
          <w:tcPr>
            <w:tcW w:w="665" w:type="pct"/>
            <w:tcBorders>
              <w:tl2br w:val="nil"/>
              <w:tr2bl w:val="nil"/>
            </w:tcBorders>
            <w:vAlign w:val="center"/>
          </w:tcPr>
          <w:p w14:paraId="4F536F38">
            <w:pPr>
              <w:pStyle w:val="45"/>
              <w:kinsoku w:val="0"/>
              <w:overflowPunct w:val="0"/>
              <w:spacing w:before="0" w:beforeAutospacing="0" w:line="360" w:lineRule="exact"/>
              <w:ind w:firstLine="0" w:firstLineChars="0"/>
              <w:jc w:val="center"/>
              <w:rPr>
                <w:rFonts w:hint="eastAsia"/>
                <w:color w:val="000000" w:themeColor="text1"/>
                <w:sz w:val="21"/>
                <w:szCs w:val="24"/>
                <w:highlight w:val="none"/>
                <w14:textFill>
                  <w14:solidFill>
                    <w14:schemeClr w14:val="tx1"/>
                  </w14:solidFill>
                </w14:textFill>
              </w:rPr>
            </w:pPr>
            <w:r>
              <w:rPr>
                <w:rFonts w:hint="eastAsia"/>
                <w:color w:val="000000" w:themeColor="text1"/>
                <w:sz w:val="21"/>
                <w:szCs w:val="24"/>
                <w:highlight w:val="none"/>
                <w:lang w:val="en-US" w:eastAsia="zh-CN"/>
                <w14:textFill>
                  <w14:solidFill>
                    <w14:schemeClr w14:val="tx1"/>
                  </w14:solidFill>
                </w14:textFill>
              </w:rPr>
              <w:t>2</w:t>
            </w:r>
            <w:r>
              <w:rPr>
                <w:rFonts w:hint="eastAsia"/>
                <w:color w:val="000000" w:themeColor="text1"/>
                <w:kern w:val="2"/>
                <w:sz w:val="21"/>
                <w:szCs w:val="21"/>
                <w:highlight w:val="none"/>
                <w14:textFill>
                  <w14:solidFill>
                    <w14:schemeClr w14:val="tx1"/>
                  </w14:solidFill>
                </w14:textFill>
              </w:rPr>
              <w:t>台</w:t>
            </w:r>
          </w:p>
        </w:tc>
      </w:tr>
    </w:tbl>
    <w:p w14:paraId="0F2856BC">
      <w:pPr>
        <w:pStyle w:val="5"/>
        <w:tabs>
          <w:tab w:val="left" w:pos="2041"/>
          <w:tab w:val="left" w:pos="3402"/>
        </w:tabs>
        <w:ind w:firstLine="482" w:firstLineChars="200"/>
        <w:rPr>
          <w:rFonts w:hint="eastAsia"/>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3.1.3.2现有工程</w:t>
      </w:r>
      <w:bookmarkEnd w:id="357"/>
      <w:bookmarkEnd w:id="358"/>
      <w:bookmarkEnd w:id="359"/>
      <w:r>
        <w:rPr>
          <w:rFonts w:hint="eastAsia"/>
          <w:bCs/>
          <w:color w:val="000000" w:themeColor="text1"/>
          <w:highlight w:val="none"/>
          <w:lang w:val="en-US" w:eastAsia="zh-CN"/>
          <w14:textFill>
            <w14:solidFill>
              <w14:schemeClr w14:val="tx1"/>
            </w14:solidFill>
          </w14:textFill>
        </w:rPr>
        <w:t>选矿工艺指标及原辅材料</w:t>
      </w:r>
    </w:p>
    <w:p w14:paraId="6CEBA737">
      <w:pPr>
        <w:pStyle w:val="63"/>
        <w:overflowPunct w:val="0"/>
        <w:topLinePunct/>
        <w:spacing w:line="480" w:lineRule="exact"/>
        <w:ind w:firstLine="48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现有</w:t>
      </w:r>
      <w:r>
        <w:rPr>
          <w:rFonts w:hint="eastAsia" w:ascii="Times New Roman" w:hAnsi="Times New Roman" w:eastAsia="宋体" w:cs="Times New Roman"/>
          <w:color w:val="000000" w:themeColor="text1"/>
          <w:highlight w:val="none"/>
          <w14:textFill>
            <w14:solidFill>
              <w14:schemeClr w14:val="tx1"/>
            </w14:solidFill>
          </w14:textFill>
        </w:rPr>
        <w:t>选矿工程主要工艺指标见表3.1-</w:t>
      </w:r>
      <w:r>
        <w:rPr>
          <w:rFonts w:ascii="Times New Roman" w:hAnsi="Times New Roman" w:eastAsia="宋体" w:cs="Times New Roman"/>
          <w:color w:val="000000" w:themeColor="text1"/>
          <w:highlight w:val="none"/>
          <w14:textFill>
            <w14:solidFill>
              <w14:schemeClr w14:val="tx1"/>
            </w14:solidFill>
          </w14:textFill>
        </w:rPr>
        <w:t>4</w:t>
      </w:r>
      <w:r>
        <w:rPr>
          <w:rFonts w:hint="eastAsia" w:ascii="Times New Roman" w:hAnsi="Times New Roman" w:eastAsia="宋体" w:cs="Times New Roman"/>
          <w:color w:val="000000" w:themeColor="text1"/>
          <w:highlight w:val="none"/>
          <w14:textFill>
            <w14:solidFill>
              <w14:schemeClr w14:val="tx1"/>
            </w14:solidFill>
          </w14:textFill>
        </w:rPr>
        <w:t>。</w:t>
      </w:r>
    </w:p>
    <w:p w14:paraId="128B2F30">
      <w:pPr>
        <w:pStyle w:val="47"/>
        <w:widowControl w:val="0"/>
        <w:rPr>
          <w:color w:val="000000" w:themeColor="text1"/>
          <w:highlight w:val="none"/>
          <w14:textFill>
            <w14:solidFill>
              <w14:schemeClr w14:val="tx1"/>
            </w14:solidFill>
          </w14:textFill>
        </w:rPr>
      </w:pPr>
      <w:r>
        <w:rPr>
          <w:color w:val="000000" w:themeColor="text1"/>
          <w:highlight w:val="none"/>
          <w:lang w:val="zh-CN"/>
          <w14:textFill>
            <w14:solidFill>
              <w14:schemeClr w14:val="tx1"/>
            </w14:solidFill>
          </w14:textFill>
        </w:rPr>
        <w:t>表</w:t>
      </w:r>
      <w:r>
        <w:rPr>
          <w:rFonts w:hint="eastAsia"/>
          <w:color w:val="000000" w:themeColor="text1"/>
          <w:highlight w:val="none"/>
          <w14:textFill>
            <w14:solidFill>
              <w14:schemeClr w14:val="tx1"/>
            </w14:solidFill>
          </w14:textFill>
        </w:rPr>
        <w:t>3</w:t>
      </w:r>
      <w:r>
        <w:rPr>
          <w:color w:val="000000" w:themeColor="text1"/>
          <w:highlight w:val="none"/>
          <w:lang w:val="zh-CN"/>
          <w14:textFill>
            <w14:solidFill>
              <w14:schemeClr w14:val="tx1"/>
            </w14:solidFill>
          </w14:textFill>
        </w:rPr>
        <w:t>.1-</w:t>
      </w:r>
      <w:r>
        <w:rPr>
          <w:color w:val="000000" w:themeColor="text1"/>
          <w:highlight w:val="none"/>
          <w14:textFill>
            <w14:solidFill>
              <w14:schemeClr w14:val="tx1"/>
            </w14:solidFill>
          </w14:textFill>
        </w:rPr>
        <w:t xml:space="preserve">4    </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现有</w:t>
      </w:r>
      <w:r>
        <w:rPr>
          <w:rFonts w:hint="eastAsia"/>
          <w:color w:val="000000" w:themeColor="text1"/>
          <w:highlight w:val="none"/>
          <w14:textFill>
            <w14:solidFill>
              <w14:schemeClr w14:val="tx1"/>
            </w14:solidFill>
          </w14:textFill>
        </w:rPr>
        <w:t>选矿工程主要工艺指标</w:t>
      </w:r>
      <w:r>
        <w:rPr>
          <w:color w:val="000000" w:themeColor="text1"/>
          <w:highlight w:val="none"/>
          <w14:textFill>
            <w14:solidFill>
              <w14:schemeClr w14:val="tx1"/>
            </w14:solidFill>
          </w14:textFill>
        </w:rPr>
        <w:t>表</w:t>
      </w:r>
    </w:p>
    <w:tbl>
      <w:tblPr>
        <w:tblStyle w:val="32"/>
        <w:tblW w:w="49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744"/>
        <w:gridCol w:w="1971"/>
        <w:gridCol w:w="1995"/>
        <w:gridCol w:w="1617"/>
      </w:tblGrid>
      <w:tr w14:paraId="5CCDE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37" w:type="pct"/>
            <w:vMerge w:val="restart"/>
            <w:tcBorders>
              <w:tl2br w:val="nil"/>
              <w:tr2bl w:val="nil"/>
            </w:tcBorders>
            <w:vAlign w:val="center"/>
          </w:tcPr>
          <w:p w14:paraId="62A0FC9B">
            <w:pPr>
              <w:spacing w:line="360" w:lineRule="exact"/>
              <w:ind w:firstLine="0" w:firstLineChars="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序号</w:t>
            </w:r>
          </w:p>
        </w:tc>
        <w:tc>
          <w:tcPr>
            <w:tcW w:w="1038" w:type="pct"/>
            <w:vMerge w:val="restart"/>
            <w:tcBorders>
              <w:tl2br w:val="nil"/>
              <w:tr2bl w:val="nil"/>
            </w:tcBorders>
            <w:vAlign w:val="center"/>
          </w:tcPr>
          <w:p w14:paraId="3801FD1A">
            <w:pPr>
              <w:spacing w:line="360" w:lineRule="exact"/>
              <w:ind w:firstLine="0" w:firstLineChars="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名称</w:t>
            </w:r>
          </w:p>
        </w:tc>
        <w:tc>
          <w:tcPr>
            <w:tcW w:w="1173" w:type="pct"/>
            <w:vMerge w:val="restart"/>
            <w:tcBorders>
              <w:tl2br w:val="nil"/>
              <w:tr2bl w:val="nil"/>
            </w:tcBorders>
            <w:vAlign w:val="center"/>
          </w:tcPr>
          <w:p w14:paraId="3B21B0EA">
            <w:pPr>
              <w:spacing w:line="360" w:lineRule="exact"/>
              <w:ind w:firstLine="0" w:firstLineChars="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产率（%）</w:t>
            </w:r>
          </w:p>
        </w:tc>
        <w:tc>
          <w:tcPr>
            <w:tcW w:w="1187" w:type="pct"/>
            <w:tcBorders>
              <w:tl2br w:val="nil"/>
              <w:tr2bl w:val="nil"/>
            </w:tcBorders>
            <w:vAlign w:val="center"/>
          </w:tcPr>
          <w:p w14:paraId="04459D14">
            <w:pPr>
              <w:spacing w:line="360" w:lineRule="exact"/>
              <w:ind w:firstLine="0" w:firstLineChars="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品位（%）</w:t>
            </w:r>
          </w:p>
        </w:tc>
        <w:tc>
          <w:tcPr>
            <w:tcW w:w="962" w:type="pct"/>
            <w:vMerge w:val="restart"/>
            <w:tcBorders>
              <w:tl2br w:val="nil"/>
              <w:tr2bl w:val="nil"/>
            </w:tcBorders>
            <w:vAlign w:val="center"/>
          </w:tcPr>
          <w:p w14:paraId="1CD4D8AE">
            <w:pPr>
              <w:spacing w:line="360" w:lineRule="exact"/>
              <w:ind w:firstLine="0" w:firstLineChars="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产量（万t/a）</w:t>
            </w:r>
          </w:p>
        </w:tc>
      </w:tr>
      <w:tr w14:paraId="4AB3A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37" w:type="pct"/>
            <w:vMerge w:val="continue"/>
            <w:tcBorders>
              <w:tl2br w:val="nil"/>
              <w:tr2bl w:val="nil"/>
            </w:tcBorders>
            <w:vAlign w:val="center"/>
          </w:tcPr>
          <w:p w14:paraId="03568CC9">
            <w:pPr>
              <w:spacing w:line="360" w:lineRule="exact"/>
              <w:ind w:firstLine="0" w:firstLineChars="0"/>
              <w:jc w:val="center"/>
              <w:rPr>
                <w:b/>
                <w:color w:val="000000" w:themeColor="text1"/>
                <w:sz w:val="21"/>
                <w:szCs w:val="21"/>
                <w:highlight w:val="none"/>
                <w14:textFill>
                  <w14:solidFill>
                    <w14:schemeClr w14:val="tx1"/>
                  </w14:solidFill>
                </w14:textFill>
              </w:rPr>
            </w:pPr>
          </w:p>
        </w:tc>
        <w:tc>
          <w:tcPr>
            <w:tcW w:w="1038" w:type="pct"/>
            <w:vMerge w:val="continue"/>
            <w:tcBorders>
              <w:tl2br w:val="nil"/>
              <w:tr2bl w:val="nil"/>
            </w:tcBorders>
            <w:vAlign w:val="center"/>
          </w:tcPr>
          <w:p w14:paraId="5959E1ED">
            <w:pPr>
              <w:spacing w:line="360" w:lineRule="exact"/>
              <w:ind w:firstLine="0" w:firstLineChars="0"/>
              <w:jc w:val="center"/>
              <w:rPr>
                <w:b/>
                <w:color w:val="000000" w:themeColor="text1"/>
                <w:sz w:val="21"/>
                <w:szCs w:val="21"/>
                <w:highlight w:val="none"/>
                <w14:textFill>
                  <w14:solidFill>
                    <w14:schemeClr w14:val="tx1"/>
                  </w14:solidFill>
                </w14:textFill>
              </w:rPr>
            </w:pPr>
          </w:p>
        </w:tc>
        <w:tc>
          <w:tcPr>
            <w:tcW w:w="1173" w:type="pct"/>
            <w:vMerge w:val="continue"/>
            <w:tcBorders>
              <w:tl2br w:val="nil"/>
              <w:tr2bl w:val="nil"/>
            </w:tcBorders>
            <w:vAlign w:val="center"/>
          </w:tcPr>
          <w:p w14:paraId="3D79700F">
            <w:pPr>
              <w:spacing w:line="360" w:lineRule="exact"/>
              <w:ind w:firstLine="0" w:firstLineChars="0"/>
              <w:jc w:val="center"/>
              <w:rPr>
                <w:b/>
                <w:color w:val="000000" w:themeColor="text1"/>
                <w:sz w:val="21"/>
                <w:szCs w:val="21"/>
                <w:highlight w:val="none"/>
                <w14:textFill>
                  <w14:solidFill>
                    <w14:schemeClr w14:val="tx1"/>
                  </w14:solidFill>
                </w14:textFill>
              </w:rPr>
            </w:pPr>
          </w:p>
        </w:tc>
        <w:tc>
          <w:tcPr>
            <w:tcW w:w="1187" w:type="pct"/>
            <w:tcBorders>
              <w:tl2br w:val="nil"/>
              <w:tr2bl w:val="nil"/>
            </w:tcBorders>
            <w:vAlign w:val="center"/>
          </w:tcPr>
          <w:p w14:paraId="09EAB6B7">
            <w:pPr>
              <w:spacing w:line="360" w:lineRule="exact"/>
              <w:ind w:firstLine="0" w:firstLineChars="0"/>
              <w:jc w:val="center"/>
              <w:rPr>
                <w:b/>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铁</w:t>
            </w:r>
          </w:p>
        </w:tc>
        <w:tc>
          <w:tcPr>
            <w:tcW w:w="962" w:type="pct"/>
            <w:vMerge w:val="continue"/>
            <w:tcBorders>
              <w:tl2br w:val="nil"/>
              <w:tr2bl w:val="nil"/>
            </w:tcBorders>
            <w:vAlign w:val="center"/>
          </w:tcPr>
          <w:p w14:paraId="2B662636">
            <w:pPr>
              <w:spacing w:line="360" w:lineRule="exact"/>
              <w:ind w:firstLine="0" w:firstLineChars="0"/>
              <w:jc w:val="center"/>
              <w:rPr>
                <w:b/>
                <w:color w:val="000000" w:themeColor="text1"/>
                <w:sz w:val="21"/>
                <w:szCs w:val="21"/>
                <w:highlight w:val="none"/>
                <w14:textFill>
                  <w14:solidFill>
                    <w14:schemeClr w14:val="tx1"/>
                  </w14:solidFill>
                </w14:textFill>
              </w:rPr>
            </w:pPr>
          </w:p>
        </w:tc>
      </w:tr>
      <w:tr w14:paraId="0CFEC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l2br w:val="nil"/>
              <w:tr2bl w:val="nil"/>
            </w:tcBorders>
            <w:vAlign w:val="center"/>
          </w:tcPr>
          <w:p w14:paraId="465B7AF7">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1</w:t>
            </w:r>
          </w:p>
        </w:tc>
        <w:tc>
          <w:tcPr>
            <w:tcW w:w="1038" w:type="pct"/>
            <w:tcBorders>
              <w:tl2br w:val="nil"/>
              <w:tr2bl w:val="nil"/>
            </w:tcBorders>
            <w:vAlign w:val="center"/>
          </w:tcPr>
          <w:p w14:paraId="6DE9D780">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原矿</w:t>
            </w:r>
          </w:p>
        </w:tc>
        <w:tc>
          <w:tcPr>
            <w:tcW w:w="1173" w:type="pct"/>
            <w:tcBorders>
              <w:tl2br w:val="nil"/>
              <w:tr2bl w:val="nil"/>
            </w:tcBorders>
            <w:vAlign w:val="center"/>
          </w:tcPr>
          <w:p w14:paraId="40352143">
            <w:pPr>
              <w:spacing w:line="360" w:lineRule="exact"/>
              <w:ind w:firstLine="0" w:firstLineChars="0"/>
              <w:jc w:val="center"/>
              <w:rPr>
                <w:bCs/>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100.00</w:t>
            </w:r>
          </w:p>
        </w:tc>
        <w:tc>
          <w:tcPr>
            <w:tcW w:w="1187" w:type="pct"/>
            <w:tcBorders>
              <w:tl2br w:val="nil"/>
              <w:tr2bl w:val="nil"/>
            </w:tcBorders>
            <w:vAlign w:val="center"/>
          </w:tcPr>
          <w:p w14:paraId="54DD955D">
            <w:pPr>
              <w:spacing w:line="360" w:lineRule="exact"/>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0.43</w:t>
            </w:r>
          </w:p>
        </w:tc>
        <w:tc>
          <w:tcPr>
            <w:tcW w:w="962" w:type="pct"/>
            <w:tcBorders>
              <w:tl2br w:val="nil"/>
              <w:tr2bl w:val="nil"/>
            </w:tcBorders>
            <w:vAlign w:val="center"/>
          </w:tcPr>
          <w:p w14:paraId="70C92625">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9</w:t>
            </w:r>
            <w:r>
              <w:rPr>
                <w:rFonts w:hint="eastAsia"/>
                <w:bCs/>
                <w:color w:val="000000" w:themeColor="text1"/>
                <w:sz w:val="21"/>
                <w:szCs w:val="21"/>
                <w:highlight w:val="none"/>
                <w14:textFill>
                  <w14:solidFill>
                    <w14:schemeClr w14:val="tx1"/>
                  </w14:solidFill>
                </w14:textFill>
              </w:rPr>
              <w:t>0.00</w:t>
            </w:r>
          </w:p>
        </w:tc>
      </w:tr>
      <w:tr w14:paraId="14058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l2br w:val="nil"/>
              <w:tr2bl w:val="nil"/>
            </w:tcBorders>
            <w:vAlign w:val="center"/>
          </w:tcPr>
          <w:p w14:paraId="4EFEED17">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2</w:t>
            </w:r>
          </w:p>
        </w:tc>
        <w:tc>
          <w:tcPr>
            <w:tcW w:w="1038" w:type="pct"/>
            <w:tcBorders>
              <w:tl2br w:val="nil"/>
              <w:tr2bl w:val="nil"/>
            </w:tcBorders>
            <w:vAlign w:val="center"/>
          </w:tcPr>
          <w:p w14:paraId="518A347F">
            <w:pPr>
              <w:spacing w:line="360" w:lineRule="exact"/>
              <w:ind w:firstLine="0" w:firstLineChars="0"/>
              <w:jc w:val="center"/>
              <w:rPr>
                <w:rFonts w:hint="eastAsia" w:eastAsia="宋体"/>
                <w:bCs/>
                <w:color w:val="000000" w:themeColor="text1"/>
                <w:sz w:val="21"/>
                <w:szCs w:val="21"/>
                <w:highlight w:val="none"/>
                <w:lang w:eastAsia="zh-CN"/>
                <w14:textFill>
                  <w14:solidFill>
                    <w14:schemeClr w14:val="tx1"/>
                  </w14:solidFill>
                </w14:textFill>
              </w:rPr>
            </w:pPr>
            <w:r>
              <w:rPr>
                <w:rFonts w:hint="eastAsia"/>
                <w:bCs/>
                <w:color w:val="000000" w:themeColor="text1"/>
                <w:sz w:val="21"/>
                <w:szCs w:val="21"/>
                <w:highlight w:val="none"/>
                <w:lang w:eastAsia="zh-CN"/>
                <w14:textFill>
                  <w14:solidFill>
                    <w14:schemeClr w14:val="tx1"/>
                  </w14:solidFill>
                </w14:textFill>
              </w:rPr>
              <w:t>铁精粉</w:t>
            </w:r>
          </w:p>
        </w:tc>
        <w:tc>
          <w:tcPr>
            <w:tcW w:w="1173" w:type="pct"/>
            <w:tcBorders>
              <w:tl2br w:val="nil"/>
              <w:tr2bl w:val="nil"/>
            </w:tcBorders>
            <w:vAlign w:val="center"/>
          </w:tcPr>
          <w:p w14:paraId="77DB8375">
            <w:pPr>
              <w:spacing w:line="360" w:lineRule="exact"/>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33.33</w:t>
            </w:r>
          </w:p>
        </w:tc>
        <w:tc>
          <w:tcPr>
            <w:tcW w:w="1187" w:type="pct"/>
            <w:tcBorders>
              <w:tl2br w:val="nil"/>
              <w:tr2bl w:val="nil"/>
            </w:tcBorders>
            <w:vAlign w:val="center"/>
          </w:tcPr>
          <w:p w14:paraId="64AD8162">
            <w:pPr>
              <w:spacing w:line="360" w:lineRule="exact"/>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default" w:eastAsia="宋体"/>
                <w:bCs/>
                <w:color w:val="000000" w:themeColor="text1"/>
                <w:sz w:val="21"/>
                <w:szCs w:val="21"/>
                <w:highlight w:val="none"/>
                <w:lang w:val="en-US" w:eastAsia="zh-CN"/>
                <w14:textFill>
                  <w14:solidFill>
                    <w14:schemeClr w14:val="tx1"/>
                  </w14:solidFill>
                </w14:textFill>
              </w:rPr>
              <w:t>63.53</w:t>
            </w:r>
          </w:p>
        </w:tc>
        <w:tc>
          <w:tcPr>
            <w:tcW w:w="962" w:type="pct"/>
            <w:tcBorders>
              <w:tl2br w:val="nil"/>
              <w:tr2bl w:val="nil"/>
            </w:tcBorders>
            <w:vAlign w:val="center"/>
          </w:tcPr>
          <w:p w14:paraId="1CF403F5">
            <w:pPr>
              <w:spacing w:line="360" w:lineRule="exact"/>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30.00</w:t>
            </w:r>
          </w:p>
        </w:tc>
      </w:tr>
      <w:tr w14:paraId="79CD5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l2br w:val="nil"/>
              <w:tr2bl w:val="nil"/>
            </w:tcBorders>
            <w:vAlign w:val="center"/>
          </w:tcPr>
          <w:p w14:paraId="038C22D4">
            <w:pPr>
              <w:spacing w:line="360" w:lineRule="exact"/>
              <w:ind w:firstLine="0" w:firstLineChars="0"/>
              <w:jc w:val="center"/>
              <w:rPr>
                <w:rFonts w:hint="eastAsia" w:eastAsia="宋体"/>
                <w:bCs/>
                <w:color w:val="000000" w:themeColor="text1"/>
                <w:sz w:val="21"/>
                <w:szCs w:val="21"/>
                <w:highlight w:val="none"/>
                <w:lang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w:t>
            </w:r>
          </w:p>
        </w:tc>
        <w:tc>
          <w:tcPr>
            <w:tcW w:w="1038" w:type="pct"/>
            <w:tcBorders>
              <w:tl2br w:val="nil"/>
              <w:tr2bl w:val="nil"/>
            </w:tcBorders>
            <w:vAlign w:val="center"/>
          </w:tcPr>
          <w:p w14:paraId="1DB568A7">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尾矿</w:t>
            </w:r>
          </w:p>
        </w:tc>
        <w:tc>
          <w:tcPr>
            <w:tcW w:w="1173" w:type="pct"/>
            <w:tcBorders>
              <w:tl2br w:val="nil"/>
              <w:tr2bl w:val="nil"/>
            </w:tcBorders>
            <w:vAlign w:val="center"/>
          </w:tcPr>
          <w:p w14:paraId="5537F649">
            <w:pPr>
              <w:spacing w:line="360" w:lineRule="exact"/>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50.27</w:t>
            </w:r>
          </w:p>
        </w:tc>
        <w:tc>
          <w:tcPr>
            <w:tcW w:w="1187" w:type="pct"/>
            <w:tcBorders>
              <w:tl2br w:val="nil"/>
              <w:tr2bl w:val="nil"/>
            </w:tcBorders>
            <w:vAlign w:val="center"/>
          </w:tcPr>
          <w:p w14:paraId="47276587">
            <w:pPr>
              <w:spacing w:line="360" w:lineRule="exact"/>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13.68</w:t>
            </w:r>
          </w:p>
        </w:tc>
        <w:tc>
          <w:tcPr>
            <w:tcW w:w="962" w:type="pct"/>
            <w:tcBorders>
              <w:tl2br w:val="nil"/>
              <w:tr2bl w:val="nil"/>
            </w:tcBorders>
            <w:vAlign w:val="center"/>
          </w:tcPr>
          <w:p w14:paraId="2DDED4DB">
            <w:pPr>
              <w:spacing w:line="360" w:lineRule="exact"/>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45.25</w:t>
            </w:r>
          </w:p>
        </w:tc>
      </w:tr>
      <w:tr w14:paraId="3754A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7" w:type="pct"/>
            <w:tcBorders>
              <w:tl2br w:val="nil"/>
              <w:tr2bl w:val="nil"/>
            </w:tcBorders>
            <w:vAlign w:val="center"/>
          </w:tcPr>
          <w:p w14:paraId="50C5C4F1">
            <w:pPr>
              <w:spacing w:line="360" w:lineRule="exact"/>
              <w:ind w:firstLine="0" w:firstLineChars="0"/>
              <w:jc w:val="center"/>
              <w:rPr>
                <w:rFonts w:hint="eastAsia" w:eastAsia="宋体"/>
                <w:bCs/>
                <w:color w:val="000000" w:themeColor="text1"/>
                <w:sz w:val="21"/>
                <w:szCs w:val="21"/>
                <w:highlight w:val="none"/>
                <w:lang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4</w:t>
            </w:r>
          </w:p>
        </w:tc>
        <w:tc>
          <w:tcPr>
            <w:tcW w:w="1038" w:type="pct"/>
            <w:tcBorders>
              <w:tl2br w:val="nil"/>
              <w:tr2bl w:val="nil"/>
            </w:tcBorders>
            <w:vAlign w:val="center"/>
          </w:tcPr>
          <w:p w14:paraId="29275E91">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废石</w:t>
            </w:r>
          </w:p>
        </w:tc>
        <w:tc>
          <w:tcPr>
            <w:tcW w:w="1173" w:type="pct"/>
            <w:tcBorders>
              <w:tl2br w:val="nil"/>
              <w:tr2bl w:val="nil"/>
            </w:tcBorders>
            <w:vAlign w:val="center"/>
          </w:tcPr>
          <w:p w14:paraId="2039FAC0">
            <w:pPr>
              <w:spacing w:line="360" w:lineRule="exact"/>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16.40</w:t>
            </w:r>
          </w:p>
        </w:tc>
        <w:tc>
          <w:tcPr>
            <w:tcW w:w="1187" w:type="pct"/>
            <w:tcBorders>
              <w:tl2br w:val="nil"/>
              <w:tr2bl w:val="nil"/>
            </w:tcBorders>
            <w:vAlign w:val="center"/>
          </w:tcPr>
          <w:p w14:paraId="6E70AC1C">
            <w:pPr>
              <w:spacing w:line="360" w:lineRule="exact"/>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14.49</w:t>
            </w:r>
          </w:p>
        </w:tc>
        <w:tc>
          <w:tcPr>
            <w:tcW w:w="962" w:type="pct"/>
            <w:tcBorders>
              <w:tl2br w:val="nil"/>
              <w:tr2bl w:val="nil"/>
            </w:tcBorders>
            <w:vAlign w:val="center"/>
          </w:tcPr>
          <w:p w14:paraId="14352DD7">
            <w:pPr>
              <w:spacing w:line="360" w:lineRule="exact"/>
              <w:ind w:firstLine="0" w:firstLineChars="0"/>
              <w:jc w:val="center"/>
              <w:rPr>
                <w:rFonts w:hint="default"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14.75</w:t>
            </w:r>
          </w:p>
        </w:tc>
      </w:tr>
    </w:tbl>
    <w:p w14:paraId="7C72434F">
      <w:pPr>
        <w:pStyle w:val="4"/>
        <w:rPr>
          <w:color w:val="000000" w:themeColor="text1"/>
          <w:highlight w:val="none"/>
          <w14:textFill>
            <w14:solidFill>
              <w14:schemeClr w14:val="tx1"/>
            </w14:solidFill>
          </w14:textFill>
        </w:rPr>
      </w:pPr>
      <w:bookmarkStart w:id="360" w:name="_Toc25441"/>
      <w:bookmarkStart w:id="361" w:name="_Toc4129"/>
      <w:bookmarkStart w:id="362" w:name="_Toc8478"/>
      <w:bookmarkStart w:id="363" w:name="_Toc28710"/>
      <w:bookmarkStart w:id="364" w:name="_Toc18853"/>
      <w:bookmarkStart w:id="365" w:name="_Toc23876"/>
      <w:r>
        <w:rPr>
          <w:rFonts w:hint="eastAsia"/>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t>4现有</w:t>
      </w:r>
      <w:bookmarkEnd w:id="360"/>
      <w:bookmarkEnd w:id="361"/>
      <w:bookmarkEnd w:id="362"/>
      <w:r>
        <w:rPr>
          <w:rFonts w:hint="eastAsia"/>
          <w:color w:val="000000" w:themeColor="text1"/>
          <w:highlight w:val="none"/>
          <w14:textFill>
            <w14:solidFill>
              <w14:schemeClr w14:val="tx1"/>
            </w14:solidFill>
          </w14:textFill>
        </w:rPr>
        <w:t>公用工程</w:t>
      </w:r>
    </w:p>
    <w:p w14:paraId="46415965">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选矿工程</w:t>
      </w:r>
      <w:r>
        <w:rPr>
          <w:color w:val="000000" w:themeColor="text1"/>
          <w:highlight w:val="none"/>
          <w14:textFill>
            <w14:solidFill>
              <w14:schemeClr w14:val="tx1"/>
            </w14:solidFill>
          </w14:textFill>
        </w:rPr>
        <w:t>现有</w:t>
      </w:r>
      <w:r>
        <w:rPr>
          <w:rFonts w:hint="eastAsia"/>
          <w:color w:val="000000" w:themeColor="text1"/>
          <w:highlight w:val="none"/>
          <w14:textFill>
            <w14:solidFill>
              <w14:schemeClr w14:val="tx1"/>
            </w14:solidFill>
          </w14:textFill>
        </w:rPr>
        <w:t>公用工程配套设施齐全，已形成了完善的供水、供电、供热设施。公用工程实际建设内容如下：</w:t>
      </w:r>
    </w:p>
    <w:p w14:paraId="6D0CCA9D">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（1）给水</w:t>
      </w:r>
      <w:r>
        <w:rPr>
          <w:rFonts w:hint="eastAsia"/>
          <w:color w:val="000000" w:themeColor="text1"/>
          <w:highlight w:val="none"/>
          <w14:textFill>
            <w14:solidFill>
              <w14:schemeClr w14:val="tx1"/>
            </w14:solidFill>
          </w14:textFill>
        </w:rPr>
        <w:t>工程</w:t>
      </w:r>
    </w:p>
    <w:p w14:paraId="674EF663">
      <w:pPr>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生活区供水为90km外的雅满苏矿区的生活用水，由60m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地埋式储水罐储存，用水时用泵抽出。补充</w:t>
      </w:r>
      <w:r>
        <w:rPr>
          <w:rFonts w:hint="eastAsia"/>
          <w:color w:val="000000" w:themeColor="text1"/>
          <w:highlight w:val="none"/>
          <w:lang w:eastAsia="zh-CN"/>
          <w14:textFill>
            <w14:solidFill>
              <w14:schemeClr w14:val="tx1"/>
            </w14:solidFill>
          </w14:textFill>
        </w:rPr>
        <w:t>水源为距离选矿厂</w:t>
      </w:r>
      <w:r>
        <w:rPr>
          <w:rFonts w:hint="eastAsia"/>
          <w:color w:val="000000" w:themeColor="text1"/>
          <w:highlight w:val="none"/>
          <w:lang w:val="en-US" w:eastAsia="zh-CN"/>
          <w14:textFill>
            <w14:solidFill>
              <w14:schemeClr w14:val="tx1"/>
            </w14:solidFill>
          </w14:textFill>
        </w:rPr>
        <w:t>5km的已建机电井，通过输水管线加压输送至项目区。矿井涌水通过泵站输送至选矿厂清水池，供矿区生产使用。</w:t>
      </w:r>
    </w:p>
    <w:p w14:paraId="7CBC1204">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选矿厂</w:t>
      </w:r>
      <w:r>
        <w:rPr>
          <w:rFonts w:hint="eastAsia"/>
          <w:color w:val="000000" w:themeColor="text1"/>
          <w:highlight w:val="none"/>
          <w14:textFill>
            <w14:solidFill>
              <w14:schemeClr w14:val="tx1"/>
            </w14:solidFill>
          </w14:textFill>
        </w:rPr>
        <w:t>用水主要为选矿生产用水、生活用水、绿化用水，总用水量为</w:t>
      </w:r>
      <w:r>
        <w:rPr>
          <w:rFonts w:hint="eastAsia"/>
          <w:color w:val="000000" w:themeColor="text1"/>
          <w:highlight w:val="none"/>
          <w:lang w:val="zh-CN"/>
          <w14:textFill>
            <w14:solidFill>
              <w14:schemeClr w14:val="tx1"/>
            </w14:solidFill>
          </w14:textFill>
        </w:rPr>
        <w:t>531</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lang w:val="zh-CN"/>
          <w14:textFill>
            <w14:solidFill>
              <w14:schemeClr w14:val="tx1"/>
            </w14:solidFill>
          </w14:textFill>
        </w:rPr>
        <w:t>.3</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159.58</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），其中新鲜水总用水量为</w:t>
      </w:r>
      <w:r>
        <w:rPr>
          <w:rFonts w:hint="eastAsia"/>
          <w:color w:val="000000" w:themeColor="text1"/>
          <w:highlight w:val="none"/>
          <w:lang w:val="en-US" w:eastAsia="zh-CN"/>
          <w14:textFill>
            <w14:solidFill>
              <w14:schemeClr w14:val="tx1"/>
            </w14:solidFill>
          </w14:textFill>
        </w:rPr>
        <w:t>392.1</w:t>
      </w:r>
      <w:r>
        <w:rPr>
          <w:rFonts w:hint="eastAsia"/>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11.76</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/a）。选矿生产用水主要为选矿工艺用水、设备冷却水，总用水量为</w:t>
      </w:r>
      <w:r>
        <w:rPr>
          <w:rFonts w:hint="eastAsia"/>
          <w:color w:val="000000" w:themeColor="text1"/>
          <w:highlight w:val="none"/>
          <w:lang w:val="zh-CN"/>
          <w14:textFill>
            <w14:solidFill>
              <w14:schemeClr w14:val="tx1"/>
            </w14:solidFill>
          </w14:textFill>
        </w:rPr>
        <w:t>5314.3</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159.43</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），其中取用新鲜水量为</w:t>
      </w:r>
      <w:r>
        <w:rPr>
          <w:rFonts w:hint="eastAsia"/>
          <w:color w:val="000000" w:themeColor="text1"/>
          <w:highlight w:val="none"/>
          <w:lang w:val="en-US" w:eastAsia="zh-CN"/>
          <w14:textFill>
            <w14:solidFill>
              <w14:schemeClr w14:val="tx1"/>
            </w14:solidFill>
          </w14:textFill>
        </w:rPr>
        <w:t>387.1</w:t>
      </w:r>
      <w:r>
        <w:rPr>
          <w:rFonts w:hint="eastAsia"/>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11.61</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，利用矿井涌水为</w:t>
      </w:r>
      <w:r>
        <w:rPr>
          <w:rFonts w:hint="eastAsia"/>
          <w:color w:val="000000" w:themeColor="text1"/>
          <w:highlight w:val="none"/>
          <w:lang w:val="en-US" w:eastAsia="zh-CN"/>
          <w14:textFill>
            <w14:solidFill>
              <w14:schemeClr w14:val="tx1"/>
            </w14:solidFill>
          </w14:textFill>
        </w:rPr>
        <w:t>555.8</w:t>
      </w:r>
      <w:r>
        <w:rPr>
          <w:rFonts w:hint="eastAsia"/>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16.67</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/a），其余为</w:t>
      </w:r>
      <w:r>
        <w:rPr>
          <w:rFonts w:hint="eastAsia"/>
          <w:color w:val="000000" w:themeColor="text1"/>
          <w:highlight w:val="none"/>
          <w:lang w:eastAsia="zh-CN"/>
          <w14:textFill>
            <w14:solidFill>
              <w14:schemeClr w14:val="tx1"/>
            </w14:solidFill>
          </w14:textFill>
        </w:rPr>
        <w:t>选矿过滤及溢流水、</w:t>
      </w:r>
      <w:r>
        <w:rPr>
          <w:rFonts w:hint="eastAsia"/>
          <w:color w:val="000000" w:themeColor="text1"/>
          <w:highlight w:val="none"/>
          <w14:textFill>
            <w14:solidFill>
              <w14:schemeClr w14:val="tx1"/>
            </w14:solidFill>
          </w14:textFill>
        </w:rPr>
        <w:t>尾矿库回用水；生活用水量为</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0.15</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p>
    <w:p w14:paraId="359CC251">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（2）排水</w:t>
      </w:r>
      <w:r>
        <w:rPr>
          <w:rFonts w:hint="eastAsia"/>
          <w:color w:val="000000" w:themeColor="text1"/>
          <w:highlight w:val="none"/>
          <w14:textFill>
            <w14:solidFill>
              <w14:schemeClr w14:val="tx1"/>
            </w14:solidFill>
          </w14:textFill>
        </w:rPr>
        <w:t>工程</w:t>
      </w:r>
    </w:p>
    <w:p w14:paraId="0C03F399">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选矿厂</w:t>
      </w:r>
      <w:r>
        <w:rPr>
          <w:rFonts w:hint="eastAsia"/>
          <w:color w:val="000000" w:themeColor="text1"/>
          <w:highlight w:val="none"/>
          <w14:textFill>
            <w14:solidFill>
              <w14:schemeClr w14:val="tx1"/>
            </w14:solidFill>
          </w14:textFill>
        </w:rPr>
        <w:t>选矿废水量为</w:t>
      </w:r>
      <w:r>
        <w:rPr>
          <w:rFonts w:hint="eastAsia"/>
          <w:color w:val="000000" w:themeColor="text1"/>
          <w:highlight w:val="none"/>
          <w:lang w:val="zh-CN"/>
          <w14:textFill>
            <w14:solidFill>
              <w14:schemeClr w14:val="tx1"/>
            </w14:solidFill>
          </w14:textFill>
        </w:rPr>
        <w:t>4371.4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131.14</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），选矿废水</w:t>
      </w:r>
      <w:r>
        <w:rPr>
          <w:color w:val="000000" w:themeColor="text1"/>
          <w:highlight w:val="none"/>
          <w14:textFill>
            <w14:solidFill>
              <w14:schemeClr w14:val="tx1"/>
            </w14:solidFill>
          </w14:textFill>
        </w:rPr>
        <w:t>主要污染</w:t>
      </w:r>
      <w:r>
        <w:rPr>
          <w:rFonts w:hint="eastAsia"/>
          <w:color w:val="000000" w:themeColor="text1"/>
          <w:highlight w:val="none"/>
          <w14:textFill>
            <w14:solidFill>
              <w14:schemeClr w14:val="tx1"/>
            </w14:solidFill>
          </w14:textFill>
        </w:rPr>
        <w:t>因子</w:t>
      </w:r>
      <w:r>
        <w:rPr>
          <w:color w:val="000000" w:themeColor="text1"/>
          <w:highlight w:val="none"/>
          <w14:textFill>
            <w14:solidFill>
              <w14:schemeClr w14:val="tx1"/>
            </w14:solidFill>
          </w14:textFill>
        </w:rPr>
        <w:t>为</w:t>
      </w:r>
      <w:r>
        <w:rPr>
          <w:rFonts w:hint="eastAsia"/>
          <w:color w:val="000000" w:themeColor="text1"/>
          <w:highlight w:val="none"/>
          <w14:textFill>
            <w14:solidFill>
              <w14:schemeClr w14:val="tx1"/>
            </w14:solidFill>
          </w14:textFill>
        </w:rPr>
        <w:t>pH、</w:t>
      </w:r>
      <w:r>
        <w:rPr>
          <w:color w:val="000000" w:themeColor="text1"/>
          <w:highlight w:val="none"/>
          <w14:textFill>
            <w14:solidFill>
              <w14:schemeClr w14:val="tx1"/>
            </w14:solidFill>
          </w14:textFill>
        </w:rPr>
        <w:t>SS。</w:t>
      </w:r>
      <w:r>
        <w:rPr>
          <w:rFonts w:hint="eastAsia"/>
          <w:color w:val="000000" w:themeColor="text1"/>
          <w:highlight w:val="none"/>
          <w14:textFill>
            <w14:solidFill>
              <w14:schemeClr w14:val="tx1"/>
            </w14:solidFill>
          </w14:textFill>
        </w:rPr>
        <w:t>选矿废水部分被铁精粉带走，精矿过滤水、尾矿浓缩压滤溢流水返回生产工序循环利用，尾矿库设有回水系统，使用水泵将库内澄清水通过管道泵送至选矿厂生产回水池，供选矿循环使用，实现生产废水零排放。</w:t>
      </w:r>
    </w:p>
    <w:p w14:paraId="136B0CCB">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选矿厂生活污水</w:t>
      </w:r>
      <w:r>
        <w:rPr>
          <w:rFonts w:hint="eastAsia"/>
          <w:color w:val="000000" w:themeColor="text1"/>
          <w:highlight w:val="none"/>
          <w14:textFill>
            <w14:solidFill>
              <w14:schemeClr w14:val="tx1"/>
            </w14:solidFill>
          </w14:textFill>
        </w:rPr>
        <w:t>量为</w:t>
      </w:r>
      <w:r>
        <w:rPr>
          <w:rFonts w:hint="eastAsia"/>
          <w:color w:val="000000" w:themeColor="text1"/>
          <w:highlight w:val="none"/>
          <w:lang w:val="en-US" w:eastAsia="zh-CN"/>
          <w14:textFill>
            <w14:solidFill>
              <w14:schemeClr w14:val="tx1"/>
            </w14:solidFill>
          </w14:textFill>
        </w:rPr>
        <w:t>4.25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1275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/a），主要污染物为COD、</w:t>
      </w: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r>
        <w:rPr>
          <w:rFonts w:hint="eastAsia"/>
          <w:color w:val="000000" w:themeColor="text1"/>
          <w:highlight w:val="none"/>
          <w14:textFill>
            <w14:solidFill>
              <w14:schemeClr w14:val="tx1"/>
            </w14:solidFill>
          </w14:textFill>
        </w:rPr>
        <w:t>、NH</w:t>
      </w:r>
      <w:r>
        <w:rPr>
          <w:rFonts w:hint="eastAsia"/>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-N，</w:t>
      </w:r>
      <w:r>
        <w:rPr>
          <w:color w:val="000000" w:themeColor="text1"/>
          <w:highlight w:val="none"/>
          <w14:textFill>
            <w14:solidFill>
              <w14:schemeClr w14:val="tx1"/>
            </w14:solidFill>
          </w14:textFill>
        </w:rPr>
        <w:t>生活污水通过下水管道进入</w:t>
      </w:r>
      <w:r>
        <w:rPr>
          <w:rFonts w:hint="eastAsia"/>
          <w:color w:val="000000" w:themeColor="text1"/>
          <w:highlight w:val="none"/>
          <w:lang w:val="en-US" w:eastAsia="zh-CN"/>
          <w14:textFill>
            <w14:solidFill>
              <w14:schemeClr w14:val="tx1"/>
            </w14:solidFill>
          </w14:textFill>
        </w:rPr>
        <w:t>地埋式一体化污水处理设施</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处理后全部通过管路输入选矿生产工序循环使用</w:t>
      </w:r>
      <w:r>
        <w:rPr>
          <w:rFonts w:hint="eastAsia"/>
          <w:color w:val="000000" w:themeColor="text1"/>
          <w:highlight w:val="none"/>
          <w:lang w:eastAsia="zh-CN"/>
          <w14:textFill>
            <w14:solidFill>
              <w14:schemeClr w14:val="tx1"/>
            </w14:solidFill>
          </w14:textFill>
        </w:rPr>
        <w:t>及绿化</w:t>
      </w:r>
      <w:r>
        <w:rPr>
          <w:color w:val="000000" w:themeColor="text1"/>
          <w:highlight w:val="none"/>
          <w14:textFill>
            <w14:solidFill>
              <w14:schemeClr w14:val="tx1"/>
            </w14:solidFill>
          </w14:textFill>
        </w:rPr>
        <w:t>，做到零排放</w:t>
      </w:r>
      <w:r>
        <w:rPr>
          <w:rFonts w:hint="eastAsia"/>
          <w:color w:val="000000" w:themeColor="text1"/>
          <w:highlight w:val="none"/>
          <w14:textFill>
            <w14:solidFill>
              <w14:schemeClr w14:val="tx1"/>
            </w14:solidFill>
          </w14:textFill>
        </w:rPr>
        <w:t>。</w:t>
      </w:r>
    </w:p>
    <w:p w14:paraId="22BBEEF6">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供热工程</w:t>
      </w:r>
    </w:p>
    <w:p w14:paraId="6075B2DE">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生产车间及辅助设施均设集中采暖，热源来自</w:t>
      </w:r>
      <w:r>
        <w:rPr>
          <w:rFonts w:hint="eastAsia"/>
          <w:color w:val="000000" w:themeColor="text1"/>
          <w:highlight w:val="none"/>
          <w:lang w:eastAsia="zh-CN"/>
          <w14:textFill>
            <w14:solidFill>
              <w14:schemeClr w14:val="tx1"/>
            </w14:solidFill>
          </w14:textFill>
        </w:rPr>
        <w:t>矿区</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t/h</w:t>
      </w:r>
      <w:r>
        <w:rPr>
          <w:rFonts w:hint="eastAsia"/>
          <w:color w:val="000000" w:themeColor="text1"/>
          <w:highlight w:val="none"/>
          <w:lang w:eastAsia="zh-CN"/>
          <w14:textFill>
            <w14:solidFill>
              <w14:schemeClr w14:val="tx1"/>
            </w14:solidFill>
          </w14:textFill>
        </w:rPr>
        <w:t>电</w:t>
      </w:r>
      <w:r>
        <w:rPr>
          <w:rFonts w:hint="eastAsia"/>
          <w:color w:val="000000" w:themeColor="text1"/>
          <w:highlight w:val="none"/>
          <w14:textFill>
            <w14:solidFill>
              <w14:schemeClr w14:val="tx1"/>
            </w14:solidFill>
          </w14:textFill>
        </w:rPr>
        <w:t>锅炉。</w:t>
      </w:r>
    </w:p>
    <w:p w14:paraId="5DAB1628">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（4）供电</w:t>
      </w:r>
      <w:r>
        <w:rPr>
          <w:rFonts w:hint="eastAsia"/>
          <w:color w:val="000000" w:themeColor="text1"/>
          <w:highlight w:val="none"/>
          <w14:textFill>
            <w14:solidFill>
              <w14:schemeClr w14:val="tx1"/>
            </w14:solidFill>
          </w14:textFill>
        </w:rPr>
        <w:t>工程</w:t>
      </w:r>
    </w:p>
    <w:p w14:paraId="117C0340">
      <w:pPr>
        <w:pStyle w:val="31"/>
        <w:spacing w:after="0"/>
        <w:ind w:left="0" w:leftChars="0" w:firstLine="48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矿区</w:t>
      </w:r>
      <w:r>
        <w:rPr>
          <w:rFonts w:hint="default" w:ascii="Times New Roman" w:hAnsi="Times New Roman" w:cs="Times New Roman"/>
          <w:color w:val="000000" w:themeColor="text1"/>
          <w:sz w:val="24"/>
          <w:highlight w:val="none"/>
          <w14:textFill>
            <w14:solidFill>
              <w14:schemeClr w14:val="tx1"/>
            </w14:solidFill>
          </w14:textFill>
        </w:rPr>
        <w:t>供电电源来自哈密市雅满苏变电所及35kV输电线路。选矿厂主厂房附近的变配电室内，变压器出口电压0.4kV</w:t>
      </w:r>
      <w:r>
        <w:rPr>
          <w:rFonts w:hint="default" w:ascii="Times New Roman" w:hAnsi="Times New Roman" w:cs="Times New Roman"/>
          <w:color w:val="000000" w:themeColor="text1"/>
          <w:sz w:val="24"/>
          <w:highlight w:val="none"/>
          <w:lang w:eastAsia="zh-CN"/>
          <w14:textFill>
            <w14:solidFill>
              <w14:schemeClr w14:val="tx1"/>
            </w14:solidFill>
          </w14:textFill>
        </w:rPr>
        <w:t>。</w:t>
      </w:r>
    </w:p>
    <w:p w14:paraId="7A6CAE7E">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t>5现有工程</w:t>
      </w:r>
      <w:r>
        <w:rPr>
          <w:rFonts w:hint="eastAsia"/>
          <w:color w:val="000000" w:themeColor="text1"/>
          <w:highlight w:val="none"/>
          <w14:textFill>
            <w14:solidFill>
              <w14:schemeClr w14:val="tx1"/>
            </w14:solidFill>
          </w14:textFill>
        </w:rPr>
        <w:t>总平面布置</w:t>
      </w:r>
      <w:bookmarkEnd w:id="363"/>
      <w:bookmarkEnd w:id="364"/>
      <w:bookmarkEnd w:id="365"/>
    </w:p>
    <w:p w14:paraId="4E6D1634">
      <w:pPr>
        <w:pStyle w:val="5"/>
        <w:tabs>
          <w:tab w:val="left" w:pos="2041"/>
          <w:tab w:val="left" w:pos="3402"/>
        </w:tabs>
        <w:ind w:firstLine="482" w:firstLineChars="20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3.1.</w:t>
      </w:r>
      <w:r>
        <w:rPr>
          <w:bCs/>
          <w:color w:val="000000" w:themeColor="text1"/>
          <w:highlight w:val="none"/>
          <w14:textFill>
            <w14:solidFill>
              <w14:schemeClr w14:val="tx1"/>
            </w14:solidFill>
          </w14:textFill>
        </w:rPr>
        <w:t>5</w:t>
      </w:r>
      <w:r>
        <w:rPr>
          <w:rFonts w:hint="eastAsia"/>
          <w:bCs/>
          <w:color w:val="000000" w:themeColor="text1"/>
          <w:highlight w:val="none"/>
          <w14:textFill>
            <w14:solidFill>
              <w14:schemeClr w14:val="tx1"/>
            </w14:solidFill>
          </w14:textFill>
        </w:rPr>
        <w:t>.1设施组成</w:t>
      </w:r>
    </w:p>
    <w:p w14:paraId="28AF0583">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现有</w:t>
      </w:r>
      <w:r>
        <w:rPr>
          <w:rFonts w:hint="eastAsia"/>
          <w:color w:val="000000" w:themeColor="text1"/>
          <w:highlight w:val="none"/>
          <w14:textFill>
            <w14:solidFill>
              <w14:schemeClr w14:val="tx1"/>
            </w14:solidFill>
          </w14:textFill>
        </w:rPr>
        <w:t>选矿工程地表设施主要由选矿厂、尾矿库、办公生活区三部分组成，并包括配套的水源和总降压变电所、锅炉房等设施。</w:t>
      </w:r>
      <w:r>
        <w:rPr>
          <w:rFonts w:hint="eastAsia" w:ascii="宋体" w:hAnsi="宋体"/>
          <w:color w:val="000000" w:themeColor="text1"/>
          <w:highlight w:val="none"/>
          <w14:textFill>
            <w14:solidFill>
              <w14:schemeClr w14:val="tx1"/>
            </w14:solidFill>
          </w14:textFill>
        </w:rPr>
        <w:t>选矿厂区由磨矿仓、选矿主厂房、过滤及精矿仓等主要车间组成，另外还有转运站、皮带通廊等设施组成。为减少运输成本，矿石在矿山开采后直接进行破碎，破碎后的粉矿采用汽车运输至选矿厂磨矿仓现场。</w:t>
      </w:r>
    </w:p>
    <w:p w14:paraId="44941F07">
      <w:pPr>
        <w:pStyle w:val="5"/>
        <w:tabs>
          <w:tab w:val="left" w:pos="2041"/>
          <w:tab w:val="left" w:pos="3402"/>
        </w:tabs>
        <w:ind w:firstLine="482" w:firstLineChars="20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3.1.</w:t>
      </w:r>
      <w:r>
        <w:rPr>
          <w:bCs/>
          <w:color w:val="000000" w:themeColor="text1"/>
          <w:highlight w:val="none"/>
          <w14:textFill>
            <w14:solidFill>
              <w14:schemeClr w14:val="tx1"/>
            </w14:solidFill>
          </w14:textFill>
        </w:rPr>
        <w:t>5</w:t>
      </w:r>
      <w:r>
        <w:rPr>
          <w:rFonts w:hint="eastAsia"/>
          <w:bCs/>
          <w:color w:val="000000" w:themeColor="text1"/>
          <w:highlight w:val="none"/>
          <w14:textFill>
            <w14:solidFill>
              <w14:schemeClr w14:val="tx1"/>
            </w14:solidFill>
          </w14:textFill>
        </w:rPr>
        <w:t>.2总体布局</w:t>
      </w:r>
    </w:p>
    <w:p w14:paraId="1E0939FD">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选矿厂位于矿区西北侧，总占地面积</w:t>
      </w:r>
      <w:r>
        <w:rPr>
          <w:rFonts w:hint="eastAsia"/>
          <w:color w:val="000000" w:themeColor="text1"/>
          <w:highlight w:val="none"/>
          <w:lang w:val="en-US" w:eastAsia="zh-CN"/>
          <w14:textFill>
            <w14:solidFill>
              <w14:schemeClr w14:val="tx1"/>
            </w14:solidFill>
          </w14:textFill>
        </w:rPr>
        <w:t>9hm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主要包括选厂办公室、原矿堆料场及原矿仓、破碎厂房、筛分厂房、磨矿磁选厂房、浓缩脱水厂房、带式输送机通廊、仓库、机修间、电修间、高位回水池、材料备品库、堆矿场等。其中：选厂办公室、主厂房及主要附属设施等建筑结构为混凝土结构，建筑高度3.5-18</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14:textFill>
            <w14:solidFill>
              <w14:schemeClr w14:val="tx1"/>
            </w14:solidFill>
          </w14:textFill>
        </w:rPr>
        <w:t>；传送带通廊为彩钢结构</w:t>
      </w:r>
      <w:r>
        <w:rPr>
          <w:rFonts w:hint="eastAsia"/>
          <w:color w:val="000000" w:themeColor="text1"/>
          <w:highlight w:val="none"/>
          <w:lang w:eastAsia="zh-CN"/>
          <w14:textFill>
            <w14:solidFill>
              <w14:schemeClr w14:val="tx1"/>
            </w14:solidFill>
          </w14:textFill>
        </w:rPr>
        <w:t>。</w:t>
      </w:r>
      <w:r>
        <w:rPr>
          <w:rFonts w:hint="eastAsia" w:cs="Times New Roman"/>
          <w:color w:val="000000" w:themeColor="text1"/>
          <w:szCs w:val="24"/>
          <w:highlight w:val="none"/>
          <w:lang w:eastAsia="zh-CN"/>
          <w14:textFill>
            <w14:solidFill>
              <w14:schemeClr w14:val="tx1"/>
            </w14:solidFill>
          </w14:textFill>
        </w:rPr>
        <w:t>现有选矿厂设有两座尾矿库，位于选矿车间西侧</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办公生活区位于选矿厂南侧界内平坦地带。占地面积约1.16</w:t>
      </w:r>
      <w:r>
        <w:rPr>
          <w:rFonts w:hint="eastAsia"/>
          <w:color w:val="000000" w:themeColor="text1"/>
          <w:highlight w:val="none"/>
          <w:lang w:val="en-US" w:eastAsia="zh-CN"/>
          <w14:textFill>
            <w14:solidFill>
              <w14:schemeClr w14:val="tx1"/>
            </w14:solidFill>
          </w14:textFill>
        </w:rPr>
        <w:t>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，包括办公楼、职工宿舍、食堂、澡堂、厕所等，建筑结构为1层砖混结构以及1层板房，办公生活区地面为水泥硬化，建筑面积约1700</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w:t>
      </w:r>
    </w:p>
    <w:p w14:paraId="14724E81">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选矿厂平面布置见图3.1-</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w:t>
      </w:r>
    </w:p>
    <w:p w14:paraId="015887EB">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p>
    <w:p w14:paraId="4FB9599D">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p>
    <w:p w14:paraId="4DB22B8C">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p>
    <w:p w14:paraId="10E8EE13">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p>
    <w:p w14:paraId="42C0BB40">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p>
    <w:p w14:paraId="7C83FB4F">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p>
    <w:p w14:paraId="7DCF06F4">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p>
    <w:p w14:paraId="1CCA87EB">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p>
    <w:p w14:paraId="1C7847DE">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p>
    <w:p w14:paraId="6303A184">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p>
    <w:p w14:paraId="43DB5312">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p>
    <w:p w14:paraId="3EF03F91">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p>
    <w:p w14:paraId="430E7560">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p>
    <w:p w14:paraId="13393198">
      <w:pPr>
        <w:spacing w:line="240" w:lineRule="auto"/>
        <w:ind w:firstLine="0" w:firstLineChars="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图3.1-</w:t>
      </w:r>
      <w:r>
        <w:rPr>
          <w:rFonts w:hint="eastAsia"/>
          <w:b/>
          <w:bCs/>
          <w:color w:val="000000" w:themeColor="text1"/>
          <w:highlight w:val="none"/>
          <w:lang w:val="en-US" w:eastAsia="zh-CN"/>
          <w14:textFill>
            <w14:solidFill>
              <w14:schemeClr w14:val="tx1"/>
            </w14:solidFill>
          </w14:textFill>
        </w:rPr>
        <w:t>1</w:t>
      </w:r>
      <w:r>
        <w:rPr>
          <w:rFonts w:hint="eastAsia"/>
          <w:b/>
          <w:bCs/>
          <w:color w:val="000000" w:themeColor="text1"/>
          <w:highlight w:val="none"/>
          <w14:textFill>
            <w14:solidFill>
              <w14:schemeClr w14:val="tx1"/>
            </w14:solidFill>
          </w14:textFill>
        </w:rPr>
        <w:t xml:space="preserve">    </w:t>
      </w:r>
      <w:r>
        <w:rPr>
          <w:rFonts w:hint="eastAsia"/>
          <w:b/>
          <w:bCs/>
          <w:color w:val="000000" w:themeColor="text1"/>
          <w:highlight w:val="none"/>
          <w:lang w:val="en-US" w:eastAsia="zh-CN"/>
          <w14:textFill>
            <w14:solidFill>
              <w14:schemeClr w14:val="tx1"/>
            </w14:solidFill>
          </w14:textFill>
        </w:rPr>
        <w:t>现有</w:t>
      </w:r>
      <w:r>
        <w:rPr>
          <w:rFonts w:hint="eastAsia"/>
          <w:b/>
          <w:bCs/>
          <w:color w:val="000000" w:themeColor="text1"/>
          <w:highlight w:val="none"/>
          <w14:textFill>
            <w14:solidFill>
              <w14:schemeClr w14:val="tx1"/>
            </w14:solidFill>
          </w14:textFill>
        </w:rPr>
        <w:t>选矿厂平面布置示意图</w:t>
      </w:r>
    </w:p>
    <w:p w14:paraId="422D7AA7">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现有选矿厂及</w:t>
      </w:r>
      <w:r>
        <w:rPr>
          <w:rFonts w:hint="eastAsia"/>
          <w:color w:val="000000" w:themeColor="text1"/>
          <w:highlight w:val="none"/>
          <w:lang w:eastAsia="zh-CN"/>
          <w14:textFill>
            <w14:solidFill>
              <w14:schemeClr w14:val="tx1"/>
            </w14:solidFill>
          </w14:textFill>
        </w:rPr>
        <w:t>尾矿库</w:t>
      </w:r>
      <w:r>
        <w:rPr>
          <w:rFonts w:hint="eastAsia"/>
          <w:color w:val="000000" w:themeColor="text1"/>
          <w:highlight w:val="none"/>
          <w14:textFill>
            <w14:solidFill>
              <w14:schemeClr w14:val="tx1"/>
            </w14:solidFill>
          </w14:textFill>
        </w:rPr>
        <w:t>现状见下图。</w:t>
      </w:r>
    </w:p>
    <w:tbl>
      <w:tblPr>
        <w:tblStyle w:val="33"/>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3"/>
        <w:gridCol w:w="4351"/>
      </w:tblGrid>
      <w:tr w14:paraId="1A07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3" w:type="dxa"/>
          </w:tcPr>
          <w:p w14:paraId="36B4770C">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tc>
        <w:tc>
          <w:tcPr>
            <w:tcW w:w="4351" w:type="dxa"/>
          </w:tcPr>
          <w:p w14:paraId="64D19E7A">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642DD5DC">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299C21AB">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58247A5D">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1FADC1E1">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7755794C">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639E64B3">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6238BF20">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2952F0DE">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0D1BCA43">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tc>
      </w:tr>
      <w:tr w14:paraId="52C2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3" w:type="dxa"/>
            <w:vAlign w:val="center"/>
          </w:tcPr>
          <w:p w14:paraId="094AAE1D">
            <w:pPr>
              <w:spacing w:line="240" w:lineRule="auto"/>
              <w:ind w:firstLine="0" w:firstLineChars="0"/>
              <w:jc w:val="center"/>
              <w:rPr>
                <w:rFonts w:hint="eastAsia" w:ascii="Calibri" w:hAnsi="Calibri" w:eastAsia="宋体" w:cs="Calibri"/>
                <w:color w:val="000000" w:themeColor="text1"/>
                <w:kern w:val="0"/>
                <w:szCs w:val="21"/>
                <w:highlight w:val="none"/>
                <w:lang w:eastAsia="zh-CN"/>
                <w14:textFill>
                  <w14:solidFill>
                    <w14:schemeClr w14:val="tx1"/>
                  </w14:solidFill>
                </w14:textFill>
              </w:rPr>
            </w:pPr>
            <w:r>
              <w:rPr>
                <w:rFonts w:hint="eastAsia" w:ascii="Calibri" w:hAnsi="Calibri" w:cs="Calibri"/>
                <w:color w:val="000000" w:themeColor="text1"/>
                <w:kern w:val="0"/>
                <w:szCs w:val="21"/>
                <w:highlight w:val="none"/>
                <w:lang w:eastAsia="zh-CN"/>
                <w14:textFill>
                  <w14:solidFill>
                    <w14:schemeClr w14:val="tx1"/>
                  </w14:solidFill>
                </w14:textFill>
              </w:rPr>
              <w:t>现有</w:t>
            </w:r>
            <w:r>
              <w:rPr>
                <w:rFonts w:hint="eastAsia" w:ascii="Calibri" w:hAnsi="Calibri" w:cs="Calibri"/>
                <w:color w:val="000000" w:themeColor="text1"/>
                <w:kern w:val="0"/>
                <w:szCs w:val="21"/>
                <w:highlight w:val="none"/>
                <w14:textFill>
                  <w14:solidFill>
                    <w14:schemeClr w14:val="tx1"/>
                  </w14:solidFill>
                </w14:textFill>
              </w:rPr>
              <w:t>选矿厂</w:t>
            </w:r>
            <w:r>
              <w:rPr>
                <w:rFonts w:hint="eastAsia" w:ascii="Calibri" w:hAnsi="Calibri" w:cs="Calibri"/>
                <w:color w:val="000000" w:themeColor="text1"/>
                <w:kern w:val="0"/>
                <w:szCs w:val="21"/>
                <w:highlight w:val="none"/>
                <w:lang w:eastAsia="zh-CN"/>
                <w14:textFill>
                  <w14:solidFill>
                    <w14:schemeClr w14:val="tx1"/>
                  </w14:solidFill>
                </w14:textFill>
              </w:rPr>
              <w:t>磨选车间</w:t>
            </w:r>
          </w:p>
        </w:tc>
        <w:tc>
          <w:tcPr>
            <w:tcW w:w="4351" w:type="dxa"/>
            <w:vAlign w:val="center"/>
          </w:tcPr>
          <w:p w14:paraId="71513B3C">
            <w:pPr>
              <w:spacing w:line="240" w:lineRule="auto"/>
              <w:ind w:firstLine="0" w:firstLineChars="0"/>
              <w:jc w:val="center"/>
              <w:rPr>
                <w:rFonts w:hint="eastAsia" w:ascii="Calibri" w:hAnsi="Calibri" w:eastAsia="宋体" w:cs="Calibri"/>
                <w:color w:val="000000" w:themeColor="text1"/>
                <w:kern w:val="0"/>
                <w:szCs w:val="21"/>
                <w:highlight w:val="none"/>
                <w:lang w:eastAsia="zh-CN"/>
                <w14:textFill>
                  <w14:solidFill>
                    <w14:schemeClr w14:val="tx1"/>
                  </w14:solidFill>
                </w14:textFill>
              </w:rPr>
            </w:pPr>
            <w:r>
              <w:rPr>
                <w:rFonts w:hint="eastAsia" w:ascii="Calibri" w:hAnsi="Calibri" w:cs="Calibri"/>
                <w:color w:val="000000" w:themeColor="text1"/>
                <w:kern w:val="0"/>
                <w:szCs w:val="21"/>
                <w:highlight w:val="none"/>
                <w:lang w:eastAsia="zh-CN"/>
                <w14:textFill>
                  <w14:solidFill>
                    <w14:schemeClr w14:val="tx1"/>
                  </w14:solidFill>
                </w14:textFill>
              </w:rPr>
              <w:t>现有生活区</w:t>
            </w:r>
          </w:p>
        </w:tc>
      </w:tr>
    </w:tbl>
    <w:p w14:paraId="04FF59F0">
      <w:pPr>
        <w:ind w:firstLine="0" w:firstLineChars="0"/>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图3.1-</w:t>
      </w:r>
      <w:r>
        <w:rPr>
          <w:rFonts w:hint="eastAsia"/>
          <w:b/>
          <w:color w:val="000000" w:themeColor="text1"/>
          <w:highlight w:val="none"/>
          <w:lang w:val="en-US" w:eastAsia="zh-CN"/>
          <w14:textFill>
            <w14:solidFill>
              <w14:schemeClr w14:val="tx1"/>
            </w14:solidFill>
          </w14:textFill>
        </w:rPr>
        <w:t>2</w:t>
      </w:r>
      <w:r>
        <w:rPr>
          <w:rFonts w:hint="eastAsia"/>
          <w:b/>
          <w:color w:val="000000" w:themeColor="text1"/>
          <w:highlight w:val="none"/>
          <w14:textFill>
            <w14:solidFill>
              <w14:schemeClr w14:val="tx1"/>
            </w14:solidFill>
          </w14:textFill>
        </w:rPr>
        <w:t xml:space="preserve">    现有选矿厂现状图</w:t>
      </w:r>
    </w:p>
    <w:p w14:paraId="07D53E94">
      <w:pPr>
        <w:pStyle w:val="4"/>
        <w:rPr>
          <w:color w:val="000000" w:themeColor="text1"/>
          <w:highlight w:val="none"/>
          <w14:textFill>
            <w14:solidFill>
              <w14:schemeClr w14:val="tx1"/>
            </w14:solidFill>
          </w14:textFill>
        </w:rPr>
      </w:pPr>
      <w:bookmarkStart w:id="366" w:name="_Toc22484"/>
      <w:bookmarkStart w:id="367" w:name="_Toc10999"/>
      <w:bookmarkStart w:id="368" w:name="_Toc3117"/>
      <w:r>
        <w:rPr>
          <w:rFonts w:hint="eastAsia"/>
          <w:color w:val="000000" w:themeColor="text1"/>
          <w:highlight w:val="none"/>
          <w14:textFill>
            <w14:solidFill>
              <w14:schemeClr w14:val="tx1"/>
            </w14:solidFill>
          </w14:textFill>
        </w:rPr>
        <w:t>3.1.6现有工程工艺流程</w:t>
      </w:r>
      <w:bookmarkEnd w:id="366"/>
      <w:bookmarkEnd w:id="367"/>
      <w:bookmarkEnd w:id="368"/>
    </w:p>
    <w:p w14:paraId="1E3BCF7C">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3.1.6.1选矿工艺</w:t>
      </w:r>
    </w:p>
    <w:p w14:paraId="4DFC7201">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选矿工程由破碎生产线、</w:t>
      </w:r>
      <w:r>
        <w:rPr>
          <w:rFonts w:hint="eastAsia"/>
          <w:color w:val="000000" w:themeColor="text1"/>
          <w:highlight w:val="none"/>
          <w:lang w:eastAsia="zh-CN"/>
          <w14:textFill>
            <w14:solidFill>
              <w14:schemeClr w14:val="tx1"/>
            </w14:solidFill>
          </w14:textFill>
        </w:rPr>
        <w:t>磨矿分级系统</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磁选系统</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精矿及尾矿脱水</w:t>
      </w:r>
      <w:r>
        <w:rPr>
          <w:rFonts w:hint="eastAsia"/>
          <w:color w:val="000000" w:themeColor="text1"/>
          <w:highlight w:val="none"/>
          <w14:textFill>
            <w14:solidFill>
              <w14:schemeClr w14:val="tx1"/>
            </w14:solidFill>
          </w14:textFill>
        </w:rPr>
        <w:t>等主要</w:t>
      </w:r>
      <w:r>
        <w:rPr>
          <w:rFonts w:hint="eastAsia"/>
          <w:color w:val="000000" w:themeColor="text1"/>
          <w:highlight w:val="none"/>
          <w:lang w:eastAsia="zh-CN"/>
          <w14:textFill>
            <w14:solidFill>
              <w14:schemeClr w14:val="tx1"/>
            </w14:solidFill>
          </w14:textFill>
        </w:rPr>
        <w:t>工序</w:t>
      </w:r>
      <w:r>
        <w:rPr>
          <w:rFonts w:hint="eastAsia"/>
          <w:color w:val="000000" w:themeColor="text1"/>
          <w:highlight w:val="none"/>
          <w14:textFill>
            <w14:solidFill>
              <w14:schemeClr w14:val="tx1"/>
            </w14:solidFill>
          </w14:textFill>
        </w:rPr>
        <w:t>组成。</w:t>
      </w:r>
    </w:p>
    <w:p w14:paraId="12269E73">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工艺设备：</w:t>
      </w:r>
    </w:p>
    <w:p w14:paraId="6B754AAB">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（1）破碎工艺</w:t>
      </w:r>
    </w:p>
    <w:p w14:paraId="3A0C1FB5">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破碎作业采用三段闭路破碎流程。分为</w:t>
      </w:r>
      <w:r>
        <w:rPr>
          <w:rFonts w:hint="eastAsia"/>
          <w:color w:val="000000" w:themeColor="text1"/>
          <w:highlight w:val="none"/>
          <w:lang w:val="en-US" w:eastAsia="zh-CN"/>
          <w14:textFill>
            <w14:solidFill>
              <w14:schemeClr w14:val="tx1"/>
            </w14:solidFill>
          </w14:textFill>
        </w:rPr>
        <w:t>两</w:t>
      </w:r>
      <w:r>
        <w:rPr>
          <w:color w:val="000000" w:themeColor="text1"/>
          <w:highlight w:val="none"/>
          <w14:textFill>
            <w14:solidFill>
              <w14:schemeClr w14:val="tx1"/>
            </w14:solidFill>
          </w14:textFill>
        </w:rPr>
        <w:t>个系列，每个系列设备相同，粗碎为2台PE600×900颚式破碎机，中碎为2台PYB1200标准型圆锥破碎机，细碎为2台PYB1750短头型圆锥破碎机，筛分为2台YA1836园振筛。最大给矿粒度500mm，破碎产品粒度0</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12mm。</w:t>
      </w:r>
    </w:p>
    <w:p w14:paraId="5B88F233">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（2）磨矿</w:t>
      </w:r>
      <w:r>
        <w:rPr>
          <w:rFonts w:hint="eastAsia"/>
          <w:color w:val="000000" w:themeColor="text1"/>
          <w:highlight w:val="none"/>
          <w:lang w:eastAsia="zh-CN"/>
          <w14:textFill>
            <w14:solidFill>
              <w14:schemeClr w14:val="tx1"/>
            </w14:solidFill>
          </w14:textFill>
        </w:rPr>
        <w:t>分级</w:t>
      </w:r>
      <w:r>
        <w:rPr>
          <w:rFonts w:hint="eastAsia"/>
          <w:color w:val="000000" w:themeColor="text1"/>
          <w:highlight w:val="none"/>
          <w14:textFill>
            <w14:solidFill>
              <w14:schemeClr w14:val="tx1"/>
            </w14:solidFill>
          </w14:textFill>
        </w:rPr>
        <w:t>工艺</w:t>
      </w:r>
    </w:p>
    <w:p w14:paraId="2E17D57A">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磨矿分级流程分为两个系列，采用两段连续磨矿、粗精矿再磨再选的工艺流程。</w:t>
      </w:r>
    </w:p>
    <w:p w14:paraId="555E3AA3">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磨矿流程一个系列为：第一段MQG2700×2000球磨机，与FG-20单螺旋分级机构成闭路磨矿，磨矿细度-200目60%，第二段MQG2700×2000球磨机，与四台2424高频细筛构成闭路磨矿，磨矿细度-200目90%。</w:t>
      </w:r>
    </w:p>
    <w:p w14:paraId="3CFD85F9">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磨矿流程另一个系列为</w:t>
      </w:r>
      <w:r>
        <w:rPr>
          <w:rFonts w:hint="eastAsia"/>
          <w:color w:val="000000" w:themeColor="text1"/>
          <w:highlight w:val="none"/>
          <w:lang w:eastAsia="zh-CN"/>
          <w14:textFill>
            <w14:solidFill>
              <w14:schemeClr w14:val="tx1"/>
            </w14:solidFill>
          </w14:textFill>
        </w:rPr>
        <w:t>：</w:t>
      </w:r>
      <w:r>
        <w:rPr>
          <w:rFonts w:hint="eastAsia" w:eastAsia="宋体"/>
          <w:color w:val="000000" w:themeColor="text1"/>
          <w:highlight w:val="none"/>
          <w:lang w:eastAsia="zh-CN"/>
          <w14:textFill>
            <w14:solidFill>
              <w14:schemeClr w14:val="tx1"/>
            </w14:solidFill>
          </w14:textFill>
        </w:rPr>
        <w:t>第一段MQG2100×4000球磨机，与FG-20单螺旋分级机构成闭路磨矿，磨矿细度-200目60%，第二段MQG2100×4000球磨机，与2台2424高频细筛构成闭路磨矿，磨矿细度-200目90%。</w:t>
      </w:r>
    </w:p>
    <w:p w14:paraId="3B6C53C2">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粗精矿再磨采用MQG2400×6000球磨机（磨矿介质为钢锻），与高频2台2424细筛构成闭路磨矿，磨矿细度-325目95%。</w:t>
      </w:r>
    </w:p>
    <w:p w14:paraId="4C77A0B4">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）磁选工艺</w:t>
      </w:r>
    </w:p>
    <w:p w14:paraId="4B644522">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磁选流程分为两个系列，采用一粗、一扫，粗精矿再磨后两次精选的工艺流程。</w:t>
      </w:r>
    </w:p>
    <w:p w14:paraId="0144ABA9">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磁选分为两个系列相同，一段磁选CTB1024两台，二段磁选CTB1230两台，精矿再磨磨机给矿设CTB1230浓缩磁选两台，粗精矿再磨后一次精选CTB1230两台，二次精选CTB1016两台。</w:t>
      </w:r>
    </w:p>
    <w:p w14:paraId="1EF973E3">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）精矿产品脱水</w:t>
      </w:r>
    </w:p>
    <w:p w14:paraId="6B9212CA">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因为比重大，沉淀速度快，透水性能好，采用84平方圆盘过滤机脱水。</w:t>
      </w:r>
    </w:p>
    <w:p w14:paraId="3FA22627">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）尾矿脱水</w:t>
      </w:r>
    </w:p>
    <w:p w14:paraId="2289F04E">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尾矿输送至尾矿脱水55米浓密机，经浓密后，底流进入尾矿库堆存。</w:t>
      </w:r>
    </w:p>
    <w:p w14:paraId="75DB644E">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工艺流程：</w:t>
      </w:r>
    </w:p>
    <w:p w14:paraId="68B69A20">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矿石由矿山运到选矿厂后，倒入原矿仓，进入颚式破碎机进行粗碎。粗碎产品经No.1胶带输送机给入中碎圆锥破碎机，中碎圆锥破碎机经No.2胶带输送机给入筛分，筛上产品经No.3皮带运输机细碎圆锥破碎机，筛下产品经胶带输送机干选甩尾后输送到粉矿仓。</w:t>
      </w:r>
    </w:p>
    <w:p w14:paraId="78F6CBE5">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粉矿仓内原矿经B=500胶带运输机皮带给入一段球磨机，一段球磨机与单螺旋分级机构成闭路磨矿，分级机溢流产品给入高频筛，高频筛筛上返回分级机，筛下进入一次粗选，粗选粗精矿进入二段磨矿，尾矿排入尾矿库。</w:t>
      </w:r>
    </w:p>
    <w:p w14:paraId="5ABD5CAD">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二段磨矿排矿产品进入二次粗选，粗精矿进入高频筛，筛下产品进入一次精选，粗精矿进入粗精矿再磨，粗精矿再磨产品经2次精选，精矿产品进入过滤机过滤。</w:t>
      </w:r>
    </w:p>
    <w:p w14:paraId="2515CDF8">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一次精选、二次精选和二次粗选的尾矿经高频筛分级，筛上产品进入粗精矿再磨磨机，筛下产品进入圆筒过滤机浓缩脱泥后进入二次精选，精矿进入过滤机，尾矿返回粗精矿再磨。</w:t>
      </w:r>
    </w:p>
    <w:p w14:paraId="3AE7B85E">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3.1.6.2尾矿库</w:t>
      </w:r>
    </w:p>
    <w:p w14:paraId="7E9FB20A">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尾矿的堆存方式采用尾矿浓缩后直接排放到尾矿库。</w:t>
      </w:r>
      <w:r>
        <w:rPr>
          <w:rFonts w:hint="eastAsia" w:cs="Times New Roman"/>
          <w:color w:val="000000" w:themeColor="text1"/>
          <w:szCs w:val="24"/>
          <w:highlight w:val="none"/>
          <w:lang w:eastAsia="zh-CN"/>
          <w14:textFill>
            <w14:solidFill>
              <w14:schemeClr w14:val="tx1"/>
            </w14:solidFill>
          </w14:textFill>
        </w:rPr>
        <w:t>现有选矿厂设有两个尾矿库，位于选矿车间西侧，容积为</w:t>
      </w:r>
      <w:r>
        <w:rPr>
          <w:rFonts w:hint="eastAsia" w:cs="Times New Roman"/>
          <w:color w:val="000000" w:themeColor="text1"/>
          <w:szCs w:val="24"/>
          <w:highlight w:val="none"/>
          <w:lang w:val="en-US" w:eastAsia="zh-CN"/>
          <w14:textFill>
            <w14:solidFill>
              <w14:schemeClr w14:val="tx1"/>
            </w14:solidFill>
          </w14:textFill>
        </w:rPr>
        <w:t>8万m</w:t>
      </w:r>
      <w:r>
        <w:rPr>
          <w:rFonts w:hint="eastAsia" w:cs="Times New Roman"/>
          <w:color w:val="000000" w:themeColor="text1"/>
          <w:szCs w:val="24"/>
          <w:highlight w:val="none"/>
          <w:vertAlign w:val="superscript"/>
          <w:lang w:val="en-US" w:eastAsia="zh-CN"/>
          <w14:textFill>
            <w14:solidFill>
              <w14:schemeClr w14:val="tx1"/>
            </w14:solidFill>
          </w14:textFill>
        </w:rPr>
        <w:t>3</w:t>
      </w:r>
      <w:r>
        <w:rPr>
          <w:rFonts w:hint="eastAsia" w:cs="Times New Roman"/>
          <w:color w:val="000000" w:themeColor="text1"/>
          <w:szCs w:val="24"/>
          <w:highlight w:val="none"/>
          <w:lang w:val="en-US" w:eastAsia="zh-CN"/>
          <w14:textFill>
            <w14:solidFill>
              <w14:schemeClr w14:val="tx1"/>
            </w14:solidFill>
          </w14:textFill>
        </w:rPr>
        <w:t>的1号</w:t>
      </w:r>
      <w:r>
        <w:rPr>
          <w:rFonts w:hint="eastAsia" w:cs="Times New Roman"/>
          <w:color w:val="000000" w:themeColor="text1"/>
          <w:szCs w:val="24"/>
          <w:highlight w:val="none"/>
          <w:lang w:eastAsia="zh-CN"/>
          <w14:textFill>
            <w14:solidFill>
              <w14:schemeClr w14:val="tx1"/>
            </w14:solidFill>
          </w14:textFill>
        </w:rPr>
        <w:t>尾矿库修建于</w:t>
      </w:r>
      <w:r>
        <w:rPr>
          <w:rFonts w:hint="eastAsia" w:cs="Times New Roman"/>
          <w:color w:val="000000" w:themeColor="text1"/>
          <w:szCs w:val="24"/>
          <w:highlight w:val="none"/>
          <w:lang w:val="en-US" w:eastAsia="zh-CN"/>
          <w14:textFill>
            <w14:solidFill>
              <w14:schemeClr w14:val="tx1"/>
            </w14:solidFill>
          </w14:textFill>
        </w:rPr>
        <w:t>2004年，服务年限为5a，目前已堆存尾矿量</w:t>
      </w:r>
      <w:r>
        <w:rPr>
          <w:rStyle w:val="82"/>
          <w:rFonts w:hint="eastAsia" w:cs="Times New Roman"/>
          <w:color w:val="000000" w:themeColor="text1"/>
          <w:lang w:val="en-US"/>
          <w14:textFill>
            <w14:solidFill>
              <w14:schemeClr w14:val="tx1"/>
            </w14:solidFill>
          </w14:textFill>
        </w:rPr>
        <w:t>约0.8</w:t>
      </w:r>
      <w:r>
        <w:rPr>
          <w:rStyle w:val="82"/>
          <w:rFonts w:hint="eastAsia" w:ascii="Times New Roman" w:hAnsi="Times New Roman" w:eastAsia="宋体" w:cs="Times New Roman"/>
          <w:color w:val="000000" w:themeColor="text1"/>
          <w14:textFill>
            <w14:solidFill>
              <w14:schemeClr w14:val="tx1"/>
            </w14:solidFill>
          </w14:textFill>
        </w:rPr>
        <w:t>万m</w:t>
      </w:r>
      <w:r>
        <w:rPr>
          <w:rStyle w:val="82"/>
          <w:rFonts w:hint="eastAsia" w:ascii="Times New Roman" w:hAnsi="Times New Roman" w:eastAsia="宋体" w:cs="Times New Roman"/>
          <w:color w:val="000000" w:themeColor="text1"/>
          <w:vertAlign w:val="superscript"/>
          <w14:textFill>
            <w14:solidFill>
              <w14:schemeClr w14:val="tx1"/>
            </w14:solidFill>
          </w14:textFill>
        </w:rPr>
        <w:t>3</w:t>
      </w:r>
      <w:r>
        <w:rPr>
          <w:rFonts w:hint="eastAsia" w:cs="Times New Roman"/>
          <w:color w:val="000000" w:themeColor="text1"/>
          <w:szCs w:val="24"/>
          <w:highlight w:val="none"/>
          <w:lang w:val="en-US" w:eastAsia="zh-CN"/>
          <w14:textFill>
            <w14:solidFill>
              <w14:schemeClr w14:val="tx1"/>
            </w14:solidFill>
          </w14:textFill>
        </w:rPr>
        <w:t>；容积为25万m</w:t>
      </w:r>
      <w:r>
        <w:rPr>
          <w:rFonts w:hint="eastAsia" w:cs="Times New Roman"/>
          <w:color w:val="000000" w:themeColor="text1"/>
          <w:szCs w:val="24"/>
          <w:highlight w:val="none"/>
          <w:vertAlign w:val="superscript"/>
          <w:lang w:val="en-US" w:eastAsia="zh-CN"/>
          <w14:textFill>
            <w14:solidFill>
              <w14:schemeClr w14:val="tx1"/>
            </w14:solidFill>
          </w14:textFill>
        </w:rPr>
        <w:t>3</w:t>
      </w:r>
      <w:r>
        <w:rPr>
          <w:rFonts w:hint="eastAsia" w:cs="Times New Roman"/>
          <w:color w:val="000000" w:themeColor="text1"/>
          <w:szCs w:val="24"/>
          <w:highlight w:val="none"/>
          <w:lang w:val="en-US" w:eastAsia="zh-CN"/>
          <w14:textFill>
            <w14:solidFill>
              <w14:schemeClr w14:val="tx1"/>
            </w14:solidFill>
          </w14:textFill>
        </w:rPr>
        <w:t>的2号</w:t>
      </w:r>
      <w:r>
        <w:rPr>
          <w:rFonts w:hint="eastAsia" w:cs="Times New Roman"/>
          <w:color w:val="000000" w:themeColor="text1"/>
          <w:szCs w:val="24"/>
          <w:highlight w:val="none"/>
          <w:lang w:eastAsia="zh-CN"/>
          <w14:textFill>
            <w14:solidFill>
              <w14:schemeClr w14:val="tx1"/>
            </w14:solidFill>
          </w14:textFill>
        </w:rPr>
        <w:t>尾矿库修建于</w:t>
      </w:r>
      <w:r>
        <w:rPr>
          <w:rFonts w:hint="eastAsia" w:cs="Times New Roman"/>
          <w:color w:val="000000" w:themeColor="text1"/>
          <w:szCs w:val="24"/>
          <w:highlight w:val="none"/>
          <w:lang w:val="en-US" w:eastAsia="zh-CN"/>
          <w14:textFill>
            <w14:solidFill>
              <w14:schemeClr w14:val="tx1"/>
            </w14:solidFill>
          </w14:textFill>
        </w:rPr>
        <w:t>2005年，坝体总长约1200m，服务年限为10a，目前已堆存尾矿量</w:t>
      </w:r>
      <w:r>
        <w:rPr>
          <w:rStyle w:val="82"/>
          <w:rFonts w:hint="eastAsia" w:cs="Times New Roman"/>
          <w:color w:val="000000" w:themeColor="text1"/>
          <w:lang w:val="en-US"/>
          <w14:textFill>
            <w14:solidFill>
              <w14:schemeClr w14:val="tx1"/>
            </w14:solidFill>
          </w14:textFill>
        </w:rPr>
        <w:t>约3</w:t>
      </w:r>
      <w:r>
        <w:rPr>
          <w:rStyle w:val="82"/>
          <w:rFonts w:hint="eastAsia" w:ascii="Times New Roman" w:hAnsi="Times New Roman" w:eastAsia="宋体" w:cs="Times New Roman"/>
          <w:color w:val="000000" w:themeColor="text1"/>
          <w14:textFill>
            <w14:solidFill>
              <w14:schemeClr w14:val="tx1"/>
            </w14:solidFill>
          </w14:textFill>
        </w:rPr>
        <w:t>万m</w:t>
      </w:r>
      <w:r>
        <w:rPr>
          <w:rStyle w:val="82"/>
          <w:rFonts w:hint="eastAsia" w:ascii="Times New Roman" w:hAnsi="Times New Roman" w:eastAsia="宋体" w:cs="Times New Roman"/>
          <w:color w:val="000000" w:themeColor="text1"/>
          <w:vertAlign w:val="superscript"/>
          <w14:textFill>
            <w14:solidFill>
              <w14:schemeClr w14:val="tx1"/>
            </w14:solidFill>
          </w14:textFill>
        </w:rPr>
        <w:t>3</w:t>
      </w:r>
      <w:r>
        <w:rPr>
          <w:rFonts w:hint="eastAsia" w:cs="Times New Roman"/>
          <w:color w:val="000000" w:themeColor="text1"/>
          <w:szCs w:val="24"/>
          <w:highlight w:val="none"/>
          <w:lang w:val="en-US" w:eastAsia="zh-CN"/>
          <w14:textFill>
            <w14:solidFill>
              <w14:schemeClr w14:val="tx1"/>
            </w14:solidFill>
          </w14:textFill>
        </w:rPr>
        <w:t>。两座尾矿库修建时间较早，相关设施较落后，不符合现有的尾矿库设计规范，且尾矿库容量不满足改建后正常生产产生的尾矿堆存量。由于建设方更换，尾矿库相关建设的资料信息已遗失</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现有</w:t>
      </w:r>
      <w:r>
        <w:rPr>
          <w:rFonts w:hint="eastAsia"/>
          <w:color w:val="000000" w:themeColor="text1"/>
          <w:highlight w:val="none"/>
          <w14:textFill>
            <w14:solidFill>
              <w14:schemeClr w14:val="tx1"/>
            </w14:solidFill>
          </w14:textFill>
        </w:rPr>
        <w:t>尾矿库现状见下图。</w:t>
      </w:r>
    </w:p>
    <w:tbl>
      <w:tblPr>
        <w:tblStyle w:val="33"/>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3"/>
        <w:gridCol w:w="4351"/>
      </w:tblGrid>
      <w:tr w14:paraId="2528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3" w:type="dxa"/>
          </w:tcPr>
          <w:p w14:paraId="7F4688AC">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7288AE05">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215AB947">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061A9119">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78D2C20B">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4A8BFD01">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7E3AF265">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55763511">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18376714">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p w14:paraId="0141F5E3">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tc>
        <w:tc>
          <w:tcPr>
            <w:tcW w:w="4351" w:type="dxa"/>
          </w:tcPr>
          <w:p w14:paraId="48E8C083">
            <w:pPr>
              <w:spacing w:line="240" w:lineRule="auto"/>
              <w:ind w:firstLine="0" w:firstLineChars="0"/>
              <w:jc w:val="center"/>
              <w:rPr>
                <w:rFonts w:hint="eastAsia" w:eastAsia="宋体"/>
                <w:color w:val="000000" w:themeColor="text1"/>
                <w:sz w:val="28"/>
                <w:szCs w:val="28"/>
                <w:highlight w:val="none"/>
                <w:lang w:eastAsia="zh-CN"/>
                <w14:textFill>
                  <w14:solidFill>
                    <w14:schemeClr w14:val="tx1"/>
                  </w14:solidFill>
                </w14:textFill>
              </w:rPr>
            </w:pPr>
          </w:p>
        </w:tc>
      </w:tr>
      <w:tr w14:paraId="7D36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3" w:type="dxa"/>
            <w:vAlign w:val="center"/>
          </w:tcPr>
          <w:p w14:paraId="2738F5A8">
            <w:pPr>
              <w:spacing w:line="240" w:lineRule="auto"/>
              <w:ind w:firstLine="0" w:firstLineChars="0"/>
              <w:jc w:val="center"/>
              <w:rPr>
                <w:rFonts w:ascii="Calibri" w:hAnsi="Calibri" w:cs="Calibri"/>
                <w:color w:val="000000" w:themeColor="text1"/>
                <w:kern w:val="0"/>
                <w:szCs w:val="21"/>
                <w:highlight w:val="none"/>
                <w14:textFill>
                  <w14:solidFill>
                    <w14:schemeClr w14:val="tx1"/>
                  </w14:solidFill>
                </w14:textFill>
              </w:rPr>
            </w:pPr>
            <w:r>
              <w:rPr>
                <w:rFonts w:hint="eastAsia" w:ascii="Calibri" w:hAnsi="Calibri" w:cs="Calibri"/>
                <w:color w:val="000000" w:themeColor="text1"/>
                <w:kern w:val="0"/>
                <w:szCs w:val="21"/>
                <w:highlight w:val="none"/>
                <w:lang w:eastAsia="zh-CN"/>
                <w14:textFill>
                  <w14:solidFill>
                    <w14:schemeClr w14:val="tx1"/>
                  </w14:solidFill>
                </w14:textFill>
              </w:rPr>
              <w:t>现有</w:t>
            </w:r>
            <w:r>
              <w:rPr>
                <w:rFonts w:hint="eastAsia" w:ascii="Calibri" w:hAnsi="Calibri" w:cs="Calibri"/>
                <w:color w:val="000000" w:themeColor="text1"/>
                <w:kern w:val="0"/>
                <w:szCs w:val="21"/>
                <w:highlight w:val="none"/>
                <w14:textFill>
                  <w14:solidFill>
                    <w14:schemeClr w14:val="tx1"/>
                  </w14:solidFill>
                </w14:textFill>
              </w:rPr>
              <w:t>尾矿库</w:t>
            </w:r>
          </w:p>
        </w:tc>
        <w:tc>
          <w:tcPr>
            <w:tcW w:w="4351" w:type="dxa"/>
            <w:vAlign w:val="center"/>
          </w:tcPr>
          <w:p w14:paraId="3705E8CF">
            <w:pPr>
              <w:spacing w:line="240" w:lineRule="auto"/>
              <w:ind w:firstLine="0" w:firstLineChars="0"/>
              <w:jc w:val="center"/>
              <w:rPr>
                <w:rFonts w:ascii="Calibri" w:hAnsi="Calibri" w:cs="Calibri"/>
                <w:color w:val="000000" w:themeColor="text1"/>
                <w:kern w:val="0"/>
                <w:szCs w:val="21"/>
                <w:highlight w:val="none"/>
                <w14:textFill>
                  <w14:solidFill>
                    <w14:schemeClr w14:val="tx1"/>
                  </w14:solidFill>
                </w14:textFill>
              </w:rPr>
            </w:pPr>
            <w:r>
              <w:rPr>
                <w:rFonts w:hint="eastAsia" w:ascii="Calibri" w:hAnsi="Calibri" w:cs="Calibri"/>
                <w:color w:val="000000" w:themeColor="text1"/>
                <w:kern w:val="0"/>
                <w:szCs w:val="21"/>
                <w:highlight w:val="none"/>
                <w:lang w:eastAsia="zh-CN"/>
                <w14:textFill>
                  <w14:solidFill>
                    <w14:schemeClr w14:val="tx1"/>
                  </w14:solidFill>
                </w14:textFill>
              </w:rPr>
              <w:t>现有</w:t>
            </w:r>
            <w:r>
              <w:rPr>
                <w:rFonts w:ascii="Calibri" w:hAnsi="Calibri" w:cs="Calibri"/>
                <w:color w:val="000000" w:themeColor="text1"/>
                <w:kern w:val="0"/>
                <w:szCs w:val="21"/>
                <w:highlight w:val="none"/>
                <w14:textFill>
                  <w14:solidFill>
                    <w14:schemeClr w14:val="tx1"/>
                  </w14:solidFill>
                </w14:textFill>
              </w:rPr>
              <w:t>尾矿库</w:t>
            </w:r>
          </w:p>
        </w:tc>
      </w:tr>
    </w:tbl>
    <w:p w14:paraId="232F8905">
      <w:pPr>
        <w:ind w:firstLine="0" w:firstLineChars="0"/>
        <w:jc w:val="center"/>
        <w:rPr>
          <w:b/>
          <w:color w:val="000000" w:themeColor="text1"/>
          <w:highlight w:val="none"/>
          <w14:textFill>
            <w14:solidFill>
              <w14:schemeClr w14:val="tx1"/>
            </w14:solidFill>
          </w14:textFill>
        </w:rPr>
      </w:pPr>
      <w:bookmarkStart w:id="369" w:name="_Toc31638"/>
      <w:bookmarkStart w:id="370" w:name="_Toc10624"/>
      <w:bookmarkStart w:id="371" w:name="_Toc27591"/>
      <w:r>
        <w:rPr>
          <w:rFonts w:hint="eastAsia"/>
          <w:b/>
          <w:color w:val="000000" w:themeColor="text1"/>
          <w:highlight w:val="none"/>
          <w14:textFill>
            <w14:solidFill>
              <w14:schemeClr w14:val="tx1"/>
            </w14:solidFill>
          </w14:textFill>
        </w:rPr>
        <w:t>图3.1-</w:t>
      </w:r>
      <w:r>
        <w:rPr>
          <w:rFonts w:hint="eastAsia"/>
          <w:b/>
          <w:color w:val="000000" w:themeColor="text1"/>
          <w:highlight w:val="none"/>
          <w:lang w:val="en-US" w:eastAsia="zh-CN"/>
          <w14:textFill>
            <w14:solidFill>
              <w14:schemeClr w14:val="tx1"/>
            </w14:solidFill>
          </w14:textFill>
        </w:rPr>
        <w:t>3</w:t>
      </w:r>
      <w:r>
        <w:rPr>
          <w:rFonts w:hint="eastAsia"/>
          <w:b/>
          <w:color w:val="000000" w:themeColor="text1"/>
          <w:highlight w:val="none"/>
          <w14:textFill>
            <w14:solidFill>
              <w14:schemeClr w14:val="tx1"/>
            </w14:solidFill>
          </w14:textFill>
        </w:rPr>
        <w:t xml:space="preserve">    现有</w:t>
      </w:r>
      <w:r>
        <w:rPr>
          <w:rFonts w:hint="eastAsia"/>
          <w:b/>
          <w:color w:val="000000" w:themeColor="text1"/>
          <w:highlight w:val="none"/>
          <w:lang w:eastAsia="zh-CN"/>
          <w14:textFill>
            <w14:solidFill>
              <w14:schemeClr w14:val="tx1"/>
            </w14:solidFill>
          </w14:textFill>
        </w:rPr>
        <w:t>尾矿库</w:t>
      </w:r>
      <w:r>
        <w:rPr>
          <w:rFonts w:hint="eastAsia"/>
          <w:b/>
          <w:color w:val="000000" w:themeColor="text1"/>
          <w:highlight w:val="none"/>
          <w14:textFill>
            <w14:solidFill>
              <w14:schemeClr w14:val="tx1"/>
            </w14:solidFill>
          </w14:textFill>
        </w:rPr>
        <w:t>现状图</w:t>
      </w:r>
    </w:p>
    <w:p w14:paraId="3D25D7EC">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3.1.7现有工程主要</w:t>
      </w:r>
      <w:r>
        <w:rPr>
          <w:color w:val="000000" w:themeColor="text1"/>
          <w:highlight w:val="none"/>
          <w14:textFill>
            <w14:solidFill>
              <w14:schemeClr w14:val="tx1"/>
            </w14:solidFill>
          </w14:textFill>
        </w:rPr>
        <w:t>产污情况及采取的污染治理措施</w:t>
      </w:r>
      <w:bookmarkEnd w:id="369"/>
      <w:bookmarkEnd w:id="370"/>
      <w:bookmarkEnd w:id="371"/>
    </w:p>
    <w:p w14:paraId="43332659">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3.1.7.1废气</w:t>
      </w:r>
    </w:p>
    <w:p w14:paraId="009D5113">
      <w:pPr>
        <w:overflowPunct w:val="0"/>
        <w:topLinePunct/>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由于项目</w:t>
      </w:r>
      <w:r>
        <w:rPr>
          <w:rFonts w:hint="eastAsia"/>
          <w:color w:val="000000" w:themeColor="text1"/>
          <w:highlight w:val="none"/>
          <w:lang w:val="en-US" w:eastAsia="zh-CN"/>
          <w14:textFill>
            <w14:solidFill>
              <w14:schemeClr w14:val="tx1"/>
            </w14:solidFill>
          </w14:textFill>
        </w:rPr>
        <w:t>长期停产，</w:t>
      </w:r>
      <w:r>
        <w:rPr>
          <w:rFonts w:hint="eastAsia"/>
          <w:color w:val="000000" w:themeColor="text1"/>
          <w:highlight w:val="none"/>
          <w:lang w:eastAsia="zh-CN"/>
          <w14:textFill>
            <w14:solidFill>
              <w14:schemeClr w14:val="tx1"/>
            </w14:solidFill>
          </w14:textFill>
        </w:rPr>
        <w:t>未开展验收以及例行监测工作，无相关的历史监测数据。</w:t>
      </w:r>
      <w:r>
        <w:rPr>
          <w:rFonts w:hint="eastAsia"/>
          <w:color w:val="000000" w:themeColor="text1"/>
          <w:highlight w:val="none"/>
          <w:lang w:val="en-US" w:eastAsia="zh-CN"/>
          <w14:textFill>
            <w14:solidFill>
              <w14:schemeClr w14:val="tx1"/>
            </w14:solidFill>
          </w14:textFill>
        </w:rPr>
        <w:t>根据</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哈密市西成矿业有限责任公司年产30万t铁精粉项目环境影响报告表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2006年8月</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运营期主要废气污染物为破碎过程粉尘，粉尘排放量为0.809t/a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结合项目实际情况，本次评价重新进行了梳理。</w:t>
      </w:r>
    </w:p>
    <w:p w14:paraId="48E2AC47">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1、主要</w:t>
      </w:r>
      <w:r>
        <w:rPr>
          <w:color w:val="000000" w:themeColor="text1"/>
          <w:highlight w:val="none"/>
          <w14:textFill>
            <w14:solidFill>
              <w14:schemeClr w14:val="tx1"/>
            </w14:solidFill>
          </w14:textFill>
        </w:rPr>
        <w:t>产污情况及采取的污染治理措施</w:t>
      </w:r>
    </w:p>
    <w:p w14:paraId="3565BF33">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（1）有组织废气</w:t>
      </w:r>
    </w:p>
    <w:p w14:paraId="5029989F">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现有工程运营期间有组织废气排放</w:t>
      </w:r>
      <w:r>
        <w:rPr>
          <w:color w:val="000000" w:themeColor="text1"/>
          <w:highlight w:val="none"/>
          <w14:textFill>
            <w14:solidFill>
              <w14:schemeClr w14:val="tx1"/>
            </w14:solidFill>
          </w14:textFill>
        </w:rPr>
        <w:t>主要为</w:t>
      </w:r>
      <w:r>
        <w:rPr>
          <w:rFonts w:hint="eastAsia"/>
          <w:color w:val="000000" w:themeColor="text1"/>
          <w:highlight w:val="none"/>
          <w:lang w:val="en-US" w:eastAsia="zh-CN"/>
          <w14:textFill>
            <w14:solidFill>
              <w14:schemeClr w14:val="tx1"/>
            </w14:solidFill>
          </w14:textFill>
        </w:rPr>
        <w:t>破碎筛分粉尘、</w:t>
      </w:r>
      <w:r>
        <w:rPr>
          <w:rFonts w:hint="eastAsia"/>
          <w:color w:val="000000" w:themeColor="text1"/>
          <w:highlight w:val="none"/>
          <w14:textFill>
            <w14:solidFill>
              <w14:schemeClr w14:val="tx1"/>
            </w14:solidFill>
          </w14:textFill>
        </w:rPr>
        <w:t>磨矿粉尘。</w:t>
      </w:r>
    </w:p>
    <w:p w14:paraId="4042D01F">
      <w:pPr>
        <w:overflowPunct w:val="0"/>
        <w:topLinePunct/>
        <w:ind w:firstLine="480"/>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磨矿车间</w:t>
      </w:r>
      <w:r>
        <w:rPr>
          <w:rFonts w:hint="eastAsia"/>
          <w:color w:val="000000" w:themeColor="text1"/>
          <w:highlight w:val="none"/>
          <w14:textFill>
            <w14:solidFill>
              <w14:schemeClr w14:val="tx1"/>
            </w14:solidFill>
          </w14:textFill>
        </w:rPr>
        <w:t>磨矿及皮带输送过程中会产生粉尘，</w:t>
      </w:r>
      <w:r>
        <w:rPr>
          <w:color w:val="000000" w:themeColor="text1"/>
          <w:highlight w:val="none"/>
          <w14:textFill>
            <w14:solidFill>
              <w14:schemeClr w14:val="tx1"/>
            </w14:solidFill>
          </w14:textFill>
        </w:rPr>
        <w:t>磨矿车间</w:t>
      </w:r>
      <w:r>
        <w:rPr>
          <w:rFonts w:hint="eastAsia"/>
          <w:color w:val="000000" w:themeColor="text1"/>
          <w:highlight w:val="none"/>
          <w14:textFill>
            <w14:solidFill>
              <w14:schemeClr w14:val="tx1"/>
            </w14:solidFill>
          </w14:textFill>
        </w:rPr>
        <w:t>粉尘</w:t>
      </w:r>
      <w:r>
        <w:rPr>
          <w:rFonts w:hint="eastAsia"/>
          <w:color w:val="000000" w:themeColor="text1"/>
          <w:highlight w:val="none"/>
          <w:lang w:eastAsia="zh-CN"/>
          <w14:textFill>
            <w14:solidFill>
              <w14:schemeClr w14:val="tx1"/>
            </w14:solidFill>
          </w14:textFill>
        </w:rPr>
        <w:t>未采取相关环保措施处理，只采取了洒水降尘</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由于位于车间内，</w:t>
      </w:r>
      <w:r>
        <w:rPr>
          <w:rFonts w:hint="eastAsia"/>
          <w:color w:val="000000" w:themeColor="text1"/>
          <w:highlight w:val="none"/>
          <w14:textFill>
            <w14:solidFill>
              <w14:schemeClr w14:val="tx1"/>
            </w14:solidFill>
          </w14:textFill>
        </w:rPr>
        <w:t>粉尘无组织排放的量极少，影响范围位于厂界内。</w:t>
      </w:r>
    </w:p>
    <w:p w14:paraId="7B3AA338">
      <w:pPr>
        <w:overflowPunct w:val="0"/>
        <w:topLinePunct/>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破碎筛分车间</w:t>
      </w:r>
      <w:r>
        <w:rPr>
          <w:rFonts w:hint="eastAsia"/>
          <w:color w:val="000000" w:themeColor="text1"/>
          <w:highlight w:val="none"/>
          <w:lang w:eastAsia="zh-CN"/>
          <w14:textFill>
            <w14:solidFill>
              <w14:schemeClr w14:val="tx1"/>
            </w14:solidFill>
          </w14:textFill>
        </w:rPr>
        <w:t>未采取相关环保措施处理，只采取了洒水降尘</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由于位于车间内，</w:t>
      </w:r>
      <w:r>
        <w:rPr>
          <w:rFonts w:hint="eastAsia"/>
          <w:color w:val="000000" w:themeColor="text1"/>
          <w:highlight w:val="none"/>
          <w14:textFill>
            <w14:solidFill>
              <w14:schemeClr w14:val="tx1"/>
            </w14:solidFill>
          </w14:textFill>
        </w:rPr>
        <w:t>粉尘无组织排放的量极少，影响范围位于厂界内。</w:t>
      </w:r>
    </w:p>
    <w:p w14:paraId="08AF7FB8">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（2）无组织废气</w:t>
      </w:r>
    </w:p>
    <w:p w14:paraId="54AE336C">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现有工程运营期间</w:t>
      </w:r>
      <w:r>
        <w:rPr>
          <w:color w:val="000000" w:themeColor="text1"/>
          <w:highlight w:val="none"/>
          <w14:textFill>
            <w14:solidFill>
              <w14:schemeClr w14:val="tx1"/>
            </w14:solidFill>
          </w14:textFill>
        </w:rPr>
        <w:t>无组织废气</w:t>
      </w:r>
      <w:r>
        <w:rPr>
          <w:rFonts w:hint="eastAsia"/>
          <w:color w:val="000000" w:themeColor="text1"/>
          <w:highlight w:val="none"/>
          <w14:textFill>
            <w14:solidFill>
              <w14:schemeClr w14:val="tx1"/>
            </w14:solidFill>
          </w14:textFill>
        </w:rPr>
        <w:t>排放主要为破碎粉尘、</w:t>
      </w:r>
      <w:r>
        <w:rPr>
          <w:color w:val="000000" w:themeColor="text1"/>
          <w:highlight w:val="none"/>
          <w14:textFill>
            <w14:solidFill>
              <w14:schemeClr w14:val="tx1"/>
            </w14:solidFill>
          </w14:textFill>
        </w:rPr>
        <w:t>矿石运输</w:t>
      </w:r>
      <w:r>
        <w:rPr>
          <w:rFonts w:hint="eastAsia"/>
          <w:color w:val="000000" w:themeColor="text1"/>
          <w:highlight w:val="none"/>
          <w14:textFill>
            <w14:solidFill>
              <w14:schemeClr w14:val="tx1"/>
            </w14:solidFill>
          </w14:textFill>
        </w:rPr>
        <w:t>扬尘、</w:t>
      </w:r>
      <w:r>
        <w:rPr>
          <w:rFonts w:hint="eastAsia"/>
          <w:color w:val="000000" w:themeColor="text1"/>
          <w:highlight w:val="none"/>
          <w:lang w:eastAsia="zh-CN"/>
          <w14:textFill>
            <w14:solidFill>
              <w14:schemeClr w14:val="tx1"/>
            </w14:solidFill>
          </w14:textFill>
        </w:rPr>
        <w:t>原料堆场扬尘、</w:t>
      </w:r>
      <w:r>
        <w:rPr>
          <w:rFonts w:hint="eastAsia"/>
          <w:color w:val="000000" w:themeColor="text1"/>
          <w:highlight w:val="none"/>
          <w14:textFill>
            <w14:solidFill>
              <w14:schemeClr w14:val="tx1"/>
            </w14:solidFill>
          </w14:textFill>
        </w:rPr>
        <w:t>尾矿库扬尘。</w:t>
      </w:r>
    </w:p>
    <w:p w14:paraId="61B81C39">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w:t>
      </w:r>
      <w:r>
        <w:rPr>
          <w:color w:val="000000" w:themeColor="text1"/>
          <w:highlight w:val="none"/>
          <w14:textFill>
            <w14:solidFill>
              <w14:schemeClr w14:val="tx1"/>
            </w14:solidFill>
          </w14:textFill>
        </w:rPr>
        <w:t>组织废气污染源排放情况见表</w:t>
      </w:r>
      <w:r>
        <w:rPr>
          <w:rFonts w:hint="eastAsia"/>
          <w:color w:val="000000" w:themeColor="text1"/>
          <w:highlight w:val="none"/>
          <w14:textFill>
            <w14:solidFill>
              <w14:schemeClr w14:val="tx1"/>
            </w14:solidFill>
          </w14:textFill>
        </w:rPr>
        <w:t>3.1-</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w:t>
      </w:r>
    </w:p>
    <w:p w14:paraId="044EF1B6">
      <w:pPr>
        <w:pStyle w:val="41"/>
        <w:spacing w:line="480" w:lineRule="exact"/>
        <w:ind w:firstLine="0" w:firstLineChars="0"/>
        <w:jc w:val="center"/>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表</w:t>
      </w:r>
      <w:r>
        <w:rPr>
          <w:rFonts w:hint="eastAsia" w:cs="Times New Roman"/>
          <w:b/>
          <w:bCs/>
          <w:color w:val="000000" w:themeColor="text1"/>
          <w:szCs w:val="24"/>
          <w:highlight w:val="none"/>
          <w14:textFill>
            <w14:solidFill>
              <w14:schemeClr w14:val="tx1"/>
            </w14:solidFill>
          </w14:textFill>
        </w:rPr>
        <w:t>3.1-</w:t>
      </w:r>
      <w:r>
        <w:rPr>
          <w:rFonts w:hint="eastAsia" w:cs="Times New Roman"/>
          <w:b/>
          <w:bCs/>
          <w:color w:val="000000" w:themeColor="text1"/>
          <w:szCs w:val="24"/>
          <w:highlight w:val="none"/>
          <w:lang w:val="en-US" w:eastAsia="zh-CN"/>
          <w14:textFill>
            <w14:solidFill>
              <w14:schemeClr w14:val="tx1"/>
            </w14:solidFill>
          </w14:textFill>
        </w:rPr>
        <w:t>5</w:t>
      </w:r>
      <w:r>
        <w:rPr>
          <w:rFonts w:hint="eastAsia" w:cs="Times New Roman"/>
          <w:b/>
          <w:bCs/>
          <w:color w:val="000000" w:themeColor="text1"/>
          <w:szCs w:val="24"/>
          <w:highlight w:val="none"/>
          <w14:textFill>
            <w14:solidFill>
              <w14:schemeClr w14:val="tx1"/>
            </w14:solidFill>
          </w14:textFill>
        </w:rPr>
        <w:t xml:space="preserve">    无组织废气污染源排放情况一览表</w:t>
      </w:r>
    </w:p>
    <w:tbl>
      <w:tblPr>
        <w:tblStyle w:val="32"/>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42"/>
        <w:gridCol w:w="1568"/>
        <w:gridCol w:w="2971"/>
        <w:gridCol w:w="802"/>
        <w:gridCol w:w="775"/>
        <w:gridCol w:w="584"/>
        <w:gridCol w:w="669"/>
      </w:tblGrid>
      <w:tr w14:paraId="5DA2D3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76" w:type="pct"/>
            <w:tcBorders>
              <w:tl2br w:val="nil"/>
              <w:tr2bl w:val="nil"/>
            </w:tcBorders>
            <w:vAlign w:val="center"/>
          </w:tcPr>
          <w:p w14:paraId="5D08B85B">
            <w:pPr>
              <w:adjustRightInd w:val="0"/>
              <w:snapToGrid w:val="0"/>
              <w:spacing w:line="360" w:lineRule="exact"/>
              <w:ind w:left="-48" w:leftChars="-20" w:right="-48" w:rightChars="-20"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污染源</w:t>
            </w:r>
          </w:p>
        </w:tc>
        <w:tc>
          <w:tcPr>
            <w:tcW w:w="926" w:type="pct"/>
            <w:tcBorders>
              <w:tl2br w:val="nil"/>
              <w:tr2bl w:val="nil"/>
            </w:tcBorders>
            <w:vAlign w:val="center"/>
          </w:tcPr>
          <w:p w14:paraId="79ECB8A8">
            <w:pPr>
              <w:pStyle w:val="53"/>
              <w:snapToGrid w:val="0"/>
              <w:spacing w:after="0" w:line="360" w:lineRule="exact"/>
              <w:ind w:left="-48" w:leftChars="-20" w:right="-48" w:rightChars="-20" w:firstLine="0" w:firstLineChars="0"/>
              <w:outlineLvl w:val="9"/>
              <w:rPr>
                <w:rFonts w:ascii="Times New Roman" w:hAnsi="Times New Roman" w:eastAsia="宋体" w:cs="Times New Roman"/>
                <w:bCs/>
                <w:color w:val="000000" w:themeColor="text1"/>
                <w:sz w:val="21"/>
                <w:highlight w:val="none"/>
                <w:lang w:eastAsia="zh-CN"/>
                <w14:textFill>
                  <w14:solidFill>
                    <w14:schemeClr w14:val="tx1"/>
                  </w14:solidFill>
                </w14:textFill>
              </w:rPr>
            </w:pPr>
            <w:bookmarkStart w:id="372" w:name="_Toc31113"/>
            <w:bookmarkStart w:id="373" w:name="_Toc16981"/>
            <w:bookmarkStart w:id="374" w:name="_Toc2261"/>
            <w:r>
              <w:rPr>
                <w:rFonts w:hint="eastAsia" w:ascii="Times New Roman" w:hAnsi="Times New Roman" w:eastAsia="宋体" w:cs="Times New Roman"/>
                <w:bCs/>
                <w:color w:val="000000" w:themeColor="text1"/>
                <w:sz w:val="21"/>
                <w:highlight w:val="none"/>
                <w:lang w:eastAsia="zh-CN"/>
                <w14:textFill>
                  <w14:solidFill>
                    <w14:schemeClr w14:val="tx1"/>
                  </w14:solidFill>
                </w14:textFill>
              </w:rPr>
              <w:t>来源</w:t>
            </w:r>
            <w:bookmarkEnd w:id="372"/>
            <w:bookmarkEnd w:id="373"/>
            <w:bookmarkEnd w:id="374"/>
          </w:p>
        </w:tc>
        <w:tc>
          <w:tcPr>
            <w:tcW w:w="1749" w:type="pct"/>
            <w:tcBorders>
              <w:tl2br w:val="nil"/>
              <w:tr2bl w:val="nil"/>
            </w:tcBorders>
            <w:vAlign w:val="center"/>
          </w:tcPr>
          <w:p w14:paraId="5AADB6A8">
            <w:pPr>
              <w:pStyle w:val="53"/>
              <w:snapToGrid w:val="0"/>
              <w:spacing w:after="0" w:line="360" w:lineRule="exact"/>
              <w:ind w:left="-48" w:leftChars="-20" w:right="-48" w:rightChars="-20" w:firstLine="0" w:firstLineChars="0"/>
              <w:outlineLvl w:val="9"/>
              <w:rPr>
                <w:rFonts w:ascii="Times New Roman" w:hAnsi="Times New Roman" w:eastAsia="宋体" w:cs="Times New Roman"/>
                <w:bCs/>
                <w:color w:val="000000" w:themeColor="text1"/>
                <w:sz w:val="21"/>
                <w:highlight w:val="none"/>
                <w14:textFill>
                  <w14:solidFill>
                    <w14:schemeClr w14:val="tx1"/>
                  </w14:solidFill>
                </w14:textFill>
              </w:rPr>
            </w:pPr>
            <w:bookmarkStart w:id="375" w:name="_Toc4919"/>
            <w:bookmarkStart w:id="376" w:name="_Toc19747"/>
            <w:bookmarkStart w:id="377" w:name="_Toc31862"/>
            <w:r>
              <w:rPr>
                <w:rFonts w:ascii="Times New Roman" w:hAnsi="Times New Roman" w:eastAsia="宋体" w:cs="Times New Roman"/>
                <w:bCs/>
                <w:color w:val="000000" w:themeColor="text1"/>
                <w:sz w:val="21"/>
                <w:highlight w:val="none"/>
                <w14:textFill>
                  <w14:solidFill>
                    <w14:schemeClr w14:val="tx1"/>
                  </w14:solidFill>
                </w14:textFill>
              </w:rPr>
              <w:t>处理方式</w:t>
            </w:r>
            <w:bookmarkEnd w:id="375"/>
            <w:bookmarkEnd w:id="376"/>
            <w:bookmarkEnd w:id="377"/>
          </w:p>
        </w:tc>
        <w:tc>
          <w:tcPr>
            <w:tcW w:w="476" w:type="pct"/>
            <w:tcBorders>
              <w:tl2br w:val="nil"/>
              <w:tr2bl w:val="nil"/>
            </w:tcBorders>
            <w:vAlign w:val="center"/>
          </w:tcPr>
          <w:p w14:paraId="49973854">
            <w:pPr>
              <w:pStyle w:val="53"/>
              <w:snapToGrid w:val="0"/>
              <w:spacing w:after="0" w:line="360" w:lineRule="exact"/>
              <w:ind w:left="-48" w:leftChars="-20" w:right="-48" w:rightChars="-20" w:firstLine="0" w:firstLineChars="0"/>
              <w:outlineLvl w:val="9"/>
              <w:rPr>
                <w:rFonts w:ascii="Times New Roman" w:hAnsi="Times New Roman" w:eastAsia="宋体" w:cs="Times New Roman"/>
                <w:bCs/>
                <w:color w:val="000000" w:themeColor="text1"/>
                <w:sz w:val="21"/>
                <w:highlight w:val="none"/>
                <w14:textFill>
                  <w14:solidFill>
                    <w14:schemeClr w14:val="tx1"/>
                  </w14:solidFill>
                </w14:textFill>
              </w:rPr>
            </w:pPr>
            <w:bookmarkStart w:id="378" w:name="_Toc4099"/>
            <w:bookmarkStart w:id="379" w:name="_Toc8480"/>
            <w:bookmarkStart w:id="380" w:name="_Toc16624"/>
            <w:r>
              <w:rPr>
                <w:rFonts w:ascii="Times New Roman" w:hAnsi="Times New Roman" w:eastAsia="宋体" w:cs="Times New Roman"/>
                <w:bCs/>
                <w:color w:val="000000" w:themeColor="text1"/>
                <w:sz w:val="21"/>
                <w:highlight w:val="none"/>
                <w14:textFill>
                  <w14:solidFill>
                    <w14:schemeClr w14:val="tx1"/>
                  </w14:solidFill>
                </w14:textFill>
              </w:rPr>
              <w:t>主要污染物</w:t>
            </w:r>
            <w:bookmarkEnd w:id="378"/>
            <w:bookmarkEnd w:id="379"/>
            <w:bookmarkEnd w:id="380"/>
          </w:p>
        </w:tc>
        <w:tc>
          <w:tcPr>
            <w:tcW w:w="422" w:type="pct"/>
            <w:tcBorders>
              <w:tl2br w:val="nil"/>
              <w:tr2bl w:val="nil"/>
            </w:tcBorders>
            <w:vAlign w:val="center"/>
          </w:tcPr>
          <w:p w14:paraId="6969CBC3">
            <w:pPr>
              <w:pStyle w:val="53"/>
              <w:snapToGrid w:val="0"/>
              <w:spacing w:after="0" w:line="360" w:lineRule="exact"/>
              <w:ind w:left="-48" w:leftChars="-20" w:right="-48" w:rightChars="-20" w:firstLine="0" w:firstLineChars="0"/>
              <w:outlineLvl w:val="9"/>
              <w:rPr>
                <w:rFonts w:ascii="Times New Roman" w:hAnsi="Times New Roman" w:eastAsia="宋体" w:cs="Times New Roman"/>
                <w:bCs/>
                <w:color w:val="000000" w:themeColor="text1"/>
                <w:sz w:val="21"/>
                <w:highlight w:val="none"/>
                <w14:textFill>
                  <w14:solidFill>
                    <w14:schemeClr w14:val="tx1"/>
                  </w14:solidFill>
                </w14:textFill>
              </w:rPr>
            </w:pPr>
            <w:r>
              <w:rPr>
                <w:rFonts w:hint="eastAsia" w:ascii="Times New Roman" w:hAnsi="Times New Roman" w:eastAsia="宋体" w:cs="Times New Roman"/>
                <w:bCs/>
                <w:color w:val="000000" w:themeColor="text1"/>
                <w:sz w:val="21"/>
                <w:highlight w:val="none"/>
                <w:lang w:eastAsia="zh-CN"/>
                <w14:textFill>
                  <w14:solidFill>
                    <w14:schemeClr w14:val="tx1"/>
                  </w14:solidFill>
                </w14:textFill>
              </w:rPr>
              <w:t>排放量（t</w:t>
            </w:r>
            <w:r>
              <w:rPr>
                <w:rFonts w:ascii="Times New Roman" w:hAnsi="Times New Roman" w:eastAsia="宋体" w:cs="Times New Roman"/>
                <w:bCs/>
                <w:color w:val="000000" w:themeColor="text1"/>
                <w:sz w:val="21"/>
                <w:highlight w:val="none"/>
                <w:lang w:eastAsia="zh-CN"/>
                <w14:textFill>
                  <w14:solidFill>
                    <w14:schemeClr w14:val="tx1"/>
                  </w14:solidFill>
                </w14:textFill>
              </w:rPr>
              <w:t>/a</w:t>
            </w:r>
            <w:r>
              <w:rPr>
                <w:rFonts w:hint="eastAsia" w:ascii="Times New Roman" w:hAnsi="Times New Roman" w:eastAsia="宋体" w:cs="Times New Roman"/>
                <w:bCs/>
                <w:color w:val="000000" w:themeColor="text1"/>
                <w:sz w:val="21"/>
                <w:highlight w:val="none"/>
                <w:lang w:eastAsia="zh-CN"/>
                <w14:textFill>
                  <w14:solidFill>
                    <w14:schemeClr w14:val="tx1"/>
                  </w14:solidFill>
                </w14:textFill>
              </w:rPr>
              <w:t>）</w:t>
            </w:r>
          </w:p>
        </w:tc>
        <w:tc>
          <w:tcPr>
            <w:tcW w:w="348" w:type="pct"/>
            <w:tcBorders>
              <w:tl2br w:val="nil"/>
              <w:tr2bl w:val="nil"/>
            </w:tcBorders>
            <w:vAlign w:val="center"/>
          </w:tcPr>
          <w:p w14:paraId="66BD2AE7">
            <w:pPr>
              <w:pStyle w:val="53"/>
              <w:snapToGrid w:val="0"/>
              <w:spacing w:after="0" w:line="360" w:lineRule="exact"/>
              <w:ind w:left="-48" w:leftChars="-20" w:right="-48" w:rightChars="-20" w:firstLine="0" w:firstLineChars="0"/>
              <w:outlineLvl w:val="9"/>
              <w:rPr>
                <w:rFonts w:ascii="Times New Roman" w:hAnsi="Times New Roman" w:eastAsia="宋体" w:cs="Times New Roman"/>
                <w:bCs/>
                <w:color w:val="000000" w:themeColor="text1"/>
                <w:sz w:val="21"/>
                <w:highlight w:val="none"/>
                <w:lang w:eastAsia="zh-CN"/>
                <w14:textFill>
                  <w14:solidFill>
                    <w14:schemeClr w14:val="tx1"/>
                  </w14:solidFill>
                </w14:textFill>
              </w:rPr>
            </w:pPr>
            <w:bookmarkStart w:id="381" w:name="_Toc26776"/>
            <w:bookmarkStart w:id="382" w:name="_Toc29818"/>
            <w:bookmarkStart w:id="383" w:name="_Toc27452"/>
            <w:r>
              <w:rPr>
                <w:rFonts w:ascii="Times New Roman" w:hAnsi="Times New Roman" w:eastAsia="宋体" w:cs="Times New Roman"/>
                <w:bCs/>
                <w:color w:val="000000" w:themeColor="text1"/>
                <w:sz w:val="21"/>
                <w:highlight w:val="none"/>
                <w14:textFill>
                  <w14:solidFill>
                    <w14:schemeClr w14:val="tx1"/>
                  </w14:solidFill>
                </w14:textFill>
              </w:rPr>
              <w:t>排放</w:t>
            </w:r>
            <w:r>
              <w:rPr>
                <w:rFonts w:hint="eastAsia" w:ascii="Times New Roman" w:hAnsi="Times New Roman" w:eastAsia="宋体" w:cs="Times New Roman"/>
                <w:bCs/>
                <w:color w:val="000000" w:themeColor="text1"/>
                <w:sz w:val="21"/>
                <w:highlight w:val="none"/>
                <w:lang w:eastAsia="zh-CN"/>
                <w14:textFill>
                  <w14:solidFill>
                    <w14:schemeClr w14:val="tx1"/>
                  </w14:solidFill>
                </w14:textFill>
              </w:rPr>
              <w:t>规律</w:t>
            </w:r>
            <w:bookmarkEnd w:id="381"/>
            <w:bookmarkEnd w:id="382"/>
            <w:bookmarkEnd w:id="383"/>
          </w:p>
        </w:tc>
        <w:tc>
          <w:tcPr>
            <w:tcW w:w="398" w:type="pct"/>
            <w:tcBorders>
              <w:tl2br w:val="nil"/>
              <w:tr2bl w:val="nil"/>
            </w:tcBorders>
            <w:vAlign w:val="center"/>
          </w:tcPr>
          <w:p w14:paraId="2DECA7A1">
            <w:pPr>
              <w:pStyle w:val="53"/>
              <w:snapToGrid w:val="0"/>
              <w:spacing w:after="0" w:line="360" w:lineRule="exact"/>
              <w:ind w:left="-48" w:leftChars="-20" w:right="-48" w:rightChars="-20" w:firstLine="0" w:firstLineChars="0"/>
              <w:outlineLvl w:val="9"/>
              <w:rPr>
                <w:rFonts w:ascii="Times New Roman" w:hAnsi="Times New Roman" w:eastAsia="宋体" w:cs="Times New Roman"/>
                <w:bCs/>
                <w:color w:val="000000" w:themeColor="text1"/>
                <w:sz w:val="21"/>
                <w:highlight w:val="none"/>
                <w14:textFill>
                  <w14:solidFill>
                    <w14:schemeClr w14:val="tx1"/>
                  </w14:solidFill>
                </w14:textFill>
              </w:rPr>
            </w:pPr>
            <w:bookmarkStart w:id="384" w:name="_Toc20007"/>
            <w:bookmarkStart w:id="385" w:name="_Toc31493"/>
            <w:bookmarkStart w:id="386" w:name="_Toc22744"/>
            <w:r>
              <w:rPr>
                <w:rFonts w:ascii="Times New Roman" w:hAnsi="Times New Roman" w:eastAsia="宋体" w:cs="Times New Roman"/>
                <w:bCs/>
                <w:color w:val="000000" w:themeColor="text1"/>
                <w:sz w:val="21"/>
                <w:highlight w:val="none"/>
                <w14:textFill>
                  <w14:solidFill>
                    <w14:schemeClr w14:val="tx1"/>
                  </w14:solidFill>
                </w14:textFill>
              </w:rPr>
              <w:t>排放去向</w:t>
            </w:r>
            <w:bookmarkEnd w:id="384"/>
            <w:bookmarkEnd w:id="385"/>
            <w:bookmarkEnd w:id="386"/>
          </w:p>
        </w:tc>
      </w:tr>
      <w:tr w14:paraId="33B15F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tcBorders>
              <w:tl2br w:val="nil"/>
              <w:tr2bl w:val="nil"/>
            </w:tcBorders>
            <w:vAlign w:val="center"/>
          </w:tcPr>
          <w:p w14:paraId="4F3F8819">
            <w:pPr>
              <w:adjustRightInd w:val="0"/>
              <w:snapToGrid w:val="0"/>
              <w:spacing w:line="360" w:lineRule="exact"/>
              <w:ind w:left="-48" w:leftChars="-20" w:right="-48" w:rightChars="-2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破碎粉尘</w:t>
            </w:r>
          </w:p>
        </w:tc>
        <w:tc>
          <w:tcPr>
            <w:tcW w:w="926" w:type="pct"/>
            <w:tcBorders>
              <w:tl2br w:val="nil"/>
              <w:tr2bl w:val="nil"/>
            </w:tcBorders>
            <w:vAlign w:val="center"/>
          </w:tcPr>
          <w:p w14:paraId="3ECDCC02">
            <w:pPr>
              <w:pStyle w:val="84"/>
              <w:spacing w:line="360" w:lineRule="exact"/>
              <w:ind w:left="-48" w:leftChars="-20" w:right="-48" w:rightChars="-20"/>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颚式破碎</w:t>
            </w:r>
            <w:r>
              <w:rPr>
                <w:rFonts w:hint="eastAsia"/>
                <w:color w:val="000000" w:themeColor="text1"/>
                <w:szCs w:val="21"/>
                <w:highlight w:val="none"/>
                <w14:textFill>
                  <w14:solidFill>
                    <w14:schemeClr w14:val="tx1"/>
                  </w14:solidFill>
                </w14:textFill>
              </w:rPr>
              <w:t>工段、中碎工段等</w:t>
            </w:r>
          </w:p>
        </w:tc>
        <w:tc>
          <w:tcPr>
            <w:tcW w:w="1749" w:type="pct"/>
            <w:tcBorders>
              <w:tl2br w:val="nil"/>
              <w:tr2bl w:val="nil"/>
            </w:tcBorders>
            <w:vAlign w:val="center"/>
          </w:tcPr>
          <w:p w14:paraId="4D683172">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lang w:eastAsia="zh-CN" w:bidi="ar-SA"/>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设置喷淋洒水设施处理</w:t>
            </w:r>
          </w:p>
        </w:tc>
        <w:tc>
          <w:tcPr>
            <w:tcW w:w="476" w:type="pct"/>
            <w:tcBorders>
              <w:tl2br w:val="nil"/>
              <w:tr2bl w:val="nil"/>
            </w:tcBorders>
            <w:vAlign w:val="center"/>
          </w:tcPr>
          <w:p w14:paraId="336700BF">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颗粒物</w:t>
            </w:r>
          </w:p>
        </w:tc>
        <w:tc>
          <w:tcPr>
            <w:tcW w:w="422" w:type="pct"/>
            <w:tcBorders>
              <w:tl2br w:val="nil"/>
              <w:tr2bl w:val="nil"/>
            </w:tcBorders>
            <w:vAlign w:val="center"/>
          </w:tcPr>
          <w:p w14:paraId="46D955F9">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少量</w:t>
            </w:r>
          </w:p>
        </w:tc>
        <w:tc>
          <w:tcPr>
            <w:tcW w:w="348" w:type="pct"/>
            <w:tcBorders>
              <w:tl2br w:val="nil"/>
              <w:tr2bl w:val="nil"/>
            </w:tcBorders>
            <w:vAlign w:val="center"/>
          </w:tcPr>
          <w:p w14:paraId="47B91B25">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14:textFill>
                  <w14:solidFill>
                    <w14:schemeClr w14:val="tx1"/>
                  </w14:solidFill>
                </w14:textFill>
              </w:rPr>
            </w:pPr>
            <w:r>
              <w:rPr>
                <w:rFonts w:ascii="Times New Roman" w:hAnsi="Times New Roman" w:eastAsia="宋体" w:cs="Times New Roman"/>
                <w:b w:val="0"/>
                <w:color w:val="000000" w:themeColor="text1"/>
                <w:sz w:val="21"/>
                <w:highlight w:val="none"/>
                <w14:textFill>
                  <w14:solidFill>
                    <w14:schemeClr w14:val="tx1"/>
                  </w14:solidFill>
                </w14:textFill>
              </w:rPr>
              <w:t>连续</w:t>
            </w:r>
          </w:p>
        </w:tc>
        <w:tc>
          <w:tcPr>
            <w:tcW w:w="398" w:type="pct"/>
            <w:tcBorders>
              <w:tl2br w:val="nil"/>
              <w:tr2bl w:val="nil"/>
            </w:tcBorders>
            <w:vAlign w:val="center"/>
          </w:tcPr>
          <w:p w14:paraId="5C7FA47A">
            <w:pPr>
              <w:adjustRightInd w:val="0"/>
              <w:snapToGrid w:val="0"/>
              <w:spacing w:line="360" w:lineRule="exact"/>
              <w:ind w:left="-48" w:leftChars="-20" w:right="-48" w:rightChars="-20"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大气</w:t>
            </w:r>
          </w:p>
        </w:tc>
      </w:tr>
      <w:tr w14:paraId="2A1448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tcBorders>
              <w:tl2br w:val="nil"/>
              <w:tr2bl w:val="nil"/>
            </w:tcBorders>
            <w:vAlign w:val="center"/>
          </w:tcPr>
          <w:p w14:paraId="2DAB6B05">
            <w:pPr>
              <w:adjustRightInd w:val="0"/>
              <w:snapToGrid w:val="0"/>
              <w:spacing w:line="360" w:lineRule="exact"/>
              <w:ind w:left="-48" w:leftChars="-20" w:right="-48" w:rightChars="-20"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道路运输</w:t>
            </w:r>
          </w:p>
          <w:p w14:paraId="1925E07E">
            <w:pPr>
              <w:adjustRightInd w:val="0"/>
              <w:snapToGrid w:val="0"/>
              <w:spacing w:line="360" w:lineRule="exact"/>
              <w:ind w:left="-48" w:leftChars="-20" w:right="-48" w:rightChars="-2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扬尘</w:t>
            </w:r>
          </w:p>
        </w:tc>
        <w:tc>
          <w:tcPr>
            <w:tcW w:w="926" w:type="pct"/>
            <w:tcBorders>
              <w:tl2br w:val="nil"/>
              <w:tr2bl w:val="nil"/>
            </w:tcBorders>
            <w:vAlign w:val="center"/>
          </w:tcPr>
          <w:p w14:paraId="7836EDB7">
            <w:pPr>
              <w:pStyle w:val="84"/>
              <w:spacing w:line="360" w:lineRule="exact"/>
              <w:ind w:left="-48" w:leftChars="-20" w:right="-48" w:rightChars="-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运输车辆</w:t>
            </w:r>
          </w:p>
        </w:tc>
        <w:tc>
          <w:tcPr>
            <w:tcW w:w="1749" w:type="pct"/>
            <w:tcBorders>
              <w:tl2br w:val="nil"/>
              <w:tr2bl w:val="nil"/>
            </w:tcBorders>
            <w:vAlign w:val="center"/>
          </w:tcPr>
          <w:p w14:paraId="392446E2">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387" w:name="_Toc17137"/>
            <w:bookmarkStart w:id="388" w:name="_Toc9569"/>
            <w:bookmarkStart w:id="389" w:name="_Toc23041"/>
            <w:r>
              <w:rPr>
                <w:rFonts w:ascii="Times New Roman" w:hAnsi="Times New Roman" w:eastAsia="宋体" w:cs="Times New Roman"/>
                <w:b w:val="0"/>
                <w:color w:val="000000" w:themeColor="text1"/>
                <w:sz w:val="21"/>
                <w:highlight w:val="none"/>
                <w:lang w:eastAsia="zh-CN"/>
                <w14:textFill>
                  <w14:solidFill>
                    <w14:schemeClr w14:val="tx1"/>
                  </w14:solidFill>
                </w14:textFill>
              </w:rPr>
              <w:t>洒水降尘、车辆加盖篷布、降低汽车在厂内的行驶速度</w:t>
            </w:r>
            <w:bookmarkEnd w:id="387"/>
            <w:bookmarkEnd w:id="388"/>
            <w:bookmarkEnd w:id="389"/>
          </w:p>
        </w:tc>
        <w:tc>
          <w:tcPr>
            <w:tcW w:w="476" w:type="pct"/>
            <w:tcBorders>
              <w:tl2br w:val="nil"/>
              <w:tr2bl w:val="nil"/>
            </w:tcBorders>
            <w:vAlign w:val="center"/>
          </w:tcPr>
          <w:p w14:paraId="696537F7">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颗粒物</w:t>
            </w:r>
          </w:p>
        </w:tc>
        <w:tc>
          <w:tcPr>
            <w:tcW w:w="422" w:type="pct"/>
            <w:tcBorders>
              <w:tl2br w:val="nil"/>
              <w:tr2bl w:val="nil"/>
            </w:tcBorders>
            <w:vAlign w:val="center"/>
          </w:tcPr>
          <w:p w14:paraId="43B148C2">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少量</w:t>
            </w:r>
          </w:p>
        </w:tc>
        <w:tc>
          <w:tcPr>
            <w:tcW w:w="348" w:type="pct"/>
            <w:tcBorders>
              <w:tl2br w:val="nil"/>
              <w:tr2bl w:val="nil"/>
            </w:tcBorders>
            <w:vAlign w:val="center"/>
          </w:tcPr>
          <w:p w14:paraId="4917D866">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14:textFill>
                  <w14:solidFill>
                    <w14:schemeClr w14:val="tx1"/>
                  </w14:solidFill>
                </w14:textFill>
              </w:rPr>
            </w:pPr>
            <w:bookmarkStart w:id="390" w:name="_Toc26430"/>
            <w:bookmarkStart w:id="391" w:name="_Toc26015"/>
            <w:bookmarkStart w:id="392" w:name="_Toc11854"/>
            <w:r>
              <w:rPr>
                <w:rFonts w:ascii="Times New Roman" w:hAnsi="Times New Roman" w:eastAsia="宋体" w:cs="Times New Roman"/>
                <w:b w:val="0"/>
                <w:color w:val="000000" w:themeColor="text1"/>
                <w:sz w:val="21"/>
                <w:highlight w:val="none"/>
                <w14:textFill>
                  <w14:solidFill>
                    <w14:schemeClr w14:val="tx1"/>
                  </w14:solidFill>
                </w14:textFill>
              </w:rPr>
              <w:t>连续</w:t>
            </w:r>
            <w:bookmarkEnd w:id="390"/>
            <w:bookmarkEnd w:id="391"/>
            <w:bookmarkEnd w:id="392"/>
          </w:p>
        </w:tc>
        <w:tc>
          <w:tcPr>
            <w:tcW w:w="398" w:type="pct"/>
            <w:tcBorders>
              <w:tl2br w:val="nil"/>
              <w:tr2bl w:val="nil"/>
            </w:tcBorders>
            <w:vAlign w:val="center"/>
          </w:tcPr>
          <w:p w14:paraId="6BCE5BF7">
            <w:pPr>
              <w:adjustRightInd w:val="0"/>
              <w:snapToGrid w:val="0"/>
              <w:spacing w:line="360" w:lineRule="exact"/>
              <w:ind w:left="-48" w:leftChars="-20" w:right="-48" w:rightChars="-20"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大气</w:t>
            </w:r>
          </w:p>
        </w:tc>
      </w:tr>
      <w:tr w14:paraId="23A963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tcBorders>
              <w:tl2br w:val="nil"/>
              <w:tr2bl w:val="nil"/>
            </w:tcBorders>
            <w:vAlign w:val="center"/>
          </w:tcPr>
          <w:p w14:paraId="1D0E694A">
            <w:pPr>
              <w:adjustRightInd w:val="0"/>
              <w:snapToGrid w:val="0"/>
              <w:spacing w:line="360" w:lineRule="exact"/>
              <w:ind w:left="-48" w:leftChars="-20" w:right="-48" w:rightChars="-2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原矿堆场扬尘</w:t>
            </w:r>
          </w:p>
        </w:tc>
        <w:tc>
          <w:tcPr>
            <w:tcW w:w="926" w:type="pct"/>
            <w:tcBorders>
              <w:tl2br w:val="nil"/>
              <w:tr2bl w:val="nil"/>
            </w:tcBorders>
            <w:vAlign w:val="center"/>
          </w:tcPr>
          <w:p w14:paraId="4904DE0B">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lang w:eastAsia="zh-CN" w:bidi="ar-SA"/>
                <w14:textFill>
                  <w14:solidFill>
                    <w14:schemeClr w14:val="tx1"/>
                  </w14:solidFill>
                </w14:textFill>
              </w:rPr>
            </w:pPr>
            <w:bookmarkStart w:id="393" w:name="_Toc31338"/>
            <w:bookmarkStart w:id="394" w:name="_Toc24828"/>
            <w:bookmarkStart w:id="395" w:name="_Toc23603"/>
            <w:r>
              <w:rPr>
                <w:rFonts w:hint="eastAsia" w:ascii="Times New Roman" w:hAnsi="Times New Roman" w:eastAsia="宋体" w:cs="Times New Roman"/>
                <w:b w:val="0"/>
                <w:color w:val="000000" w:themeColor="text1"/>
                <w:kern w:val="2"/>
                <w:sz w:val="21"/>
                <w:highlight w:val="none"/>
                <w:lang w:eastAsia="zh-CN" w:bidi="ar-SA"/>
                <w14:textFill>
                  <w14:solidFill>
                    <w14:schemeClr w14:val="tx1"/>
                  </w14:solidFill>
                </w14:textFill>
              </w:rPr>
              <w:t>原矿堆场</w:t>
            </w:r>
            <w:bookmarkEnd w:id="393"/>
            <w:bookmarkEnd w:id="394"/>
            <w:bookmarkEnd w:id="395"/>
          </w:p>
        </w:tc>
        <w:tc>
          <w:tcPr>
            <w:tcW w:w="1749" w:type="pct"/>
            <w:tcBorders>
              <w:tl2br w:val="nil"/>
              <w:tr2bl w:val="nil"/>
            </w:tcBorders>
            <w:vAlign w:val="center"/>
          </w:tcPr>
          <w:p w14:paraId="6EEC3198">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lang w:eastAsia="zh-CN" w:bidi="ar-SA"/>
                <w14:textFill>
                  <w14:solidFill>
                    <w14:schemeClr w14:val="tx1"/>
                  </w14:solidFill>
                </w14:textFill>
              </w:rPr>
            </w:pPr>
            <w:bookmarkStart w:id="396" w:name="_Toc1312"/>
            <w:bookmarkStart w:id="397" w:name="_Toc17816"/>
            <w:bookmarkStart w:id="398" w:name="_Toc3600"/>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在生产场地设喷雾洒水装置，干燥季节定期洒水</w:t>
            </w:r>
            <w:bookmarkEnd w:id="396"/>
            <w:bookmarkEnd w:id="397"/>
            <w:bookmarkEnd w:id="398"/>
          </w:p>
        </w:tc>
        <w:tc>
          <w:tcPr>
            <w:tcW w:w="476" w:type="pct"/>
            <w:tcBorders>
              <w:tl2br w:val="nil"/>
              <w:tr2bl w:val="nil"/>
            </w:tcBorders>
            <w:vAlign w:val="center"/>
          </w:tcPr>
          <w:p w14:paraId="05BCF6E6">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颗粒物</w:t>
            </w:r>
          </w:p>
        </w:tc>
        <w:tc>
          <w:tcPr>
            <w:tcW w:w="775" w:type="dxa"/>
            <w:tcBorders>
              <w:tl2br w:val="nil"/>
              <w:tr2bl w:val="nil"/>
            </w:tcBorders>
            <w:vAlign w:val="center"/>
          </w:tcPr>
          <w:p w14:paraId="3DAFCB96">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yellow"/>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少量</w:t>
            </w:r>
          </w:p>
        </w:tc>
        <w:tc>
          <w:tcPr>
            <w:tcW w:w="348" w:type="pct"/>
            <w:tcBorders>
              <w:tl2br w:val="nil"/>
              <w:tr2bl w:val="nil"/>
            </w:tcBorders>
            <w:vAlign w:val="center"/>
          </w:tcPr>
          <w:p w14:paraId="153CDD24">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14:textFill>
                  <w14:solidFill>
                    <w14:schemeClr w14:val="tx1"/>
                  </w14:solidFill>
                </w14:textFill>
              </w:rPr>
            </w:pPr>
            <w:bookmarkStart w:id="399" w:name="_Toc17647"/>
            <w:bookmarkStart w:id="400" w:name="_Toc30468"/>
            <w:bookmarkStart w:id="401" w:name="_Toc31379"/>
            <w:r>
              <w:rPr>
                <w:rFonts w:ascii="Times New Roman" w:hAnsi="Times New Roman" w:eastAsia="宋体" w:cs="Times New Roman"/>
                <w:b w:val="0"/>
                <w:color w:val="000000" w:themeColor="text1"/>
                <w:sz w:val="21"/>
                <w:highlight w:val="none"/>
                <w14:textFill>
                  <w14:solidFill>
                    <w14:schemeClr w14:val="tx1"/>
                  </w14:solidFill>
                </w14:textFill>
              </w:rPr>
              <w:t>连续</w:t>
            </w:r>
            <w:bookmarkEnd w:id="399"/>
            <w:bookmarkEnd w:id="400"/>
            <w:bookmarkEnd w:id="401"/>
          </w:p>
        </w:tc>
        <w:tc>
          <w:tcPr>
            <w:tcW w:w="398" w:type="pct"/>
            <w:tcBorders>
              <w:tl2br w:val="nil"/>
              <w:tr2bl w:val="nil"/>
            </w:tcBorders>
            <w:vAlign w:val="center"/>
          </w:tcPr>
          <w:p w14:paraId="6649B397">
            <w:pPr>
              <w:adjustRightInd w:val="0"/>
              <w:snapToGrid w:val="0"/>
              <w:spacing w:line="360" w:lineRule="exact"/>
              <w:ind w:left="-48" w:leftChars="-20" w:right="-48" w:rightChars="-20"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大气</w:t>
            </w:r>
          </w:p>
        </w:tc>
      </w:tr>
      <w:tr w14:paraId="37E14F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tcBorders>
              <w:tl2br w:val="nil"/>
              <w:tr2bl w:val="nil"/>
            </w:tcBorders>
            <w:vAlign w:val="center"/>
          </w:tcPr>
          <w:p w14:paraId="1BDB57EB">
            <w:pPr>
              <w:adjustRightInd w:val="0"/>
              <w:snapToGrid w:val="0"/>
              <w:spacing w:line="360" w:lineRule="exact"/>
              <w:ind w:left="-48" w:leftChars="-20" w:right="-48" w:rightChars="-2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尾矿库扬尘</w:t>
            </w:r>
          </w:p>
        </w:tc>
        <w:tc>
          <w:tcPr>
            <w:tcW w:w="926" w:type="pct"/>
            <w:tcBorders>
              <w:tl2br w:val="nil"/>
              <w:tr2bl w:val="nil"/>
            </w:tcBorders>
            <w:vAlign w:val="center"/>
          </w:tcPr>
          <w:p w14:paraId="5BBAEE50">
            <w:pPr>
              <w:adjustRightInd w:val="0"/>
              <w:snapToGrid w:val="0"/>
              <w:spacing w:line="360" w:lineRule="exact"/>
              <w:ind w:left="-48" w:leftChars="-20" w:right="-48" w:rightChars="-2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w:t>
            </w:r>
          </w:p>
        </w:tc>
        <w:tc>
          <w:tcPr>
            <w:tcW w:w="1749" w:type="pct"/>
            <w:tcBorders>
              <w:tl2br w:val="nil"/>
              <w:tr2bl w:val="nil"/>
            </w:tcBorders>
            <w:vAlign w:val="center"/>
          </w:tcPr>
          <w:p w14:paraId="0108F4F6">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lang w:eastAsia="zh-CN" w:bidi="ar-SA"/>
                <w14:textFill>
                  <w14:solidFill>
                    <w14:schemeClr w14:val="tx1"/>
                  </w14:solidFill>
                </w14:textFill>
              </w:rPr>
            </w:pPr>
            <w:bookmarkStart w:id="402" w:name="_Toc28135"/>
            <w:bookmarkStart w:id="403" w:name="_Toc31111"/>
            <w:bookmarkStart w:id="404" w:name="_Toc32126"/>
            <w:r>
              <w:rPr>
                <w:rFonts w:ascii="Times New Roman" w:hAnsi="Times New Roman" w:eastAsia="宋体" w:cs="Times New Roman"/>
                <w:b w:val="0"/>
                <w:color w:val="000000" w:themeColor="text1"/>
                <w:sz w:val="21"/>
                <w:highlight w:val="none"/>
                <w:lang w:eastAsia="zh-CN"/>
                <w14:textFill>
                  <w14:solidFill>
                    <w14:schemeClr w14:val="tx1"/>
                  </w14:solidFill>
                </w14:textFill>
              </w:rPr>
              <w:t>尾矿含有一定的水分，含水量在35%左右，可在尾矿库表面形成水封面，有效防止了尾矿起尘</w:t>
            </w:r>
            <w:bookmarkEnd w:id="402"/>
            <w:bookmarkEnd w:id="403"/>
            <w:bookmarkEnd w:id="404"/>
          </w:p>
        </w:tc>
        <w:tc>
          <w:tcPr>
            <w:tcW w:w="476" w:type="pct"/>
            <w:tcBorders>
              <w:tl2br w:val="nil"/>
              <w:tr2bl w:val="nil"/>
            </w:tcBorders>
            <w:vAlign w:val="center"/>
          </w:tcPr>
          <w:p w14:paraId="0A0647E6">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lang w:eastAsia="zh-CN" w:bidi="ar-SA"/>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颗粒物</w:t>
            </w:r>
          </w:p>
        </w:tc>
        <w:tc>
          <w:tcPr>
            <w:tcW w:w="775" w:type="dxa"/>
            <w:tcBorders>
              <w:tl2br w:val="nil"/>
              <w:tr2bl w:val="nil"/>
            </w:tcBorders>
            <w:vAlign w:val="center"/>
          </w:tcPr>
          <w:p w14:paraId="68CD8C6A">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yellow"/>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少量</w:t>
            </w:r>
          </w:p>
        </w:tc>
        <w:tc>
          <w:tcPr>
            <w:tcW w:w="348" w:type="pct"/>
            <w:tcBorders>
              <w:tl2br w:val="nil"/>
              <w:tr2bl w:val="nil"/>
            </w:tcBorders>
            <w:vAlign w:val="center"/>
          </w:tcPr>
          <w:p w14:paraId="58F5A602">
            <w:pPr>
              <w:pStyle w:val="53"/>
              <w:snapToGrid w:val="0"/>
              <w:spacing w:after="0" w:line="360" w:lineRule="exact"/>
              <w:ind w:left="-48" w:leftChars="-20" w:right="-48" w:rightChars="-20" w:firstLine="0" w:firstLineChars="0"/>
              <w:outlineLvl w:val="9"/>
              <w:rPr>
                <w:rFonts w:ascii="Times New Roman" w:hAnsi="Times New Roman" w:eastAsia="宋体" w:cs="Times New Roman"/>
                <w:b w:val="0"/>
                <w:color w:val="000000" w:themeColor="text1"/>
                <w:sz w:val="21"/>
                <w:highlight w:val="none"/>
                <w:lang w:eastAsia="zh-CN" w:bidi="ar-SA"/>
                <w14:textFill>
                  <w14:solidFill>
                    <w14:schemeClr w14:val="tx1"/>
                  </w14:solidFill>
                </w14:textFill>
              </w:rPr>
            </w:pPr>
            <w:bookmarkStart w:id="405" w:name="_Toc18799"/>
            <w:bookmarkStart w:id="406" w:name="_Toc7484"/>
            <w:bookmarkStart w:id="407" w:name="_Toc865"/>
            <w:r>
              <w:rPr>
                <w:rFonts w:ascii="Times New Roman" w:hAnsi="Times New Roman" w:eastAsia="宋体" w:cs="Times New Roman"/>
                <w:b w:val="0"/>
                <w:color w:val="000000" w:themeColor="text1"/>
                <w:sz w:val="21"/>
                <w:highlight w:val="none"/>
                <w14:textFill>
                  <w14:solidFill>
                    <w14:schemeClr w14:val="tx1"/>
                  </w14:solidFill>
                </w14:textFill>
              </w:rPr>
              <w:t>连续</w:t>
            </w:r>
            <w:bookmarkEnd w:id="405"/>
            <w:bookmarkEnd w:id="406"/>
            <w:bookmarkEnd w:id="407"/>
          </w:p>
        </w:tc>
        <w:tc>
          <w:tcPr>
            <w:tcW w:w="398" w:type="pct"/>
            <w:tcBorders>
              <w:tl2br w:val="nil"/>
              <w:tr2bl w:val="nil"/>
            </w:tcBorders>
            <w:vAlign w:val="center"/>
          </w:tcPr>
          <w:p w14:paraId="7C24A0E5">
            <w:pPr>
              <w:adjustRightInd w:val="0"/>
              <w:snapToGrid w:val="0"/>
              <w:spacing w:line="360" w:lineRule="exact"/>
              <w:ind w:left="-48" w:leftChars="-20" w:right="-48" w:rightChars="-20"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大气</w:t>
            </w:r>
          </w:p>
        </w:tc>
      </w:tr>
    </w:tbl>
    <w:p w14:paraId="4915FC40">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3.1.7.2</w:t>
      </w:r>
      <w:r>
        <w:rPr>
          <w:rFonts w:hint="eastAsia"/>
          <w:bCs/>
          <w:color w:val="000000" w:themeColor="text1"/>
          <w:highlight w:val="none"/>
          <w14:textFill>
            <w14:solidFill>
              <w14:schemeClr w14:val="tx1"/>
            </w14:solidFill>
          </w14:textFill>
        </w:rPr>
        <w:t>废水</w:t>
      </w:r>
    </w:p>
    <w:p w14:paraId="4285F9B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1、主要</w:t>
      </w:r>
      <w:r>
        <w:rPr>
          <w:color w:val="000000" w:themeColor="text1"/>
          <w:highlight w:val="none"/>
          <w14:textFill>
            <w14:solidFill>
              <w14:schemeClr w14:val="tx1"/>
            </w14:solidFill>
          </w14:textFill>
        </w:rPr>
        <w:t>产污情况及采取的污染治理措施</w:t>
      </w:r>
    </w:p>
    <w:p w14:paraId="432FB9C2">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现有工程</w:t>
      </w:r>
      <w:r>
        <w:rPr>
          <w:color w:val="000000" w:themeColor="text1"/>
          <w:highlight w:val="none"/>
          <w14:textFill>
            <w14:solidFill>
              <w14:schemeClr w14:val="tx1"/>
            </w14:solidFill>
          </w14:textFill>
        </w:rPr>
        <w:t>选矿厂</w:t>
      </w:r>
      <w:r>
        <w:rPr>
          <w:rFonts w:hint="eastAsia"/>
          <w:color w:val="000000" w:themeColor="text1"/>
          <w:highlight w:val="none"/>
          <w14:textFill>
            <w14:solidFill>
              <w14:schemeClr w14:val="tx1"/>
            </w14:solidFill>
          </w14:textFill>
        </w:rPr>
        <w:t>排水主要为选矿废水、生活污水。</w:t>
      </w:r>
    </w:p>
    <w:p w14:paraId="7E08CE99">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运营期选矿废水主要来自选矿过程中产生的尾矿矿浆，主要污染因子为pH、SS。选矿废水部分被铁精粉带走，精矿过滤水、尾矿浓缩压滤溢流水返回生产工序循环利用，尾矿库设有回水系统，使用水泵将库内澄清水通过管道泵送至选矿厂生产回水池，供选矿循环使用，实现生产废水零排放。</w:t>
      </w:r>
    </w:p>
    <w:p w14:paraId="14BC6BD0">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现有工程</w:t>
      </w:r>
      <w:r>
        <w:rPr>
          <w:color w:val="000000" w:themeColor="text1"/>
          <w:highlight w:val="none"/>
          <w14:textFill>
            <w14:solidFill>
              <w14:schemeClr w14:val="tx1"/>
            </w14:solidFill>
          </w14:textFill>
        </w:rPr>
        <w:t>选矿厂生活污水</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通过下水管道进入</w:t>
      </w:r>
      <w:r>
        <w:rPr>
          <w:rFonts w:hint="eastAsia"/>
          <w:color w:val="000000" w:themeColor="text1"/>
          <w:highlight w:val="none"/>
          <w:lang w:eastAsia="zh-CN"/>
          <w14:textFill>
            <w14:solidFill>
              <w14:schemeClr w14:val="tx1"/>
            </w14:solidFill>
          </w14:textFill>
        </w:rPr>
        <w:t>地埋式一体化污水处理设施处理后绿化</w:t>
      </w:r>
      <w:r>
        <w:rPr>
          <w:rFonts w:hint="eastAsia"/>
          <w:color w:val="000000" w:themeColor="text1"/>
          <w:highlight w:val="none"/>
          <w14:textFill>
            <w14:solidFill>
              <w14:schemeClr w14:val="tx1"/>
            </w14:solidFill>
          </w14:textFill>
        </w:rPr>
        <w:t>。</w:t>
      </w:r>
    </w:p>
    <w:p w14:paraId="1AD637E2">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现有工程</w:t>
      </w:r>
      <w:r>
        <w:rPr>
          <w:color w:val="000000" w:themeColor="text1"/>
          <w:highlight w:val="none"/>
          <w14:textFill>
            <w14:solidFill>
              <w14:schemeClr w14:val="tx1"/>
            </w14:solidFill>
          </w14:textFill>
        </w:rPr>
        <w:t>废水排放及治理设施情况见表</w:t>
      </w:r>
      <w:r>
        <w:rPr>
          <w:rFonts w:hint="eastAsia"/>
          <w:color w:val="000000" w:themeColor="text1"/>
          <w:highlight w:val="none"/>
          <w14:textFill>
            <w14:solidFill>
              <w14:schemeClr w14:val="tx1"/>
            </w14:solidFill>
          </w14:textFill>
        </w:rPr>
        <w:t>3.1-</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w:t>
      </w:r>
    </w:p>
    <w:p w14:paraId="14ABD45B">
      <w:pPr>
        <w:pStyle w:val="47"/>
        <w:widowControl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表3.1-</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 xml:space="preserve">   </w:t>
      </w:r>
      <w:r>
        <w:rPr>
          <w:color w:val="000000" w:themeColor="text1"/>
          <w:highlight w:val="none"/>
          <w:lang w:val="zh-CN"/>
          <w14:textFill>
            <w14:solidFill>
              <w14:schemeClr w14:val="tx1"/>
            </w14:solidFill>
          </w14:textFill>
        </w:rPr>
        <w:t>废水排放及治理设施情况表</w:t>
      </w:r>
    </w:p>
    <w:tbl>
      <w:tblPr>
        <w:tblStyle w:val="3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2003"/>
        <w:gridCol w:w="1230"/>
        <w:gridCol w:w="4158"/>
      </w:tblGrid>
      <w:tr w14:paraId="1DD9A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Borders>
              <w:tl2br w:val="nil"/>
              <w:tr2bl w:val="nil"/>
            </w:tcBorders>
            <w:vAlign w:val="center"/>
          </w:tcPr>
          <w:p w14:paraId="59E5BCAF">
            <w:pPr>
              <w:spacing w:line="360" w:lineRule="exact"/>
              <w:ind w:left="-72" w:leftChars="-30" w:right="-72" w:rightChars="-30"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污染物</w:t>
            </w:r>
          </w:p>
        </w:tc>
        <w:tc>
          <w:tcPr>
            <w:tcW w:w="1176" w:type="pct"/>
            <w:tcBorders>
              <w:tl2br w:val="nil"/>
              <w:tr2bl w:val="nil"/>
            </w:tcBorders>
            <w:vAlign w:val="center"/>
          </w:tcPr>
          <w:p w14:paraId="7A9F6838">
            <w:pPr>
              <w:spacing w:line="360" w:lineRule="exact"/>
              <w:ind w:left="-72" w:leftChars="-30" w:right="-72" w:rightChars="-30"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污染因子</w:t>
            </w:r>
          </w:p>
        </w:tc>
        <w:tc>
          <w:tcPr>
            <w:tcW w:w="722" w:type="pct"/>
            <w:tcBorders>
              <w:tl2br w:val="nil"/>
              <w:tr2bl w:val="nil"/>
            </w:tcBorders>
            <w:vAlign w:val="center"/>
          </w:tcPr>
          <w:p w14:paraId="6C0EAAF5">
            <w:pPr>
              <w:spacing w:line="360" w:lineRule="exact"/>
              <w:ind w:left="-72" w:leftChars="-30" w:right="-72" w:rightChars="-30" w:firstLine="0" w:firstLineChars="0"/>
              <w:jc w:val="center"/>
              <w:rPr>
                <w:rFonts w:hint="default" w:eastAsia="宋体"/>
                <w:b/>
                <w:bCs/>
                <w:color w:val="000000" w:themeColor="text1"/>
                <w:kern w:val="0"/>
                <w:sz w:val="21"/>
                <w:szCs w:val="21"/>
                <w:highlight w:val="none"/>
                <w:lang w:val="en-US" w:eastAsia="zh-CN"/>
                <w14:textFill>
                  <w14:solidFill>
                    <w14:schemeClr w14:val="tx1"/>
                  </w14:solidFill>
                </w14:textFill>
              </w:rPr>
            </w:pPr>
            <w:r>
              <w:rPr>
                <w:b/>
                <w:bCs/>
                <w:color w:val="000000" w:themeColor="text1"/>
                <w:kern w:val="0"/>
                <w:sz w:val="21"/>
                <w:szCs w:val="21"/>
                <w:highlight w:val="none"/>
                <w14:textFill>
                  <w14:solidFill>
                    <w14:schemeClr w14:val="tx1"/>
                  </w14:solidFill>
                </w14:textFill>
              </w:rPr>
              <w:t>排放量</w:t>
            </w:r>
            <w:r>
              <w:rPr>
                <w:rFonts w:hint="eastAsia"/>
                <w:b/>
                <w:bCs/>
                <w:color w:val="000000" w:themeColor="text1"/>
                <w:kern w:val="0"/>
                <w:sz w:val="21"/>
                <w:szCs w:val="21"/>
                <w:highlight w:val="none"/>
                <w:lang w:eastAsia="zh-CN"/>
                <w14:textFill>
                  <w14:solidFill>
                    <w14:schemeClr w14:val="tx1"/>
                  </w14:solidFill>
                </w14:textFill>
              </w:rPr>
              <w:t>（</w:t>
            </w:r>
            <w:r>
              <w:rPr>
                <w:rFonts w:hint="eastAsia"/>
                <w:b/>
                <w:bCs/>
                <w:color w:val="000000" w:themeColor="text1"/>
                <w:kern w:val="0"/>
                <w:sz w:val="21"/>
                <w:szCs w:val="21"/>
                <w:highlight w:val="none"/>
                <w:lang w:val="en-US" w:eastAsia="zh-CN"/>
                <w14:textFill>
                  <w14:solidFill>
                    <w14:schemeClr w14:val="tx1"/>
                  </w14:solidFill>
                </w14:textFill>
              </w:rPr>
              <w:t>t/a</w:t>
            </w:r>
            <w:r>
              <w:rPr>
                <w:rFonts w:hint="eastAsia"/>
                <w:b/>
                <w:bCs/>
                <w:color w:val="000000" w:themeColor="text1"/>
                <w:kern w:val="0"/>
                <w:sz w:val="21"/>
                <w:szCs w:val="21"/>
                <w:highlight w:val="none"/>
                <w:lang w:eastAsia="zh-CN"/>
                <w14:textFill>
                  <w14:solidFill>
                    <w14:schemeClr w14:val="tx1"/>
                  </w14:solidFill>
                </w14:textFill>
              </w:rPr>
              <w:t>）</w:t>
            </w:r>
          </w:p>
        </w:tc>
        <w:tc>
          <w:tcPr>
            <w:tcW w:w="2441" w:type="pct"/>
            <w:tcBorders>
              <w:tl2br w:val="nil"/>
              <w:tr2bl w:val="nil"/>
            </w:tcBorders>
            <w:vAlign w:val="center"/>
          </w:tcPr>
          <w:p w14:paraId="09809607">
            <w:pPr>
              <w:spacing w:line="360" w:lineRule="exact"/>
              <w:ind w:left="-72" w:leftChars="-30" w:right="-72" w:rightChars="-30"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处理措施及去向</w:t>
            </w:r>
          </w:p>
        </w:tc>
      </w:tr>
      <w:tr w14:paraId="40068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Borders>
              <w:tl2br w:val="nil"/>
              <w:tr2bl w:val="nil"/>
            </w:tcBorders>
            <w:vAlign w:val="center"/>
          </w:tcPr>
          <w:p w14:paraId="34B2E154">
            <w:pPr>
              <w:spacing w:line="360" w:lineRule="exact"/>
              <w:ind w:left="-72" w:leftChars="-30" w:right="-72" w:rightChars="-30"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选矿废水</w:t>
            </w:r>
          </w:p>
        </w:tc>
        <w:tc>
          <w:tcPr>
            <w:tcW w:w="1176" w:type="pct"/>
            <w:tcBorders>
              <w:tl2br w:val="nil"/>
              <w:tr2bl w:val="nil"/>
            </w:tcBorders>
            <w:vAlign w:val="center"/>
          </w:tcPr>
          <w:p w14:paraId="0329C959">
            <w:pPr>
              <w:spacing w:line="360" w:lineRule="exact"/>
              <w:ind w:left="-72" w:leftChars="-30" w:right="-72" w:rightChars="-30"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pH、</w:t>
            </w:r>
            <w:r>
              <w:rPr>
                <w:color w:val="000000" w:themeColor="text1"/>
                <w:kern w:val="0"/>
                <w:sz w:val="21"/>
                <w:szCs w:val="21"/>
                <w:highlight w:val="none"/>
                <w14:textFill>
                  <w14:solidFill>
                    <w14:schemeClr w14:val="tx1"/>
                  </w14:solidFill>
                </w14:textFill>
              </w:rPr>
              <w:t>SS等</w:t>
            </w:r>
          </w:p>
        </w:tc>
        <w:tc>
          <w:tcPr>
            <w:tcW w:w="722" w:type="pct"/>
            <w:tcBorders>
              <w:tl2br w:val="nil"/>
              <w:tr2bl w:val="nil"/>
            </w:tcBorders>
            <w:vAlign w:val="center"/>
          </w:tcPr>
          <w:p w14:paraId="5FCB3BDF">
            <w:pPr>
              <w:spacing w:line="360" w:lineRule="exact"/>
              <w:ind w:left="-72" w:leftChars="-30" w:right="-72" w:rightChars="-30" w:firstLine="0" w:firstLineChars="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0</w:t>
            </w:r>
          </w:p>
        </w:tc>
        <w:tc>
          <w:tcPr>
            <w:tcW w:w="2441" w:type="pct"/>
            <w:tcBorders>
              <w:tl2br w:val="nil"/>
              <w:tr2bl w:val="nil"/>
            </w:tcBorders>
            <w:vAlign w:val="center"/>
          </w:tcPr>
          <w:p w14:paraId="6294CFE6">
            <w:pPr>
              <w:spacing w:line="360" w:lineRule="exact"/>
              <w:ind w:left="-72" w:leftChars="-30" w:right="-72" w:rightChars="-30"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经浓缩后</w:t>
            </w:r>
            <w:r>
              <w:rPr>
                <w:rFonts w:hint="eastAsia"/>
                <w:color w:val="000000" w:themeColor="text1"/>
                <w:kern w:val="0"/>
                <w:sz w:val="21"/>
                <w:szCs w:val="21"/>
                <w:highlight w:val="none"/>
                <w14:textFill>
                  <w14:solidFill>
                    <w14:schemeClr w14:val="tx1"/>
                  </w14:solidFill>
                </w14:textFill>
              </w:rPr>
              <w:t>回用于</w:t>
            </w:r>
            <w:r>
              <w:rPr>
                <w:color w:val="000000" w:themeColor="text1"/>
                <w:kern w:val="0"/>
                <w:sz w:val="21"/>
                <w:szCs w:val="21"/>
                <w:highlight w:val="none"/>
                <w14:textFill>
                  <w14:solidFill>
                    <w14:schemeClr w14:val="tx1"/>
                  </w14:solidFill>
                </w14:textFill>
              </w:rPr>
              <w:t>生产工序循环利用，尾矿水输送至尾矿库</w:t>
            </w:r>
            <w:r>
              <w:rPr>
                <w:rFonts w:hint="eastAsia"/>
                <w:color w:val="000000" w:themeColor="text1"/>
                <w:kern w:val="0"/>
                <w:sz w:val="21"/>
                <w:szCs w:val="21"/>
                <w:highlight w:val="none"/>
                <w14:textFill>
                  <w14:solidFill>
                    <w14:schemeClr w14:val="tx1"/>
                  </w14:solidFill>
                </w14:textFill>
              </w:rPr>
              <w:t>澄清后回用</w:t>
            </w:r>
            <w:r>
              <w:rPr>
                <w:color w:val="000000" w:themeColor="text1"/>
                <w:kern w:val="0"/>
                <w:sz w:val="21"/>
                <w:szCs w:val="21"/>
                <w:highlight w:val="none"/>
                <w14:textFill>
                  <w14:solidFill>
                    <w14:schemeClr w14:val="tx1"/>
                  </w14:solidFill>
                </w14:textFill>
              </w:rPr>
              <w:t>生产</w:t>
            </w:r>
          </w:p>
        </w:tc>
      </w:tr>
      <w:tr w14:paraId="3A0CA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pct"/>
            <w:tcBorders>
              <w:tl2br w:val="nil"/>
              <w:tr2bl w:val="nil"/>
            </w:tcBorders>
            <w:vAlign w:val="center"/>
          </w:tcPr>
          <w:p w14:paraId="71FE41AB">
            <w:pPr>
              <w:spacing w:line="360" w:lineRule="exact"/>
              <w:ind w:left="-72" w:leftChars="-30" w:right="-72" w:rightChars="-30"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生活污水</w:t>
            </w:r>
          </w:p>
        </w:tc>
        <w:tc>
          <w:tcPr>
            <w:tcW w:w="1176" w:type="pct"/>
            <w:tcBorders>
              <w:tl2br w:val="nil"/>
              <w:tr2bl w:val="nil"/>
            </w:tcBorders>
            <w:vAlign w:val="center"/>
          </w:tcPr>
          <w:p w14:paraId="5835D009">
            <w:pPr>
              <w:spacing w:line="360" w:lineRule="exact"/>
              <w:ind w:left="-72" w:leftChars="-30" w:right="-72" w:rightChars="-30"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SS、COD、BOD</w:t>
            </w:r>
            <w:r>
              <w:rPr>
                <w:color w:val="000000" w:themeColor="text1"/>
                <w:kern w:val="0"/>
                <w:sz w:val="21"/>
                <w:szCs w:val="21"/>
                <w:highlight w:val="none"/>
                <w:vertAlign w:val="subscript"/>
                <w14:textFill>
                  <w14:solidFill>
                    <w14:schemeClr w14:val="tx1"/>
                  </w14:solidFill>
                </w14:textFill>
              </w:rPr>
              <w:t>5</w:t>
            </w:r>
            <w:r>
              <w:rPr>
                <w:color w:val="000000" w:themeColor="text1"/>
                <w:kern w:val="0"/>
                <w:sz w:val="21"/>
                <w:szCs w:val="21"/>
                <w:highlight w:val="none"/>
                <w14:textFill>
                  <w14:solidFill>
                    <w14:schemeClr w14:val="tx1"/>
                  </w14:solidFill>
                </w14:textFill>
              </w:rPr>
              <w:t>、NH</w:t>
            </w:r>
            <w:r>
              <w:rPr>
                <w:color w:val="000000" w:themeColor="text1"/>
                <w:kern w:val="0"/>
                <w:sz w:val="21"/>
                <w:szCs w:val="21"/>
                <w:highlight w:val="none"/>
                <w:vertAlign w:val="subscript"/>
                <w14:textFill>
                  <w14:solidFill>
                    <w14:schemeClr w14:val="tx1"/>
                  </w14:solidFill>
                </w14:textFill>
              </w:rPr>
              <w:t>3</w:t>
            </w:r>
            <w:r>
              <w:rPr>
                <w:color w:val="000000" w:themeColor="text1"/>
                <w:kern w:val="0"/>
                <w:sz w:val="21"/>
                <w:szCs w:val="21"/>
                <w:highlight w:val="none"/>
                <w14:textFill>
                  <w14:solidFill>
                    <w14:schemeClr w14:val="tx1"/>
                  </w14:solidFill>
                </w14:textFill>
              </w:rPr>
              <w:t>-N等</w:t>
            </w:r>
          </w:p>
        </w:tc>
        <w:tc>
          <w:tcPr>
            <w:tcW w:w="722" w:type="pct"/>
            <w:tcBorders>
              <w:tl2br w:val="nil"/>
              <w:tr2bl w:val="nil"/>
            </w:tcBorders>
            <w:vAlign w:val="center"/>
          </w:tcPr>
          <w:p w14:paraId="7FDF161C">
            <w:pPr>
              <w:spacing w:line="360" w:lineRule="exact"/>
              <w:ind w:left="-72" w:leftChars="-30" w:right="-72" w:rightChars="-30" w:firstLine="0" w:firstLineChars="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0</w:t>
            </w:r>
          </w:p>
        </w:tc>
        <w:tc>
          <w:tcPr>
            <w:tcW w:w="2441" w:type="pct"/>
            <w:tcBorders>
              <w:tl2br w:val="nil"/>
              <w:tr2bl w:val="nil"/>
            </w:tcBorders>
            <w:vAlign w:val="center"/>
          </w:tcPr>
          <w:p w14:paraId="20C502F5">
            <w:pPr>
              <w:spacing w:line="360" w:lineRule="exact"/>
              <w:ind w:left="-72" w:leftChars="-30" w:right="-72" w:rightChars="-30" w:firstLine="0" w:firstLineChars="0"/>
              <w:jc w:val="center"/>
              <w:rPr>
                <w:rFonts w:hint="eastAsia" w:eastAsia="宋体"/>
                <w:color w:val="000000" w:themeColor="text1"/>
                <w:kern w:val="0"/>
                <w:sz w:val="21"/>
                <w:szCs w:val="21"/>
                <w:highlight w:val="none"/>
                <w:lang w:eastAsia="zh-CN"/>
                <w14:textFill>
                  <w14:solidFill>
                    <w14:schemeClr w14:val="tx1"/>
                  </w14:solidFill>
                </w14:textFill>
              </w:rPr>
            </w:pPr>
            <w:r>
              <w:rPr>
                <w:color w:val="000000" w:themeColor="text1"/>
                <w:kern w:val="0"/>
                <w:sz w:val="21"/>
                <w:szCs w:val="21"/>
                <w:highlight w:val="none"/>
                <w14:textFill>
                  <w14:solidFill>
                    <w14:schemeClr w14:val="tx1"/>
                  </w14:solidFill>
                </w14:textFill>
              </w:rPr>
              <w:t>通过下水管道进入</w:t>
            </w:r>
            <w:r>
              <w:rPr>
                <w:rFonts w:hint="eastAsia"/>
                <w:color w:val="000000" w:themeColor="text1"/>
                <w:kern w:val="0"/>
                <w:sz w:val="21"/>
                <w:szCs w:val="21"/>
                <w:highlight w:val="none"/>
                <w:lang w:eastAsia="zh-CN"/>
                <w14:textFill>
                  <w14:solidFill>
                    <w14:schemeClr w14:val="tx1"/>
                  </w14:solidFill>
                </w14:textFill>
              </w:rPr>
              <w:t>地埋式一体化污水处理设施</w:t>
            </w:r>
            <w:r>
              <w:rPr>
                <w:color w:val="000000" w:themeColor="text1"/>
                <w:kern w:val="0"/>
                <w:sz w:val="21"/>
                <w:szCs w:val="21"/>
                <w:highlight w:val="none"/>
                <w14:textFill>
                  <w14:solidFill>
                    <w14:schemeClr w14:val="tx1"/>
                  </w14:solidFill>
                </w14:textFill>
              </w:rPr>
              <w:t>，处理后全部</w:t>
            </w:r>
            <w:r>
              <w:rPr>
                <w:rFonts w:hint="eastAsia"/>
                <w:color w:val="000000" w:themeColor="text1"/>
                <w:kern w:val="0"/>
                <w:sz w:val="21"/>
                <w:szCs w:val="21"/>
                <w:highlight w:val="none"/>
                <w14:textFill>
                  <w14:solidFill>
                    <w14:schemeClr w14:val="tx1"/>
                  </w14:solidFill>
                </w14:textFill>
              </w:rPr>
              <w:t>回用于</w:t>
            </w:r>
            <w:r>
              <w:rPr>
                <w:rFonts w:hint="eastAsia"/>
                <w:color w:val="000000" w:themeColor="text1"/>
                <w:kern w:val="0"/>
                <w:sz w:val="21"/>
                <w:szCs w:val="21"/>
                <w:highlight w:val="none"/>
                <w:lang w:eastAsia="zh-CN"/>
                <w14:textFill>
                  <w14:solidFill>
                    <w14:schemeClr w14:val="tx1"/>
                  </w14:solidFill>
                </w14:textFill>
              </w:rPr>
              <w:t>绿化</w:t>
            </w:r>
          </w:p>
        </w:tc>
      </w:tr>
    </w:tbl>
    <w:p w14:paraId="229821E6">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3.1.7.</w:t>
      </w:r>
      <w:r>
        <w:rPr>
          <w:rFonts w:hint="eastAsia"/>
          <w:bCs/>
          <w:color w:val="000000" w:themeColor="text1"/>
          <w:highlight w:val="none"/>
          <w14:textFill>
            <w14:solidFill>
              <w14:schemeClr w14:val="tx1"/>
            </w14:solidFill>
          </w14:textFill>
        </w:rPr>
        <w:t>3噪声</w:t>
      </w:r>
    </w:p>
    <w:p w14:paraId="7093719A">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1、主要</w:t>
      </w:r>
      <w:r>
        <w:rPr>
          <w:color w:val="000000" w:themeColor="text1"/>
          <w:highlight w:val="none"/>
          <w14:textFill>
            <w14:solidFill>
              <w14:schemeClr w14:val="tx1"/>
            </w14:solidFill>
          </w14:textFill>
        </w:rPr>
        <w:t>产污情况及采取的污染治理措施</w:t>
      </w:r>
    </w:p>
    <w:p w14:paraId="0E3D8A62">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现有工程</w:t>
      </w:r>
      <w:r>
        <w:rPr>
          <w:color w:val="000000" w:themeColor="text1"/>
          <w:highlight w:val="none"/>
          <w14:textFill>
            <w14:solidFill>
              <w14:schemeClr w14:val="tx1"/>
            </w14:solidFill>
          </w14:textFill>
        </w:rPr>
        <w:t>选矿厂运营期噪声来源于球磨机</w:t>
      </w:r>
      <w:r>
        <w:rPr>
          <w:rFonts w:hint="eastAsia"/>
          <w:color w:val="000000" w:themeColor="text1"/>
          <w:highlight w:val="none"/>
          <w14:textFill>
            <w14:solidFill>
              <w14:schemeClr w14:val="tx1"/>
            </w14:solidFill>
          </w14:textFill>
        </w:rPr>
        <w:t>、皮带运输机</w:t>
      </w:r>
      <w:r>
        <w:rPr>
          <w:color w:val="000000" w:themeColor="text1"/>
          <w:highlight w:val="none"/>
          <w14:textFill>
            <w14:solidFill>
              <w14:schemeClr w14:val="tx1"/>
            </w14:solidFill>
          </w14:textFill>
        </w:rPr>
        <w:t>等机械设备运转时产生的噪声，噪声源强</w:t>
      </w:r>
      <w:r>
        <w:rPr>
          <w:rFonts w:hint="eastAsia"/>
          <w:color w:val="000000" w:themeColor="text1"/>
          <w:highlight w:val="none"/>
          <w:lang w:val="en-US" w:eastAsia="zh-CN"/>
          <w14:textFill>
            <w14:solidFill>
              <w14:schemeClr w14:val="tx1"/>
            </w14:solidFill>
          </w14:textFill>
        </w:rPr>
        <w:t>约为</w:t>
      </w:r>
      <w:r>
        <w:rPr>
          <w:color w:val="000000" w:themeColor="text1"/>
          <w:highlight w:val="none"/>
          <w14:textFill>
            <w14:solidFill>
              <w14:schemeClr w14:val="tx1"/>
            </w14:solidFill>
          </w14:textFill>
        </w:rPr>
        <w:t>80dB（A）</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5dB（A）</w:t>
      </w:r>
      <w:r>
        <w:rPr>
          <w:rFonts w:hint="eastAsia"/>
          <w:color w:val="000000" w:themeColor="text1"/>
          <w:highlight w:val="none"/>
          <w14:textFill>
            <w14:solidFill>
              <w14:schemeClr w14:val="tx1"/>
            </w14:solidFill>
          </w14:textFill>
        </w:rPr>
        <w:t>。</w:t>
      </w:r>
    </w:p>
    <w:p w14:paraId="6AA6C197">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建设单位对厂区内高噪声设备采取了隔声、减振设施，并将高噪声设备置于选矿车间室内，最大程度降低噪声的影响。</w:t>
      </w:r>
    </w:p>
    <w:p w14:paraId="44F000FD">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3.1.7.</w:t>
      </w:r>
      <w:r>
        <w:rPr>
          <w:rFonts w:hint="eastAsia"/>
          <w:bCs/>
          <w:color w:val="000000" w:themeColor="text1"/>
          <w:highlight w:val="none"/>
          <w14:textFill>
            <w14:solidFill>
              <w14:schemeClr w14:val="tx1"/>
            </w14:solidFill>
          </w14:textFill>
        </w:rPr>
        <w:t>4固体废物</w:t>
      </w:r>
    </w:p>
    <w:p w14:paraId="1CFE861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现有工程运营期产生的主要固体废物包括尾矿砂、生活垃圾。</w:t>
      </w:r>
    </w:p>
    <w:p w14:paraId="06105935">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选矿产生的尾矿</w:t>
      </w:r>
      <w:r>
        <w:rPr>
          <w:rFonts w:hint="eastAsia"/>
          <w:color w:val="000000" w:themeColor="text1"/>
          <w:highlight w:val="none"/>
          <w14:textFill>
            <w14:solidFill>
              <w14:schemeClr w14:val="tx1"/>
            </w14:solidFill>
          </w14:textFill>
        </w:rPr>
        <w:t>砂</w:t>
      </w:r>
      <w:r>
        <w:rPr>
          <w:color w:val="000000" w:themeColor="text1"/>
          <w:highlight w:val="none"/>
          <w14:textFill>
            <w14:solidFill>
              <w14:schemeClr w14:val="tx1"/>
            </w14:solidFill>
          </w14:textFill>
        </w:rPr>
        <w:t>通过管道运输至尾矿库堆存</w:t>
      </w:r>
      <w:r>
        <w:rPr>
          <w:rFonts w:hint="eastAsia"/>
          <w:color w:val="000000" w:themeColor="text1"/>
          <w:highlight w:val="none"/>
          <w14:textFill>
            <w14:solidFill>
              <w14:schemeClr w14:val="tx1"/>
            </w14:solidFill>
          </w14:textFill>
        </w:rPr>
        <w:t>；运营期生活垃圾经集中收集后定期清运。</w:t>
      </w:r>
    </w:p>
    <w:p w14:paraId="1349F98B">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.1.7.5</w:t>
      </w:r>
      <w:r>
        <w:rPr>
          <w:rFonts w:hint="eastAsia"/>
          <w:color w:val="000000" w:themeColor="text1"/>
          <w:highlight w:val="none"/>
          <w14:textFill>
            <w14:solidFill>
              <w14:schemeClr w14:val="tx1"/>
            </w14:solidFill>
          </w14:textFill>
        </w:rPr>
        <w:t>生态环境</w:t>
      </w:r>
    </w:p>
    <w:p w14:paraId="05C928B3">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（1）土地利用情况</w:t>
      </w:r>
    </w:p>
    <w:p w14:paraId="744EBCC3">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选矿厂、尾矿库的建设，使区域</w:t>
      </w:r>
      <w:r>
        <w:rPr>
          <w:color w:val="000000" w:themeColor="text1"/>
          <w:highlight w:val="none"/>
          <w14:textFill>
            <w14:solidFill>
              <w14:schemeClr w14:val="tx1"/>
            </w14:solidFill>
          </w14:textFill>
        </w:rPr>
        <w:t>所占用的土地性质均变为工矿建设用地。项目的开发建设对整个评价区局部范围内土地利用结构带来一定的变化。现状条件下，对土地资源的影响主要表现为</w:t>
      </w:r>
      <w:r>
        <w:rPr>
          <w:rFonts w:hint="eastAsia"/>
          <w:color w:val="000000" w:themeColor="text1"/>
          <w:highlight w:val="none"/>
          <w14:textFill>
            <w14:solidFill>
              <w14:schemeClr w14:val="tx1"/>
            </w14:solidFill>
          </w14:textFill>
        </w:rPr>
        <w:t>选矿厂</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生活区、尾矿库、道路</w:t>
      </w:r>
      <w:r>
        <w:rPr>
          <w:color w:val="000000" w:themeColor="text1"/>
          <w:highlight w:val="none"/>
          <w14:textFill>
            <w14:solidFill>
              <w14:schemeClr w14:val="tx1"/>
            </w14:solidFill>
          </w14:textFill>
        </w:rPr>
        <w:t>等对土地的占用破坏。</w:t>
      </w:r>
    </w:p>
    <w:p w14:paraId="2F13E7A7">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（2）植被</w:t>
      </w:r>
    </w:p>
    <w:p w14:paraId="5DD8CFA2">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选矿厂区域</w:t>
      </w:r>
      <w:r>
        <w:rPr>
          <w:color w:val="000000" w:themeColor="text1"/>
          <w:highlight w:val="none"/>
          <w14:textFill>
            <w14:solidFill>
              <w14:schemeClr w14:val="tx1"/>
            </w14:solidFill>
          </w14:textFill>
        </w:rPr>
        <w:t>占地范围内主要是</w:t>
      </w:r>
      <w:r>
        <w:rPr>
          <w:rFonts w:hint="eastAsia"/>
          <w:color w:val="000000" w:themeColor="text1"/>
          <w:highlight w:val="none"/>
          <w:lang w:eastAsia="zh-CN"/>
          <w14:textFill>
            <w14:solidFill>
              <w14:schemeClr w14:val="tx1"/>
            </w14:solidFill>
          </w14:textFill>
        </w:rPr>
        <w:t>戈壁荒漠</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选矿厂、尾矿库、道路的运营对</w:t>
      </w:r>
      <w:r>
        <w:rPr>
          <w:color w:val="000000" w:themeColor="text1"/>
          <w:highlight w:val="none"/>
          <w14:textFill>
            <w14:solidFill>
              <w14:schemeClr w14:val="tx1"/>
            </w14:solidFill>
          </w14:textFill>
        </w:rPr>
        <w:t>区域内</w:t>
      </w:r>
      <w:r>
        <w:rPr>
          <w:rFonts w:hint="eastAsia"/>
          <w:color w:val="000000" w:themeColor="text1"/>
          <w:highlight w:val="none"/>
          <w:lang w:eastAsia="zh-CN"/>
          <w14:textFill>
            <w14:solidFill>
              <w14:schemeClr w14:val="tx1"/>
            </w14:solidFill>
          </w14:textFill>
        </w:rPr>
        <w:t>植被</w:t>
      </w:r>
      <w:r>
        <w:rPr>
          <w:rFonts w:hint="eastAsia"/>
          <w:color w:val="000000" w:themeColor="text1"/>
          <w:highlight w:val="none"/>
          <w14:textFill>
            <w14:solidFill>
              <w14:schemeClr w14:val="tx1"/>
            </w14:solidFill>
          </w14:textFill>
        </w:rPr>
        <w:t>造成扰动。</w:t>
      </w:r>
      <w:r>
        <w:rPr>
          <w:color w:val="000000" w:themeColor="text1"/>
          <w:highlight w:val="none"/>
          <w14:textFill>
            <w14:solidFill>
              <w14:schemeClr w14:val="tx1"/>
            </w14:solidFill>
          </w14:textFill>
        </w:rPr>
        <w:t>根据现场调查，</w:t>
      </w:r>
      <w:r>
        <w:rPr>
          <w:rFonts w:hint="eastAsia"/>
          <w:color w:val="000000" w:themeColor="text1"/>
          <w:highlight w:val="none"/>
          <w:lang w:eastAsia="zh-CN"/>
          <w14:textFill>
            <w14:solidFill>
              <w14:schemeClr w14:val="tx1"/>
            </w14:solidFill>
          </w14:textFill>
        </w:rPr>
        <w:t>选矿厂</w:t>
      </w:r>
      <w:r>
        <w:rPr>
          <w:rFonts w:hint="eastAsia"/>
          <w:color w:val="000000" w:themeColor="text1"/>
          <w:highlight w:val="none"/>
          <w14:textFill>
            <w14:solidFill>
              <w14:schemeClr w14:val="tx1"/>
            </w14:solidFill>
          </w14:textFill>
        </w:rPr>
        <w:t>周边部分临时占地碾压后尚未完成生态恢复。</w:t>
      </w:r>
    </w:p>
    <w:p w14:paraId="02348B4A">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（3）动物</w:t>
      </w:r>
    </w:p>
    <w:p w14:paraId="67D54BD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区域野生动物分布少</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现场调查期间，未发现有野生动物活动，</w:t>
      </w:r>
      <w:r>
        <w:rPr>
          <w:rFonts w:hint="eastAsia"/>
          <w:color w:val="000000" w:themeColor="text1"/>
          <w:highlight w:val="none"/>
          <w14:textFill>
            <w14:solidFill>
              <w14:schemeClr w14:val="tx1"/>
            </w14:solidFill>
          </w14:textFill>
        </w:rPr>
        <w:t>选厂</w:t>
      </w:r>
      <w:r>
        <w:rPr>
          <w:color w:val="000000" w:themeColor="text1"/>
          <w:highlight w:val="none"/>
          <w14:textFill>
            <w14:solidFill>
              <w14:schemeClr w14:val="tx1"/>
            </w14:solidFill>
          </w14:textFill>
        </w:rPr>
        <w:t>职工没有捕猎野生动物的现象。</w:t>
      </w:r>
    </w:p>
    <w:p w14:paraId="53CB8B3E">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（4）地形地貌、</w:t>
      </w:r>
      <w:r>
        <w:rPr>
          <w:color w:val="000000" w:themeColor="text1"/>
          <w:highlight w:val="none"/>
          <w14:textFill>
            <w14:solidFill>
              <w14:schemeClr w14:val="tx1"/>
            </w14:solidFill>
          </w14:textFill>
        </w:rPr>
        <w:t>景观影响</w:t>
      </w:r>
    </w:p>
    <w:p w14:paraId="42794939">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经现状调查，区内除</w:t>
      </w:r>
      <w:r>
        <w:rPr>
          <w:rFonts w:hint="eastAsia"/>
          <w:color w:val="000000" w:themeColor="text1"/>
          <w:highlight w:val="none"/>
          <w14:textFill>
            <w14:solidFill>
              <w14:schemeClr w14:val="tx1"/>
            </w14:solidFill>
          </w14:textFill>
        </w:rPr>
        <w:t>选矿活动</w:t>
      </w:r>
      <w:r>
        <w:rPr>
          <w:color w:val="000000" w:themeColor="text1"/>
          <w:highlight w:val="none"/>
          <w14:textFill>
            <w14:solidFill>
              <w14:schemeClr w14:val="tx1"/>
            </w14:solidFill>
          </w14:textFill>
        </w:rPr>
        <w:t>外，</w:t>
      </w:r>
      <w:r>
        <w:rPr>
          <w:rFonts w:hint="eastAsia"/>
          <w:color w:val="000000" w:themeColor="text1"/>
          <w:highlight w:val="none"/>
          <w:lang w:eastAsia="zh-CN"/>
          <w14:textFill>
            <w14:solidFill>
              <w14:schemeClr w14:val="tx1"/>
            </w14:solidFill>
          </w14:textFill>
        </w:rPr>
        <w:t>无其他</w:t>
      </w:r>
      <w:r>
        <w:rPr>
          <w:color w:val="000000" w:themeColor="text1"/>
          <w:highlight w:val="none"/>
          <w14:textFill>
            <w14:solidFill>
              <w14:schemeClr w14:val="tx1"/>
            </w14:solidFill>
          </w14:textFill>
        </w:rPr>
        <w:t>建设活动，</w:t>
      </w:r>
      <w:r>
        <w:rPr>
          <w:rFonts w:hint="eastAsia"/>
          <w:color w:val="000000" w:themeColor="text1"/>
          <w:highlight w:val="none"/>
          <w14:textFill>
            <w14:solidFill>
              <w14:schemeClr w14:val="tx1"/>
            </w14:solidFill>
          </w14:textFill>
        </w:rPr>
        <w:t>也</w:t>
      </w:r>
      <w:r>
        <w:rPr>
          <w:color w:val="000000" w:themeColor="text1"/>
          <w:highlight w:val="none"/>
          <w14:textFill>
            <w14:solidFill>
              <w14:schemeClr w14:val="tx1"/>
            </w14:solidFill>
          </w14:textFill>
        </w:rPr>
        <w:t>没有著名的地形地貌景观。</w:t>
      </w:r>
      <w:r>
        <w:rPr>
          <w:rFonts w:hint="eastAsia"/>
          <w:color w:val="000000" w:themeColor="text1"/>
          <w:highlight w:val="none"/>
          <w14:textFill>
            <w14:solidFill>
              <w14:schemeClr w14:val="tx1"/>
            </w14:solidFill>
          </w14:textFill>
        </w:rPr>
        <w:t>选矿厂、尾矿库的建设对</w:t>
      </w:r>
      <w:r>
        <w:rPr>
          <w:color w:val="000000" w:themeColor="text1"/>
          <w:highlight w:val="none"/>
          <w14:textFill>
            <w14:solidFill>
              <w14:schemeClr w14:val="tx1"/>
            </w14:solidFill>
          </w14:textFill>
        </w:rPr>
        <w:t>原有地表形态、植被等产生直接的破坏，原有的地形地貌景观类型变为工业场地及附属设施，对原生的地形地貌景观</w:t>
      </w:r>
      <w:r>
        <w:rPr>
          <w:rFonts w:hint="eastAsia"/>
          <w:color w:val="000000" w:themeColor="text1"/>
          <w:highlight w:val="none"/>
          <w14:textFill>
            <w14:solidFill>
              <w14:schemeClr w14:val="tx1"/>
            </w14:solidFill>
          </w14:textFill>
        </w:rPr>
        <w:t>造成一定影响</w:t>
      </w:r>
      <w:r>
        <w:rPr>
          <w:color w:val="000000" w:themeColor="text1"/>
          <w:highlight w:val="none"/>
          <w14:textFill>
            <w14:solidFill>
              <w14:schemeClr w14:val="tx1"/>
            </w14:solidFill>
          </w14:textFill>
        </w:rPr>
        <w:t>。</w:t>
      </w:r>
    </w:p>
    <w:p w14:paraId="3C992BE1">
      <w:pPr>
        <w:pStyle w:val="4"/>
        <w:rPr>
          <w:color w:val="000000" w:themeColor="text1"/>
          <w:highlight w:val="none"/>
          <w14:textFill>
            <w14:solidFill>
              <w14:schemeClr w14:val="tx1"/>
            </w14:solidFill>
          </w14:textFill>
        </w:rPr>
      </w:pPr>
      <w:bookmarkStart w:id="408" w:name="_Toc7821"/>
      <w:bookmarkStart w:id="409" w:name="_Toc1750"/>
      <w:bookmarkStart w:id="410" w:name="_Toc4736"/>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现有工程</w:t>
      </w:r>
      <w:r>
        <w:rPr>
          <w:rFonts w:hint="eastAsia"/>
          <w:color w:val="000000" w:themeColor="text1"/>
          <w:highlight w:val="none"/>
          <w14:textFill>
            <w14:solidFill>
              <w14:schemeClr w14:val="tx1"/>
            </w14:solidFill>
          </w14:textFill>
        </w:rPr>
        <w:t>污染物排放量统计</w:t>
      </w:r>
      <w:bookmarkEnd w:id="408"/>
      <w:bookmarkEnd w:id="409"/>
      <w:bookmarkEnd w:id="410"/>
    </w:p>
    <w:p w14:paraId="27D5C090">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3.1.8.1污染物排放量统计</w:t>
      </w:r>
    </w:p>
    <w:p w14:paraId="10AE261A">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现有工程污染物排放量统计情况见下表。</w:t>
      </w:r>
    </w:p>
    <w:p w14:paraId="7315D34B">
      <w:pPr>
        <w:pStyle w:val="41"/>
        <w:spacing w:line="480" w:lineRule="exact"/>
        <w:ind w:firstLine="0" w:firstLineChars="0"/>
        <w:jc w:val="center"/>
        <w:rPr>
          <w:rFonts w:cs="Times New Roman"/>
          <w:b/>
          <w:bCs/>
          <w:color w:val="000000" w:themeColor="text1"/>
          <w:szCs w:val="24"/>
          <w:highlight w:val="none"/>
          <w14:textFill>
            <w14:solidFill>
              <w14:schemeClr w14:val="tx1"/>
            </w14:solidFill>
          </w14:textFill>
        </w:rPr>
      </w:pPr>
      <w:r>
        <w:rPr>
          <w:rFonts w:hint="eastAsia" w:cs="Times New Roman"/>
          <w:b/>
          <w:bCs/>
          <w:color w:val="000000" w:themeColor="text1"/>
          <w:szCs w:val="24"/>
          <w:highlight w:val="none"/>
          <w14:textFill>
            <w14:solidFill>
              <w14:schemeClr w14:val="tx1"/>
            </w14:solidFill>
          </w14:textFill>
        </w:rPr>
        <w:t>表3.1-</w:t>
      </w:r>
      <w:r>
        <w:rPr>
          <w:rFonts w:hint="eastAsia" w:cs="Times New Roman"/>
          <w:b/>
          <w:bCs/>
          <w:color w:val="000000" w:themeColor="text1"/>
          <w:szCs w:val="24"/>
          <w:highlight w:val="none"/>
          <w:lang w:val="en-US" w:eastAsia="zh-CN"/>
          <w14:textFill>
            <w14:solidFill>
              <w14:schemeClr w14:val="tx1"/>
            </w14:solidFill>
          </w14:textFill>
        </w:rPr>
        <w:t>7</w:t>
      </w:r>
      <w:r>
        <w:rPr>
          <w:rFonts w:hint="eastAsia" w:cs="Times New Roman"/>
          <w:b/>
          <w:bCs/>
          <w:color w:val="000000" w:themeColor="text1"/>
          <w:szCs w:val="24"/>
          <w:highlight w:val="none"/>
          <w14:textFill>
            <w14:solidFill>
              <w14:schemeClr w14:val="tx1"/>
            </w14:solidFill>
          </w14:textFill>
        </w:rPr>
        <w:t xml:space="preserve">    现有工程污染物排放量统计表</w:t>
      </w:r>
    </w:p>
    <w:tbl>
      <w:tblPr>
        <w:tblStyle w:val="3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50"/>
        <w:gridCol w:w="1822"/>
        <w:gridCol w:w="1245"/>
        <w:gridCol w:w="1328"/>
        <w:gridCol w:w="2741"/>
      </w:tblGrid>
      <w:tr w14:paraId="46DF6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46" w:type="pct"/>
            <w:tcBorders>
              <w:tl2br w:val="nil"/>
              <w:tr2bl w:val="nil"/>
            </w:tcBorders>
            <w:vAlign w:val="center"/>
          </w:tcPr>
          <w:p w14:paraId="2EAE8952">
            <w:pPr>
              <w:pStyle w:val="84"/>
              <w:spacing w:line="360" w:lineRule="exact"/>
              <w:rPr>
                <w:b/>
                <w:bCs/>
                <w:color w:val="000000" w:themeColor="text1"/>
                <w:szCs w:val="20"/>
                <w:highlight w:val="none"/>
                <w14:textFill>
                  <w14:solidFill>
                    <w14:schemeClr w14:val="tx1"/>
                  </w14:solidFill>
                </w14:textFill>
              </w:rPr>
            </w:pPr>
            <w:r>
              <w:rPr>
                <w:b/>
                <w:bCs/>
                <w:color w:val="000000" w:themeColor="text1"/>
                <w:szCs w:val="20"/>
                <w:highlight w:val="none"/>
                <w14:textFill>
                  <w14:solidFill>
                    <w14:schemeClr w14:val="tx1"/>
                  </w14:solidFill>
                </w14:textFill>
              </w:rPr>
              <w:t>序号</w:t>
            </w:r>
          </w:p>
        </w:tc>
        <w:tc>
          <w:tcPr>
            <w:tcW w:w="559" w:type="pct"/>
            <w:tcBorders>
              <w:tl2br w:val="nil"/>
              <w:tr2bl w:val="nil"/>
            </w:tcBorders>
            <w:vAlign w:val="center"/>
          </w:tcPr>
          <w:p w14:paraId="2FC20893">
            <w:pPr>
              <w:pStyle w:val="84"/>
              <w:spacing w:line="360" w:lineRule="exact"/>
              <w:ind w:left="-72" w:leftChars="-30" w:right="-72" w:rightChars="-30"/>
              <w:rPr>
                <w:b/>
                <w:bCs/>
                <w:color w:val="000000" w:themeColor="text1"/>
                <w:szCs w:val="20"/>
                <w:highlight w:val="none"/>
                <w14:textFill>
                  <w14:solidFill>
                    <w14:schemeClr w14:val="tx1"/>
                  </w14:solidFill>
                </w14:textFill>
              </w:rPr>
            </w:pPr>
            <w:r>
              <w:rPr>
                <w:b/>
                <w:bCs/>
                <w:color w:val="000000" w:themeColor="text1"/>
                <w:szCs w:val="20"/>
                <w:highlight w:val="none"/>
                <w14:textFill>
                  <w14:solidFill>
                    <w14:schemeClr w14:val="tx1"/>
                  </w14:solidFill>
                </w14:textFill>
              </w:rPr>
              <w:t>污染源</w:t>
            </w:r>
            <w:r>
              <w:rPr>
                <w:rFonts w:hint="eastAsia"/>
                <w:b/>
                <w:bCs/>
                <w:color w:val="000000" w:themeColor="text1"/>
                <w:szCs w:val="20"/>
                <w:highlight w:val="none"/>
                <w14:textFill>
                  <w14:solidFill>
                    <w14:schemeClr w14:val="tx1"/>
                  </w14:solidFill>
                </w14:textFill>
              </w:rPr>
              <w:t>名称</w:t>
            </w:r>
          </w:p>
        </w:tc>
        <w:tc>
          <w:tcPr>
            <w:tcW w:w="1070" w:type="pct"/>
            <w:tcBorders>
              <w:tl2br w:val="nil"/>
              <w:tr2bl w:val="nil"/>
            </w:tcBorders>
            <w:vAlign w:val="center"/>
          </w:tcPr>
          <w:p w14:paraId="65CB23E8">
            <w:pPr>
              <w:pStyle w:val="84"/>
              <w:spacing w:line="360" w:lineRule="exact"/>
              <w:rPr>
                <w:b/>
                <w:bCs/>
                <w:color w:val="000000" w:themeColor="text1"/>
                <w:highlight w:val="none"/>
                <w14:textFill>
                  <w14:solidFill>
                    <w14:schemeClr w14:val="tx1"/>
                  </w14:solidFill>
                </w14:textFill>
              </w:rPr>
            </w:pPr>
            <w:r>
              <w:rPr>
                <w:b/>
                <w:bCs/>
                <w:color w:val="000000" w:themeColor="text1"/>
                <w:szCs w:val="20"/>
                <w:highlight w:val="none"/>
                <w14:textFill>
                  <w14:solidFill>
                    <w14:schemeClr w14:val="tx1"/>
                  </w14:solidFill>
                </w14:textFill>
              </w:rPr>
              <w:t>污染源</w:t>
            </w:r>
            <w:r>
              <w:rPr>
                <w:rFonts w:hint="eastAsia"/>
                <w:b/>
                <w:bCs/>
                <w:color w:val="000000" w:themeColor="text1"/>
                <w:highlight w:val="none"/>
                <w14:textFill>
                  <w14:solidFill>
                    <w14:schemeClr w14:val="tx1"/>
                  </w14:solidFill>
                </w14:textFill>
              </w:rPr>
              <w:t>类型</w:t>
            </w:r>
          </w:p>
        </w:tc>
        <w:tc>
          <w:tcPr>
            <w:tcW w:w="732" w:type="pct"/>
            <w:tcBorders>
              <w:tl2br w:val="nil"/>
              <w:tr2bl w:val="nil"/>
            </w:tcBorders>
            <w:vAlign w:val="center"/>
          </w:tcPr>
          <w:p w14:paraId="1E3CAFE6">
            <w:pPr>
              <w:pStyle w:val="84"/>
              <w:spacing w:line="360" w:lineRule="exact"/>
              <w:ind w:left="-72" w:leftChars="-30" w:right="-72" w:rightChars="-30"/>
              <w:rPr>
                <w:b/>
                <w:bCs/>
                <w:color w:val="000000" w:themeColor="text1"/>
                <w:szCs w:val="20"/>
                <w:highlight w:val="none"/>
                <w14:textFill>
                  <w14:solidFill>
                    <w14:schemeClr w14:val="tx1"/>
                  </w14:solidFill>
                </w14:textFill>
              </w:rPr>
            </w:pPr>
            <w:r>
              <w:rPr>
                <w:rFonts w:hint="eastAsia"/>
                <w:b/>
                <w:bCs/>
                <w:color w:val="000000" w:themeColor="text1"/>
                <w:highlight w:val="none"/>
                <w14:textFill>
                  <w14:solidFill>
                    <w14:schemeClr w14:val="tx1"/>
                  </w14:solidFill>
                </w14:textFill>
              </w:rPr>
              <w:t>污染物名称</w:t>
            </w:r>
          </w:p>
        </w:tc>
        <w:tc>
          <w:tcPr>
            <w:tcW w:w="781" w:type="pct"/>
            <w:tcBorders>
              <w:tl2br w:val="nil"/>
              <w:tr2bl w:val="nil"/>
            </w:tcBorders>
            <w:vAlign w:val="center"/>
          </w:tcPr>
          <w:p w14:paraId="5D0DCB32">
            <w:pPr>
              <w:pStyle w:val="84"/>
              <w:spacing w:line="360" w:lineRule="exact"/>
              <w:rPr>
                <w:b/>
                <w:bCs/>
                <w:color w:val="000000" w:themeColor="text1"/>
                <w:szCs w:val="20"/>
                <w:highlight w:val="none"/>
                <w14:textFill>
                  <w14:solidFill>
                    <w14:schemeClr w14:val="tx1"/>
                  </w14:solidFill>
                </w14:textFill>
              </w:rPr>
            </w:pPr>
            <w:r>
              <w:rPr>
                <w:rFonts w:hint="eastAsia"/>
                <w:b/>
                <w:bCs/>
                <w:color w:val="000000" w:themeColor="text1"/>
                <w:szCs w:val="20"/>
                <w:highlight w:val="none"/>
                <w14:textFill>
                  <w14:solidFill>
                    <w14:schemeClr w14:val="tx1"/>
                  </w14:solidFill>
                </w14:textFill>
              </w:rPr>
              <w:t>排放量</w:t>
            </w:r>
          </w:p>
        </w:tc>
        <w:tc>
          <w:tcPr>
            <w:tcW w:w="1609" w:type="pct"/>
            <w:tcBorders>
              <w:tl2br w:val="nil"/>
              <w:tr2bl w:val="nil"/>
            </w:tcBorders>
            <w:vAlign w:val="center"/>
          </w:tcPr>
          <w:p w14:paraId="33A9E784">
            <w:pPr>
              <w:pStyle w:val="84"/>
              <w:spacing w:line="360" w:lineRule="exact"/>
              <w:rPr>
                <w:b/>
                <w:bCs/>
                <w:color w:val="000000" w:themeColor="text1"/>
                <w:szCs w:val="20"/>
                <w:highlight w:val="none"/>
                <w14:textFill>
                  <w14:solidFill>
                    <w14:schemeClr w14:val="tx1"/>
                  </w14:solidFill>
                </w14:textFill>
              </w:rPr>
            </w:pPr>
            <w:r>
              <w:rPr>
                <w:rFonts w:hint="eastAsia"/>
                <w:b/>
                <w:bCs/>
                <w:color w:val="000000" w:themeColor="text1"/>
                <w:szCs w:val="20"/>
                <w:highlight w:val="none"/>
                <w14:textFill>
                  <w14:solidFill>
                    <w14:schemeClr w14:val="tx1"/>
                  </w14:solidFill>
                </w14:textFill>
              </w:rPr>
              <w:t>排放去向</w:t>
            </w:r>
          </w:p>
        </w:tc>
      </w:tr>
      <w:tr w14:paraId="483DB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6" w:type="pct"/>
            <w:vMerge w:val="restart"/>
            <w:tcBorders>
              <w:tl2br w:val="nil"/>
              <w:tr2bl w:val="nil"/>
            </w:tcBorders>
            <w:vAlign w:val="center"/>
          </w:tcPr>
          <w:p w14:paraId="76E6F705">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1</w:t>
            </w:r>
          </w:p>
        </w:tc>
        <w:tc>
          <w:tcPr>
            <w:tcW w:w="559" w:type="pct"/>
            <w:vMerge w:val="restart"/>
            <w:tcBorders>
              <w:tl2br w:val="nil"/>
              <w:tr2bl w:val="nil"/>
            </w:tcBorders>
            <w:vAlign w:val="center"/>
          </w:tcPr>
          <w:p w14:paraId="269B9FF4">
            <w:pPr>
              <w:pStyle w:val="84"/>
              <w:spacing w:line="3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无组织废气</w:t>
            </w:r>
          </w:p>
        </w:tc>
        <w:tc>
          <w:tcPr>
            <w:tcW w:w="1070" w:type="pct"/>
            <w:tcBorders>
              <w:tl2br w:val="nil"/>
              <w:tr2bl w:val="nil"/>
            </w:tcBorders>
            <w:vAlign w:val="center"/>
          </w:tcPr>
          <w:p w14:paraId="065EB822">
            <w:pPr>
              <w:pStyle w:val="84"/>
              <w:spacing w:line="360" w:lineRule="exact"/>
              <w:ind w:left="-120" w:leftChars="-50" w:right="-120" w:rightChars="-50"/>
              <w:rPr>
                <w:color w:val="000000" w:themeColor="text1"/>
                <w:spacing w:val="-6"/>
                <w:highlight w:val="none"/>
                <w14:textFill>
                  <w14:solidFill>
                    <w14:schemeClr w14:val="tx1"/>
                  </w14:solidFill>
                </w14:textFill>
              </w:rPr>
            </w:pPr>
            <w:r>
              <w:rPr>
                <w:color w:val="000000" w:themeColor="text1"/>
                <w:spacing w:val="-6"/>
                <w:kern w:val="0"/>
                <w:szCs w:val="21"/>
                <w:highlight w:val="none"/>
                <w14:textFill>
                  <w14:solidFill>
                    <w14:schemeClr w14:val="tx1"/>
                  </w14:solidFill>
                </w14:textFill>
              </w:rPr>
              <w:t>选矿厂</w:t>
            </w:r>
            <w:r>
              <w:rPr>
                <w:rFonts w:hint="eastAsia"/>
                <w:color w:val="000000" w:themeColor="text1"/>
                <w:spacing w:val="-6"/>
                <w:kern w:val="0"/>
                <w:szCs w:val="21"/>
                <w:highlight w:val="none"/>
                <w14:textFill>
                  <w14:solidFill>
                    <w14:schemeClr w14:val="tx1"/>
                  </w14:solidFill>
                </w14:textFill>
              </w:rPr>
              <w:t>磨矿仓粉尘</w:t>
            </w:r>
          </w:p>
        </w:tc>
        <w:tc>
          <w:tcPr>
            <w:tcW w:w="732" w:type="pct"/>
            <w:tcBorders>
              <w:tl2br w:val="nil"/>
              <w:tr2bl w:val="nil"/>
            </w:tcBorders>
            <w:vAlign w:val="center"/>
          </w:tcPr>
          <w:p w14:paraId="48320460">
            <w:pPr>
              <w:pStyle w:val="84"/>
              <w:spacing w:line="3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781" w:type="pct"/>
            <w:tcBorders>
              <w:tl2br w:val="nil"/>
              <w:tr2bl w:val="nil"/>
            </w:tcBorders>
            <w:vAlign w:val="center"/>
          </w:tcPr>
          <w:p w14:paraId="4C50F20F">
            <w:pPr>
              <w:pStyle w:val="84"/>
              <w:spacing w:line="360" w:lineRule="exact"/>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少量</w:t>
            </w:r>
          </w:p>
        </w:tc>
        <w:tc>
          <w:tcPr>
            <w:tcW w:w="1609" w:type="pct"/>
            <w:tcBorders>
              <w:tl2br w:val="nil"/>
              <w:tr2bl w:val="nil"/>
            </w:tcBorders>
            <w:vAlign w:val="center"/>
          </w:tcPr>
          <w:p w14:paraId="4A9E7342">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无组织排放</w:t>
            </w:r>
          </w:p>
        </w:tc>
      </w:tr>
      <w:tr w14:paraId="79585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6" w:type="pct"/>
            <w:vMerge w:val="continue"/>
            <w:tcBorders>
              <w:tl2br w:val="nil"/>
              <w:tr2bl w:val="nil"/>
            </w:tcBorders>
            <w:vAlign w:val="center"/>
          </w:tcPr>
          <w:p w14:paraId="04404DF1">
            <w:pPr>
              <w:pStyle w:val="84"/>
              <w:spacing w:line="360" w:lineRule="exact"/>
              <w:rPr>
                <w:color w:val="000000" w:themeColor="text1"/>
                <w:szCs w:val="20"/>
                <w:highlight w:val="none"/>
                <w14:textFill>
                  <w14:solidFill>
                    <w14:schemeClr w14:val="tx1"/>
                  </w14:solidFill>
                </w14:textFill>
              </w:rPr>
            </w:pPr>
          </w:p>
        </w:tc>
        <w:tc>
          <w:tcPr>
            <w:tcW w:w="559" w:type="pct"/>
            <w:vMerge w:val="continue"/>
            <w:tcBorders>
              <w:tl2br w:val="nil"/>
              <w:tr2bl w:val="nil"/>
            </w:tcBorders>
            <w:vAlign w:val="center"/>
          </w:tcPr>
          <w:p w14:paraId="2001E5CB">
            <w:pPr>
              <w:pStyle w:val="84"/>
              <w:spacing w:line="360" w:lineRule="exact"/>
              <w:rPr>
                <w:color w:val="000000" w:themeColor="text1"/>
                <w:highlight w:val="none"/>
                <w14:textFill>
                  <w14:solidFill>
                    <w14:schemeClr w14:val="tx1"/>
                  </w14:solidFill>
                </w14:textFill>
              </w:rPr>
            </w:pPr>
          </w:p>
        </w:tc>
        <w:tc>
          <w:tcPr>
            <w:tcW w:w="1070" w:type="pct"/>
            <w:tcBorders>
              <w:tl2br w:val="nil"/>
              <w:tr2bl w:val="nil"/>
            </w:tcBorders>
            <w:vAlign w:val="center"/>
          </w:tcPr>
          <w:p w14:paraId="6898DBFC">
            <w:pPr>
              <w:pStyle w:val="84"/>
              <w:spacing w:line="36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原矿堆场</w:t>
            </w:r>
            <w:r>
              <w:rPr>
                <w:rFonts w:hint="eastAsia"/>
                <w:color w:val="000000" w:themeColor="text1"/>
                <w:highlight w:val="none"/>
                <w14:textFill>
                  <w14:solidFill>
                    <w14:schemeClr w14:val="tx1"/>
                  </w14:solidFill>
                </w14:textFill>
              </w:rPr>
              <w:t>扬尘</w:t>
            </w:r>
          </w:p>
        </w:tc>
        <w:tc>
          <w:tcPr>
            <w:tcW w:w="732" w:type="pct"/>
            <w:tcBorders>
              <w:tl2br w:val="nil"/>
              <w:tr2bl w:val="nil"/>
            </w:tcBorders>
            <w:vAlign w:val="center"/>
          </w:tcPr>
          <w:p w14:paraId="654347EA">
            <w:pPr>
              <w:pStyle w:val="84"/>
              <w:spacing w:line="3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781" w:type="pct"/>
            <w:tcBorders>
              <w:tl2br w:val="nil"/>
              <w:tr2bl w:val="nil"/>
            </w:tcBorders>
            <w:vAlign w:val="center"/>
          </w:tcPr>
          <w:p w14:paraId="30F3C6CC">
            <w:pPr>
              <w:pStyle w:val="84"/>
              <w:spacing w:line="360" w:lineRule="exact"/>
              <w:rPr>
                <w:color w:val="000000" w:themeColor="text1"/>
                <w:szCs w:val="20"/>
                <w:highlight w:val="none"/>
                <w14:textFill>
                  <w14:solidFill>
                    <w14:schemeClr w14:val="tx1"/>
                  </w14:solidFill>
                </w14:textFill>
              </w:rPr>
            </w:pPr>
            <w:r>
              <w:rPr>
                <w:rFonts w:hint="eastAsia"/>
                <w:color w:val="000000" w:themeColor="text1"/>
                <w:highlight w:val="none"/>
                <w14:textFill>
                  <w14:solidFill>
                    <w14:schemeClr w14:val="tx1"/>
                  </w14:solidFill>
                </w14:textFill>
              </w:rPr>
              <w:t>少量</w:t>
            </w:r>
          </w:p>
        </w:tc>
        <w:tc>
          <w:tcPr>
            <w:tcW w:w="1609" w:type="pct"/>
            <w:tcBorders>
              <w:tl2br w:val="nil"/>
              <w:tr2bl w:val="nil"/>
            </w:tcBorders>
            <w:vAlign w:val="center"/>
          </w:tcPr>
          <w:p w14:paraId="3984299C">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无组织排放</w:t>
            </w:r>
          </w:p>
        </w:tc>
      </w:tr>
      <w:tr w14:paraId="555C4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6" w:type="pct"/>
            <w:vMerge w:val="continue"/>
            <w:tcBorders>
              <w:tl2br w:val="nil"/>
              <w:tr2bl w:val="nil"/>
            </w:tcBorders>
            <w:vAlign w:val="center"/>
          </w:tcPr>
          <w:p w14:paraId="141AEB0A">
            <w:pPr>
              <w:pStyle w:val="84"/>
              <w:spacing w:line="360" w:lineRule="exact"/>
              <w:rPr>
                <w:color w:val="000000" w:themeColor="text1"/>
                <w:szCs w:val="20"/>
                <w:highlight w:val="none"/>
                <w14:textFill>
                  <w14:solidFill>
                    <w14:schemeClr w14:val="tx1"/>
                  </w14:solidFill>
                </w14:textFill>
              </w:rPr>
            </w:pPr>
          </w:p>
        </w:tc>
        <w:tc>
          <w:tcPr>
            <w:tcW w:w="559" w:type="pct"/>
            <w:vMerge w:val="continue"/>
            <w:tcBorders>
              <w:tl2br w:val="nil"/>
              <w:tr2bl w:val="nil"/>
            </w:tcBorders>
            <w:vAlign w:val="center"/>
          </w:tcPr>
          <w:p w14:paraId="562F3C91">
            <w:pPr>
              <w:pStyle w:val="84"/>
              <w:spacing w:line="360" w:lineRule="exact"/>
              <w:rPr>
                <w:color w:val="000000" w:themeColor="text1"/>
                <w:highlight w:val="none"/>
                <w14:textFill>
                  <w14:solidFill>
                    <w14:schemeClr w14:val="tx1"/>
                  </w14:solidFill>
                </w14:textFill>
              </w:rPr>
            </w:pPr>
          </w:p>
        </w:tc>
        <w:tc>
          <w:tcPr>
            <w:tcW w:w="1070" w:type="pct"/>
            <w:tcBorders>
              <w:tl2br w:val="nil"/>
              <w:tr2bl w:val="nil"/>
            </w:tcBorders>
            <w:vAlign w:val="center"/>
          </w:tcPr>
          <w:p w14:paraId="0FEA2F49">
            <w:pPr>
              <w:pStyle w:val="84"/>
              <w:spacing w:line="360" w:lineRule="exact"/>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破碎粉尘</w:t>
            </w:r>
          </w:p>
        </w:tc>
        <w:tc>
          <w:tcPr>
            <w:tcW w:w="732" w:type="pct"/>
            <w:tcBorders>
              <w:tl2br w:val="nil"/>
              <w:tr2bl w:val="nil"/>
            </w:tcBorders>
            <w:vAlign w:val="center"/>
          </w:tcPr>
          <w:p w14:paraId="37756114">
            <w:pPr>
              <w:pStyle w:val="84"/>
              <w:spacing w:line="3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781" w:type="pct"/>
            <w:tcBorders>
              <w:tl2br w:val="nil"/>
              <w:tr2bl w:val="nil"/>
            </w:tcBorders>
            <w:vAlign w:val="center"/>
          </w:tcPr>
          <w:p w14:paraId="18383A08">
            <w:pPr>
              <w:pStyle w:val="84"/>
              <w:spacing w:line="3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少量</w:t>
            </w:r>
          </w:p>
        </w:tc>
        <w:tc>
          <w:tcPr>
            <w:tcW w:w="1609" w:type="pct"/>
            <w:tcBorders>
              <w:tl2br w:val="nil"/>
              <w:tr2bl w:val="nil"/>
            </w:tcBorders>
            <w:vAlign w:val="center"/>
          </w:tcPr>
          <w:p w14:paraId="6A2D7A72">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无组织排放</w:t>
            </w:r>
          </w:p>
        </w:tc>
      </w:tr>
      <w:tr w14:paraId="25ED6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6" w:type="pct"/>
            <w:vMerge w:val="continue"/>
            <w:tcBorders>
              <w:tl2br w:val="nil"/>
              <w:tr2bl w:val="nil"/>
            </w:tcBorders>
            <w:vAlign w:val="center"/>
          </w:tcPr>
          <w:p w14:paraId="332D5F72">
            <w:pPr>
              <w:pStyle w:val="84"/>
              <w:spacing w:line="360" w:lineRule="exact"/>
              <w:rPr>
                <w:color w:val="000000" w:themeColor="text1"/>
                <w:szCs w:val="20"/>
                <w:highlight w:val="none"/>
                <w14:textFill>
                  <w14:solidFill>
                    <w14:schemeClr w14:val="tx1"/>
                  </w14:solidFill>
                </w14:textFill>
              </w:rPr>
            </w:pPr>
          </w:p>
        </w:tc>
        <w:tc>
          <w:tcPr>
            <w:tcW w:w="559" w:type="pct"/>
            <w:vMerge w:val="continue"/>
            <w:tcBorders>
              <w:tl2br w:val="nil"/>
              <w:tr2bl w:val="nil"/>
            </w:tcBorders>
            <w:vAlign w:val="center"/>
          </w:tcPr>
          <w:p w14:paraId="5BF9429A">
            <w:pPr>
              <w:pStyle w:val="84"/>
              <w:spacing w:line="360" w:lineRule="exact"/>
              <w:rPr>
                <w:color w:val="000000" w:themeColor="text1"/>
                <w:highlight w:val="none"/>
                <w14:textFill>
                  <w14:solidFill>
                    <w14:schemeClr w14:val="tx1"/>
                  </w14:solidFill>
                </w14:textFill>
              </w:rPr>
            </w:pPr>
          </w:p>
        </w:tc>
        <w:tc>
          <w:tcPr>
            <w:tcW w:w="1070" w:type="pct"/>
            <w:tcBorders>
              <w:tl2br w:val="nil"/>
              <w:tr2bl w:val="nil"/>
            </w:tcBorders>
            <w:vAlign w:val="center"/>
          </w:tcPr>
          <w:p w14:paraId="2C4EA004">
            <w:pPr>
              <w:pStyle w:val="84"/>
              <w:spacing w:line="360" w:lineRule="exact"/>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尾矿库</w:t>
            </w:r>
            <w:r>
              <w:rPr>
                <w:rFonts w:hint="eastAsia"/>
                <w:color w:val="000000" w:themeColor="text1"/>
                <w:szCs w:val="21"/>
                <w:highlight w:val="none"/>
                <w14:textFill>
                  <w14:solidFill>
                    <w14:schemeClr w14:val="tx1"/>
                  </w14:solidFill>
                </w14:textFill>
              </w:rPr>
              <w:t>扬尘</w:t>
            </w:r>
          </w:p>
        </w:tc>
        <w:tc>
          <w:tcPr>
            <w:tcW w:w="732" w:type="pct"/>
            <w:tcBorders>
              <w:tl2br w:val="nil"/>
              <w:tr2bl w:val="nil"/>
            </w:tcBorders>
            <w:vAlign w:val="center"/>
          </w:tcPr>
          <w:p w14:paraId="469EB7E2">
            <w:pPr>
              <w:pStyle w:val="84"/>
              <w:spacing w:line="3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781" w:type="pct"/>
            <w:tcBorders>
              <w:tl2br w:val="nil"/>
              <w:tr2bl w:val="nil"/>
            </w:tcBorders>
            <w:vAlign w:val="center"/>
          </w:tcPr>
          <w:p w14:paraId="68FC3D45">
            <w:pPr>
              <w:pStyle w:val="84"/>
              <w:spacing w:line="360" w:lineRule="exact"/>
              <w:rPr>
                <w:color w:val="000000" w:themeColor="text1"/>
                <w:szCs w:val="20"/>
                <w:highlight w:val="none"/>
                <w14:textFill>
                  <w14:solidFill>
                    <w14:schemeClr w14:val="tx1"/>
                  </w14:solidFill>
                </w14:textFill>
              </w:rPr>
            </w:pPr>
            <w:r>
              <w:rPr>
                <w:rFonts w:hint="eastAsia"/>
                <w:color w:val="000000" w:themeColor="text1"/>
                <w:highlight w:val="none"/>
                <w14:textFill>
                  <w14:solidFill>
                    <w14:schemeClr w14:val="tx1"/>
                  </w14:solidFill>
                </w14:textFill>
              </w:rPr>
              <w:t>少量</w:t>
            </w:r>
          </w:p>
        </w:tc>
        <w:tc>
          <w:tcPr>
            <w:tcW w:w="1609" w:type="pct"/>
            <w:tcBorders>
              <w:tl2br w:val="nil"/>
              <w:tr2bl w:val="nil"/>
            </w:tcBorders>
            <w:vAlign w:val="center"/>
          </w:tcPr>
          <w:p w14:paraId="124F92E0">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无组织排放</w:t>
            </w:r>
          </w:p>
        </w:tc>
      </w:tr>
      <w:tr w14:paraId="1113E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6" w:type="pct"/>
            <w:vMerge w:val="continue"/>
            <w:tcBorders>
              <w:tl2br w:val="nil"/>
              <w:tr2bl w:val="nil"/>
            </w:tcBorders>
            <w:vAlign w:val="center"/>
          </w:tcPr>
          <w:p w14:paraId="797BEA80">
            <w:pPr>
              <w:pStyle w:val="84"/>
              <w:spacing w:line="360" w:lineRule="exact"/>
              <w:rPr>
                <w:color w:val="000000" w:themeColor="text1"/>
                <w:szCs w:val="20"/>
                <w:highlight w:val="none"/>
                <w14:textFill>
                  <w14:solidFill>
                    <w14:schemeClr w14:val="tx1"/>
                  </w14:solidFill>
                </w14:textFill>
              </w:rPr>
            </w:pPr>
          </w:p>
        </w:tc>
        <w:tc>
          <w:tcPr>
            <w:tcW w:w="559" w:type="pct"/>
            <w:vMerge w:val="continue"/>
            <w:tcBorders>
              <w:tl2br w:val="nil"/>
              <w:tr2bl w:val="nil"/>
            </w:tcBorders>
            <w:vAlign w:val="center"/>
          </w:tcPr>
          <w:p w14:paraId="414D955A">
            <w:pPr>
              <w:pStyle w:val="84"/>
              <w:spacing w:line="360" w:lineRule="exact"/>
              <w:rPr>
                <w:color w:val="000000" w:themeColor="text1"/>
                <w:highlight w:val="none"/>
                <w14:textFill>
                  <w14:solidFill>
                    <w14:schemeClr w14:val="tx1"/>
                  </w14:solidFill>
                </w14:textFill>
              </w:rPr>
            </w:pPr>
          </w:p>
        </w:tc>
        <w:tc>
          <w:tcPr>
            <w:tcW w:w="1070" w:type="pct"/>
            <w:tcBorders>
              <w:tl2br w:val="nil"/>
              <w:tr2bl w:val="nil"/>
            </w:tcBorders>
            <w:vAlign w:val="center"/>
          </w:tcPr>
          <w:p w14:paraId="47698C50">
            <w:pPr>
              <w:pStyle w:val="84"/>
              <w:spacing w:line="360" w:lineRule="exact"/>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道路运输</w:t>
            </w:r>
            <w:r>
              <w:rPr>
                <w:rFonts w:hint="eastAsia"/>
                <w:color w:val="000000" w:themeColor="text1"/>
                <w:szCs w:val="21"/>
                <w:highlight w:val="none"/>
                <w14:textFill>
                  <w14:solidFill>
                    <w14:schemeClr w14:val="tx1"/>
                  </w14:solidFill>
                </w14:textFill>
              </w:rPr>
              <w:t>扬尘</w:t>
            </w:r>
          </w:p>
        </w:tc>
        <w:tc>
          <w:tcPr>
            <w:tcW w:w="732" w:type="pct"/>
            <w:tcBorders>
              <w:tl2br w:val="nil"/>
              <w:tr2bl w:val="nil"/>
            </w:tcBorders>
            <w:vAlign w:val="center"/>
          </w:tcPr>
          <w:p w14:paraId="055307D6">
            <w:pPr>
              <w:pStyle w:val="84"/>
              <w:spacing w:line="3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781" w:type="pct"/>
            <w:tcBorders>
              <w:tl2br w:val="nil"/>
              <w:tr2bl w:val="nil"/>
            </w:tcBorders>
            <w:vAlign w:val="center"/>
          </w:tcPr>
          <w:p w14:paraId="5D71707C">
            <w:pPr>
              <w:pStyle w:val="84"/>
              <w:spacing w:line="360" w:lineRule="exact"/>
              <w:rPr>
                <w:color w:val="000000" w:themeColor="text1"/>
                <w:szCs w:val="20"/>
                <w:highlight w:val="none"/>
                <w14:textFill>
                  <w14:solidFill>
                    <w14:schemeClr w14:val="tx1"/>
                  </w14:solidFill>
                </w14:textFill>
              </w:rPr>
            </w:pPr>
            <w:r>
              <w:rPr>
                <w:rFonts w:hint="eastAsia"/>
                <w:color w:val="000000" w:themeColor="text1"/>
                <w:highlight w:val="none"/>
                <w14:textFill>
                  <w14:solidFill>
                    <w14:schemeClr w14:val="tx1"/>
                  </w14:solidFill>
                </w14:textFill>
              </w:rPr>
              <w:t>少量</w:t>
            </w:r>
          </w:p>
        </w:tc>
        <w:tc>
          <w:tcPr>
            <w:tcW w:w="1609" w:type="pct"/>
            <w:tcBorders>
              <w:tl2br w:val="nil"/>
              <w:tr2bl w:val="nil"/>
            </w:tcBorders>
            <w:vAlign w:val="center"/>
          </w:tcPr>
          <w:p w14:paraId="4DD7C959">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无组织排放</w:t>
            </w:r>
          </w:p>
        </w:tc>
      </w:tr>
      <w:tr w14:paraId="48BB5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6" w:type="pct"/>
            <w:tcBorders>
              <w:tl2br w:val="nil"/>
              <w:tr2bl w:val="nil"/>
            </w:tcBorders>
            <w:vAlign w:val="center"/>
          </w:tcPr>
          <w:p w14:paraId="7A5AB734">
            <w:pPr>
              <w:pStyle w:val="84"/>
              <w:spacing w:line="360" w:lineRule="exact"/>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2</w:t>
            </w:r>
          </w:p>
        </w:tc>
        <w:tc>
          <w:tcPr>
            <w:tcW w:w="1630" w:type="pct"/>
            <w:gridSpan w:val="2"/>
            <w:tcBorders>
              <w:tl2br w:val="nil"/>
              <w:tr2bl w:val="nil"/>
            </w:tcBorders>
            <w:vAlign w:val="center"/>
          </w:tcPr>
          <w:p w14:paraId="1902F8D4">
            <w:pPr>
              <w:pStyle w:val="84"/>
              <w:spacing w:line="36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生产废水</w:t>
            </w:r>
          </w:p>
        </w:tc>
        <w:tc>
          <w:tcPr>
            <w:tcW w:w="732" w:type="pct"/>
            <w:tcBorders>
              <w:tl2br w:val="nil"/>
              <w:tr2bl w:val="nil"/>
            </w:tcBorders>
            <w:vAlign w:val="center"/>
          </w:tcPr>
          <w:p w14:paraId="7FFB89CB">
            <w:pPr>
              <w:pStyle w:val="84"/>
              <w:spacing w:line="3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选矿废水</w:t>
            </w:r>
          </w:p>
        </w:tc>
        <w:tc>
          <w:tcPr>
            <w:tcW w:w="781" w:type="pct"/>
            <w:tcBorders>
              <w:tl2br w:val="nil"/>
              <w:tr2bl w:val="nil"/>
            </w:tcBorders>
            <w:vAlign w:val="center"/>
          </w:tcPr>
          <w:p w14:paraId="6035282F">
            <w:pPr>
              <w:pStyle w:val="84"/>
              <w:spacing w:line="360" w:lineRule="exact"/>
              <w:rPr>
                <w:rFonts w:hint="eastAsia" w:eastAsia="宋体"/>
                <w:color w:val="000000" w:themeColor="text1"/>
                <w:szCs w:val="20"/>
                <w:highlight w:val="none"/>
                <w:lang w:val="en-US"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0</w:t>
            </w:r>
          </w:p>
        </w:tc>
        <w:tc>
          <w:tcPr>
            <w:tcW w:w="1609" w:type="pct"/>
            <w:tcBorders>
              <w:tl2br w:val="nil"/>
              <w:tr2bl w:val="nil"/>
            </w:tcBorders>
            <w:vAlign w:val="center"/>
          </w:tcPr>
          <w:p w14:paraId="7932FEE7">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回用于选矿生产</w:t>
            </w:r>
          </w:p>
        </w:tc>
      </w:tr>
      <w:tr w14:paraId="451E6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tcBorders>
              <w:tl2br w:val="nil"/>
              <w:tr2bl w:val="nil"/>
            </w:tcBorders>
            <w:vAlign w:val="center"/>
          </w:tcPr>
          <w:p w14:paraId="63C54771">
            <w:pPr>
              <w:pStyle w:val="84"/>
              <w:spacing w:line="360" w:lineRule="exact"/>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3</w:t>
            </w:r>
          </w:p>
        </w:tc>
        <w:tc>
          <w:tcPr>
            <w:tcW w:w="1630" w:type="pct"/>
            <w:gridSpan w:val="2"/>
            <w:tcBorders>
              <w:tl2br w:val="nil"/>
              <w:tr2bl w:val="nil"/>
            </w:tcBorders>
            <w:vAlign w:val="center"/>
          </w:tcPr>
          <w:p w14:paraId="38097BC1">
            <w:pPr>
              <w:pStyle w:val="84"/>
              <w:spacing w:line="3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生活污水</w:t>
            </w:r>
          </w:p>
        </w:tc>
        <w:tc>
          <w:tcPr>
            <w:tcW w:w="732" w:type="pct"/>
            <w:tcBorders>
              <w:tl2br w:val="nil"/>
              <w:tr2bl w:val="nil"/>
            </w:tcBorders>
            <w:vAlign w:val="center"/>
          </w:tcPr>
          <w:p w14:paraId="59453B80">
            <w:pPr>
              <w:pStyle w:val="84"/>
              <w:spacing w:line="3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生活污水</w:t>
            </w:r>
          </w:p>
        </w:tc>
        <w:tc>
          <w:tcPr>
            <w:tcW w:w="781" w:type="pct"/>
            <w:tcBorders>
              <w:tl2br w:val="nil"/>
              <w:tr2bl w:val="nil"/>
            </w:tcBorders>
            <w:vAlign w:val="center"/>
          </w:tcPr>
          <w:p w14:paraId="6B29A387">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0</w:t>
            </w:r>
          </w:p>
        </w:tc>
        <w:tc>
          <w:tcPr>
            <w:tcW w:w="1609" w:type="pct"/>
            <w:tcBorders>
              <w:tl2br w:val="nil"/>
              <w:tr2bl w:val="nil"/>
            </w:tcBorders>
            <w:vAlign w:val="center"/>
          </w:tcPr>
          <w:p w14:paraId="58CCEC7C">
            <w:pPr>
              <w:pStyle w:val="84"/>
              <w:spacing w:line="360" w:lineRule="exact"/>
              <w:ind w:left="-120" w:leftChars="-50" w:right="-120" w:rightChars="-50"/>
              <w:rPr>
                <w:rFonts w:hint="eastAsia" w:eastAsia="宋体"/>
                <w:color w:val="000000" w:themeColor="text1"/>
                <w:spacing w:val="-6"/>
                <w:szCs w:val="20"/>
                <w:highlight w:val="none"/>
                <w:lang w:eastAsia="zh-CN"/>
                <w14:textFill>
                  <w14:solidFill>
                    <w14:schemeClr w14:val="tx1"/>
                  </w14:solidFill>
                </w14:textFill>
              </w:rPr>
            </w:pPr>
            <w:r>
              <w:rPr>
                <w:rFonts w:hint="eastAsia"/>
                <w:color w:val="000000" w:themeColor="text1"/>
                <w:spacing w:val="-6"/>
                <w:szCs w:val="20"/>
                <w:highlight w:val="none"/>
                <w14:textFill>
                  <w14:solidFill>
                    <w14:schemeClr w14:val="tx1"/>
                  </w14:solidFill>
                </w14:textFill>
              </w:rPr>
              <w:t>经</w:t>
            </w:r>
            <w:r>
              <w:rPr>
                <w:rFonts w:hint="eastAsia"/>
                <w:color w:val="000000" w:themeColor="text1"/>
                <w:spacing w:val="-6"/>
                <w:szCs w:val="20"/>
                <w:highlight w:val="none"/>
                <w:lang w:eastAsia="zh-CN"/>
                <w14:textFill>
                  <w14:solidFill>
                    <w14:schemeClr w14:val="tx1"/>
                  </w14:solidFill>
                </w14:textFill>
              </w:rPr>
              <w:t>地埋式一体化污水处理设施处理后</w:t>
            </w:r>
            <w:r>
              <w:rPr>
                <w:rFonts w:hint="eastAsia"/>
                <w:color w:val="000000" w:themeColor="text1"/>
                <w:spacing w:val="-6"/>
                <w:szCs w:val="20"/>
                <w:highlight w:val="none"/>
                <w:lang w:val="en-US" w:eastAsia="zh-CN"/>
                <w14:textFill>
                  <w14:solidFill>
                    <w14:schemeClr w14:val="tx1"/>
                  </w14:solidFill>
                </w14:textFill>
              </w:rPr>
              <w:t>厂区内</w:t>
            </w:r>
            <w:r>
              <w:rPr>
                <w:rFonts w:hint="eastAsia"/>
                <w:color w:val="000000" w:themeColor="text1"/>
                <w:spacing w:val="-6"/>
                <w:szCs w:val="20"/>
                <w:highlight w:val="none"/>
                <w:lang w:eastAsia="zh-CN"/>
                <w14:textFill>
                  <w14:solidFill>
                    <w14:schemeClr w14:val="tx1"/>
                  </w14:solidFill>
                </w14:textFill>
              </w:rPr>
              <w:t>绿化</w:t>
            </w:r>
          </w:p>
        </w:tc>
      </w:tr>
      <w:tr w14:paraId="787AD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6" w:type="pct"/>
            <w:vMerge w:val="restart"/>
            <w:tcBorders>
              <w:tl2br w:val="nil"/>
              <w:tr2bl w:val="nil"/>
            </w:tcBorders>
            <w:vAlign w:val="center"/>
          </w:tcPr>
          <w:p w14:paraId="02F41C7F">
            <w:pPr>
              <w:pStyle w:val="84"/>
              <w:spacing w:line="360" w:lineRule="exact"/>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4</w:t>
            </w:r>
          </w:p>
        </w:tc>
        <w:tc>
          <w:tcPr>
            <w:tcW w:w="559" w:type="pct"/>
            <w:vMerge w:val="restart"/>
            <w:tcBorders>
              <w:tl2br w:val="nil"/>
              <w:tr2bl w:val="nil"/>
            </w:tcBorders>
            <w:vAlign w:val="center"/>
          </w:tcPr>
          <w:p w14:paraId="4B26B7A9">
            <w:pPr>
              <w:pStyle w:val="84"/>
              <w:spacing w:line="360" w:lineRule="exact"/>
              <w:rPr>
                <w:color w:val="000000" w:themeColor="text1"/>
                <w:szCs w:val="20"/>
                <w:highlight w:val="none"/>
                <w14:textFill>
                  <w14:solidFill>
                    <w14:schemeClr w14:val="tx1"/>
                  </w14:solidFill>
                </w14:textFill>
              </w:rPr>
            </w:pPr>
            <w:r>
              <w:rPr>
                <w:color w:val="000000" w:themeColor="text1"/>
                <w:highlight w:val="none"/>
                <w14:textFill>
                  <w14:solidFill>
                    <w14:schemeClr w14:val="tx1"/>
                  </w14:solidFill>
                </w14:textFill>
              </w:rPr>
              <w:t>固体废物</w:t>
            </w:r>
          </w:p>
        </w:tc>
        <w:tc>
          <w:tcPr>
            <w:tcW w:w="1070" w:type="pct"/>
            <w:tcBorders>
              <w:tl2br w:val="nil"/>
              <w:tr2bl w:val="nil"/>
            </w:tcBorders>
            <w:vAlign w:val="center"/>
          </w:tcPr>
          <w:p w14:paraId="0956DB8A">
            <w:pPr>
              <w:pStyle w:val="84"/>
              <w:spacing w:line="360" w:lineRule="exact"/>
              <w:rPr>
                <w:color w:val="000000" w:themeColor="text1"/>
                <w:highlight w:val="none"/>
                <w14:textFill>
                  <w14:solidFill>
                    <w14:schemeClr w14:val="tx1"/>
                  </w14:solidFill>
                </w14:textFill>
              </w:rPr>
            </w:pPr>
            <w:r>
              <w:rPr>
                <w:color w:val="000000" w:themeColor="text1"/>
                <w:szCs w:val="20"/>
                <w:highlight w:val="none"/>
                <w14:textFill>
                  <w14:solidFill>
                    <w14:schemeClr w14:val="tx1"/>
                  </w14:solidFill>
                </w14:textFill>
              </w:rPr>
              <w:t>生活垃圾</w:t>
            </w:r>
          </w:p>
        </w:tc>
        <w:tc>
          <w:tcPr>
            <w:tcW w:w="732" w:type="pct"/>
            <w:tcBorders>
              <w:tl2br w:val="nil"/>
              <w:tr2bl w:val="nil"/>
            </w:tcBorders>
            <w:vAlign w:val="center"/>
          </w:tcPr>
          <w:p w14:paraId="176E934E">
            <w:pPr>
              <w:pStyle w:val="84"/>
              <w:spacing w:line="360" w:lineRule="exact"/>
              <w:rPr>
                <w:color w:val="000000" w:themeColor="text1"/>
                <w:szCs w:val="20"/>
                <w:highlight w:val="none"/>
                <w14:textFill>
                  <w14:solidFill>
                    <w14:schemeClr w14:val="tx1"/>
                  </w14:solidFill>
                </w14:textFill>
              </w:rPr>
            </w:pPr>
            <w:r>
              <w:rPr>
                <w:color w:val="000000" w:themeColor="text1"/>
                <w:szCs w:val="20"/>
                <w:highlight w:val="none"/>
                <w14:textFill>
                  <w14:solidFill>
                    <w14:schemeClr w14:val="tx1"/>
                  </w14:solidFill>
                </w14:textFill>
              </w:rPr>
              <w:t>生活垃圾</w:t>
            </w:r>
          </w:p>
        </w:tc>
        <w:tc>
          <w:tcPr>
            <w:tcW w:w="781" w:type="pct"/>
            <w:tcBorders>
              <w:tl2br w:val="nil"/>
              <w:tr2bl w:val="nil"/>
            </w:tcBorders>
            <w:vAlign w:val="center"/>
          </w:tcPr>
          <w:p w14:paraId="4E59E180">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15</w:t>
            </w:r>
            <w:r>
              <w:rPr>
                <w:rFonts w:hint="eastAsia"/>
                <w:color w:val="000000" w:themeColor="text1"/>
                <w:szCs w:val="20"/>
                <w:highlight w:val="none"/>
                <w14:textFill>
                  <w14:solidFill>
                    <w14:schemeClr w14:val="tx1"/>
                  </w14:solidFill>
                </w14:textFill>
              </w:rPr>
              <w:t>t/a</w:t>
            </w:r>
          </w:p>
        </w:tc>
        <w:tc>
          <w:tcPr>
            <w:tcW w:w="1609" w:type="pct"/>
            <w:tcBorders>
              <w:tl2br w:val="nil"/>
              <w:tr2bl w:val="nil"/>
            </w:tcBorders>
            <w:vAlign w:val="center"/>
          </w:tcPr>
          <w:p w14:paraId="0FDDA1C3">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集中收集、定期清运</w:t>
            </w:r>
          </w:p>
        </w:tc>
      </w:tr>
      <w:tr w14:paraId="233D1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6" w:type="pct"/>
            <w:vMerge w:val="continue"/>
            <w:tcBorders>
              <w:tl2br w:val="nil"/>
              <w:tr2bl w:val="nil"/>
            </w:tcBorders>
            <w:vAlign w:val="center"/>
          </w:tcPr>
          <w:p w14:paraId="7678A00E">
            <w:pPr>
              <w:pStyle w:val="84"/>
              <w:spacing w:line="360" w:lineRule="exact"/>
              <w:rPr>
                <w:color w:val="000000" w:themeColor="text1"/>
                <w:szCs w:val="20"/>
                <w:highlight w:val="none"/>
                <w14:textFill>
                  <w14:solidFill>
                    <w14:schemeClr w14:val="tx1"/>
                  </w14:solidFill>
                </w14:textFill>
              </w:rPr>
            </w:pPr>
          </w:p>
        </w:tc>
        <w:tc>
          <w:tcPr>
            <w:tcW w:w="559" w:type="pct"/>
            <w:vMerge w:val="continue"/>
            <w:tcBorders>
              <w:tl2br w:val="nil"/>
              <w:tr2bl w:val="nil"/>
            </w:tcBorders>
            <w:vAlign w:val="center"/>
          </w:tcPr>
          <w:p w14:paraId="615F9706">
            <w:pPr>
              <w:pStyle w:val="84"/>
              <w:spacing w:line="360" w:lineRule="exact"/>
              <w:rPr>
                <w:color w:val="000000" w:themeColor="text1"/>
                <w:highlight w:val="none"/>
                <w14:textFill>
                  <w14:solidFill>
                    <w14:schemeClr w14:val="tx1"/>
                  </w14:solidFill>
                </w14:textFill>
              </w:rPr>
            </w:pPr>
          </w:p>
        </w:tc>
        <w:tc>
          <w:tcPr>
            <w:tcW w:w="1070" w:type="pct"/>
            <w:tcBorders>
              <w:tl2br w:val="nil"/>
              <w:tr2bl w:val="nil"/>
            </w:tcBorders>
            <w:vAlign w:val="center"/>
          </w:tcPr>
          <w:p w14:paraId="59EBCD84">
            <w:pPr>
              <w:pStyle w:val="84"/>
              <w:spacing w:line="360" w:lineRule="exact"/>
              <w:rPr>
                <w:color w:val="000000" w:themeColor="text1"/>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一般工业固废</w:t>
            </w:r>
          </w:p>
        </w:tc>
        <w:tc>
          <w:tcPr>
            <w:tcW w:w="732" w:type="pct"/>
            <w:tcBorders>
              <w:tl2br w:val="nil"/>
              <w:tr2bl w:val="nil"/>
            </w:tcBorders>
            <w:vAlign w:val="center"/>
          </w:tcPr>
          <w:p w14:paraId="75B45B7E">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尾矿砂</w:t>
            </w:r>
          </w:p>
        </w:tc>
        <w:tc>
          <w:tcPr>
            <w:tcW w:w="781" w:type="pct"/>
            <w:tcBorders>
              <w:tl2br w:val="nil"/>
              <w:tr2bl w:val="nil"/>
            </w:tcBorders>
            <w:vAlign w:val="center"/>
          </w:tcPr>
          <w:p w14:paraId="7B48382F">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w:t>
            </w:r>
          </w:p>
        </w:tc>
        <w:tc>
          <w:tcPr>
            <w:tcW w:w="1609" w:type="pct"/>
            <w:tcBorders>
              <w:tl2br w:val="nil"/>
              <w:tr2bl w:val="nil"/>
            </w:tcBorders>
            <w:vAlign w:val="center"/>
          </w:tcPr>
          <w:p w14:paraId="63294FB9">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堆积于尾矿库</w:t>
            </w:r>
          </w:p>
        </w:tc>
      </w:tr>
      <w:tr w14:paraId="63603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6" w:type="pct"/>
            <w:tcBorders>
              <w:tl2br w:val="nil"/>
              <w:tr2bl w:val="nil"/>
            </w:tcBorders>
            <w:vAlign w:val="center"/>
          </w:tcPr>
          <w:p w14:paraId="6A281B6C">
            <w:pPr>
              <w:pStyle w:val="84"/>
              <w:spacing w:line="360" w:lineRule="exact"/>
              <w:rPr>
                <w:rFonts w:hint="eastAsia" w:eastAsia="宋体"/>
                <w:color w:val="000000" w:themeColor="text1"/>
                <w:szCs w:val="20"/>
                <w:highlight w:val="none"/>
                <w:lang w:eastAsia="zh-CN"/>
                <w14:textFill>
                  <w14:solidFill>
                    <w14:schemeClr w14:val="tx1"/>
                  </w14:solidFill>
                </w14:textFill>
              </w:rPr>
            </w:pPr>
            <w:r>
              <w:rPr>
                <w:rFonts w:hint="eastAsia"/>
                <w:color w:val="000000" w:themeColor="text1"/>
                <w:szCs w:val="20"/>
                <w:highlight w:val="none"/>
                <w:lang w:val="en-US" w:eastAsia="zh-CN"/>
                <w14:textFill>
                  <w14:solidFill>
                    <w14:schemeClr w14:val="tx1"/>
                  </w14:solidFill>
                </w14:textFill>
              </w:rPr>
              <w:t>5</w:t>
            </w:r>
          </w:p>
        </w:tc>
        <w:tc>
          <w:tcPr>
            <w:tcW w:w="559" w:type="pct"/>
            <w:tcBorders>
              <w:tl2br w:val="nil"/>
              <w:tr2bl w:val="nil"/>
            </w:tcBorders>
            <w:vAlign w:val="center"/>
          </w:tcPr>
          <w:p w14:paraId="6AD391A0">
            <w:pPr>
              <w:pStyle w:val="84"/>
              <w:spacing w:line="360" w:lineRule="exact"/>
              <w:rPr>
                <w:color w:val="000000" w:themeColor="text1"/>
                <w:szCs w:val="20"/>
                <w:highlight w:val="none"/>
                <w14:textFill>
                  <w14:solidFill>
                    <w14:schemeClr w14:val="tx1"/>
                  </w14:solidFill>
                </w14:textFill>
              </w:rPr>
            </w:pPr>
            <w:r>
              <w:rPr>
                <w:color w:val="000000" w:themeColor="text1"/>
                <w:highlight w:val="none"/>
                <w14:textFill>
                  <w14:solidFill>
                    <w14:schemeClr w14:val="tx1"/>
                  </w14:solidFill>
                </w14:textFill>
              </w:rPr>
              <w:t>噪声</w:t>
            </w:r>
          </w:p>
        </w:tc>
        <w:tc>
          <w:tcPr>
            <w:tcW w:w="1070" w:type="pct"/>
            <w:tcBorders>
              <w:tl2br w:val="nil"/>
              <w:tr2bl w:val="nil"/>
            </w:tcBorders>
            <w:vAlign w:val="center"/>
          </w:tcPr>
          <w:p w14:paraId="170D4CB0">
            <w:pPr>
              <w:pStyle w:val="84"/>
              <w:spacing w:line="36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各类生产设备</w:t>
            </w:r>
            <w:r>
              <w:rPr>
                <w:rFonts w:hint="eastAsia"/>
                <w:color w:val="000000" w:themeColor="text1"/>
                <w:highlight w:val="none"/>
                <w14:textFill>
                  <w14:solidFill>
                    <w14:schemeClr w14:val="tx1"/>
                  </w14:solidFill>
                </w14:textFill>
              </w:rPr>
              <w:t>，包括</w:t>
            </w:r>
            <w:r>
              <w:rPr>
                <w:rFonts w:hint="eastAsia"/>
                <w:color w:val="000000" w:themeColor="text1"/>
                <w:highlight w:val="none"/>
                <w:lang w:eastAsia="zh-CN"/>
                <w14:textFill>
                  <w14:solidFill>
                    <w14:schemeClr w14:val="tx1"/>
                  </w14:solidFill>
                </w14:textFill>
              </w:rPr>
              <w:t>球磨机</w:t>
            </w:r>
            <w:r>
              <w:rPr>
                <w:color w:val="000000" w:themeColor="text1"/>
                <w:szCs w:val="20"/>
                <w:highlight w:val="none"/>
                <w14:textFill>
                  <w14:solidFill>
                    <w14:schemeClr w14:val="tx1"/>
                  </w14:solidFill>
                </w14:textFill>
              </w:rPr>
              <w:t>、水泵等</w:t>
            </w:r>
          </w:p>
        </w:tc>
        <w:tc>
          <w:tcPr>
            <w:tcW w:w="3123" w:type="pct"/>
            <w:gridSpan w:val="3"/>
            <w:tcBorders>
              <w:tl2br w:val="nil"/>
              <w:tr2bl w:val="nil"/>
            </w:tcBorders>
            <w:vAlign w:val="center"/>
          </w:tcPr>
          <w:p w14:paraId="4CD06701">
            <w:pPr>
              <w:pStyle w:val="84"/>
              <w:spacing w:line="360" w:lineRule="exact"/>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主要声源源强为75~</w:t>
            </w:r>
            <w:r>
              <w:rPr>
                <w:rFonts w:hint="eastAsia"/>
                <w:color w:val="000000" w:themeColor="text1"/>
                <w:szCs w:val="20"/>
                <w:highlight w:val="none"/>
                <w:lang w:val="en-US" w:eastAsia="zh-CN"/>
                <w14:textFill>
                  <w14:solidFill>
                    <w14:schemeClr w14:val="tx1"/>
                  </w14:solidFill>
                </w14:textFill>
              </w:rPr>
              <w:t>95</w:t>
            </w:r>
            <w:r>
              <w:rPr>
                <w:rFonts w:hint="eastAsia"/>
                <w:color w:val="000000" w:themeColor="text1"/>
                <w:szCs w:val="20"/>
                <w:highlight w:val="none"/>
                <w14:textFill>
                  <w14:solidFill>
                    <w14:schemeClr w14:val="tx1"/>
                  </w14:solidFill>
                </w14:textFill>
              </w:rPr>
              <w:t>B（A）</w:t>
            </w:r>
          </w:p>
        </w:tc>
      </w:tr>
    </w:tbl>
    <w:p w14:paraId="0895AF50">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3.1.8.2污染物排放控制指标</w:t>
      </w:r>
    </w:p>
    <w:p w14:paraId="4C48597A">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原环评批复未设置</w:t>
      </w:r>
      <w:r>
        <w:rPr>
          <w:rFonts w:hint="eastAsia"/>
          <w:color w:val="000000" w:themeColor="text1"/>
          <w:highlight w:val="none"/>
          <w14:textFill>
            <w14:solidFill>
              <w14:schemeClr w14:val="tx1"/>
            </w14:solidFill>
          </w14:textFill>
        </w:rPr>
        <w:t>总量控制指标。</w:t>
      </w:r>
    </w:p>
    <w:p w14:paraId="6E896329">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3.1.9现有工程环境管理</w:t>
      </w:r>
    </w:p>
    <w:p w14:paraId="5655CA98">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.1.9.1</w:t>
      </w:r>
      <w:r>
        <w:rPr>
          <w:rFonts w:hint="eastAsia"/>
          <w:color w:val="000000" w:themeColor="text1"/>
          <w:highlight w:val="none"/>
          <w14:textFill>
            <w14:solidFill>
              <w14:schemeClr w14:val="tx1"/>
            </w14:solidFill>
          </w14:textFill>
        </w:rPr>
        <w:t>环境管理机构设置及运行情况</w:t>
      </w:r>
    </w:p>
    <w:p w14:paraId="6FDBE60E">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哈密市西成矿业有限责任公司</w:t>
      </w:r>
      <w:r>
        <w:rPr>
          <w:rFonts w:hint="eastAsia"/>
          <w:color w:val="000000" w:themeColor="text1"/>
          <w:highlight w:val="none"/>
          <w14:textFill>
            <w14:solidFill>
              <w14:schemeClr w14:val="tx1"/>
            </w14:solidFill>
          </w14:textFill>
        </w:rPr>
        <w:t>成立了环境管理机构，总经理为公司环境管理机构主要负责人，设置了环保专职部门——安全环保部，负责日常环境保护管理工作。</w:t>
      </w:r>
    </w:p>
    <w:p w14:paraId="1A95B12D">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.1.9.2环境管理体系的建立情况回顾</w:t>
      </w:r>
    </w:p>
    <w:p w14:paraId="52564D73">
      <w:pPr>
        <w:overflowPunct w:val="0"/>
        <w:topLinePunct/>
        <w:ind w:firstLine="480"/>
        <w:rPr>
          <w:color w:val="000000" w:themeColor="text1"/>
          <w:highlight w:val="none"/>
          <w14:textFill>
            <w14:solidFill>
              <w14:schemeClr w14:val="tx1"/>
            </w14:solidFill>
          </w14:textFill>
        </w:rPr>
      </w:pPr>
      <w:r>
        <w:rPr>
          <w:rStyle w:val="82"/>
          <w:color w:val="000000" w:themeColor="text1"/>
          <w:highlight w:val="none"/>
          <w14:textFill>
            <w14:solidFill>
              <w14:schemeClr w14:val="tx1"/>
            </w14:solidFill>
          </w14:textFill>
        </w:rPr>
        <w:t>为更好</w:t>
      </w:r>
      <w:r>
        <w:rPr>
          <w:rStyle w:val="82"/>
          <w:rFonts w:hint="eastAsia"/>
          <w:color w:val="000000" w:themeColor="text1"/>
          <w:highlight w:val="none"/>
          <w14:textFill>
            <w14:solidFill>
              <w14:schemeClr w14:val="tx1"/>
            </w14:solidFill>
          </w14:textFill>
        </w:rPr>
        <w:t>地</w:t>
      </w:r>
      <w:r>
        <w:rPr>
          <w:rStyle w:val="82"/>
          <w:color w:val="000000" w:themeColor="text1"/>
          <w:highlight w:val="none"/>
          <w14:textFill>
            <w14:solidFill>
              <w14:schemeClr w14:val="tx1"/>
            </w14:solidFill>
          </w14:textFill>
        </w:rPr>
        <w:t>保护环境，做到责任到人，公司制定了环境保护规章和制度。</w:t>
      </w:r>
      <w:r>
        <w:rPr>
          <w:rStyle w:val="82"/>
          <w:rFonts w:hint="eastAsia"/>
          <w:color w:val="000000" w:themeColor="text1"/>
          <w:highlight w:val="none"/>
          <w14:textFill>
            <w14:solidFill>
              <w14:schemeClr w14:val="tx1"/>
            </w14:solidFill>
          </w14:textFill>
        </w:rPr>
        <w:t>但缺乏环境管理意识，环境管理不到位，厂区环境风貌不佳，固废未及时清运，</w:t>
      </w:r>
      <w:r>
        <w:rPr>
          <w:rFonts w:hint="eastAsia"/>
          <w:color w:val="000000" w:themeColor="text1"/>
          <w:highlight w:val="none"/>
          <w:lang w:eastAsia="zh-CN"/>
          <w14:textFill>
            <w14:solidFill>
              <w14:schemeClr w14:val="tx1"/>
            </w14:solidFill>
          </w14:textFill>
        </w:rPr>
        <w:t>无相关环境管理</w:t>
      </w:r>
      <w:r>
        <w:rPr>
          <w:rFonts w:hint="eastAsia"/>
          <w:color w:val="000000" w:themeColor="text1"/>
          <w:highlight w:val="none"/>
          <w14:textFill>
            <w14:solidFill>
              <w14:schemeClr w14:val="tx1"/>
            </w14:solidFill>
          </w14:textFill>
        </w:rPr>
        <w:t>台账。</w:t>
      </w:r>
    </w:p>
    <w:p w14:paraId="6F2C1C28">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.1.9.3</w:t>
      </w:r>
      <w:r>
        <w:rPr>
          <w:rFonts w:hint="eastAsia"/>
          <w:bCs/>
          <w:color w:val="000000" w:themeColor="text1"/>
          <w:highlight w:val="none"/>
          <w14:textFill>
            <w14:solidFill>
              <w14:schemeClr w14:val="tx1"/>
            </w14:solidFill>
          </w14:textFill>
        </w:rPr>
        <w:t>排污许可及排放口规范化管理情况</w:t>
      </w:r>
    </w:p>
    <w:p w14:paraId="393E655F">
      <w:pPr>
        <w:overflowPunct w:val="0"/>
        <w:topLinePunct/>
        <w:ind w:firstLine="480"/>
        <w:rPr>
          <w:rStyle w:val="82"/>
          <w:color w:val="000000" w:themeColor="text1"/>
          <w:highlight w:val="none"/>
          <w14:textFill>
            <w14:solidFill>
              <w14:schemeClr w14:val="tx1"/>
            </w14:solidFill>
          </w14:textFill>
        </w:rPr>
      </w:pPr>
      <w:r>
        <w:rPr>
          <w:rStyle w:val="82"/>
          <w:rFonts w:hint="eastAsia"/>
          <w:color w:val="000000" w:themeColor="text1"/>
          <w:highlight w:val="none"/>
          <w14:textFill>
            <w14:solidFill>
              <w14:schemeClr w14:val="tx1"/>
            </w14:solidFill>
          </w14:textFill>
        </w:rPr>
        <w:t>（1）排污许可</w:t>
      </w:r>
    </w:p>
    <w:p w14:paraId="566B6FEE">
      <w:pPr>
        <w:overflowPunct w:val="0"/>
        <w:topLinePunct/>
        <w:ind w:firstLine="480"/>
        <w:rPr>
          <w:rStyle w:val="82"/>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由于厂区长期停产，未申请</w:t>
      </w:r>
      <w:r>
        <w:rPr>
          <w:color w:val="000000" w:themeColor="text1"/>
          <w:highlight w:val="none"/>
          <w14:textFill>
            <w14:solidFill>
              <w14:schemeClr w14:val="tx1"/>
            </w14:solidFill>
          </w14:textFill>
        </w:rPr>
        <w:t>固定污染源</w:t>
      </w:r>
      <w:r>
        <w:rPr>
          <w:rFonts w:hint="eastAsia"/>
          <w:bCs/>
          <w:color w:val="000000" w:themeColor="text1"/>
          <w:highlight w:val="none"/>
          <w14:textFill>
            <w14:solidFill>
              <w14:schemeClr w14:val="tx1"/>
            </w14:solidFill>
          </w14:textFill>
        </w:rPr>
        <w:t>排污许可</w:t>
      </w:r>
      <w:r>
        <w:rPr>
          <w:color w:val="000000" w:themeColor="text1"/>
          <w:highlight w:val="none"/>
          <w14:textFill>
            <w14:solidFill>
              <w14:schemeClr w14:val="tx1"/>
            </w14:solidFill>
          </w14:textFill>
        </w:rPr>
        <w:t>。</w:t>
      </w:r>
    </w:p>
    <w:p w14:paraId="17D7F87D">
      <w:pPr>
        <w:overflowPunct w:val="0"/>
        <w:topLinePunct/>
        <w:ind w:firstLine="480"/>
        <w:rPr>
          <w:rStyle w:val="82"/>
          <w:color w:val="000000" w:themeColor="text1"/>
          <w:highlight w:val="none"/>
          <w14:textFill>
            <w14:solidFill>
              <w14:schemeClr w14:val="tx1"/>
            </w14:solidFill>
          </w14:textFill>
        </w:rPr>
      </w:pPr>
      <w:r>
        <w:rPr>
          <w:rStyle w:val="82"/>
          <w:rFonts w:hint="eastAsia"/>
          <w:color w:val="000000" w:themeColor="text1"/>
          <w:highlight w:val="none"/>
          <w14:textFill>
            <w14:solidFill>
              <w14:schemeClr w14:val="tx1"/>
            </w14:solidFill>
          </w14:textFill>
        </w:rPr>
        <w:t>（2）</w:t>
      </w:r>
      <w:r>
        <w:rPr>
          <w:rFonts w:hint="eastAsia"/>
          <w:bCs/>
          <w:color w:val="000000" w:themeColor="text1"/>
          <w:highlight w:val="none"/>
          <w14:textFill>
            <w14:solidFill>
              <w14:schemeClr w14:val="tx1"/>
            </w14:solidFill>
          </w14:textFill>
        </w:rPr>
        <w:t>排放口规范化管理</w:t>
      </w:r>
    </w:p>
    <w:p w14:paraId="23C65151">
      <w:pPr>
        <w:overflowPunct w:val="0"/>
        <w:topLinePunct/>
        <w:ind w:firstLine="480"/>
        <w:rPr>
          <w:rStyle w:val="82"/>
          <w:color w:val="000000" w:themeColor="text1"/>
          <w:highlight w:val="none"/>
          <w14:textFill>
            <w14:solidFill>
              <w14:schemeClr w14:val="tx1"/>
            </w14:solidFill>
          </w14:textFill>
        </w:rPr>
      </w:pPr>
      <w:r>
        <w:rPr>
          <w:rStyle w:val="82"/>
          <w:color w:val="000000" w:themeColor="text1"/>
          <w:highlight w:val="none"/>
          <w14:textFill>
            <w14:solidFill>
              <w14:schemeClr w14:val="tx1"/>
            </w14:solidFill>
          </w14:textFill>
        </w:rPr>
        <w:t>全厂各类排放口</w:t>
      </w:r>
      <w:r>
        <w:rPr>
          <w:rStyle w:val="82"/>
          <w:rFonts w:hint="eastAsia"/>
          <w:color w:val="000000" w:themeColor="text1"/>
          <w:highlight w:val="none"/>
          <w14:textFill>
            <w14:solidFill>
              <w14:schemeClr w14:val="tx1"/>
            </w14:solidFill>
          </w14:textFill>
        </w:rPr>
        <w:t>未</w:t>
      </w:r>
      <w:r>
        <w:rPr>
          <w:rStyle w:val="82"/>
          <w:color w:val="000000" w:themeColor="text1"/>
          <w:highlight w:val="none"/>
          <w14:textFill>
            <w14:solidFill>
              <w14:schemeClr w14:val="tx1"/>
            </w14:solidFill>
          </w14:textFill>
        </w:rPr>
        <w:t>按照《排污口规范化整治技术要求</w:t>
      </w:r>
      <w:r>
        <w:rPr>
          <w:rStyle w:val="82"/>
          <w:rFonts w:hint="eastAsia"/>
          <w:color w:val="000000" w:themeColor="text1"/>
          <w:highlight w:val="none"/>
          <w14:textFill>
            <w14:solidFill>
              <w14:schemeClr w14:val="tx1"/>
            </w14:solidFill>
          </w14:textFill>
        </w:rPr>
        <w:t>（</w:t>
      </w:r>
      <w:r>
        <w:rPr>
          <w:rStyle w:val="82"/>
          <w:color w:val="000000" w:themeColor="text1"/>
          <w:highlight w:val="none"/>
          <w14:textFill>
            <w14:solidFill>
              <w14:schemeClr w14:val="tx1"/>
            </w14:solidFill>
          </w14:textFill>
        </w:rPr>
        <w:t>试行</w:t>
      </w:r>
      <w:r>
        <w:rPr>
          <w:rStyle w:val="82"/>
          <w:rFonts w:hint="eastAsia"/>
          <w:color w:val="000000" w:themeColor="text1"/>
          <w:highlight w:val="none"/>
          <w14:textFill>
            <w14:solidFill>
              <w14:schemeClr w14:val="tx1"/>
            </w14:solidFill>
          </w14:textFill>
        </w:rPr>
        <w:t>）</w:t>
      </w:r>
      <w:r>
        <w:rPr>
          <w:rStyle w:val="82"/>
          <w:color w:val="000000" w:themeColor="text1"/>
          <w:highlight w:val="none"/>
          <w14:textFill>
            <w14:solidFill>
              <w14:schemeClr w14:val="tx1"/>
            </w14:solidFill>
          </w14:textFill>
        </w:rPr>
        <w:t>》（环监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1996</w:t>
      </w:r>
      <w:r>
        <w:rPr>
          <w:color w:val="000000" w:themeColor="text1"/>
          <w:highlight w:val="none"/>
          <w14:textFill>
            <w14:solidFill>
              <w14:schemeClr w14:val="tx1"/>
            </w14:solidFill>
          </w14:textFill>
        </w:rPr>
        <w:t>〕</w:t>
      </w:r>
      <w:r>
        <w:rPr>
          <w:rStyle w:val="82"/>
          <w:color w:val="000000" w:themeColor="text1"/>
          <w:highlight w:val="none"/>
          <w14:textFill>
            <w14:solidFill>
              <w14:schemeClr w14:val="tx1"/>
            </w14:solidFill>
          </w14:textFill>
        </w:rPr>
        <w:t>470号）进行规范化管理。规范化整治包括立标要求、建档要求。各排污口（废气、废水）编号未与《排污单位编码规则》（HJ608-2017）有效衔接，其管理制度尚需进一步加强。</w:t>
      </w:r>
    </w:p>
    <w:p w14:paraId="578EDDC7">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.1.9.</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例行环境监测实施情况</w:t>
      </w:r>
    </w:p>
    <w:p w14:paraId="441C9673">
      <w:pPr>
        <w:ind w:firstLine="480"/>
        <w:rPr>
          <w:color w:val="000000" w:themeColor="text1"/>
          <w:highlight w:val="none"/>
          <w14:textFill>
            <w14:solidFill>
              <w14:schemeClr w14:val="tx1"/>
            </w14:solidFill>
          </w14:textFill>
        </w:rPr>
      </w:pPr>
      <w:r>
        <w:rPr>
          <w:rStyle w:val="82"/>
          <w:rFonts w:hint="eastAsia"/>
          <w:color w:val="000000" w:themeColor="text1"/>
          <w:highlight w:val="none"/>
          <w14:textFill>
            <w14:solidFill>
              <w14:schemeClr w14:val="tx1"/>
            </w14:solidFill>
          </w14:textFill>
        </w:rPr>
        <w:t>企业未制定</w:t>
      </w:r>
      <w:r>
        <w:rPr>
          <w:rStyle w:val="82"/>
          <w:color w:val="000000" w:themeColor="text1"/>
          <w:highlight w:val="none"/>
          <w14:textFill>
            <w14:solidFill>
              <w14:schemeClr w14:val="tx1"/>
            </w14:solidFill>
          </w14:textFill>
        </w:rPr>
        <w:t>自行监测方案</w:t>
      </w:r>
      <w:r>
        <w:rPr>
          <w:rStyle w:val="82"/>
          <w:rFonts w:hint="eastAsia"/>
          <w:color w:val="000000" w:themeColor="text1"/>
          <w:highlight w:val="none"/>
          <w14:textFill>
            <w14:solidFill>
              <w14:schemeClr w14:val="tx1"/>
            </w14:solidFill>
          </w14:textFill>
        </w:rPr>
        <w:t>，未</w:t>
      </w:r>
      <w:r>
        <w:rPr>
          <w:rStyle w:val="82"/>
          <w:rFonts w:hint="eastAsia"/>
          <w:color w:val="000000" w:themeColor="text1"/>
          <w:highlight w:val="none"/>
          <w:lang w:val="en-US"/>
          <w14:textFill>
            <w14:solidFill>
              <w14:schemeClr w14:val="tx1"/>
            </w14:solidFill>
          </w14:textFill>
        </w:rPr>
        <w:t>开展</w:t>
      </w:r>
      <w:r>
        <w:rPr>
          <w:rStyle w:val="82"/>
          <w:rFonts w:hint="eastAsia"/>
          <w:color w:val="000000" w:themeColor="text1"/>
          <w:highlight w:val="none"/>
          <w14:textFill>
            <w14:solidFill>
              <w14:schemeClr w14:val="tx1"/>
            </w14:solidFill>
          </w14:textFill>
        </w:rPr>
        <w:t>例行</w:t>
      </w:r>
      <w:r>
        <w:rPr>
          <w:rStyle w:val="82"/>
          <w:rFonts w:hint="eastAsia"/>
          <w:color w:val="000000" w:themeColor="text1"/>
          <w:highlight w:val="none"/>
          <w:lang w:val="en-US"/>
          <w14:textFill>
            <w14:solidFill>
              <w14:schemeClr w14:val="tx1"/>
            </w14:solidFill>
          </w14:textFill>
        </w:rPr>
        <w:t>环境</w:t>
      </w:r>
      <w:r>
        <w:rPr>
          <w:rStyle w:val="82"/>
          <w:rFonts w:hint="eastAsia"/>
          <w:color w:val="000000" w:themeColor="text1"/>
          <w:highlight w:val="none"/>
          <w14:textFill>
            <w14:solidFill>
              <w14:schemeClr w14:val="tx1"/>
            </w14:solidFill>
          </w14:textFill>
        </w:rPr>
        <w:t>监测，</w:t>
      </w:r>
      <w:r>
        <w:rPr>
          <w:rStyle w:val="82"/>
          <w:color w:val="000000" w:themeColor="text1"/>
          <w:highlight w:val="none"/>
          <w14:textFill>
            <w14:solidFill>
              <w14:schemeClr w14:val="tx1"/>
            </w14:solidFill>
          </w14:textFill>
        </w:rPr>
        <w:t>建档文件未进行统一设计，其管理尚需进一步改进</w:t>
      </w:r>
      <w:r>
        <w:rPr>
          <w:rStyle w:val="82"/>
          <w:rFonts w:hint="eastAsia"/>
          <w:color w:val="000000" w:themeColor="text1"/>
          <w:highlight w:val="none"/>
          <w14:textFill>
            <w14:solidFill>
              <w14:schemeClr w14:val="tx1"/>
            </w14:solidFill>
          </w14:textFill>
        </w:rPr>
        <w:t>补充</w:t>
      </w:r>
      <w:r>
        <w:rPr>
          <w:rStyle w:val="82"/>
          <w:color w:val="000000" w:themeColor="text1"/>
          <w:highlight w:val="none"/>
          <w14:textFill>
            <w14:solidFill>
              <w14:schemeClr w14:val="tx1"/>
            </w14:solidFill>
          </w14:textFill>
        </w:rPr>
        <w:t>。</w:t>
      </w:r>
    </w:p>
    <w:p w14:paraId="0AAC7CB8">
      <w:pPr>
        <w:pStyle w:val="5"/>
        <w:ind w:firstLine="482"/>
        <w:rPr>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.1.9.</w:t>
      </w:r>
      <w:r>
        <w:rPr>
          <w:rFonts w:hint="eastAsia"/>
          <w:color w:val="000000" w:themeColor="text1"/>
          <w:highlight w:val="none"/>
          <w:lang w:val="en-US" w:eastAsia="zh-CN"/>
          <w14:textFill>
            <w14:solidFill>
              <w14:schemeClr w14:val="tx1"/>
            </w14:solidFill>
          </w14:textFill>
        </w:rPr>
        <w:t>5</w:t>
      </w:r>
      <w:r>
        <w:rPr>
          <w:rFonts w:hint="eastAsia"/>
          <w:bCs/>
          <w:color w:val="000000" w:themeColor="text1"/>
          <w:highlight w:val="none"/>
          <w14:textFill>
            <w14:solidFill>
              <w14:schemeClr w14:val="tx1"/>
            </w14:solidFill>
          </w14:textFill>
        </w:rPr>
        <w:t>环境风险事故、投诉、环境管理部门处罚情况</w:t>
      </w:r>
    </w:p>
    <w:p w14:paraId="1569792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企业现有工程从立项、生产调试至运行过程中未发生过环境风险事故，未收到当地附近居民的投诉，未受到生态环境管理部门的处罚。</w:t>
      </w:r>
    </w:p>
    <w:p w14:paraId="5393BDA5">
      <w:pPr>
        <w:pStyle w:val="4"/>
        <w:rPr>
          <w:color w:val="000000" w:themeColor="text1"/>
          <w:highlight w:val="none"/>
          <w14:textFill>
            <w14:solidFill>
              <w14:schemeClr w14:val="tx1"/>
            </w14:solidFill>
          </w14:textFill>
        </w:rPr>
      </w:pPr>
      <w:bookmarkStart w:id="411" w:name="_Toc9005"/>
      <w:bookmarkStart w:id="412" w:name="_Toc20375"/>
      <w:bookmarkStart w:id="413" w:name="_Toc8402"/>
      <w:r>
        <w:rPr>
          <w:rFonts w:hint="eastAsia"/>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现有工程主要环境问题及以新带老措施</w:t>
      </w:r>
      <w:bookmarkEnd w:id="411"/>
      <w:bookmarkEnd w:id="412"/>
      <w:bookmarkEnd w:id="413"/>
    </w:p>
    <w:p w14:paraId="4F8515C8">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现有工程存在的主要环境问题及“</w:t>
      </w:r>
      <w:r>
        <w:rPr>
          <w:rFonts w:hint="eastAsia" w:cs="Times New Roman"/>
          <w:color w:val="000000" w:themeColor="text1"/>
          <w:highlight w:val="none"/>
          <w14:textFill>
            <w14:solidFill>
              <w14:schemeClr w14:val="tx1"/>
            </w14:solidFill>
          </w14:textFill>
        </w:rPr>
        <w:t>以新带老</w:t>
      </w:r>
      <w:r>
        <w:rPr>
          <w:rFonts w:hint="eastAsia" w:cs="Times New Roman"/>
          <w:color w:val="000000" w:themeColor="text1"/>
          <w:szCs w:val="24"/>
          <w:highlight w:val="none"/>
          <w14:textFill>
            <w14:solidFill>
              <w14:schemeClr w14:val="tx1"/>
            </w14:solidFill>
          </w14:textFill>
        </w:rPr>
        <w:t>”</w:t>
      </w:r>
      <w:r>
        <w:rPr>
          <w:rFonts w:hint="eastAsia" w:cs="Times New Roman"/>
          <w:color w:val="000000" w:themeColor="text1"/>
          <w:highlight w:val="none"/>
          <w14:textFill>
            <w14:solidFill>
              <w14:schemeClr w14:val="tx1"/>
            </w14:solidFill>
          </w14:textFill>
        </w:rPr>
        <w:t>措施</w:t>
      </w:r>
      <w:r>
        <w:rPr>
          <w:rFonts w:hint="eastAsia" w:cs="Times New Roman"/>
          <w:color w:val="000000" w:themeColor="text1"/>
          <w:szCs w:val="24"/>
          <w:highlight w:val="none"/>
          <w14:textFill>
            <w14:solidFill>
              <w14:schemeClr w14:val="tx1"/>
            </w14:solidFill>
          </w14:textFill>
        </w:rPr>
        <w:t>详情见表3.1-</w:t>
      </w:r>
      <w:r>
        <w:rPr>
          <w:rFonts w:hint="eastAsia" w:cs="Times New Roman"/>
          <w:color w:val="000000" w:themeColor="text1"/>
          <w:szCs w:val="24"/>
          <w:highlight w:val="none"/>
          <w:lang w:val="en-US" w:eastAsia="zh-CN"/>
          <w14:textFill>
            <w14:solidFill>
              <w14:schemeClr w14:val="tx1"/>
            </w14:solidFill>
          </w14:textFill>
        </w:rPr>
        <w:t>8</w:t>
      </w:r>
      <w:r>
        <w:rPr>
          <w:rFonts w:hint="eastAsia" w:cs="Times New Roman"/>
          <w:color w:val="000000" w:themeColor="text1"/>
          <w:szCs w:val="24"/>
          <w:highlight w:val="none"/>
          <w14:textFill>
            <w14:solidFill>
              <w14:schemeClr w14:val="tx1"/>
            </w14:solidFill>
          </w14:textFill>
        </w:rPr>
        <w:t>。</w:t>
      </w:r>
    </w:p>
    <w:p w14:paraId="69BFA888">
      <w:pPr>
        <w:pStyle w:val="41"/>
        <w:spacing w:line="480" w:lineRule="exact"/>
        <w:ind w:firstLine="0" w:firstLineChars="0"/>
        <w:jc w:val="center"/>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表3.1-</w:t>
      </w:r>
      <w:r>
        <w:rPr>
          <w:rFonts w:hint="eastAsia" w:cs="Times New Roman"/>
          <w:b/>
          <w:bCs/>
          <w:color w:val="000000" w:themeColor="text1"/>
          <w:szCs w:val="24"/>
          <w:highlight w:val="none"/>
          <w:lang w:val="en-US" w:eastAsia="zh-CN"/>
          <w14:textFill>
            <w14:solidFill>
              <w14:schemeClr w14:val="tx1"/>
            </w14:solidFill>
          </w14:textFill>
        </w:rPr>
        <w:t>8</w:t>
      </w:r>
      <w:r>
        <w:rPr>
          <w:rFonts w:cs="Times New Roman"/>
          <w:b/>
          <w:bCs/>
          <w:color w:val="000000" w:themeColor="text1"/>
          <w:szCs w:val="24"/>
          <w:highlight w:val="none"/>
          <w14:textFill>
            <w14:solidFill>
              <w14:schemeClr w14:val="tx1"/>
            </w14:solidFill>
          </w14:textFill>
        </w:rPr>
        <w:t xml:space="preserve">    </w:t>
      </w:r>
      <w:r>
        <w:rPr>
          <w:rFonts w:hint="eastAsia" w:cs="Times New Roman"/>
          <w:b/>
          <w:bCs/>
          <w:color w:val="000000" w:themeColor="text1"/>
          <w:szCs w:val="24"/>
          <w:highlight w:val="none"/>
          <w14:textFill>
            <w14:solidFill>
              <w14:schemeClr w14:val="tx1"/>
            </w14:solidFill>
          </w14:textFill>
        </w:rPr>
        <w:t>现有工程主要环境问题</w:t>
      </w:r>
      <w:r>
        <w:rPr>
          <w:rFonts w:cs="Times New Roman"/>
          <w:b/>
          <w:bCs/>
          <w:color w:val="000000" w:themeColor="text1"/>
          <w:szCs w:val="24"/>
          <w:highlight w:val="none"/>
          <w14:textFill>
            <w14:solidFill>
              <w14:schemeClr w14:val="tx1"/>
            </w14:solidFill>
          </w14:textFill>
        </w:rPr>
        <w:t>及</w:t>
      </w:r>
      <w:r>
        <w:rPr>
          <w:rFonts w:hint="eastAsia" w:cs="Times New Roman"/>
          <w:b/>
          <w:bCs/>
          <w:color w:val="000000" w:themeColor="text1"/>
          <w:szCs w:val="24"/>
          <w:highlight w:val="none"/>
          <w14:textFill>
            <w14:solidFill>
              <w14:schemeClr w14:val="tx1"/>
            </w14:solidFill>
          </w14:textFill>
        </w:rPr>
        <w:t>“以新带老”措施</w:t>
      </w:r>
      <w:r>
        <w:rPr>
          <w:rFonts w:cs="Times New Roman"/>
          <w:b/>
          <w:bCs/>
          <w:color w:val="000000" w:themeColor="text1"/>
          <w:szCs w:val="24"/>
          <w:highlight w:val="none"/>
          <w14:textFill>
            <w14:solidFill>
              <w14:schemeClr w14:val="tx1"/>
            </w14:solidFill>
          </w14:textFill>
        </w:rPr>
        <w:t>一览表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3597"/>
        <w:gridCol w:w="4269"/>
      </w:tblGrid>
      <w:tr w14:paraId="79D68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380" w:type="pct"/>
            <w:tcBorders>
              <w:tl2br w:val="nil"/>
              <w:tr2bl w:val="nil"/>
            </w:tcBorders>
            <w:vAlign w:val="center"/>
          </w:tcPr>
          <w:p w14:paraId="3EDC9D1F">
            <w:pPr>
              <w:pStyle w:val="41"/>
              <w:spacing w:line="360" w:lineRule="exact"/>
              <w:ind w:firstLine="0" w:firstLineChars="0"/>
              <w:jc w:val="center"/>
              <w:rPr>
                <w:rFonts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序号</w:t>
            </w:r>
          </w:p>
        </w:tc>
        <w:tc>
          <w:tcPr>
            <w:tcW w:w="2112" w:type="pct"/>
            <w:tcBorders>
              <w:tl2br w:val="nil"/>
              <w:tr2bl w:val="nil"/>
            </w:tcBorders>
            <w:vAlign w:val="center"/>
          </w:tcPr>
          <w:p w14:paraId="49C0D118">
            <w:pPr>
              <w:pStyle w:val="41"/>
              <w:spacing w:line="360" w:lineRule="exact"/>
              <w:ind w:firstLine="0" w:firstLineChars="0"/>
              <w:jc w:val="center"/>
              <w:rPr>
                <w:rFonts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现有工程主要环境问题</w:t>
            </w:r>
          </w:p>
        </w:tc>
        <w:tc>
          <w:tcPr>
            <w:tcW w:w="2507" w:type="pct"/>
            <w:tcBorders>
              <w:tl2br w:val="nil"/>
              <w:tr2bl w:val="nil"/>
            </w:tcBorders>
            <w:vAlign w:val="center"/>
          </w:tcPr>
          <w:p w14:paraId="6EE08FDE">
            <w:pPr>
              <w:pStyle w:val="41"/>
              <w:spacing w:line="360" w:lineRule="exact"/>
              <w:ind w:firstLine="0" w:firstLineChars="0"/>
              <w:jc w:val="center"/>
              <w:rPr>
                <w:rFonts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“以新带老”措施</w:t>
            </w:r>
          </w:p>
        </w:tc>
      </w:tr>
      <w:tr w14:paraId="61358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tcBorders>
              <w:tl2br w:val="nil"/>
              <w:tr2bl w:val="nil"/>
            </w:tcBorders>
            <w:vAlign w:val="center"/>
          </w:tcPr>
          <w:p w14:paraId="71129A8F">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1</w:t>
            </w:r>
          </w:p>
        </w:tc>
        <w:tc>
          <w:tcPr>
            <w:tcW w:w="2112" w:type="pct"/>
            <w:tcBorders>
              <w:tl2br w:val="nil"/>
              <w:tr2bl w:val="nil"/>
            </w:tcBorders>
            <w:vAlign w:val="center"/>
          </w:tcPr>
          <w:p w14:paraId="049DAC5F">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highlight w:val="none"/>
                <w:lang w:val="en-US" w:eastAsia="zh-CN"/>
                <w14:textFill>
                  <w14:solidFill>
                    <w14:schemeClr w14:val="tx1"/>
                  </w14:solidFill>
                </w14:textFill>
              </w:rPr>
              <w:t>企业现有选矿厂不满足验收条件及工况，一直未进行环保验收。</w:t>
            </w:r>
          </w:p>
        </w:tc>
        <w:tc>
          <w:tcPr>
            <w:tcW w:w="2507" w:type="pct"/>
            <w:tcBorders>
              <w:tl2br w:val="nil"/>
              <w:tr2bl w:val="nil"/>
            </w:tcBorders>
            <w:vAlign w:val="center"/>
          </w:tcPr>
          <w:p w14:paraId="37BB56BC">
            <w:pPr>
              <w:pStyle w:val="41"/>
              <w:spacing w:line="360" w:lineRule="exact"/>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尽快完成</w:t>
            </w:r>
            <w:r>
              <w:rPr>
                <w:rFonts w:hint="eastAsia" w:ascii="Times New Roman" w:hAnsi="Times New Roman"/>
                <w:color w:val="000000" w:themeColor="text1"/>
                <w:sz w:val="21"/>
                <w:highlight w:val="none"/>
                <w:lang w:val="en-US" w:eastAsia="zh-CN"/>
                <w14:textFill>
                  <w14:solidFill>
                    <w14:schemeClr w14:val="tx1"/>
                  </w14:solidFill>
                </w14:textFill>
              </w:rPr>
              <w:t>现有选矿厂</w:t>
            </w:r>
            <w:r>
              <w:rPr>
                <w:rFonts w:hint="eastAsia"/>
                <w:color w:val="000000" w:themeColor="text1"/>
                <w:sz w:val="21"/>
                <w:highlight w:val="none"/>
                <w:lang w:val="en-US" w:eastAsia="zh-CN"/>
                <w14:textFill>
                  <w14:solidFill>
                    <w14:schemeClr w14:val="tx1"/>
                  </w14:solidFill>
                </w14:textFill>
              </w:rPr>
              <w:t>竣工环境保护验收工作。</w:t>
            </w:r>
          </w:p>
        </w:tc>
      </w:tr>
      <w:tr w14:paraId="3B616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tcBorders>
              <w:tl2br w:val="nil"/>
              <w:tr2bl w:val="nil"/>
            </w:tcBorders>
            <w:vAlign w:val="center"/>
          </w:tcPr>
          <w:p w14:paraId="4F0EC953">
            <w:pPr>
              <w:pStyle w:val="41"/>
              <w:spacing w:line="360" w:lineRule="exact"/>
              <w:ind w:firstLine="0" w:firstLineChars="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2112" w:type="pct"/>
            <w:tcBorders>
              <w:tl2br w:val="nil"/>
              <w:tr2bl w:val="nil"/>
            </w:tcBorders>
            <w:vAlign w:val="center"/>
          </w:tcPr>
          <w:p w14:paraId="29111A43">
            <w:pPr>
              <w:pStyle w:val="41"/>
              <w:spacing w:line="360" w:lineRule="exact"/>
              <w:ind w:firstLine="0" w:firstLineChars="0"/>
              <w:jc w:val="center"/>
              <w:rPr>
                <w:rFonts w:hint="eastAsia" w:ascii="Times New Roman" w:hAnsi="Times New Roman"/>
                <w:color w:val="000000" w:themeColor="text1"/>
                <w:sz w:val="21"/>
                <w:highlight w:val="none"/>
                <w:lang w:val="en-US" w:eastAsia="zh-CN"/>
                <w14:textFill>
                  <w14:solidFill>
                    <w14:schemeClr w14:val="tx1"/>
                  </w14:solidFill>
                </w14:textFill>
              </w:rPr>
            </w:pPr>
            <w:r>
              <w:rPr>
                <w:rFonts w:hint="eastAsia" w:ascii="Times New Roman" w:hAnsi="Times New Roman"/>
                <w:color w:val="000000" w:themeColor="text1"/>
                <w:sz w:val="21"/>
                <w:highlight w:val="none"/>
                <w:lang w:val="en-US" w:eastAsia="zh-CN"/>
                <w14:textFill>
                  <w14:solidFill>
                    <w14:schemeClr w14:val="tx1"/>
                  </w14:solidFill>
                </w14:textFill>
              </w:rPr>
              <w:t>由于尾矿库修建时间较早，相关设施较落后，不符合现有的尾矿库设计规范，且尾矿库容量不满足改建后正常生产产生的尾矿堆存量。</w:t>
            </w:r>
          </w:p>
        </w:tc>
        <w:tc>
          <w:tcPr>
            <w:tcW w:w="2507" w:type="pct"/>
            <w:tcBorders>
              <w:tl2br w:val="nil"/>
              <w:tr2bl w:val="nil"/>
            </w:tcBorders>
            <w:vAlign w:val="center"/>
          </w:tcPr>
          <w:p w14:paraId="04E1FB94">
            <w:pPr>
              <w:pStyle w:val="41"/>
              <w:spacing w:line="360" w:lineRule="exact"/>
              <w:ind w:firstLine="0" w:firstLineChars="0"/>
              <w:jc w:val="center"/>
              <w:rPr>
                <w:rFonts w:hint="eastAsia" w:cs="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highlight w:val="none"/>
                <w:lang w:val="en-US" w:eastAsia="zh-CN"/>
                <w14:textFill>
                  <w14:solidFill>
                    <w14:schemeClr w14:val="tx1"/>
                  </w14:solidFill>
                </w14:textFill>
              </w:rPr>
              <w:t>企业拟在选厂南侧新建尾矿库，并将现有尾矿库的尾矿用于新建尾矿库铺筑，然后将</w:t>
            </w:r>
            <w:r>
              <w:rPr>
                <w:rFonts w:hint="eastAsia"/>
                <w:color w:val="000000" w:themeColor="text1"/>
                <w:sz w:val="21"/>
                <w:highlight w:val="none"/>
                <w:lang w:val="en-US" w:eastAsia="zh-CN"/>
                <w14:textFill>
                  <w14:solidFill>
                    <w14:schemeClr w14:val="tx1"/>
                  </w14:solidFill>
                </w14:textFill>
              </w:rPr>
              <w:t>现有</w:t>
            </w:r>
            <w:r>
              <w:rPr>
                <w:rFonts w:hint="eastAsia" w:ascii="Times New Roman" w:hAnsi="Times New Roman"/>
                <w:color w:val="000000" w:themeColor="text1"/>
                <w:sz w:val="21"/>
                <w:highlight w:val="none"/>
                <w:lang w:val="en-US" w:eastAsia="zh-CN"/>
                <w14:textFill>
                  <w14:solidFill>
                    <w14:schemeClr w14:val="tx1"/>
                  </w14:solidFill>
                </w14:textFill>
              </w:rPr>
              <w:t>尾矿库恢复为原有地貌。</w:t>
            </w:r>
          </w:p>
        </w:tc>
      </w:tr>
      <w:tr w14:paraId="2686F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tcBorders>
              <w:tl2br w:val="nil"/>
              <w:tr2bl w:val="nil"/>
            </w:tcBorders>
            <w:vAlign w:val="center"/>
          </w:tcPr>
          <w:p w14:paraId="169CDC37">
            <w:pPr>
              <w:pStyle w:val="41"/>
              <w:spacing w:line="360" w:lineRule="exact"/>
              <w:ind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2112" w:type="pct"/>
            <w:tcBorders>
              <w:tl2br w:val="nil"/>
              <w:tr2bl w:val="nil"/>
            </w:tcBorders>
            <w:vAlign w:val="center"/>
          </w:tcPr>
          <w:p w14:paraId="220D1C3C">
            <w:pPr>
              <w:pStyle w:val="41"/>
              <w:spacing w:line="360" w:lineRule="exact"/>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选矿厂内各类环保设施标识牌欠缺</w:t>
            </w:r>
          </w:p>
        </w:tc>
        <w:tc>
          <w:tcPr>
            <w:tcW w:w="2507" w:type="pct"/>
            <w:tcBorders>
              <w:tl2br w:val="nil"/>
              <w:tr2bl w:val="nil"/>
            </w:tcBorders>
            <w:vAlign w:val="center"/>
          </w:tcPr>
          <w:p w14:paraId="73FD813C">
            <w:pPr>
              <w:pStyle w:val="41"/>
              <w:spacing w:line="360" w:lineRule="exact"/>
              <w:ind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应尽快</w:t>
            </w:r>
            <w:r>
              <w:rPr>
                <w:rFonts w:hint="eastAsia" w:cs="Times New Roman"/>
                <w:color w:val="000000" w:themeColor="text1"/>
                <w:sz w:val="21"/>
                <w:szCs w:val="21"/>
                <w:highlight w:val="none"/>
                <w:lang w:val="en-US" w:eastAsia="zh-CN"/>
                <w14:textFill>
                  <w14:solidFill>
                    <w14:schemeClr w14:val="tx1"/>
                  </w14:solidFill>
                </w14:textFill>
              </w:rPr>
              <w:t>设置</w:t>
            </w:r>
            <w:r>
              <w:rPr>
                <w:rFonts w:cs="Times New Roman"/>
                <w:color w:val="000000" w:themeColor="text1"/>
                <w:sz w:val="21"/>
                <w:szCs w:val="21"/>
                <w:highlight w:val="none"/>
                <w14:textFill>
                  <w14:solidFill>
                    <w14:schemeClr w14:val="tx1"/>
                  </w14:solidFill>
                </w14:textFill>
              </w:rPr>
              <w:t>各类环保标识牌</w:t>
            </w:r>
            <w:r>
              <w:rPr>
                <w:rFonts w:hint="eastAsia" w:cs="Times New Roman"/>
                <w:color w:val="000000" w:themeColor="text1"/>
                <w:sz w:val="21"/>
                <w:szCs w:val="21"/>
                <w:highlight w:val="none"/>
                <w:lang w:eastAsia="zh-CN"/>
                <w14:textFill>
                  <w14:solidFill>
                    <w14:schemeClr w14:val="tx1"/>
                  </w14:solidFill>
                </w14:textFill>
              </w:rPr>
              <w:t>。</w:t>
            </w:r>
          </w:p>
        </w:tc>
      </w:tr>
      <w:tr w14:paraId="0E4E4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tcBorders>
              <w:tl2br w:val="nil"/>
              <w:tr2bl w:val="nil"/>
            </w:tcBorders>
            <w:vAlign w:val="center"/>
          </w:tcPr>
          <w:p w14:paraId="72777944">
            <w:pPr>
              <w:pStyle w:val="41"/>
              <w:spacing w:line="360" w:lineRule="exact"/>
              <w:ind w:firstLine="0" w:firstLineChars="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2112" w:type="pct"/>
            <w:tcBorders>
              <w:tl2br w:val="nil"/>
              <w:tr2bl w:val="nil"/>
            </w:tcBorders>
            <w:vAlign w:val="center"/>
          </w:tcPr>
          <w:p w14:paraId="04308974">
            <w:pPr>
              <w:pStyle w:val="41"/>
              <w:spacing w:line="360" w:lineRule="exact"/>
              <w:ind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厂区道路建设不规范。</w:t>
            </w:r>
          </w:p>
        </w:tc>
        <w:tc>
          <w:tcPr>
            <w:tcW w:w="2507" w:type="pct"/>
            <w:tcBorders>
              <w:tl2br w:val="nil"/>
              <w:tr2bl w:val="nil"/>
            </w:tcBorders>
            <w:vAlign w:val="center"/>
          </w:tcPr>
          <w:p w14:paraId="2A3AB1E0">
            <w:pPr>
              <w:pStyle w:val="41"/>
              <w:spacing w:line="360" w:lineRule="exact"/>
              <w:ind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应设置硬化道路。</w:t>
            </w:r>
          </w:p>
        </w:tc>
      </w:tr>
      <w:tr w14:paraId="3139D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tcBorders>
              <w:tl2br w:val="nil"/>
              <w:tr2bl w:val="nil"/>
            </w:tcBorders>
            <w:vAlign w:val="center"/>
          </w:tcPr>
          <w:p w14:paraId="064D5AC1">
            <w:pPr>
              <w:pStyle w:val="41"/>
              <w:spacing w:line="360" w:lineRule="exact"/>
              <w:ind w:firstLine="0" w:firstLineChars="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2112" w:type="pct"/>
            <w:tcBorders>
              <w:tl2br w:val="nil"/>
              <w:tr2bl w:val="nil"/>
            </w:tcBorders>
            <w:vAlign w:val="center"/>
          </w:tcPr>
          <w:p w14:paraId="35EFA128">
            <w:pPr>
              <w:pStyle w:val="41"/>
              <w:spacing w:line="360" w:lineRule="exact"/>
              <w:ind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cs="Times New Roman"/>
                <w:color w:val="000000" w:themeColor="text1"/>
                <w:sz w:val="21"/>
                <w:szCs w:val="21"/>
                <w:highlight w:val="none"/>
                <w14:textFill>
                  <w14:solidFill>
                    <w14:schemeClr w14:val="tx1"/>
                  </w14:solidFill>
                </w14:textFill>
              </w:rPr>
              <w:t>企业</w:t>
            </w:r>
            <w:r>
              <w:rPr>
                <w:rFonts w:hint="eastAsia" w:cs="Times New Roman"/>
                <w:color w:val="000000" w:themeColor="text1"/>
                <w:sz w:val="21"/>
                <w:szCs w:val="21"/>
                <w:highlight w:val="none"/>
                <w:lang w:eastAsia="zh-CN"/>
                <w14:textFill>
                  <w14:solidFill>
                    <w14:schemeClr w14:val="tx1"/>
                  </w14:solidFill>
                </w14:textFill>
              </w:rPr>
              <w:t>环境管理不规范，环保意识薄弱，未开展</w:t>
            </w:r>
            <w:r>
              <w:rPr>
                <w:rFonts w:cs="Times New Roman"/>
                <w:color w:val="000000" w:themeColor="text1"/>
                <w:sz w:val="21"/>
                <w:szCs w:val="21"/>
                <w:highlight w:val="none"/>
                <w14:textFill>
                  <w14:solidFill>
                    <w14:schemeClr w14:val="tx1"/>
                  </w14:solidFill>
                </w14:textFill>
              </w:rPr>
              <w:t>例行监测</w:t>
            </w:r>
            <w:r>
              <w:rPr>
                <w:rFonts w:hint="eastAsia" w:cs="Times New Roman"/>
                <w:color w:val="000000" w:themeColor="text1"/>
                <w:sz w:val="21"/>
                <w:szCs w:val="21"/>
                <w:highlight w:val="none"/>
                <w:lang w:eastAsia="zh-CN"/>
                <w14:textFill>
                  <w14:solidFill>
                    <w14:schemeClr w14:val="tx1"/>
                  </w14:solidFill>
                </w14:textFill>
              </w:rPr>
              <w:t>，未编制突发环境事件应急预案，未申请排污许可证。</w:t>
            </w:r>
          </w:p>
        </w:tc>
        <w:tc>
          <w:tcPr>
            <w:tcW w:w="2507" w:type="pct"/>
            <w:tcBorders>
              <w:tl2br w:val="nil"/>
              <w:tr2bl w:val="nil"/>
            </w:tcBorders>
            <w:vAlign w:val="center"/>
          </w:tcPr>
          <w:p w14:paraId="3E3FA613">
            <w:pPr>
              <w:pStyle w:val="41"/>
              <w:spacing w:line="360" w:lineRule="exact"/>
              <w:ind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开展环保培训，</w:t>
            </w:r>
            <w:r>
              <w:rPr>
                <w:rFonts w:cs="Times New Roman"/>
                <w:color w:val="000000" w:themeColor="text1"/>
                <w:sz w:val="21"/>
                <w:szCs w:val="21"/>
                <w:highlight w:val="none"/>
                <w14:textFill>
                  <w14:solidFill>
                    <w14:schemeClr w14:val="tx1"/>
                  </w14:solidFill>
                </w14:textFill>
              </w:rPr>
              <w:t>建设单位应根据《排污单位自行监测技术指南 总则》（HJ819-2017）中相关监测要求，结合项目特点，制定</w:t>
            </w:r>
            <w:r>
              <w:rPr>
                <w:rFonts w:hint="eastAsia" w:cs="Times New Roman"/>
                <w:color w:val="000000" w:themeColor="text1"/>
                <w:sz w:val="21"/>
                <w:szCs w:val="21"/>
                <w:highlight w:val="none"/>
                <w:lang w:eastAsia="zh-CN"/>
                <w14:textFill>
                  <w14:solidFill>
                    <w14:schemeClr w14:val="tx1"/>
                  </w14:solidFill>
                </w14:textFill>
              </w:rPr>
              <w:t>监测</w:t>
            </w:r>
            <w:r>
              <w:rPr>
                <w:rFonts w:cs="Times New Roman"/>
                <w:color w:val="000000" w:themeColor="text1"/>
                <w:sz w:val="21"/>
                <w:szCs w:val="21"/>
                <w:highlight w:val="none"/>
                <w14:textFill>
                  <w14:solidFill>
                    <w14:schemeClr w14:val="tx1"/>
                  </w14:solidFill>
                </w14:textFill>
              </w:rPr>
              <w:t>计划</w:t>
            </w:r>
            <w:r>
              <w:rPr>
                <w:rFonts w:hint="eastAsia" w:cs="Times New Roman"/>
                <w:color w:val="000000" w:themeColor="text1"/>
                <w:sz w:val="21"/>
                <w:szCs w:val="21"/>
                <w:highlight w:val="none"/>
                <w:lang w:eastAsia="zh-CN"/>
                <w14:textFill>
                  <w14:solidFill>
                    <w14:schemeClr w14:val="tx1"/>
                  </w14:solidFill>
                </w14:textFill>
              </w:rPr>
              <w:t>并实施。编制突发环境事件应急预案并备案，申请排污许可证。</w:t>
            </w:r>
          </w:p>
        </w:tc>
      </w:tr>
      <w:tr w14:paraId="0A755F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tcBorders>
              <w:tl2br w:val="nil"/>
              <w:tr2bl w:val="nil"/>
            </w:tcBorders>
            <w:vAlign w:val="center"/>
          </w:tcPr>
          <w:p w14:paraId="703891E8">
            <w:pPr>
              <w:pStyle w:val="41"/>
              <w:spacing w:line="360" w:lineRule="exact"/>
              <w:ind w:firstLine="0" w:firstLineChars="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2112" w:type="pct"/>
            <w:tcBorders>
              <w:tl2br w:val="nil"/>
              <w:tr2bl w:val="nil"/>
            </w:tcBorders>
            <w:shd w:val="clear" w:color="auto" w:fill="auto"/>
            <w:vAlign w:val="center"/>
          </w:tcPr>
          <w:p w14:paraId="77215F03">
            <w:pPr>
              <w:pStyle w:val="41"/>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选矿厂周边部分临时占地碾压后尚未完成生态恢复</w:t>
            </w:r>
            <w:r>
              <w:rPr>
                <w:rFonts w:hint="eastAsia" w:cs="Times New Roman"/>
                <w:color w:val="000000" w:themeColor="text1"/>
                <w:sz w:val="21"/>
                <w:szCs w:val="21"/>
                <w:highlight w:val="none"/>
                <w:lang w:eastAsia="zh-CN"/>
                <w14:textFill>
                  <w14:solidFill>
                    <w14:schemeClr w14:val="tx1"/>
                  </w14:solidFill>
                </w14:textFill>
              </w:rPr>
              <w:t>，固废堆放不规范</w:t>
            </w:r>
            <w:r>
              <w:rPr>
                <w:rFonts w:hint="eastAsia" w:cs="Times New Roman"/>
                <w:color w:val="000000" w:themeColor="text1"/>
                <w:sz w:val="21"/>
                <w:szCs w:val="21"/>
                <w:highlight w:val="none"/>
                <w14:textFill>
                  <w14:solidFill>
                    <w14:schemeClr w14:val="tx1"/>
                  </w14:solidFill>
                </w14:textFill>
              </w:rPr>
              <w:t>。</w:t>
            </w:r>
          </w:p>
        </w:tc>
        <w:tc>
          <w:tcPr>
            <w:tcW w:w="2507" w:type="pct"/>
            <w:tcBorders>
              <w:tl2br w:val="nil"/>
              <w:tr2bl w:val="nil"/>
            </w:tcBorders>
            <w:shd w:val="clear" w:color="auto" w:fill="auto"/>
            <w:vAlign w:val="center"/>
          </w:tcPr>
          <w:p w14:paraId="47386D97">
            <w:pPr>
              <w:pStyle w:val="41"/>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按照</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哈密市西成矿业有限责任公司M1033铁矿矿产资源开发利用与生态保护修复方案</w:t>
            </w:r>
            <w:r>
              <w:rPr>
                <w:rFonts w:hint="eastAsia"/>
                <w:color w:val="000000" w:themeColor="text1"/>
                <w:sz w:val="21"/>
                <w:szCs w:val="21"/>
                <w:highlight w:val="none"/>
                <w14:textFill>
                  <w14:solidFill>
                    <w14:schemeClr w14:val="tx1"/>
                  </w14:solidFill>
                </w14:textFill>
              </w:rPr>
              <w:t>》（2</w:t>
            </w:r>
            <w:r>
              <w:rPr>
                <w:color w:val="000000" w:themeColor="text1"/>
                <w:sz w:val="21"/>
                <w:szCs w:val="21"/>
                <w:highlight w:val="none"/>
                <w14:textFill>
                  <w14:solidFill>
                    <w14:schemeClr w14:val="tx1"/>
                  </w14:solidFill>
                </w14:textFill>
              </w:rPr>
              <w:t>02</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年1</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月）的复垦要求，尽快完成对临时占地的复垦工作</w:t>
            </w:r>
            <w:r>
              <w:rPr>
                <w:rFonts w:hint="eastAsia"/>
                <w:color w:val="000000" w:themeColor="text1"/>
                <w:sz w:val="21"/>
                <w:szCs w:val="21"/>
                <w:highlight w:val="none"/>
                <w:lang w:eastAsia="zh-CN"/>
                <w14:textFill>
                  <w14:solidFill>
                    <w14:schemeClr w14:val="tx1"/>
                  </w14:solidFill>
                </w14:textFill>
              </w:rPr>
              <w:t>，清运固废垃圾，整洁厂区地面</w:t>
            </w:r>
            <w:r>
              <w:rPr>
                <w:rFonts w:hint="eastAsia"/>
                <w:color w:val="000000" w:themeColor="text1"/>
                <w:sz w:val="21"/>
                <w:szCs w:val="21"/>
                <w:highlight w:val="none"/>
                <w14:textFill>
                  <w14:solidFill>
                    <w14:schemeClr w14:val="tx1"/>
                  </w14:solidFill>
                </w14:textFill>
              </w:rPr>
              <w:t>。</w:t>
            </w:r>
          </w:p>
        </w:tc>
      </w:tr>
    </w:tbl>
    <w:p w14:paraId="1072AF5C">
      <w:pPr>
        <w:pStyle w:val="3"/>
        <w:spacing w:line="560" w:lineRule="atLeast"/>
        <w:rPr>
          <w:color w:val="000000" w:themeColor="text1"/>
          <w:highlight w:val="none"/>
          <w14:textFill>
            <w14:solidFill>
              <w14:schemeClr w14:val="tx1"/>
            </w14:solidFill>
          </w14:textFill>
        </w:rPr>
      </w:pPr>
      <w:bookmarkStart w:id="414" w:name="_Toc107414654"/>
      <w:bookmarkStart w:id="415" w:name="_Toc1236"/>
      <w:bookmarkStart w:id="416" w:name="_Toc4438"/>
      <w:bookmarkStart w:id="417" w:name="_Toc31573"/>
      <w:bookmarkStart w:id="418" w:name="_Toc4589"/>
      <w:bookmarkStart w:id="419" w:name="_Toc20486"/>
      <w:bookmarkStart w:id="420" w:name="_Toc107413887"/>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2本项目概况</w:t>
      </w:r>
      <w:bookmarkEnd w:id="414"/>
      <w:bookmarkEnd w:id="415"/>
      <w:bookmarkEnd w:id="416"/>
      <w:bookmarkEnd w:id="417"/>
      <w:bookmarkEnd w:id="418"/>
      <w:bookmarkEnd w:id="419"/>
      <w:bookmarkEnd w:id="420"/>
    </w:p>
    <w:p w14:paraId="61275E40">
      <w:pPr>
        <w:pStyle w:val="4"/>
        <w:rPr>
          <w:color w:val="000000" w:themeColor="text1"/>
          <w:highlight w:val="none"/>
          <w14:textFill>
            <w14:solidFill>
              <w14:schemeClr w14:val="tx1"/>
            </w14:solidFill>
          </w14:textFill>
        </w:rPr>
      </w:pPr>
      <w:bookmarkStart w:id="421" w:name="_Toc9874"/>
      <w:bookmarkStart w:id="422" w:name="_Toc27767"/>
      <w:bookmarkStart w:id="423" w:name="_Toc19593"/>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本项目基本情况</w:t>
      </w:r>
      <w:bookmarkEnd w:id="421"/>
      <w:bookmarkEnd w:id="422"/>
      <w:bookmarkEnd w:id="423"/>
    </w:p>
    <w:p w14:paraId="0F821C58">
      <w:pPr>
        <w:pStyle w:val="55"/>
        <w:overflowPunct w:val="0"/>
        <w:topLinePunct/>
        <w:snapToGrid w:val="0"/>
        <w:ind w:firstLine="480" w:firstLineChars="20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项目名称：</w:t>
      </w:r>
      <w:r>
        <w:rPr>
          <w:rFonts w:hint="eastAsia"/>
          <w:color w:val="000000" w:themeColor="text1"/>
          <w:highlight w:val="none"/>
          <w:lang w:eastAsia="zh-CN"/>
          <w14:textFill>
            <w14:solidFill>
              <w14:schemeClr w14:val="tx1"/>
            </w14:solidFill>
          </w14:textFill>
        </w:rPr>
        <w:t>哈密市西成矿业有限责任公司年产30万吨铁精粉建设项目（重大变动）</w:t>
      </w:r>
    </w:p>
    <w:p w14:paraId="10E08D6A">
      <w:pPr>
        <w:pStyle w:val="55"/>
        <w:overflowPunct w:val="0"/>
        <w:topLinePunct/>
        <w:snapToGrid w:val="0"/>
        <w:ind w:firstLine="480" w:firstLineChars="20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建设单位：</w:t>
      </w:r>
      <w:r>
        <w:rPr>
          <w:rFonts w:hint="eastAsia"/>
          <w:color w:val="000000" w:themeColor="text1"/>
          <w:highlight w:val="none"/>
          <w:lang w:eastAsia="zh-CN"/>
          <w14:textFill>
            <w14:solidFill>
              <w14:schemeClr w14:val="tx1"/>
            </w14:solidFill>
          </w14:textFill>
        </w:rPr>
        <w:t>哈密市西成矿业有限责任公司</w:t>
      </w:r>
    </w:p>
    <w:p w14:paraId="4B34373A">
      <w:pPr>
        <w:pStyle w:val="55"/>
        <w:overflowPunct w:val="0"/>
        <w:topLinePunct/>
        <w:snapToGrid w:val="0"/>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建设性质：</w:t>
      </w:r>
      <w:r>
        <w:rPr>
          <w:rFonts w:hint="eastAsia"/>
          <w:color w:val="000000" w:themeColor="text1"/>
          <w:highlight w:val="none"/>
          <w:lang w:val="en-US" w:eastAsia="zh-CN"/>
          <w14:textFill>
            <w14:solidFill>
              <w14:schemeClr w14:val="tx1"/>
            </w14:solidFill>
          </w14:textFill>
        </w:rPr>
        <w:t>新建（重大变动重新报批）</w:t>
      </w:r>
    </w:p>
    <w:p w14:paraId="50B49805">
      <w:pPr>
        <w:pStyle w:val="55"/>
        <w:overflowPunct w:val="0"/>
        <w:topLinePunct/>
        <w:snapToGrid w:val="0"/>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建设规模：年</w:t>
      </w:r>
      <w:r>
        <w:rPr>
          <w:rFonts w:hint="eastAsia"/>
          <w:color w:val="000000" w:themeColor="text1"/>
          <w:highlight w:val="none"/>
          <w:lang w:val="en-US" w:eastAsia="zh-CN"/>
          <w14:textFill>
            <w14:solidFill>
              <w14:schemeClr w14:val="tx1"/>
            </w14:solidFill>
          </w14:textFill>
        </w:rPr>
        <w:t>产</w:t>
      </w:r>
      <w:r>
        <w:rPr>
          <w:rFonts w:hint="eastAsia"/>
          <w:color w:val="000000" w:themeColor="text1"/>
          <w:highlight w:val="none"/>
          <w14:textFill>
            <w14:solidFill>
              <w14:schemeClr w14:val="tx1"/>
            </w14:solidFill>
          </w14:textFill>
        </w:rPr>
        <w:t>铁</w:t>
      </w:r>
      <w:r>
        <w:rPr>
          <w:rFonts w:hint="eastAsia"/>
          <w:color w:val="000000" w:themeColor="text1"/>
          <w:highlight w:val="none"/>
          <w:lang w:eastAsia="zh-CN"/>
          <w14:textFill>
            <w14:solidFill>
              <w14:schemeClr w14:val="tx1"/>
            </w14:solidFill>
          </w14:textFill>
        </w:rPr>
        <w:t>精粉</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0万t/a。</w:t>
      </w:r>
    </w:p>
    <w:p w14:paraId="07B6B82A">
      <w:pPr>
        <w:pStyle w:val="55"/>
        <w:overflowPunct w:val="0"/>
        <w:topLinePunct/>
        <w:snapToGrid w:val="0"/>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建设地点：本项目位于新疆维吾尔自治区</w:t>
      </w:r>
      <w:r>
        <w:rPr>
          <w:rFonts w:hint="eastAsia"/>
          <w:color w:val="000000" w:themeColor="text1"/>
          <w:highlight w:val="none"/>
          <w:lang w:val="en-US" w:eastAsia="zh-CN"/>
          <w14:textFill>
            <w14:solidFill>
              <w14:schemeClr w14:val="tx1"/>
            </w14:solidFill>
          </w14:textFill>
        </w:rPr>
        <w:t>哈密市东南方向，距离哈密市中心城区直线距离约179km，选矿厂位于配套的M1033铁矿西部（矿界范围内），尾矿库位于选矿厂西南侧约1.1km处。选矿厂、尾矿库均属哈密市伊州区雅满苏镇管辖</w:t>
      </w:r>
      <w:r>
        <w:rPr>
          <w:rFonts w:hint="eastAsia"/>
          <w:color w:val="000000" w:themeColor="text1"/>
          <w:highlight w:val="none"/>
          <w14:textFill>
            <w14:solidFill>
              <w14:schemeClr w14:val="tx1"/>
            </w14:solidFill>
          </w14:textFill>
        </w:rPr>
        <w:t>。本项目地理位置见图3.2-1、区域位置图见图3.</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w:t>
      </w:r>
    </w:p>
    <w:p w14:paraId="51C95B0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服务年限：选矿厂、尾矿库服务年限为</w:t>
      </w:r>
      <w:r>
        <w:rPr>
          <w:rFonts w:hint="eastAsia"/>
          <w:color w:val="000000" w:themeColor="text1"/>
          <w:highlight w:val="none"/>
          <w:lang w:val="en-US" w:eastAsia="zh-CN"/>
          <w14:textFill>
            <w14:solidFill>
              <w14:schemeClr w14:val="tx1"/>
            </w14:solidFill>
          </w14:textFill>
        </w:rPr>
        <w:t>19</w:t>
      </w:r>
      <w:r>
        <w:rPr>
          <w:rFonts w:hint="eastAsia"/>
          <w:color w:val="000000" w:themeColor="text1"/>
          <w:highlight w:val="none"/>
          <w14:textFill>
            <w14:solidFill>
              <w14:schemeClr w14:val="tx1"/>
            </w14:solidFill>
          </w14:textFill>
        </w:rPr>
        <w:t>年。</w:t>
      </w:r>
    </w:p>
    <w:p w14:paraId="519BC190">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项目建设周期：计划开工时间为2</w:t>
      </w:r>
      <w:r>
        <w:rPr>
          <w:color w:val="000000" w:themeColor="text1"/>
          <w:highlight w:val="none"/>
          <w14:textFill>
            <w14:solidFill>
              <w14:schemeClr w14:val="tx1"/>
            </w14:solidFill>
          </w14:textFill>
        </w:rPr>
        <w:t>02</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月，计划建设周期为</w:t>
      </w:r>
      <w:r>
        <w:rPr>
          <w:rFonts w:hint="eastAsia"/>
          <w:color w:val="000000" w:themeColor="text1"/>
          <w:highlight w:val="none"/>
          <w:lang w:val="en-US" w:eastAsia="zh-CN"/>
          <w14:textFill>
            <w14:solidFill>
              <w14:schemeClr w14:val="tx1"/>
            </w14:solidFill>
          </w14:textFill>
        </w:rPr>
        <w:t>24</w:t>
      </w:r>
      <w:r>
        <w:rPr>
          <w:rFonts w:hint="eastAsia"/>
          <w:color w:val="000000" w:themeColor="text1"/>
          <w:highlight w:val="none"/>
          <w14:textFill>
            <w14:solidFill>
              <w14:schemeClr w14:val="tx1"/>
            </w14:solidFill>
          </w14:textFill>
        </w:rPr>
        <w:t>个月。</w:t>
      </w:r>
    </w:p>
    <w:p w14:paraId="442F6AFF">
      <w:pPr>
        <w:pStyle w:val="55"/>
        <w:overflowPunct w:val="0"/>
        <w:topLinePunct/>
        <w:snapToGrid w:val="0"/>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总</w:t>
      </w:r>
      <w:r>
        <w:rPr>
          <w:color w:val="000000" w:themeColor="text1"/>
          <w:highlight w:val="none"/>
          <w14:textFill>
            <w14:solidFill>
              <w14:schemeClr w14:val="tx1"/>
            </w14:solidFill>
          </w14:textFill>
        </w:rPr>
        <w:t>投资：</w:t>
      </w:r>
      <w:r>
        <w:rPr>
          <w:rFonts w:hint="eastAsia"/>
          <w:color w:val="000000" w:themeColor="text1"/>
          <w:highlight w:val="none"/>
          <w14:textFill>
            <w14:solidFill>
              <w14:schemeClr w14:val="tx1"/>
            </w14:solidFill>
          </w14:textFill>
        </w:rPr>
        <w:t>本项目总投资为</w:t>
      </w:r>
      <w:r>
        <w:rPr>
          <w:rFonts w:hint="eastAsia"/>
          <w:color w:val="000000" w:themeColor="text1"/>
          <w:highlight w:val="none"/>
          <w:lang w:val="en-US" w:eastAsia="zh-CN"/>
          <w14:textFill>
            <w14:solidFill>
              <w14:schemeClr w14:val="tx1"/>
            </w14:solidFill>
          </w14:textFill>
        </w:rPr>
        <w:t>5939.21</w:t>
      </w:r>
      <w:r>
        <w:rPr>
          <w:rFonts w:hint="eastAsia"/>
          <w:color w:val="000000" w:themeColor="text1"/>
          <w:highlight w:val="none"/>
          <w14:textFill>
            <w14:solidFill>
              <w14:schemeClr w14:val="tx1"/>
            </w14:solidFill>
          </w14:textFill>
        </w:rPr>
        <w:t>万元，其中：工程费用</w:t>
      </w:r>
      <w:r>
        <w:rPr>
          <w:rFonts w:hint="eastAsia"/>
          <w:color w:val="000000" w:themeColor="text1"/>
          <w:highlight w:val="none"/>
          <w:lang w:val="en-US" w:eastAsia="zh-CN"/>
          <w14:textFill>
            <w14:solidFill>
              <w14:schemeClr w14:val="tx1"/>
            </w14:solidFill>
          </w14:textFill>
        </w:rPr>
        <w:t>5018.53</w:t>
      </w:r>
      <w:r>
        <w:rPr>
          <w:rFonts w:hint="eastAsia"/>
          <w:color w:val="000000" w:themeColor="text1"/>
          <w:highlight w:val="none"/>
          <w14:textFill>
            <w14:solidFill>
              <w14:schemeClr w14:val="tx1"/>
            </w14:solidFill>
          </w14:textFill>
        </w:rPr>
        <w:t>万元，工程建设其他费用</w:t>
      </w:r>
      <w:r>
        <w:rPr>
          <w:rFonts w:hint="eastAsia"/>
          <w:color w:val="000000" w:themeColor="text1"/>
          <w:highlight w:val="none"/>
          <w:lang w:val="en-US" w:eastAsia="zh-CN"/>
          <w14:textFill>
            <w14:solidFill>
              <w14:schemeClr w14:val="tx1"/>
            </w14:solidFill>
          </w14:textFill>
        </w:rPr>
        <w:t>173.09</w:t>
      </w:r>
      <w:r>
        <w:rPr>
          <w:rFonts w:hint="eastAsia"/>
          <w:color w:val="000000" w:themeColor="text1"/>
          <w:highlight w:val="none"/>
          <w14:textFill>
            <w14:solidFill>
              <w14:schemeClr w14:val="tx1"/>
            </w14:solidFill>
          </w14:textFill>
        </w:rPr>
        <w:t>万元，预备费</w:t>
      </w:r>
      <w:r>
        <w:rPr>
          <w:rFonts w:hint="eastAsia"/>
          <w:color w:val="000000" w:themeColor="text1"/>
          <w:highlight w:val="none"/>
          <w:lang w:val="en-US" w:eastAsia="zh-CN"/>
          <w14:textFill>
            <w14:solidFill>
              <w14:schemeClr w14:val="tx1"/>
            </w14:solidFill>
          </w14:textFill>
        </w:rPr>
        <w:t>622.99</w:t>
      </w:r>
      <w:r>
        <w:rPr>
          <w:rFonts w:hint="eastAsia"/>
          <w:color w:val="000000" w:themeColor="text1"/>
          <w:highlight w:val="none"/>
          <w14:textFill>
            <w14:solidFill>
              <w14:schemeClr w14:val="tx1"/>
            </w14:solidFill>
          </w14:textFill>
        </w:rPr>
        <w:t>万元</w:t>
      </w:r>
      <w:r>
        <w:rPr>
          <w:rFonts w:hint="eastAsia"/>
          <w:color w:val="000000" w:themeColor="text1"/>
          <w:highlight w:val="none"/>
          <w:lang w:eastAsia="zh-CN"/>
          <w14:textFill>
            <w14:solidFill>
              <w14:schemeClr w14:val="tx1"/>
            </w14:solidFill>
          </w14:textFill>
        </w:rPr>
        <w:t>，流动资金</w:t>
      </w:r>
      <w:r>
        <w:rPr>
          <w:rFonts w:hint="eastAsia"/>
          <w:color w:val="000000" w:themeColor="text1"/>
          <w:highlight w:val="none"/>
          <w:lang w:val="en-US" w:eastAsia="zh-CN"/>
          <w14:textFill>
            <w14:solidFill>
              <w14:schemeClr w14:val="tx1"/>
            </w14:solidFill>
          </w14:textFill>
        </w:rPr>
        <w:t>124.6万元</w:t>
      </w:r>
      <w:r>
        <w:rPr>
          <w:rFonts w:hint="eastAsia"/>
          <w:color w:val="000000" w:themeColor="text1"/>
          <w:highlight w:val="none"/>
          <w14:textFill>
            <w14:solidFill>
              <w14:schemeClr w14:val="tx1"/>
            </w14:solidFill>
          </w14:textFill>
        </w:rPr>
        <w:t>。均为企业自筹。</w:t>
      </w:r>
    </w:p>
    <w:p w14:paraId="1F72D7D9">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工作制度</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选矿厂的工作制度为连续工作制。全年运转7</w:t>
      </w:r>
      <w:r>
        <w:rPr>
          <w:rFonts w:hint="eastAsia" w:cs="Times New Roman"/>
          <w:color w:val="000000" w:themeColor="text1"/>
          <w:szCs w:val="24"/>
          <w:highlight w:val="none"/>
          <w:lang w:val="en-US" w:eastAsia="zh-CN"/>
          <w14:textFill>
            <w14:solidFill>
              <w14:schemeClr w14:val="tx1"/>
            </w14:solidFill>
          </w14:textFill>
        </w:rPr>
        <w:t>20</w:t>
      </w:r>
      <w:r>
        <w:rPr>
          <w:rFonts w:cs="Times New Roman"/>
          <w:color w:val="000000" w:themeColor="text1"/>
          <w:szCs w:val="24"/>
          <w:highlight w:val="none"/>
          <w14:textFill>
            <w14:solidFill>
              <w14:schemeClr w14:val="tx1"/>
            </w14:solidFill>
          </w14:textFill>
        </w:rPr>
        <w:t>0小时，相当于年工作3</w:t>
      </w:r>
      <w:r>
        <w:rPr>
          <w:rFonts w:hint="eastAsia" w:cs="Times New Roman"/>
          <w:color w:val="000000" w:themeColor="text1"/>
          <w:szCs w:val="24"/>
          <w:highlight w:val="none"/>
          <w:lang w:val="en-US" w:eastAsia="zh-CN"/>
          <w14:textFill>
            <w14:solidFill>
              <w14:schemeClr w14:val="tx1"/>
            </w14:solidFill>
          </w14:textFill>
        </w:rPr>
        <w:t>0</w:t>
      </w:r>
      <w:r>
        <w:rPr>
          <w:rFonts w:cs="Times New Roman"/>
          <w:color w:val="000000" w:themeColor="text1"/>
          <w:szCs w:val="24"/>
          <w:highlight w:val="none"/>
          <w14:textFill>
            <w14:solidFill>
              <w14:schemeClr w14:val="tx1"/>
            </w14:solidFill>
          </w14:textFill>
        </w:rPr>
        <w:t>0天，每天3班，每班8小时。</w:t>
      </w:r>
    </w:p>
    <w:p w14:paraId="072DD599">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劳动定员：</w:t>
      </w:r>
      <w:r>
        <w:rPr>
          <w:rFonts w:hint="eastAsia"/>
          <w:color w:val="000000" w:themeColor="text1"/>
          <w:highlight w:val="none"/>
          <w14:textFill>
            <w14:solidFill>
              <w14:schemeClr w14:val="tx1"/>
            </w14:solidFill>
          </w14:textFill>
        </w:rPr>
        <w:t>选矿</w:t>
      </w:r>
      <w:r>
        <w:rPr>
          <w:rFonts w:hint="eastAsia"/>
          <w:color w:val="000000" w:themeColor="text1"/>
          <w:highlight w:val="none"/>
          <w:lang w:eastAsia="zh-CN"/>
          <w14:textFill>
            <w14:solidFill>
              <w14:schemeClr w14:val="tx1"/>
            </w14:solidFill>
          </w14:textFill>
        </w:rPr>
        <w:t>厂</w:t>
      </w:r>
      <w:r>
        <w:rPr>
          <w:rFonts w:hint="eastAsia"/>
          <w:color w:val="000000" w:themeColor="text1"/>
          <w:highlight w:val="none"/>
          <w14:textFill>
            <w14:solidFill>
              <w14:schemeClr w14:val="tx1"/>
            </w14:solidFill>
          </w14:textFill>
        </w:rPr>
        <w:t>员工</w:t>
      </w:r>
      <w:r>
        <w:rPr>
          <w:rFonts w:hint="eastAsia"/>
          <w:color w:val="000000" w:themeColor="text1"/>
          <w:highlight w:val="none"/>
          <w:lang w:val="en-US" w:eastAsia="zh-CN"/>
          <w14:textFill>
            <w14:solidFill>
              <w14:schemeClr w14:val="tx1"/>
            </w14:solidFill>
          </w14:textFill>
        </w:rPr>
        <w:t>50</w:t>
      </w:r>
      <w:r>
        <w:rPr>
          <w:rFonts w:hint="eastAsia"/>
          <w:color w:val="000000" w:themeColor="text1"/>
          <w:highlight w:val="none"/>
          <w14:textFill>
            <w14:solidFill>
              <w14:schemeClr w14:val="tx1"/>
            </w14:solidFill>
          </w14:textFill>
        </w:rPr>
        <w:t>人。</w:t>
      </w:r>
    </w:p>
    <w:p w14:paraId="2D3E301E">
      <w:pPr>
        <w:pStyle w:val="55"/>
        <w:overflowPunct w:val="0"/>
        <w:topLinePunct/>
        <w:snapToGrid w:val="0"/>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项目占地：</w:t>
      </w:r>
      <w:r>
        <w:rPr>
          <w:rFonts w:hint="eastAsia"/>
          <w:color w:val="000000" w:themeColor="text1"/>
          <w:highlight w:val="none"/>
          <w:lang w:eastAsia="zh-CN"/>
          <w14:textFill>
            <w14:solidFill>
              <w14:schemeClr w14:val="tx1"/>
            </w14:solidFill>
          </w14:textFill>
        </w:rPr>
        <w:t>新增干排车间</w:t>
      </w:r>
      <w:r>
        <w:rPr>
          <w:rFonts w:hint="eastAsia"/>
          <w:color w:val="000000" w:themeColor="text1"/>
          <w:highlight w:val="none"/>
          <w:lang w:val="en-US" w:eastAsia="zh-CN"/>
          <w14:textFill>
            <w14:solidFill>
              <w14:schemeClr w14:val="tx1"/>
            </w14:solidFill>
          </w14:textFill>
        </w:rPr>
        <w:t>759m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（现有选厂用地范围内），改造生产车间，位于选矿厂工业场地内</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新增</w:t>
      </w:r>
      <w:r>
        <w:rPr>
          <w:rFonts w:hint="eastAsia"/>
          <w:color w:val="000000" w:themeColor="text1"/>
          <w:highlight w:val="none"/>
          <w14:textFill>
            <w14:solidFill>
              <w14:schemeClr w14:val="tx1"/>
            </w14:solidFill>
          </w14:textFill>
        </w:rPr>
        <w:t>尾矿库占地面积</w:t>
      </w:r>
      <w:r>
        <w:rPr>
          <w:rFonts w:hint="eastAsia"/>
          <w:color w:val="000000" w:themeColor="text1"/>
          <w:highlight w:val="none"/>
          <w:lang w:val="en-US" w:eastAsia="zh-CN"/>
          <w14:textFill>
            <w14:solidFill>
              <w14:schemeClr w14:val="tx1"/>
            </w14:solidFill>
          </w14:textFill>
        </w:rPr>
        <w:t>42.96</w:t>
      </w:r>
      <w:r>
        <w:rPr>
          <w:rFonts w:hint="eastAsia"/>
          <w:color w:val="000000" w:themeColor="text1"/>
          <w:highlight w:val="none"/>
          <w14:textFill>
            <w14:solidFill>
              <w14:schemeClr w14:val="tx1"/>
            </w14:solidFill>
          </w14:textFill>
        </w:rPr>
        <w:t>hm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新增占地面积为</w:t>
      </w:r>
      <w:r>
        <w:rPr>
          <w:rFonts w:hint="eastAsia"/>
          <w:color w:val="000000" w:themeColor="text1"/>
          <w:highlight w:val="none"/>
          <w:lang w:val="en-US" w:eastAsia="zh-CN"/>
          <w14:textFill>
            <w14:solidFill>
              <w14:schemeClr w14:val="tx1"/>
            </w14:solidFill>
          </w14:textFill>
        </w:rPr>
        <w:t>42.96h</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，占地类型均为</w:t>
      </w:r>
      <w:r>
        <w:rPr>
          <w:rFonts w:hint="eastAsia"/>
          <w:color w:val="000000" w:themeColor="text1"/>
          <w:highlight w:val="none"/>
          <w:lang w:eastAsia="zh-CN"/>
          <w14:textFill>
            <w14:solidFill>
              <w14:schemeClr w14:val="tx1"/>
            </w14:solidFill>
          </w14:textFill>
        </w:rPr>
        <w:t>戈壁荒漠</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选矿厂中心地理位置坐标为</w:t>
      </w:r>
      <w:r>
        <w:rPr>
          <w:rFonts w:hint="eastAsia"/>
          <w:color w:val="000000" w:themeColor="text1"/>
          <w:highlight w:val="none"/>
          <w:lang w:eastAsia="zh-CN"/>
          <w14:textFill>
            <w14:solidFill>
              <w14:schemeClr w14:val="tx1"/>
            </w14:solidFill>
          </w14:textFill>
        </w:rPr>
        <w:t>东经</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，北纬</w:t>
      </w:r>
      <w:r>
        <w:rPr>
          <w:rFonts w:hint="eastAsia"/>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尾矿库</w:t>
      </w:r>
      <w:r>
        <w:rPr>
          <w:rFonts w:hint="eastAsia"/>
          <w:color w:val="000000" w:themeColor="text1"/>
          <w:highlight w:val="none"/>
          <w:lang w:val="en-US" w:eastAsia="zh-CN"/>
          <w14:textFill>
            <w14:solidFill>
              <w14:schemeClr w14:val="tx1"/>
            </w14:solidFill>
          </w14:textFill>
        </w:rPr>
        <w:t>中心地理位置</w:t>
      </w:r>
      <w:r>
        <w:rPr>
          <w:rFonts w:hint="eastAsia"/>
          <w:color w:val="000000" w:themeColor="text1"/>
          <w:highlight w:val="none"/>
          <w:lang w:eastAsia="zh-CN"/>
          <w14:textFill>
            <w14:solidFill>
              <w14:schemeClr w14:val="tx1"/>
            </w14:solidFill>
          </w14:textFill>
        </w:rPr>
        <w:t>坐标为东经</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，北纬</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w:t>
      </w:r>
    </w:p>
    <w:p w14:paraId="4A73CB22">
      <w:pPr>
        <w:pStyle w:val="4"/>
        <w:rPr>
          <w:color w:val="000000" w:themeColor="text1"/>
          <w:highlight w:val="none"/>
          <w14:textFill>
            <w14:solidFill>
              <w14:schemeClr w14:val="tx1"/>
            </w14:solidFill>
          </w14:textFill>
        </w:rPr>
      </w:pPr>
      <w:bookmarkStart w:id="424" w:name="_Toc15707"/>
      <w:bookmarkStart w:id="425" w:name="_Toc23848"/>
      <w:bookmarkStart w:id="426" w:name="_Toc21246"/>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2本项目产品方案</w:t>
      </w:r>
      <w:bookmarkEnd w:id="424"/>
      <w:bookmarkEnd w:id="425"/>
      <w:bookmarkEnd w:id="426"/>
    </w:p>
    <w:p w14:paraId="02C5377E">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w:t>
      </w:r>
      <w:r>
        <w:rPr>
          <w:rFonts w:hint="eastAsia" w:cs="Times New Roman"/>
          <w:color w:val="000000" w:themeColor="text1"/>
          <w:highlight w:val="none"/>
          <w14:textFill>
            <w14:solidFill>
              <w14:schemeClr w14:val="tx1"/>
            </w14:solidFill>
          </w14:textFill>
        </w:rPr>
        <w:t>选矿产品方案为</w:t>
      </w:r>
      <w:r>
        <w:rPr>
          <w:rFonts w:hint="eastAsia" w:cs="Times New Roman"/>
          <w:color w:val="000000" w:themeColor="text1"/>
          <w:highlight w:val="none"/>
          <w:lang w:eastAsia="zh-CN"/>
          <w14:textFill>
            <w14:solidFill>
              <w14:schemeClr w14:val="tx1"/>
            </w14:solidFill>
          </w14:textFill>
        </w:rPr>
        <w:t>铁精粉</w:t>
      </w:r>
      <w:r>
        <w:rPr>
          <w:rFonts w:hint="eastAsia" w:cs="Times New Roman"/>
          <w:color w:val="000000" w:themeColor="text1"/>
          <w:highlight w:val="none"/>
          <w14:textFill>
            <w14:solidFill>
              <w14:schemeClr w14:val="tx1"/>
            </w14:solidFill>
          </w14:textFill>
        </w:rPr>
        <w:t>。</w:t>
      </w:r>
    </w:p>
    <w:p w14:paraId="5F0A0340">
      <w:pPr>
        <w:pStyle w:val="41"/>
        <w:overflowPunct w:val="0"/>
        <w:topLinePunct/>
        <w:spacing w:line="480" w:lineRule="exact"/>
        <w:ind w:firstLine="480"/>
        <w:rPr>
          <w:rFonts w:cs="Times New Roman"/>
          <w:bCs/>
          <w:color w:val="000000" w:themeColor="text1"/>
          <w:szCs w:val="32"/>
          <w:highlight w:val="none"/>
          <w14:textFill>
            <w14:solidFill>
              <w14:schemeClr w14:val="tx1"/>
            </w14:solidFill>
          </w14:textFill>
        </w:rPr>
      </w:pPr>
      <w:r>
        <w:rPr>
          <w:rFonts w:cs="Times New Roman"/>
          <w:bCs/>
          <w:color w:val="000000" w:themeColor="text1"/>
          <w:szCs w:val="32"/>
          <w:highlight w:val="none"/>
          <w:lang w:val="zh-CN"/>
          <w14:textFill>
            <w14:solidFill>
              <w14:schemeClr w14:val="tx1"/>
            </w14:solidFill>
          </w14:textFill>
        </w:rPr>
        <w:t>本项目产品指标见表</w:t>
      </w:r>
      <w:r>
        <w:rPr>
          <w:rFonts w:cs="Times New Roman"/>
          <w:bCs/>
          <w:color w:val="000000" w:themeColor="text1"/>
          <w:szCs w:val="32"/>
          <w:highlight w:val="none"/>
          <w14:textFill>
            <w14:solidFill>
              <w14:schemeClr w14:val="tx1"/>
            </w14:solidFill>
          </w14:textFill>
        </w:rPr>
        <w:t>3.2-</w:t>
      </w:r>
      <w:r>
        <w:rPr>
          <w:rFonts w:hint="eastAsia" w:cs="Times New Roman"/>
          <w:bCs/>
          <w:color w:val="000000" w:themeColor="text1"/>
          <w:szCs w:val="32"/>
          <w:highlight w:val="none"/>
          <w:lang w:val="en-US" w:eastAsia="zh-CN"/>
          <w14:textFill>
            <w14:solidFill>
              <w14:schemeClr w14:val="tx1"/>
            </w14:solidFill>
          </w14:textFill>
        </w:rPr>
        <w:t>1</w:t>
      </w:r>
      <w:r>
        <w:rPr>
          <w:rFonts w:cs="Times New Roman"/>
          <w:bCs/>
          <w:color w:val="000000" w:themeColor="text1"/>
          <w:szCs w:val="32"/>
          <w:highlight w:val="none"/>
          <w14:textFill>
            <w14:solidFill>
              <w14:schemeClr w14:val="tx1"/>
            </w14:solidFill>
          </w14:textFill>
        </w:rPr>
        <w:t>。</w:t>
      </w:r>
    </w:p>
    <w:p w14:paraId="3774F8C0">
      <w:pPr>
        <w:pStyle w:val="47"/>
        <w:widowControl w:val="0"/>
        <w:rPr>
          <w:color w:val="000000" w:themeColor="text1"/>
          <w:szCs w:val="32"/>
          <w:highlight w:val="none"/>
          <w14:textFill>
            <w14:solidFill>
              <w14:schemeClr w14:val="tx1"/>
            </w14:solidFill>
          </w14:textFill>
        </w:rPr>
      </w:pPr>
      <w:r>
        <w:rPr>
          <w:color w:val="000000" w:themeColor="text1"/>
          <w:szCs w:val="32"/>
          <w:highlight w:val="none"/>
          <w:lang w:val="zh-CN"/>
          <w14:textFill>
            <w14:solidFill>
              <w14:schemeClr w14:val="tx1"/>
            </w14:solidFill>
          </w14:textFill>
        </w:rPr>
        <w:t>表</w:t>
      </w:r>
      <w:r>
        <w:rPr>
          <w:color w:val="000000" w:themeColor="text1"/>
          <w:szCs w:val="32"/>
          <w:highlight w:val="none"/>
          <w14:textFill>
            <w14:solidFill>
              <w14:schemeClr w14:val="tx1"/>
            </w14:solidFill>
          </w14:textFill>
        </w:rPr>
        <w:t>3</w:t>
      </w:r>
      <w:r>
        <w:rPr>
          <w:color w:val="000000" w:themeColor="text1"/>
          <w:szCs w:val="32"/>
          <w:highlight w:val="none"/>
          <w:lang w:val="zh-CN"/>
          <w14:textFill>
            <w14:solidFill>
              <w14:schemeClr w14:val="tx1"/>
            </w14:solidFill>
          </w14:textFill>
        </w:rPr>
        <w:t>.</w:t>
      </w:r>
      <w:r>
        <w:rPr>
          <w:color w:val="000000" w:themeColor="text1"/>
          <w:szCs w:val="32"/>
          <w:highlight w:val="none"/>
          <w14:textFill>
            <w14:solidFill>
              <w14:schemeClr w14:val="tx1"/>
            </w14:solidFill>
          </w14:textFill>
        </w:rPr>
        <w:t>2</w:t>
      </w:r>
      <w:r>
        <w:rPr>
          <w:color w:val="000000" w:themeColor="text1"/>
          <w:szCs w:val="32"/>
          <w:highlight w:val="none"/>
          <w:lang w:val="zh-CN"/>
          <w14:textFill>
            <w14:solidFill>
              <w14:schemeClr w14:val="tx1"/>
            </w14:solidFill>
          </w14:textFill>
        </w:rPr>
        <w:t>-</w:t>
      </w:r>
      <w:r>
        <w:rPr>
          <w:rFonts w:hint="eastAsia"/>
          <w:color w:val="000000" w:themeColor="text1"/>
          <w:szCs w:val="32"/>
          <w:highlight w:val="none"/>
          <w:lang w:val="en-US" w:eastAsia="zh-CN"/>
          <w14:textFill>
            <w14:solidFill>
              <w14:schemeClr w14:val="tx1"/>
            </w14:solidFill>
          </w14:textFill>
        </w:rPr>
        <w:t>1</w:t>
      </w:r>
      <w:r>
        <w:rPr>
          <w:color w:val="000000" w:themeColor="text1"/>
          <w:szCs w:val="32"/>
          <w:highlight w:val="none"/>
          <w14:textFill>
            <w14:solidFill>
              <w14:schemeClr w14:val="tx1"/>
            </w14:solidFill>
          </w14:textFill>
        </w:rPr>
        <w:t xml:space="preserve">    </w:t>
      </w:r>
      <w:r>
        <w:rPr>
          <w:bCs/>
          <w:color w:val="000000" w:themeColor="text1"/>
          <w:szCs w:val="32"/>
          <w:highlight w:val="none"/>
          <w:lang w:val="zh-CN"/>
          <w14:textFill>
            <w14:solidFill>
              <w14:schemeClr w14:val="tx1"/>
            </w14:solidFill>
          </w14:textFill>
        </w:rPr>
        <w:t>本项目产品指标</w:t>
      </w:r>
      <w:r>
        <w:rPr>
          <w:rFonts w:hint="eastAsia"/>
          <w:bCs/>
          <w:color w:val="000000" w:themeColor="text1"/>
          <w:szCs w:val="32"/>
          <w:highlight w:val="none"/>
          <w14:textFill>
            <w14:solidFill>
              <w14:schemeClr w14:val="tx1"/>
            </w14:solidFill>
          </w14:textFill>
        </w:rPr>
        <w:t>一览表</w:t>
      </w:r>
    </w:p>
    <w:tbl>
      <w:tblPr>
        <w:tblStyle w:val="3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33"/>
        <w:gridCol w:w="1791"/>
        <w:gridCol w:w="1933"/>
        <w:gridCol w:w="1615"/>
        <w:gridCol w:w="1555"/>
      </w:tblGrid>
      <w:tr w14:paraId="228BBF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1" w:hRule="atLeast"/>
          <w:tblHeader/>
          <w:jc w:val="center"/>
        </w:trPr>
        <w:tc>
          <w:tcPr>
            <w:tcW w:w="860" w:type="pct"/>
            <w:tcBorders>
              <w:tl2br w:val="nil"/>
              <w:tr2bl w:val="nil"/>
            </w:tcBorders>
            <w:vAlign w:val="center"/>
          </w:tcPr>
          <w:p w14:paraId="42E29351">
            <w:pPr>
              <w:pStyle w:val="45"/>
              <w:spacing w:before="0" w:beforeAutospacing="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产品名称</w:t>
            </w:r>
          </w:p>
        </w:tc>
        <w:tc>
          <w:tcPr>
            <w:tcW w:w="1075" w:type="pct"/>
            <w:tcBorders>
              <w:tl2br w:val="nil"/>
              <w:tr2bl w:val="nil"/>
            </w:tcBorders>
            <w:vAlign w:val="center"/>
          </w:tcPr>
          <w:p w14:paraId="51C58D97">
            <w:pPr>
              <w:pStyle w:val="45"/>
              <w:spacing w:before="0" w:beforeAutospacing="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年产量（万</w:t>
            </w:r>
            <w:r>
              <w:rPr>
                <w:rFonts w:hint="eastAsia"/>
                <w:b/>
                <w:bCs/>
                <w:color w:val="000000" w:themeColor="text1"/>
                <w:sz w:val="21"/>
                <w:szCs w:val="21"/>
                <w:highlight w:val="none"/>
                <w14:textFill>
                  <w14:solidFill>
                    <w14:schemeClr w14:val="tx1"/>
                  </w14:solidFill>
                </w14:textFill>
              </w:rPr>
              <w:t>t</w:t>
            </w:r>
            <w:r>
              <w:rPr>
                <w:b/>
                <w:bCs/>
                <w:color w:val="000000" w:themeColor="text1"/>
                <w:spacing w:val="-3"/>
                <w:sz w:val="21"/>
                <w:szCs w:val="21"/>
                <w:highlight w:val="none"/>
                <w14:textFill>
                  <w14:solidFill>
                    <w14:schemeClr w14:val="tx1"/>
                  </w14:solidFill>
                </w14:textFill>
              </w:rPr>
              <w:t>/年）</w:t>
            </w:r>
          </w:p>
        </w:tc>
        <w:tc>
          <w:tcPr>
            <w:tcW w:w="1160" w:type="pct"/>
            <w:tcBorders>
              <w:tl2br w:val="nil"/>
              <w:tr2bl w:val="nil"/>
            </w:tcBorders>
            <w:vAlign w:val="center"/>
          </w:tcPr>
          <w:p w14:paraId="32A58C21">
            <w:pPr>
              <w:pStyle w:val="45"/>
              <w:spacing w:before="0" w:beforeAutospacing="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pacing w:val="-4"/>
                <w:sz w:val="21"/>
                <w:szCs w:val="21"/>
                <w:highlight w:val="none"/>
                <w14:textFill>
                  <w14:solidFill>
                    <w14:schemeClr w14:val="tx1"/>
                  </w14:solidFill>
                </w14:textFill>
              </w:rPr>
              <w:t>产量（t/d）</w:t>
            </w:r>
          </w:p>
        </w:tc>
        <w:tc>
          <w:tcPr>
            <w:tcW w:w="969" w:type="pct"/>
            <w:tcBorders>
              <w:tl2br w:val="nil"/>
              <w:tr2bl w:val="nil"/>
            </w:tcBorders>
            <w:vAlign w:val="center"/>
          </w:tcPr>
          <w:p w14:paraId="7E871EB1">
            <w:pPr>
              <w:pStyle w:val="45"/>
              <w:spacing w:before="0" w:beforeAutospacing="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pacing w:val="-4"/>
                <w:sz w:val="21"/>
                <w:szCs w:val="21"/>
                <w:highlight w:val="none"/>
                <w14:textFill>
                  <w14:solidFill>
                    <w14:schemeClr w14:val="tx1"/>
                  </w14:solidFill>
                </w14:textFill>
              </w:rPr>
              <w:t>产量（t/h）</w:t>
            </w:r>
          </w:p>
        </w:tc>
        <w:tc>
          <w:tcPr>
            <w:tcW w:w="933" w:type="pct"/>
            <w:tcBorders>
              <w:tl2br w:val="nil"/>
              <w:tr2bl w:val="nil"/>
            </w:tcBorders>
            <w:vAlign w:val="center"/>
          </w:tcPr>
          <w:p w14:paraId="366FCCDB">
            <w:pPr>
              <w:pStyle w:val="45"/>
              <w:spacing w:before="0" w:beforeAutospacing="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pacing w:val="-3"/>
                <w:sz w:val="21"/>
                <w:szCs w:val="21"/>
                <w:highlight w:val="none"/>
                <w14:textFill>
                  <w14:solidFill>
                    <w14:schemeClr w14:val="tx1"/>
                  </w14:solidFill>
                </w14:textFill>
              </w:rPr>
              <w:t>品位</w:t>
            </w:r>
            <w:r>
              <w:rPr>
                <w:rFonts w:hint="eastAsia"/>
                <w:b/>
                <w:bCs/>
                <w:color w:val="000000" w:themeColor="text1"/>
                <w:sz w:val="21"/>
                <w:szCs w:val="21"/>
                <w:highlight w:val="none"/>
                <w14:textFill>
                  <w14:solidFill>
                    <w14:schemeClr w14:val="tx1"/>
                  </w14:solidFill>
                </w14:textFill>
              </w:rPr>
              <w:t>（</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w:t>
            </w:r>
          </w:p>
        </w:tc>
      </w:tr>
      <w:tr w14:paraId="655DFF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860" w:type="pct"/>
            <w:tcBorders>
              <w:tl2br w:val="nil"/>
              <w:tr2bl w:val="nil"/>
            </w:tcBorders>
            <w:vAlign w:val="center"/>
          </w:tcPr>
          <w:p w14:paraId="25DEE96F">
            <w:pPr>
              <w:pStyle w:val="45"/>
              <w:spacing w:before="0" w:beforeAutospacing="0"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铁精粉</w:t>
            </w:r>
          </w:p>
        </w:tc>
        <w:tc>
          <w:tcPr>
            <w:tcW w:w="1075" w:type="pct"/>
            <w:tcBorders>
              <w:tl2br w:val="nil"/>
              <w:tr2bl w:val="nil"/>
            </w:tcBorders>
            <w:vAlign w:val="center"/>
          </w:tcPr>
          <w:p w14:paraId="534741B0">
            <w:pPr>
              <w:pStyle w:val="45"/>
              <w:spacing w:before="0" w:beforeAutospacing="0"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w:t>
            </w:r>
          </w:p>
        </w:tc>
        <w:tc>
          <w:tcPr>
            <w:tcW w:w="1160" w:type="pct"/>
            <w:tcBorders>
              <w:tl2br w:val="nil"/>
              <w:tr2bl w:val="nil"/>
            </w:tcBorders>
            <w:vAlign w:val="center"/>
          </w:tcPr>
          <w:p w14:paraId="5CC41788">
            <w:pPr>
              <w:pStyle w:val="45"/>
              <w:spacing w:before="0" w:beforeAutospacing="0" w:line="360" w:lineRule="exact"/>
              <w:ind w:firstLine="0" w:firstLineChars="0"/>
              <w:jc w:val="center"/>
              <w:rPr>
                <w:rFonts w:hint="default" w:eastAsia="宋体"/>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967.7</w:t>
            </w:r>
          </w:p>
        </w:tc>
        <w:tc>
          <w:tcPr>
            <w:tcW w:w="969" w:type="pct"/>
            <w:tcBorders>
              <w:tl2br w:val="nil"/>
              <w:tr2bl w:val="nil"/>
            </w:tcBorders>
            <w:vAlign w:val="center"/>
          </w:tcPr>
          <w:p w14:paraId="3FB71C36">
            <w:pPr>
              <w:pStyle w:val="45"/>
              <w:spacing w:before="0" w:beforeAutospacing="0"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40.3</w:t>
            </w:r>
          </w:p>
        </w:tc>
        <w:tc>
          <w:tcPr>
            <w:tcW w:w="933" w:type="pct"/>
            <w:tcBorders>
              <w:tl2br w:val="nil"/>
              <w:tr2bl w:val="nil"/>
            </w:tcBorders>
            <w:vAlign w:val="center"/>
          </w:tcPr>
          <w:p w14:paraId="6A28CEFA">
            <w:pPr>
              <w:pStyle w:val="45"/>
              <w:spacing w:before="0" w:beforeAutospacing="0"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63.53</w:t>
            </w:r>
          </w:p>
        </w:tc>
      </w:tr>
    </w:tbl>
    <w:p w14:paraId="32D7F6FE">
      <w:pPr>
        <w:pStyle w:val="7"/>
        <w:spacing w:line="480" w:lineRule="exact"/>
        <w:ind w:firstLine="480"/>
        <w:rPr>
          <w:rFonts w:hint="eastAsia"/>
          <w:color w:val="000000" w:themeColor="text1"/>
          <w:sz w:val="24"/>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矿石的化学成分包括有用组分和有害组分。</w:t>
      </w:r>
    </w:p>
    <w:p w14:paraId="3072B7AF">
      <w:pPr>
        <w:pStyle w:val="7"/>
        <w:spacing w:line="480" w:lineRule="exact"/>
        <w:ind w:firstLine="480"/>
        <w:rPr>
          <w:rFonts w:hint="default" w:ascii="Times New Roman" w:hAnsi="Times New Roman" w:cs="Times New Roman"/>
          <w:color w:val="000000" w:themeColor="text1"/>
          <w:sz w:val="24"/>
          <w:szCs w:val="28"/>
          <w:highlight w:val="none"/>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有用组分：对矿床磁铁矿石进行多元素分析及组合分析</w:t>
      </w:r>
      <w:r>
        <w:rPr>
          <w:rFonts w:hint="eastAsia" w:ascii="Times New Roman" w:hAnsi="Times New Roman" w:cs="Times New Roman"/>
          <w:color w:val="000000" w:themeColor="text1"/>
          <w:sz w:val="24"/>
          <w:szCs w:val="28"/>
          <w:highlight w:val="none"/>
          <w:lang w:eastAsia="zh-CN"/>
          <w14:textFill>
            <w14:solidFill>
              <w14:schemeClr w14:val="tx1"/>
            </w14:solidFill>
          </w14:textFill>
        </w:rPr>
        <w:t>，</w:t>
      </w:r>
      <w:r>
        <w:rPr>
          <w:rFonts w:hint="default" w:ascii="Times New Roman" w:hAnsi="Times New Roman" w:cs="Times New Roman"/>
          <w:color w:val="000000" w:themeColor="text1"/>
          <w:sz w:val="24"/>
          <w:szCs w:val="28"/>
          <w:highlight w:val="none"/>
          <w14:textFill>
            <w14:solidFill>
              <w14:schemeClr w14:val="tx1"/>
            </w14:solidFill>
          </w14:textFill>
        </w:rPr>
        <w:t>本矿床矿石主要有用组分为铁，其他各元素含量较低</w:t>
      </w:r>
      <w:r>
        <w:rPr>
          <w:rFonts w:hint="eastAsia" w:ascii="Times New Roman" w:hAnsi="Times New Roman" w:cs="Times New Roman"/>
          <w:color w:val="000000" w:themeColor="text1"/>
          <w:sz w:val="24"/>
          <w:szCs w:val="28"/>
          <w:highlight w:val="none"/>
          <w:lang w:eastAsia="zh-CN"/>
          <w14:textFill>
            <w14:solidFill>
              <w14:schemeClr w14:val="tx1"/>
            </w14:solidFill>
          </w14:textFill>
        </w:rPr>
        <w:t>，</w:t>
      </w:r>
      <w:r>
        <w:rPr>
          <w:rFonts w:hint="default" w:ascii="Times New Roman" w:hAnsi="Times New Roman" w:cs="Times New Roman"/>
          <w:color w:val="000000" w:themeColor="text1"/>
          <w:sz w:val="24"/>
          <w:szCs w:val="28"/>
          <w:highlight w:val="none"/>
          <w14:textFill>
            <w14:solidFill>
              <w14:schemeClr w14:val="tx1"/>
            </w14:solidFill>
          </w14:textFill>
        </w:rPr>
        <w:t>均未达到伴生组分的要求。Ⅰ-1号矿体矿石中主要有用组分TFe平均品位32.77×10</w:t>
      </w:r>
      <w:r>
        <w:rPr>
          <w:rFonts w:hint="default" w:ascii="Times New Roman" w:hAnsi="Times New Roman" w:cs="Times New Roman"/>
          <w:color w:val="000000" w:themeColor="text1"/>
          <w:sz w:val="24"/>
          <w:szCs w:val="28"/>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28"/>
          <w:highlight w:val="none"/>
          <w14:textFill>
            <w14:solidFill>
              <w14:schemeClr w14:val="tx1"/>
            </w14:solidFill>
          </w14:textFill>
        </w:rPr>
        <w:t>，mFe平均品位24.96×10</w:t>
      </w:r>
      <w:r>
        <w:rPr>
          <w:rFonts w:hint="default" w:ascii="Times New Roman" w:hAnsi="Times New Roman" w:cs="Times New Roman"/>
          <w:color w:val="000000" w:themeColor="text1"/>
          <w:sz w:val="24"/>
          <w:szCs w:val="28"/>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28"/>
          <w:highlight w:val="none"/>
          <w14:textFill>
            <w14:solidFill>
              <w14:schemeClr w14:val="tx1"/>
            </w14:solidFill>
          </w14:textFill>
        </w:rPr>
        <w:t>；Ⅲ号矿体矿石中主要有用组分TFe平均品位34.91×10</w:t>
      </w:r>
      <w:r>
        <w:rPr>
          <w:rFonts w:hint="default" w:ascii="Times New Roman" w:hAnsi="Times New Roman" w:cs="Times New Roman"/>
          <w:color w:val="000000" w:themeColor="text1"/>
          <w:sz w:val="24"/>
          <w:szCs w:val="28"/>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28"/>
          <w:highlight w:val="none"/>
          <w14:textFill>
            <w14:solidFill>
              <w14:schemeClr w14:val="tx1"/>
            </w14:solidFill>
          </w14:textFill>
        </w:rPr>
        <w:t>，mFe平均品位26.52×10</w:t>
      </w:r>
      <w:r>
        <w:rPr>
          <w:rFonts w:hint="default" w:ascii="Times New Roman" w:hAnsi="Times New Roman" w:cs="Times New Roman"/>
          <w:color w:val="000000" w:themeColor="text1"/>
          <w:sz w:val="24"/>
          <w:szCs w:val="28"/>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28"/>
          <w:highlight w:val="none"/>
          <w14:textFill>
            <w14:solidFill>
              <w14:schemeClr w14:val="tx1"/>
            </w14:solidFill>
          </w14:textFill>
        </w:rPr>
        <w:t>；Ⅰ-2号矿体矿石中主要有用组分TFe平均品位36.43×10</w:t>
      </w:r>
      <w:r>
        <w:rPr>
          <w:rFonts w:hint="default" w:ascii="Times New Roman" w:hAnsi="Times New Roman" w:cs="Times New Roman"/>
          <w:color w:val="000000" w:themeColor="text1"/>
          <w:sz w:val="24"/>
          <w:szCs w:val="28"/>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28"/>
          <w:highlight w:val="none"/>
          <w14:textFill>
            <w14:solidFill>
              <w14:schemeClr w14:val="tx1"/>
            </w14:solidFill>
          </w14:textFill>
        </w:rPr>
        <w:t>，mFe平均品位20.75×10</w:t>
      </w:r>
      <w:r>
        <w:rPr>
          <w:rFonts w:hint="default" w:ascii="Times New Roman" w:hAnsi="Times New Roman" w:cs="Times New Roman"/>
          <w:color w:val="000000" w:themeColor="text1"/>
          <w:sz w:val="24"/>
          <w:szCs w:val="28"/>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28"/>
          <w:highlight w:val="none"/>
          <w14:textFill>
            <w14:solidFill>
              <w14:schemeClr w14:val="tx1"/>
            </w14:solidFill>
          </w14:textFill>
        </w:rPr>
        <w:t>。</w:t>
      </w:r>
    </w:p>
    <w:p w14:paraId="550F4288">
      <w:pPr>
        <w:pStyle w:val="55"/>
        <w:overflowPunct w:val="0"/>
        <w:topLinePunct/>
        <w:snapToGrid w:val="0"/>
        <w:ind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有害组分：根据多元素样和组合样分析结果</w:t>
      </w:r>
      <w:r>
        <w:rPr>
          <w:rFonts w:hint="eastAsia" w:cs="Times New Roman"/>
          <w:color w:val="000000" w:themeColor="text1"/>
          <w:sz w:val="24"/>
          <w:szCs w:val="28"/>
          <w:highlight w:val="none"/>
          <w:lang w:eastAsia="zh-CN"/>
          <w14:textFill>
            <w14:solidFill>
              <w14:schemeClr w14:val="tx1"/>
            </w14:solidFill>
          </w14:textFill>
        </w:rPr>
        <w:t>，</w:t>
      </w:r>
      <w:r>
        <w:rPr>
          <w:rFonts w:hint="default" w:ascii="Times New Roman" w:hAnsi="Times New Roman" w:cs="Times New Roman"/>
          <w:color w:val="000000" w:themeColor="text1"/>
          <w:sz w:val="24"/>
          <w:szCs w:val="28"/>
          <w:highlight w:val="none"/>
          <w14:textFill>
            <w14:solidFill>
              <w14:schemeClr w14:val="tx1"/>
            </w14:solidFill>
          </w14:textFill>
        </w:rPr>
        <w:t>矿石主要有害组分的含量为：SiO</w:t>
      </w:r>
      <w:r>
        <w:rPr>
          <w:rFonts w:hint="default" w:ascii="Times New Roman" w:hAnsi="Times New Roman" w:cs="Times New Roman"/>
          <w:color w:val="000000" w:themeColor="text1"/>
          <w:sz w:val="24"/>
          <w:szCs w:val="28"/>
          <w:highlight w:val="none"/>
          <w:vertAlign w:val="subscript"/>
          <w14:textFill>
            <w14:solidFill>
              <w14:schemeClr w14:val="tx1"/>
            </w14:solidFill>
          </w14:textFill>
        </w:rPr>
        <w:t>2</w:t>
      </w:r>
      <w:r>
        <w:rPr>
          <w:rFonts w:hint="default" w:ascii="Times New Roman" w:hAnsi="Times New Roman" w:cs="Times New Roman"/>
          <w:color w:val="000000" w:themeColor="text1"/>
          <w:sz w:val="24"/>
          <w:szCs w:val="28"/>
          <w:highlight w:val="none"/>
          <w14:textFill>
            <w14:solidFill>
              <w14:schemeClr w14:val="tx1"/>
            </w14:solidFill>
          </w14:textFill>
        </w:rPr>
        <w:t>37.67～43.58%，平均含量40.63%；S0.021～0.19%，平均含量0.092%；P0.25～1.13%，平均含量0.70%。与炼铁用铁矿石的有害物质指标相比，SiO</w:t>
      </w:r>
      <w:r>
        <w:rPr>
          <w:rFonts w:hint="default" w:ascii="Times New Roman" w:hAnsi="Times New Roman" w:cs="Times New Roman"/>
          <w:color w:val="000000" w:themeColor="text1"/>
          <w:sz w:val="24"/>
          <w:szCs w:val="28"/>
          <w:highlight w:val="none"/>
          <w:vertAlign w:val="subscript"/>
          <w14:textFill>
            <w14:solidFill>
              <w14:schemeClr w14:val="tx1"/>
            </w14:solidFill>
          </w14:textFill>
        </w:rPr>
        <w:t>2</w:t>
      </w:r>
      <w:r>
        <w:rPr>
          <w:rFonts w:hint="default" w:ascii="Times New Roman" w:hAnsi="Times New Roman" w:cs="Times New Roman"/>
          <w:color w:val="000000" w:themeColor="text1"/>
          <w:sz w:val="24"/>
          <w:szCs w:val="28"/>
          <w:highlight w:val="none"/>
          <w14:textFill>
            <w14:solidFill>
              <w14:schemeClr w14:val="tx1"/>
            </w14:solidFill>
          </w14:textFill>
        </w:rPr>
        <w:t>高，S、P低，属高硅、低硫、低磷铁矿石。其他组分铜、铅、锌等含量极微，不影响矿石质量。</w:t>
      </w:r>
    </w:p>
    <w:p w14:paraId="19F54B4F">
      <w:pPr>
        <w:pStyle w:val="55"/>
        <w:overflowPunct w:val="0"/>
        <w:topLinePunct/>
        <w:snapToGrid w:val="0"/>
        <w:ind w:firstLine="480" w:firstLineChars="200"/>
        <w:rPr>
          <w:color w:val="000000" w:themeColor="text1"/>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根据物相分析结果，考虑矿石中硅酸铁、硫化铁、碳酸铁含量之和大于3%，按mFe/（TFe-siFe-sfFe-cFe）计算，矿石中磁性铁占有率在24.06</w:t>
      </w:r>
      <w:r>
        <w:rPr>
          <w:rFonts w:hint="eastAsia"/>
          <w:color w:val="000000" w:themeColor="text1"/>
          <w:sz w:val="24"/>
          <w:szCs w:val="28"/>
          <w:highlight w:val="none"/>
          <w:lang w:val="en-US" w:eastAsia="zh-CN"/>
          <w14:textFill>
            <w14:solidFill>
              <w14:schemeClr w14:val="tx1"/>
            </w14:solidFill>
          </w14:textFill>
        </w:rPr>
        <w:t>%</w:t>
      </w:r>
      <w:r>
        <w:rPr>
          <w:rFonts w:hint="eastAsia"/>
          <w:color w:val="000000" w:themeColor="text1"/>
          <w:sz w:val="24"/>
          <w:szCs w:val="28"/>
          <w:highlight w:val="none"/>
          <w14:textFill>
            <w14:solidFill>
              <w14:schemeClr w14:val="tx1"/>
            </w14:solidFill>
          </w14:textFill>
        </w:rPr>
        <w:t>～53.52%之间，平均为40.22%</w:t>
      </w:r>
      <w:r>
        <w:rPr>
          <w:rFonts w:hint="eastAsia"/>
          <w:color w:val="000000" w:themeColor="text1"/>
          <w:sz w:val="24"/>
          <w:szCs w:val="28"/>
          <w:highlight w:val="none"/>
          <w:lang w:eastAsia="zh-CN"/>
          <w14:textFill>
            <w14:solidFill>
              <w14:schemeClr w14:val="tx1"/>
            </w14:solidFill>
          </w14:textFill>
        </w:rPr>
        <w:t>，</w:t>
      </w:r>
      <w:r>
        <w:rPr>
          <w:rFonts w:hint="eastAsia"/>
          <w:color w:val="000000" w:themeColor="text1"/>
          <w:sz w:val="24"/>
          <w:szCs w:val="28"/>
          <w:highlight w:val="none"/>
          <w14:textFill>
            <w14:solidFill>
              <w14:schemeClr w14:val="tx1"/>
            </w14:solidFill>
          </w14:textFill>
        </w:rPr>
        <w:t>为弱磁性铁矿石。矿床TFe平均品位32.19%，小于50%，同时有害组分SiO</w:t>
      </w:r>
      <w:r>
        <w:rPr>
          <w:rFonts w:hint="eastAsia"/>
          <w:color w:val="000000" w:themeColor="text1"/>
          <w:sz w:val="24"/>
          <w:szCs w:val="28"/>
          <w:highlight w:val="none"/>
          <w:vertAlign w:val="subscript"/>
          <w14:textFill>
            <w14:solidFill>
              <w14:schemeClr w14:val="tx1"/>
            </w14:solidFill>
          </w14:textFill>
        </w:rPr>
        <w:t>2</w:t>
      </w:r>
      <w:r>
        <w:rPr>
          <w:rFonts w:hint="eastAsia"/>
          <w:color w:val="000000" w:themeColor="text1"/>
          <w:sz w:val="24"/>
          <w:szCs w:val="28"/>
          <w:highlight w:val="none"/>
          <w14:textFill>
            <w14:solidFill>
              <w14:schemeClr w14:val="tx1"/>
            </w14:solidFill>
          </w14:textFill>
        </w:rPr>
        <w:t>含量较高、S、P含量低。</w:t>
      </w:r>
    </w:p>
    <w:p w14:paraId="0A0CE4C1">
      <w:pPr>
        <w:pStyle w:val="4"/>
        <w:rPr>
          <w:color w:val="000000" w:themeColor="text1"/>
          <w:highlight w:val="none"/>
          <w14:textFill>
            <w14:solidFill>
              <w14:schemeClr w14:val="tx1"/>
            </w14:solidFill>
          </w14:textFill>
        </w:rPr>
      </w:pPr>
      <w:bookmarkStart w:id="427" w:name="_Toc10631"/>
      <w:bookmarkStart w:id="428" w:name="_Toc2471"/>
      <w:bookmarkStart w:id="429" w:name="_Toc2301"/>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3建设内容</w:t>
      </w:r>
      <w:bookmarkEnd w:id="427"/>
      <w:bookmarkEnd w:id="428"/>
      <w:bookmarkEnd w:id="429"/>
    </w:p>
    <w:p w14:paraId="4FEB94FC">
      <w:pPr>
        <w:pStyle w:val="55"/>
        <w:overflowPunct w:val="0"/>
        <w:topLinePunct/>
        <w:snapToGrid w:val="0"/>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选矿厂原矿处理能力为</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0万t/a。建设内容包括</w:t>
      </w:r>
      <w:r>
        <w:rPr>
          <w:rFonts w:hint="eastAsia"/>
          <w:color w:val="000000" w:themeColor="text1"/>
          <w:highlight w:val="none"/>
          <w:lang w:val="en-US" w:eastAsia="zh-CN"/>
          <w14:textFill>
            <w14:solidFill>
              <w14:schemeClr w14:val="tx1"/>
            </w14:solidFill>
          </w14:textFill>
        </w:rPr>
        <w:t>新建</w:t>
      </w:r>
      <w:r>
        <w:rPr>
          <w:rFonts w:hint="eastAsia"/>
          <w:color w:val="000000" w:themeColor="text1"/>
          <w:highlight w:val="none"/>
          <w14:textFill>
            <w14:solidFill>
              <w14:schemeClr w14:val="tx1"/>
            </w14:solidFill>
          </w14:textFill>
        </w:rPr>
        <w:t>选矿厂</w:t>
      </w:r>
      <w:r>
        <w:rPr>
          <w:rFonts w:hint="eastAsia"/>
          <w:color w:val="000000" w:themeColor="text1"/>
          <w:highlight w:val="none"/>
          <w:lang w:eastAsia="zh-CN"/>
          <w14:textFill>
            <w14:solidFill>
              <w14:schemeClr w14:val="tx1"/>
            </w14:solidFill>
          </w14:textFill>
        </w:rPr>
        <w:t>生产车间、新建</w:t>
      </w:r>
      <w:r>
        <w:rPr>
          <w:rFonts w:hint="eastAsia"/>
          <w:color w:val="000000" w:themeColor="text1"/>
          <w:highlight w:val="none"/>
          <w:lang w:val="en-US" w:eastAsia="zh-CN"/>
          <w14:textFill>
            <w14:solidFill>
              <w14:schemeClr w14:val="tx1"/>
            </w14:solidFill>
          </w14:textFill>
        </w:rPr>
        <w:t>破碎筛分系统、</w:t>
      </w:r>
      <w:r>
        <w:rPr>
          <w:rFonts w:hint="eastAsia"/>
          <w:color w:val="000000" w:themeColor="text1"/>
          <w:highlight w:val="none"/>
          <w:lang w:eastAsia="zh-CN"/>
          <w14:textFill>
            <w14:solidFill>
              <w14:schemeClr w14:val="tx1"/>
            </w14:solidFill>
          </w14:textFill>
        </w:rPr>
        <w:t>新建干排车间</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新建尾矿库</w:t>
      </w:r>
      <w:r>
        <w:rPr>
          <w:rFonts w:hint="eastAsia"/>
          <w:color w:val="000000" w:themeColor="text1"/>
          <w:highlight w:val="none"/>
          <w14:textFill>
            <w14:solidFill>
              <w14:schemeClr w14:val="tx1"/>
            </w14:solidFill>
          </w14:textFill>
        </w:rPr>
        <w:t>及尾矿输送系统，</w:t>
      </w:r>
      <w:r>
        <w:rPr>
          <w:rFonts w:hint="eastAsia"/>
          <w:color w:val="000000" w:themeColor="text1"/>
          <w:szCs w:val="28"/>
          <w:highlight w:val="none"/>
          <w14:textFill>
            <w14:solidFill>
              <w14:schemeClr w14:val="tx1"/>
            </w14:solidFill>
          </w14:textFill>
        </w:rPr>
        <w:t>在充分利用现有设施的基础上</w:t>
      </w:r>
      <w:r>
        <w:rPr>
          <w:rFonts w:hint="eastAsia"/>
          <w:color w:val="000000" w:themeColor="text1"/>
          <w:highlight w:val="none"/>
          <w14:textFill>
            <w14:solidFill>
              <w14:schemeClr w14:val="tx1"/>
            </w14:solidFill>
          </w14:textFill>
        </w:rPr>
        <w:t>配套给水、排水、供热、供电、道路及环保设施等。</w:t>
      </w:r>
    </w:p>
    <w:p w14:paraId="3D707315">
      <w:pPr>
        <w:pStyle w:val="55"/>
        <w:overflowPunct w:val="0"/>
        <w:topLinePunct/>
        <w:snapToGrid w:val="0"/>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新建</w:t>
      </w:r>
      <w:r>
        <w:rPr>
          <w:rFonts w:hint="eastAsia"/>
          <w:color w:val="000000" w:themeColor="text1"/>
          <w:highlight w:val="none"/>
          <w14:textFill>
            <w14:solidFill>
              <w14:schemeClr w14:val="tx1"/>
            </w14:solidFill>
          </w14:textFill>
        </w:rPr>
        <w:t>的</w:t>
      </w:r>
      <w:r>
        <w:rPr>
          <w:color w:val="000000" w:themeColor="text1"/>
          <w:highlight w:val="none"/>
          <w14:textFill>
            <w14:solidFill>
              <w14:schemeClr w14:val="tx1"/>
            </w14:solidFill>
          </w14:textFill>
        </w:rPr>
        <w:t>尾矿库</w:t>
      </w:r>
      <w:r>
        <w:rPr>
          <w:color w:val="000000" w:themeColor="text1"/>
          <w:szCs w:val="28"/>
          <w:highlight w:val="none"/>
          <w14:textFill>
            <w14:solidFill>
              <w14:schemeClr w14:val="tx1"/>
            </w14:solidFill>
          </w14:textFill>
        </w:rPr>
        <w:t>最终堆积标高</w:t>
      </w:r>
      <w:r>
        <w:rPr>
          <w:rFonts w:hint="eastAsia"/>
          <w:color w:val="000000" w:themeColor="text1"/>
          <w:szCs w:val="28"/>
          <w:highlight w:val="none"/>
          <w:lang w:val="en-US" w:eastAsia="zh-CN"/>
          <w14:textFill>
            <w14:solidFill>
              <w14:schemeClr w14:val="tx1"/>
            </w14:solidFill>
          </w14:textFill>
        </w:rPr>
        <w:t>1264.0</w:t>
      </w:r>
      <w:r>
        <w:rPr>
          <w:color w:val="000000" w:themeColor="text1"/>
          <w:szCs w:val="28"/>
          <w:highlight w:val="none"/>
          <w14:textFill>
            <w14:solidFill>
              <w14:schemeClr w14:val="tx1"/>
            </w14:solidFill>
          </w14:textFill>
        </w:rPr>
        <w:t>m，尾矿堆积坝总高度为</w:t>
      </w:r>
      <w:r>
        <w:rPr>
          <w:rFonts w:hint="eastAsia"/>
          <w:color w:val="000000" w:themeColor="text1"/>
          <w:szCs w:val="28"/>
          <w:highlight w:val="none"/>
          <w:lang w:val="en-US" w:eastAsia="zh-CN"/>
          <w14:textFill>
            <w14:solidFill>
              <w14:schemeClr w14:val="tx1"/>
            </w14:solidFill>
          </w14:textFill>
        </w:rPr>
        <w:t>30</w:t>
      </w:r>
      <w:r>
        <w:rPr>
          <w:color w:val="000000" w:themeColor="text1"/>
          <w:szCs w:val="28"/>
          <w:highlight w:val="none"/>
          <w14:textFill>
            <w14:solidFill>
              <w14:schemeClr w14:val="tx1"/>
            </w14:solidFill>
          </w14:textFill>
        </w:rPr>
        <w:t>m，总库容</w:t>
      </w:r>
      <w:r>
        <w:rPr>
          <w:rFonts w:hint="eastAsia"/>
          <w:color w:val="000000" w:themeColor="text1"/>
          <w:szCs w:val="28"/>
          <w:highlight w:val="none"/>
          <w:lang w:val="en-US" w:eastAsia="zh-CN"/>
          <w14:textFill>
            <w14:solidFill>
              <w14:schemeClr w14:val="tx1"/>
            </w14:solidFill>
          </w14:textFill>
        </w:rPr>
        <w:t>527.55</w:t>
      </w:r>
      <w:r>
        <w:rPr>
          <w:color w:val="000000" w:themeColor="text1"/>
          <w:szCs w:val="28"/>
          <w:highlight w:val="none"/>
          <w14:textFill>
            <w14:solidFill>
              <w14:schemeClr w14:val="tx1"/>
            </w14:solidFill>
          </w14:textFill>
        </w:rPr>
        <w:t>万m</w:t>
      </w:r>
      <w:r>
        <w:rPr>
          <w:color w:val="000000" w:themeColor="text1"/>
          <w:szCs w:val="28"/>
          <w:highlight w:val="none"/>
          <w:vertAlign w:val="superscript"/>
          <w14:textFill>
            <w14:solidFill>
              <w14:schemeClr w14:val="tx1"/>
            </w14:solidFill>
          </w14:textFill>
        </w:rPr>
        <w:t>3</w:t>
      </w:r>
      <w:r>
        <w:rPr>
          <w:color w:val="000000" w:themeColor="text1"/>
          <w:szCs w:val="28"/>
          <w:highlight w:val="none"/>
          <w14:textFill>
            <w14:solidFill>
              <w14:schemeClr w14:val="tx1"/>
            </w14:solidFill>
          </w14:textFill>
        </w:rPr>
        <w:t>，总有效库容约为</w:t>
      </w:r>
      <w:r>
        <w:rPr>
          <w:rFonts w:hint="eastAsia"/>
          <w:color w:val="000000" w:themeColor="text1"/>
          <w:szCs w:val="28"/>
          <w:highlight w:val="none"/>
          <w:lang w:val="en-US" w:eastAsia="zh-CN"/>
          <w14:textFill>
            <w14:solidFill>
              <w14:schemeClr w14:val="tx1"/>
            </w14:solidFill>
          </w14:textFill>
        </w:rPr>
        <w:t>501.17</w:t>
      </w:r>
      <w:r>
        <w:rPr>
          <w:color w:val="000000" w:themeColor="text1"/>
          <w:szCs w:val="28"/>
          <w:highlight w:val="none"/>
          <w14:textFill>
            <w14:solidFill>
              <w14:schemeClr w14:val="tx1"/>
            </w14:solidFill>
          </w14:textFill>
        </w:rPr>
        <w:t>万m</w:t>
      </w:r>
      <w:r>
        <w:rPr>
          <w:color w:val="000000" w:themeColor="text1"/>
          <w:szCs w:val="28"/>
          <w:highlight w:val="none"/>
          <w:vertAlign w:val="superscript"/>
          <w14:textFill>
            <w14:solidFill>
              <w14:schemeClr w14:val="tx1"/>
            </w14:solidFill>
          </w14:textFill>
        </w:rPr>
        <w:t>3</w:t>
      </w:r>
      <w:r>
        <w:rPr>
          <w:color w:val="000000" w:themeColor="text1"/>
          <w:szCs w:val="28"/>
          <w:highlight w:val="none"/>
          <w14:textFill>
            <w14:solidFill>
              <w14:schemeClr w14:val="tx1"/>
            </w14:solidFill>
          </w14:textFill>
        </w:rPr>
        <w:t>，尾矿库等别为</w:t>
      </w:r>
      <w:r>
        <w:rPr>
          <w:rFonts w:hint="eastAsia"/>
          <w:color w:val="000000" w:themeColor="text1"/>
          <w:szCs w:val="28"/>
          <w:highlight w:val="none"/>
          <w:lang w:eastAsia="zh-CN"/>
          <w14:textFill>
            <w14:solidFill>
              <w14:schemeClr w14:val="tx1"/>
            </w14:solidFill>
          </w14:textFill>
        </w:rPr>
        <w:t>四</w:t>
      </w:r>
      <w:r>
        <w:rPr>
          <w:color w:val="000000" w:themeColor="text1"/>
          <w:szCs w:val="28"/>
          <w:highlight w:val="none"/>
          <w14:textFill>
            <w14:solidFill>
              <w14:schemeClr w14:val="tx1"/>
            </w14:solidFill>
          </w14:textFill>
        </w:rPr>
        <w:t>等，尾矿库可服务约</w:t>
      </w:r>
      <w:r>
        <w:rPr>
          <w:rFonts w:hint="eastAsia"/>
          <w:color w:val="000000" w:themeColor="text1"/>
          <w:szCs w:val="28"/>
          <w:highlight w:val="none"/>
          <w:lang w:val="en-US" w:eastAsia="zh-CN"/>
          <w14:textFill>
            <w14:solidFill>
              <w14:schemeClr w14:val="tx1"/>
            </w14:solidFill>
          </w14:textFill>
        </w:rPr>
        <w:t>19</w:t>
      </w:r>
      <w:r>
        <w:rPr>
          <w:color w:val="000000" w:themeColor="text1"/>
          <w:szCs w:val="28"/>
          <w:highlight w:val="none"/>
          <w14:textFill>
            <w14:solidFill>
              <w14:schemeClr w14:val="tx1"/>
            </w14:solidFill>
          </w14:textFill>
        </w:rPr>
        <w:t>年。</w:t>
      </w:r>
    </w:p>
    <w:p w14:paraId="1B9D1788">
      <w:pPr>
        <w:pStyle w:val="56"/>
        <w:overflowPunct w:val="0"/>
        <w:topLinePunct/>
        <w:spacing w:line="480" w:lineRule="exact"/>
        <w:ind w:firstLine="480"/>
        <w:rPr>
          <w:rFonts w:hint="eastAsia" w:cs="Times New Roman"/>
          <w:color w:val="000000" w:themeColor="text1"/>
          <w:sz w:val="24"/>
          <w:highlight w:val="none"/>
          <w14:textFill>
            <w14:solidFill>
              <w14:schemeClr w14:val="tx1"/>
            </w14:solidFill>
          </w14:textFill>
        </w:rPr>
        <w:sectPr>
          <w:headerReference r:id="rId18" w:type="default"/>
          <w:footerReference r:id="rId20" w:type="default"/>
          <w:headerReference r:id="rId19" w:type="even"/>
          <w:footerReference r:id="rId21" w:type="even"/>
          <w:pgSz w:w="11906" w:h="16838"/>
          <w:pgMar w:top="1440" w:right="1803" w:bottom="1440" w:left="1803" w:header="850" w:footer="1134" w:gutter="0"/>
          <w:pgBorders>
            <w:top w:val="none" w:sz="0" w:space="0"/>
            <w:left w:val="none" w:sz="0" w:space="0"/>
            <w:bottom w:val="none" w:sz="0" w:space="0"/>
            <w:right w:val="none" w:sz="0" w:space="0"/>
          </w:pgBorders>
          <w:pgNumType w:fmt="decimal"/>
          <w:cols w:space="720" w:num="1"/>
          <w:docGrid w:linePitch="312" w:charSpace="0"/>
        </w:sectPr>
      </w:pPr>
      <w:r>
        <w:rPr>
          <w:rFonts w:hint="eastAsia" w:cs="Times New Roman"/>
          <w:color w:val="000000" w:themeColor="text1"/>
          <w:sz w:val="24"/>
          <w:highlight w:val="none"/>
          <w14:textFill>
            <w14:solidFill>
              <w14:schemeClr w14:val="tx1"/>
            </w14:solidFill>
          </w14:textFill>
        </w:rPr>
        <w:t>本项目组成情况见表3.2-</w:t>
      </w:r>
      <w:r>
        <w:rPr>
          <w:rFonts w:hint="eastAsia" w:cs="Times New Roman"/>
          <w:color w:val="000000" w:themeColor="text1"/>
          <w:sz w:val="24"/>
          <w:highlight w:val="none"/>
          <w:lang w:val="en-US" w:eastAsia="zh-CN"/>
          <w14:textFill>
            <w14:solidFill>
              <w14:schemeClr w14:val="tx1"/>
            </w14:solidFill>
          </w14:textFill>
        </w:rPr>
        <w:t>2</w:t>
      </w:r>
      <w:r>
        <w:rPr>
          <w:rFonts w:hint="eastAsia" w:cs="Times New Roman"/>
          <w:color w:val="000000" w:themeColor="text1"/>
          <w:sz w:val="24"/>
          <w:highlight w:val="none"/>
          <w14:textFill>
            <w14:solidFill>
              <w14:schemeClr w14:val="tx1"/>
            </w14:solidFill>
          </w14:textFill>
        </w:rPr>
        <w:t>。</w:t>
      </w:r>
    </w:p>
    <w:p w14:paraId="55C7C5D7">
      <w:pPr>
        <w:pStyle w:val="41"/>
        <w:spacing w:line="480" w:lineRule="exact"/>
        <w:ind w:firstLine="0" w:firstLineChars="0"/>
        <w:jc w:val="center"/>
        <w:rPr>
          <w:rFonts w:cs="Times New Roman"/>
          <w:b/>
          <w:bCs/>
          <w:color w:val="000000" w:themeColor="text1"/>
          <w:szCs w:val="24"/>
          <w:highlight w:val="none"/>
          <w14:textFill>
            <w14:solidFill>
              <w14:schemeClr w14:val="tx1"/>
            </w14:solidFill>
          </w14:textFill>
        </w:rPr>
      </w:pPr>
      <w:r>
        <w:rPr>
          <w:rFonts w:cs="Times New Roman"/>
          <w:b/>
          <w:bCs/>
          <w:color w:val="000000" w:themeColor="text1"/>
          <w:szCs w:val="24"/>
          <w:highlight w:val="none"/>
          <w14:textFill>
            <w14:solidFill>
              <w14:schemeClr w14:val="tx1"/>
            </w14:solidFill>
          </w14:textFill>
        </w:rPr>
        <w:t>表3.2-</w:t>
      </w:r>
      <w:r>
        <w:rPr>
          <w:rFonts w:hint="eastAsia" w:cs="Times New Roman"/>
          <w:b/>
          <w:bCs/>
          <w:color w:val="000000" w:themeColor="text1"/>
          <w:szCs w:val="24"/>
          <w:highlight w:val="none"/>
          <w:lang w:val="en-US" w:eastAsia="zh-CN"/>
          <w14:textFill>
            <w14:solidFill>
              <w14:schemeClr w14:val="tx1"/>
            </w14:solidFill>
          </w14:textFill>
        </w:rPr>
        <w:t>2</w:t>
      </w:r>
      <w:r>
        <w:rPr>
          <w:rFonts w:cs="Times New Roman"/>
          <w:b/>
          <w:bCs/>
          <w:color w:val="000000" w:themeColor="text1"/>
          <w:szCs w:val="24"/>
          <w:highlight w:val="none"/>
          <w14:textFill>
            <w14:solidFill>
              <w14:schemeClr w14:val="tx1"/>
            </w14:solidFill>
          </w14:textFill>
        </w:rPr>
        <w:t xml:space="preserve">    </w:t>
      </w:r>
      <w:r>
        <w:rPr>
          <w:rFonts w:hint="eastAsia" w:cs="Times New Roman"/>
          <w:b/>
          <w:bCs/>
          <w:color w:val="000000" w:themeColor="text1"/>
          <w:szCs w:val="24"/>
          <w:highlight w:val="none"/>
          <w14:textFill>
            <w14:solidFill>
              <w14:schemeClr w14:val="tx1"/>
            </w14:solidFill>
          </w14:textFill>
        </w:rPr>
        <w:t>本项目组成一览表</w:t>
      </w:r>
    </w:p>
    <w:tbl>
      <w:tblPr>
        <w:tblStyle w:val="32"/>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802"/>
        <w:gridCol w:w="776"/>
        <w:gridCol w:w="4798"/>
        <w:gridCol w:w="5951"/>
        <w:gridCol w:w="1145"/>
      </w:tblGrid>
      <w:tr w14:paraId="5FE7F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801" w:type="pct"/>
            <w:gridSpan w:val="3"/>
            <w:tcBorders>
              <w:tl2br w:val="nil"/>
              <w:tr2bl w:val="nil"/>
            </w:tcBorders>
            <w:vAlign w:val="center"/>
          </w:tcPr>
          <w:p w14:paraId="61FF8C10">
            <w:pPr>
              <w:pStyle w:val="14"/>
              <w:keepNext w:val="0"/>
              <w:keepLines w:val="0"/>
              <w:pageBreakBefore w:val="0"/>
              <w:widowControl w:val="0"/>
              <w:kinsoku/>
              <w:wordWrap/>
              <w:autoSpaceDE/>
              <w:autoSpaceDN/>
              <w:bidi w:val="0"/>
              <w:adjustRightInd w:val="0"/>
              <w:snapToGrid w:val="0"/>
              <w:spacing w:line="360" w:lineRule="exact"/>
              <w:ind w:firstLine="0" w:firstLineChars="0"/>
              <w:jc w:val="center"/>
              <w:textAlignment w:val="auto"/>
              <w:rPr>
                <w:rFonts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单元名称</w:t>
            </w:r>
          </w:p>
        </w:tc>
        <w:tc>
          <w:tcPr>
            <w:tcW w:w="1693" w:type="pct"/>
            <w:tcBorders>
              <w:tl2br w:val="nil"/>
              <w:tr2bl w:val="nil"/>
            </w:tcBorders>
            <w:vAlign w:val="center"/>
          </w:tcPr>
          <w:p w14:paraId="70950806">
            <w:pPr>
              <w:pStyle w:val="14"/>
              <w:keepNext w:val="0"/>
              <w:keepLines w:val="0"/>
              <w:pageBreakBefore w:val="0"/>
              <w:widowControl w:val="0"/>
              <w:kinsoku/>
              <w:wordWrap/>
              <w:autoSpaceDE/>
              <w:autoSpaceDN/>
              <w:bidi w:val="0"/>
              <w:adjustRightInd w:val="0"/>
              <w:snapToGrid w:val="0"/>
              <w:spacing w:line="360" w:lineRule="exact"/>
              <w:ind w:firstLine="0" w:firstLineChars="0"/>
              <w:jc w:val="center"/>
              <w:textAlignment w:val="auto"/>
              <w:rPr>
                <w:rFonts w:ascii="Times New Roman" w:hAnsi="Times New Roman" w:cs="Times New Roman"/>
                <w:b/>
                <w:bCs/>
                <w:color w:val="000000" w:themeColor="text1"/>
                <w:sz w:val="21"/>
                <w:highlight w:val="none"/>
                <w14:textFill>
                  <w14:solidFill>
                    <w14:schemeClr w14:val="tx1"/>
                  </w14:solidFill>
                </w14:textFill>
              </w:rPr>
            </w:pPr>
            <w:r>
              <w:rPr>
                <w:rFonts w:hint="eastAsia" w:ascii="Times New Roman" w:hAnsi="Times New Roman" w:cs="Times New Roman"/>
                <w:b/>
                <w:bCs/>
                <w:color w:val="000000" w:themeColor="text1"/>
                <w:sz w:val="21"/>
                <w:highlight w:val="none"/>
                <w:lang w:val="en-US" w:eastAsia="zh-CN"/>
                <w14:textFill>
                  <w14:solidFill>
                    <w14:schemeClr w14:val="tx1"/>
                  </w14:solidFill>
                </w14:textFill>
              </w:rPr>
              <w:t>原环评</w:t>
            </w:r>
            <w:r>
              <w:rPr>
                <w:rFonts w:hint="eastAsia" w:ascii="Times New Roman" w:hAnsi="Times New Roman" w:cs="Times New Roman"/>
                <w:b/>
                <w:bCs/>
                <w:color w:val="000000" w:themeColor="text1"/>
                <w:sz w:val="21"/>
                <w:highlight w:val="none"/>
                <w14:textFill>
                  <w14:solidFill>
                    <w14:schemeClr w14:val="tx1"/>
                  </w14:solidFill>
                </w14:textFill>
              </w:rPr>
              <w:t>建设内容</w:t>
            </w:r>
          </w:p>
        </w:tc>
        <w:tc>
          <w:tcPr>
            <w:tcW w:w="2100" w:type="pct"/>
            <w:tcBorders>
              <w:tl2br w:val="nil"/>
              <w:tr2bl w:val="nil"/>
            </w:tcBorders>
            <w:vAlign w:val="center"/>
          </w:tcPr>
          <w:p w14:paraId="622DF1CF">
            <w:pPr>
              <w:pStyle w:val="14"/>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b/>
                <w:bCs/>
                <w:color w:val="000000" w:themeColor="text1"/>
                <w:sz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highlight w:val="none"/>
                <w:lang w:val="en-US" w:eastAsia="zh-CN"/>
                <w14:textFill>
                  <w14:solidFill>
                    <w14:schemeClr w14:val="tx1"/>
                  </w14:solidFill>
                </w14:textFill>
              </w:rPr>
              <w:t>变更后本项目建设内容</w:t>
            </w:r>
          </w:p>
        </w:tc>
        <w:tc>
          <w:tcPr>
            <w:tcW w:w="404" w:type="pct"/>
            <w:tcBorders>
              <w:tl2br w:val="nil"/>
              <w:tr2bl w:val="nil"/>
            </w:tcBorders>
            <w:vAlign w:val="center"/>
          </w:tcPr>
          <w:p w14:paraId="755F84B2">
            <w:pPr>
              <w:pStyle w:val="14"/>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auto"/>
              <w:rPr>
                <w:rFonts w:ascii="Times New Roman" w:hAnsi="Times New Roman" w:cs="Times New Roman"/>
                <w:b/>
                <w:bCs/>
                <w:color w:val="000000" w:themeColor="text1"/>
                <w:sz w:val="21"/>
                <w:highlight w:val="none"/>
                <w14:textFill>
                  <w14:solidFill>
                    <w14:schemeClr w14:val="tx1"/>
                  </w14:solidFill>
                </w14:textFill>
              </w:rPr>
            </w:pPr>
            <w:r>
              <w:rPr>
                <w:rFonts w:hint="eastAsia" w:ascii="Times New Roman" w:hAnsi="Times New Roman" w:cs="Times New Roman"/>
                <w:b/>
                <w:bCs/>
                <w:color w:val="000000" w:themeColor="text1"/>
                <w:sz w:val="21"/>
                <w:highlight w:val="none"/>
                <w14:textFill>
                  <w14:solidFill>
                    <w14:schemeClr w14:val="tx1"/>
                  </w14:solidFill>
                </w14:textFill>
              </w:rPr>
              <w:t>备注</w:t>
            </w:r>
          </w:p>
        </w:tc>
      </w:tr>
      <w:tr w14:paraId="3ED6F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restart"/>
            <w:tcBorders>
              <w:tl2br w:val="nil"/>
              <w:tr2bl w:val="nil"/>
            </w:tcBorders>
            <w:vAlign w:val="center"/>
          </w:tcPr>
          <w:p w14:paraId="26DF7097">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主体工程</w:t>
            </w:r>
          </w:p>
        </w:tc>
        <w:tc>
          <w:tcPr>
            <w:tcW w:w="556" w:type="pct"/>
            <w:gridSpan w:val="2"/>
            <w:vMerge w:val="restart"/>
            <w:tcBorders>
              <w:tl2br w:val="nil"/>
              <w:tr2bl w:val="nil"/>
            </w:tcBorders>
            <w:vAlign w:val="center"/>
          </w:tcPr>
          <w:p w14:paraId="2DAEEB59">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选矿厂</w:t>
            </w:r>
          </w:p>
        </w:tc>
        <w:tc>
          <w:tcPr>
            <w:tcW w:w="1693" w:type="pct"/>
            <w:vMerge w:val="restart"/>
            <w:tcBorders>
              <w:tl2br w:val="nil"/>
              <w:tr2bl w:val="nil"/>
            </w:tcBorders>
            <w:vAlign w:val="center"/>
          </w:tcPr>
          <w:p w14:paraId="1BD17C9A">
            <w:pPr>
              <w:pStyle w:val="14"/>
              <w:keepNext w:val="0"/>
              <w:keepLines w:val="0"/>
              <w:pageBreakBefore w:val="0"/>
              <w:widowControl w:val="0"/>
              <w:kinsoku/>
              <w:wordWrap/>
              <w:overflowPunct w:val="0"/>
              <w:autoSpaceDE/>
              <w:autoSpaceDN/>
              <w:bidi w:val="0"/>
              <w:adjustRightInd/>
              <w:snapToGrid w:val="0"/>
              <w:spacing w:line="360" w:lineRule="exact"/>
              <w:ind w:firstLine="0" w:firstLineChars="0"/>
              <w:jc w:val="both"/>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新建主厂房（磨矿车间、磁选车间）、原料场地、精矿沉淀池、精矿堆场、生产生活辅助设施。建设3套生产系统，日处理能力分别为400t、1000t、1000t。选矿厂由破碎工段（原矿仓、粗破碎工段、筛分细破碎工段及转运站组成）、粉矿仓、磨矿选矿工段、脱水工段（铁精矿沉淀池）、尾矿输送管线、尾矿库等部分组成。</w:t>
            </w:r>
          </w:p>
        </w:tc>
        <w:tc>
          <w:tcPr>
            <w:tcW w:w="2100" w:type="pct"/>
            <w:tcBorders>
              <w:tl2br w:val="nil"/>
              <w:tr2bl w:val="nil"/>
            </w:tcBorders>
            <w:vAlign w:val="center"/>
          </w:tcPr>
          <w:p w14:paraId="3BCDBB2B">
            <w:pPr>
              <w:pStyle w:val="14"/>
              <w:keepNext w:val="0"/>
              <w:keepLines w:val="0"/>
              <w:pageBreakBefore w:val="0"/>
              <w:widowControl w:val="0"/>
              <w:kinsoku/>
              <w:wordWrap/>
              <w:overflowPunct w:val="0"/>
              <w:autoSpaceDE/>
              <w:autoSpaceDN/>
              <w:bidi w:val="0"/>
              <w:adjustRightInd/>
              <w:snapToGrid w:val="0"/>
              <w:spacing w:line="360" w:lineRule="exact"/>
              <w:ind w:firstLine="0" w:firstLineChars="0"/>
              <w:jc w:val="both"/>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（1）</w:t>
            </w:r>
            <w:r>
              <w:rPr>
                <w:rFonts w:hint="eastAsia" w:ascii="Times New Roman" w:hAnsi="Times New Roman" w:cs="Times New Roman"/>
                <w:color w:val="000000" w:themeColor="text1"/>
                <w:sz w:val="21"/>
                <w:highlight w:val="none"/>
                <w:lang w:eastAsia="zh-CN"/>
                <w14:textFill>
                  <w14:solidFill>
                    <w14:schemeClr w14:val="tx1"/>
                  </w14:solidFill>
                </w14:textFill>
              </w:rPr>
              <w:t>新增高压辊磨系统，设置高压辊磨机，新增粗粒磁选机及旋流器</w:t>
            </w:r>
            <w:r>
              <w:rPr>
                <w:rFonts w:hint="eastAsia" w:ascii="Times New Roman" w:hAnsi="Times New Roman" w:cs="Times New Roman"/>
                <w:color w:val="000000" w:themeColor="text1"/>
                <w:sz w:val="21"/>
                <w:highlight w:val="none"/>
                <w14:textFill>
                  <w14:solidFill>
                    <w14:schemeClr w14:val="tx1"/>
                  </w14:solidFill>
                </w14:textFill>
              </w:rPr>
              <w:t>。</w:t>
            </w:r>
          </w:p>
          <w:p w14:paraId="052F9ACF">
            <w:pPr>
              <w:pStyle w:val="14"/>
              <w:keepNext w:val="0"/>
              <w:keepLines w:val="0"/>
              <w:pageBreakBefore w:val="0"/>
              <w:widowControl w:val="0"/>
              <w:kinsoku/>
              <w:wordWrap/>
              <w:overflowPunct w:val="0"/>
              <w:autoSpaceDE/>
              <w:autoSpaceDN/>
              <w:bidi w:val="0"/>
              <w:adjustRightInd/>
              <w:snapToGrid w:val="0"/>
              <w:spacing w:line="360" w:lineRule="exact"/>
              <w:ind w:firstLine="0" w:firstLineChars="0"/>
              <w:jc w:val="both"/>
              <w:textAlignment w:val="auto"/>
              <w:rPr>
                <w:rFonts w:hint="eastAsia" w:ascii="Times New Roman" w:hAnsi="Times New Roman" w:eastAsia="宋体" w:cs="Times New Roman"/>
                <w:color w:val="000000" w:themeColor="text1"/>
                <w:sz w:val="21"/>
                <w:highlight w:val="none"/>
                <w:lang w:eastAsia="zh-CN"/>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（2）</w:t>
            </w:r>
            <w:r>
              <w:rPr>
                <w:rFonts w:hint="eastAsia" w:ascii="Times New Roman" w:hAnsi="Times New Roman" w:cs="Times New Roman"/>
                <w:color w:val="000000" w:themeColor="text1"/>
                <w:sz w:val="21"/>
                <w:highlight w:val="none"/>
                <w:lang w:val="en-US" w:eastAsia="zh-CN"/>
                <w14:textFill>
                  <w14:solidFill>
                    <w14:schemeClr w14:val="tx1"/>
                  </w14:solidFill>
                </w14:textFill>
              </w:rPr>
              <w:t>新建</w:t>
            </w:r>
            <w:r>
              <w:rPr>
                <w:rFonts w:hint="eastAsia" w:ascii="Times New Roman" w:hAnsi="Times New Roman" w:cs="Times New Roman"/>
                <w:color w:val="000000" w:themeColor="text1"/>
                <w:sz w:val="21"/>
                <w:highlight w:val="none"/>
                <w:lang w:eastAsia="zh-CN"/>
                <w14:textFill>
                  <w14:solidFill>
                    <w14:schemeClr w14:val="tx1"/>
                  </w14:solidFill>
                </w14:textFill>
              </w:rPr>
              <w:t>磨矿系统，</w:t>
            </w:r>
            <w:r>
              <w:rPr>
                <w:rFonts w:hint="eastAsia" w:ascii="Times New Roman" w:hAnsi="Times New Roman" w:cs="Times New Roman"/>
                <w:color w:val="000000" w:themeColor="text1"/>
                <w:sz w:val="21"/>
                <w:highlight w:val="none"/>
                <w:lang w:val="en-US" w:eastAsia="zh-CN"/>
                <w14:textFill>
                  <w14:solidFill>
                    <w14:schemeClr w14:val="tx1"/>
                  </w14:solidFill>
                </w14:textFill>
              </w:rPr>
              <w:t>新建</w:t>
            </w:r>
            <w:r>
              <w:rPr>
                <w:rFonts w:hint="eastAsia" w:ascii="Times New Roman" w:hAnsi="Times New Roman" w:cs="Times New Roman"/>
                <w:color w:val="000000" w:themeColor="text1"/>
                <w:sz w:val="21"/>
                <w:highlight w:val="none"/>
                <w:lang w:eastAsia="zh-CN"/>
                <w14:textFill>
                  <w14:solidFill>
                    <w14:schemeClr w14:val="tx1"/>
                  </w14:solidFill>
                </w14:textFill>
              </w:rPr>
              <w:t>生产车间。</w:t>
            </w:r>
          </w:p>
          <w:p w14:paraId="7F2C2F65">
            <w:pPr>
              <w:pStyle w:val="14"/>
              <w:keepNext w:val="0"/>
              <w:keepLines w:val="0"/>
              <w:pageBreakBefore w:val="0"/>
              <w:widowControl w:val="0"/>
              <w:kinsoku/>
              <w:wordWrap/>
              <w:overflowPunct w:val="0"/>
              <w:autoSpaceDE/>
              <w:autoSpaceDN/>
              <w:bidi w:val="0"/>
              <w:adjustRightInd/>
              <w:snapToGrid w:val="0"/>
              <w:spacing w:line="360" w:lineRule="exact"/>
              <w:ind w:firstLine="0" w:firstLineChars="0"/>
              <w:jc w:val="both"/>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eastAsia="zh-CN"/>
                <w14:textFill>
                  <w14:solidFill>
                    <w14:schemeClr w14:val="tx1"/>
                  </w14:solidFill>
                </w14:textFill>
              </w:rPr>
              <w:t>（</w:t>
            </w:r>
            <w:r>
              <w:rPr>
                <w:rFonts w:hint="eastAsia" w:ascii="Times New Roman" w:hAnsi="Times New Roman" w:cs="Times New Roman"/>
                <w:color w:val="000000" w:themeColor="text1"/>
                <w:sz w:val="21"/>
                <w:highlight w:val="none"/>
                <w:lang w:val="en-US" w:eastAsia="zh-CN"/>
                <w14:textFill>
                  <w14:solidFill>
                    <w14:schemeClr w14:val="tx1"/>
                  </w14:solidFill>
                </w14:textFill>
              </w:rPr>
              <w:t>3</w:t>
            </w:r>
            <w:r>
              <w:rPr>
                <w:rFonts w:hint="eastAsia" w:ascii="Times New Roman" w:hAnsi="Times New Roman" w:cs="Times New Roman"/>
                <w:color w:val="000000" w:themeColor="text1"/>
                <w:sz w:val="21"/>
                <w:highlight w:val="none"/>
                <w:lang w:eastAsia="zh-CN"/>
                <w14:textFill>
                  <w14:solidFill>
                    <w14:schemeClr w14:val="tx1"/>
                  </w14:solidFill>
                </w14:textFill>
              </w:rPr>
              <w:t>）</w:t>
            </w:r>
            <w:r>
              <w:rPr>
                <w:rFonts w:hint="eastAsia" w:ascii="Times New Roman" w:hAnsi="Times New Roman" w:cs="Times New Roman"/>
                <w:color w:val="000000" w:themeColor="text1"/>
                <w:sz w:val="21"/>
                <w:highlight w:val="none"/>
                <w:lang w:val="en-US" w:eastAsia="zh-CN"/>
                <w14:textFill>
                  <w14:solidFill>
                    <w14:schemeClr w14:val="tx1"/>
                  </w14:solidFill>
                </w14:textFill>
              </w:rPr>
              <w:t>新建破碎筛分系统。</w:t>
            </w:r>
          </w:p>
          <w:p w14:paraId="0B81565E">
            <w:pPr>
              <w:pStyle w:val="14"/>
              <w:keepNext w:val="0"/>
              <w:keepLines w:val="0"/>
              <w:pageBreakBefore w:val="0"/>
              <w:widowControl w:val="0"/>
              <w:kinsoku/>
              <w:wordWrap/>
              <w:overflowPunct w:val="0"/>
              <w:autoSpaceDE/>
              <w:autoSpaceDN/>
              <w:bidi w:val="0"/>
              <w:adjustRightInd/>
              <w:snapToGrid w:val="0"/>
              <w:spacing w:line="360" w:lineRule="exact"/>
              <w:ind w:firstLine="0" w:firstLineChars="0"/>
              <w:jc w:val="both"/>
              <w:textAlignment w:val="auto"/>
              <w:rPr>
                <w:rFonts w:hint="eastAsia"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lang w:eastAsia="zh-CN"/>
                <w14:textFill>
                  <w14:solidFill>
                    <w14:schemeClr w14:val="tx1"/>
                  </w14:solidFill>
                </w14:textFill>
              </w:rPr>
              <w:t>（</w:t>
            </w:r>
            <w:r>
              <w:rPr>
                <w:rFonts w:hint="eastAsia" w:ascii="Times New Roman" w:hAnsi="Times New Roman" w:cs="Times New Roman"/>
                <w:color w:val="000000" w:themeColor="text1"/>
                <w:sz w:val="21"/>
                <w:highlight w:val="none"/>
                <w:lang w:val="en-US" w:eastAsia="zh-CN"/>
                <w14:textFill>
                  <w14:solidFill>
                    <w14:schemeClr w14:val="tx1"/>
                  </w14:solidFill>
                </w14:textFill>
              </w:rPr>
              <w:t>4</w:t>
            </w:r>
            <w:r>
              <w:rPr>
                <w:rFonts w:hint="eastAsia" w:ascii="Times New Roman" w:hAnsi="Times New Roman" w:cs="Times New Roman"/>
                <w:color w:val="000000" w:themeColor="text1"/>
                <w:sz w:val="21"/>
                <w:highlight w:val="none"/>
                <w:lang w:eastAsia="zh-CN"/>
                <w14:textFill>
                  <w14:solidFill>
                    <w14:schemeClr w14:val="tx1"/>
                  </w14:solidFill>
                </w14:textFill>
              </w:rPr>
              <w:t>）新建干排车间</w:t>
            </w:r>
            <w:r>
              <w:rPr>
                <w:rFonts w:hint="eastAsia" w:ascii="Times New Roman" w:hAnsi="Times New Roman" w:cs="Times New Roman"/>
                <w:color w:val="000000" w:themeColor="text1"/>
                <w:sz w:val="21"/>
                <w:highlight w:val="none"/>
                <w:lang w:val="en-US" w:eastAsia="zh-CN"/>
                <w14:textFill>
                  <w14:solidFill>
                    <w14:schemeClr w14:val="tx1"/>
                  </w14:solidFill>
                </w14:textFill>
              </w:rPr>
              <w:t>759m</w:t>
            </w:r>
            <w:r>
              <w:rPr>
                <w:rFonts w:hint="eastAsia" w:ascii="Times New Roman" w:hAnsi="Times New Roman" w:cs="Times New Roman"/>
                <w:color w:val="000000" w:themeColor="text1"/>
                <w:sz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highlight w:val="none"/>
                <w:lang w:eastAsia="zh-CN"/>
                <w14:textFill>
                  <w14:solidFill>
                    <w14:schemeClr w14:val="tx1"/>
                  </w14:solidFill>
                </w14:textFill>
              </w:rPr>
              <w:t>，新增脱水筛、过滤机等设备</w:t>
            </w:r>
            <w:r>
              <w:rPr>
                <w:rFonts w:hint="eastAsia" w:ascii="Times New Roman" w:hAnsi="Times New Roman" w:cs="Times New Roman"/>
                <w:color w:val="000000" w:themeColor="text1"/>
                <w:sz w:val="21"/>
                <w:highlight w:val="none"/>
                <w14:textFill>
                  <w14:solidFill>
                    <w14:schemeClr w14:val="tx1"/>
                  </w14:solidFill>
                </w14:textFill>
              </w:rPr>
              <w:t>。</w:t>
            </w:r>
          </w:p>
        </w:tc>
        <w:tc>
          <w:tcPr>
            <w:tcW w:w="404" w:type="pct"/>
            <w:tcBorders>
              <w:tl2br w:val="nil"/>
              <w:tr2bl w:val="nil"/>
            </w:tcBorders>
            <w:vAlign w:val="center"/>
          </w:tcPr>
          <w:p w14:paraId="7B8D6076">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新建</w:t>
            </w:r>
          </w:p>
        </w:tc>
      </w:tr>
      <w:tr w14:paraId="62797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7AA9AD3F">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eastAsia" w:ascii="Times New Roman" w:hAnsi="Times New Roman" w:cs="Times New Roman"/>
                <w:color w:val="000000" w:themeColor="text1"/>
                <w:sz w:val="21"/>
                <w:highlight w:val="none"/>
                <w14:textFill>
                  <w14:solidFill>
                    <w14:schemeClr w14:val="tx1"/>
                  </w14:solidFill>
                </w14:textFill>
              </w:rPr>
            </w:pPr>
          </w:p>
        </w:tc>
        <w:tc>
          <w:tcPr>
            <w:tcW w:w="556" w:type="pct"/>
            <w:gridSpan w:val="2"/>
            <w:vMerge w:val="continue"/>
            <w:tcBorders>
              <w:tl2br w:val="nil"/>
              <w:tr2bl w:val="nil"/>
            </w:tcBorders>
            <w:vAlign w:val="center"/>
          </w:tcPr>
          <w:p w14:paraId="62F07226">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eastAsia" w:ascii="Times New Roman" w:hAnsi="Times New Roman" w:cs="Times New Roman"/>
                <w:color w:val="000000" w:themeColor="text1"/>
                <w:sz w:val="21"/>
                <w:highlight w:val="none"/>
                <w14:textFill>
                  <w14:solidFill>
                    <w14:schemeClr w14:val="tx1"/>
                  </w14:solidFill>
                </w14:textFill>
              </w:rPr>
            </w:pPr>
          </w:p>
        </w:tc>
        <w:tc>
          <w:tcPr>
            <w:tcW w:w="1693" w:type="pct"/>
            <w:vMerge w:val="continue"/>
            <w:tcBorders>
              <w:tl2br w:val="nil"/>
              <w:tr2bl w:val="nil"/>
            </w:tcBorders>
            <w:vAlign w:val="center"/>
          </w:tcPr>
          <w:p w14:paraId="0DD32C18">
            <w:pPr>
              <w:pStyle w:val="14"/>
              <w:keepNext w:val="0"/>
              <w:keepLines w:val="0"/>
              <w:pageBreakBefore w:val="0"/>
              <w:widowControl w:val="0"/>
              <w:kinsoku/>
              <w:wordWrap/>
              <w:overflowPunct w:val="0"/>
              <w:autoSpaceDE/>
              <w:autoSpaceDN/>
              <w:bidi w:val="0"/>
              <w:adjustRightInd/>
              <w:snapToGrid w:val="0"/>
              <w:spacing w:line="360" w:lineRule="exact"/>
              <w:ind w:firstLine="0" w:firstLineChars="0"/>
              <w:jc w:val="both"/>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p>
        </w:tc>
        <w:tc>
          <w:tcPr>
            <w:tcW w:w="2100" w:type="pct"/>
            <w:tcBorders>
              <w:tl2br w:val="nil"/>
              <w:tr2bl w:val="nil"/>
            </w:tcBorders>
            <w:vAlign w:val="center"/>
          </w:tcPr>
          <w:p w14:paraId="0EB249FF">
            <w:pPr>
              <w:pStyle w:val="14"/>
              <w:keepNext w:val="0"/>
              <w:keepLines w:val="0"/>
              <w:pageBreakBefore w:val="0"/>
              <w:widowControl w:val="0"/>
              <w:kinsoku/>
              <w:wordWrap/>
              <w:overflowPunct w:val="0"/>
              <w:autoSpaceDE/>
              <w:autoSpaceDN/>
              <w:bidi w:val="0"/>
              <w:adjustRightInd/>
              <w:snapToGrid w:val="0"/>
              <w:spacing w:line="360" w:lineRule="exact"/>
              <w:ind w:firstLine="0" w:firstLineChars="0"/>
              <w:jc w:val="both"/>
              <w:textAlignment w:val="auto"/>
              <w:rPr>
                <w:rFonts w:hint="eastAsia" w:ascii="Times New Roman" w:hAnsi="Times New Roman"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eastAsia="zh-CN"/>
                <w14:textFill>
                  <w14:solidFill>
                    <w14:schemeClr w14:val="tx1"/>
                  </w14:solidFill>
                </w14:textFill>
              </w:rPr>
              <w:t>（</w:t>
            </w:r>
            <w:r>
              <w:rPr>
                <w:rFonts w:hint="eastAsia" w:ascii="Times New Roman" w:hAnsi="Times New Roman" w:cs="Times New Roman"/>
                <w:color w:val="000000" w:themeColor="text1"/>
                <w:sz w:val="21"/>
                <w:highlight w:val="none"/>
                <w:lang w:val="en-US" w:eastAsia="zh-CN"/>
                <w14:textFill>
                  <w14:solidFill>
                    <w14:schemeClr w14:val="tx1"/>
                  </w14:solidFill>
                </w14:textFill>
              </w:rPr>
              <w:t>5</w:t>
            </w:r>
            <w:r>
              <w:rPr>
                <w:rFonts w:hint="eastAsia" w:ascii="Times New Roman" w:hAnsi="Times New Roman" w:cs="Times New Roman"/>
                <w:color w:val="000000" w:themeColor="text1"/>
                <w:sz w:val="21"/>
                <w:highlight w:val="none"/>
                <w:lang w:eastAsia="zh-CN"/>
                <w14:textFill>
                  <w14:solidFill>
                    <w14:schemeClr w14:val="tx1"/>
                  </w14:solidFill>
                </w14:textFill>
              </w:rPr>
              <w:t>）</w:t>
            </w:r>
            <w:r>
              <w:rPr>
                <w:rFonts w:hint="eastAsia" w:ascii="Times New Roman" w:hAnsi="Times New Roman" w:cs="Times New Roman"/>
                <w:color w:val="000000" w:themeColor="text1"/>
                <w:sz w:val="21"/>
                <w:highlight w:val="none"/>
                <w:lang w:val="en-US" w:eastAsia="zh-CN"/>
                <w14:textFill>
                  <w14:solidFill>
                    <w14:schemeClr w14:val="tx1"/>
                  </w14:solidFill>
                </w14:textFill>
              </w:rPr>
              <w:t>保留两台球磨机。</w:t>
            </w:r>
          </w:p>
        </w:tc>
        <w:tc>
          <w:tcPr>
            <w:tcW w:w="404" w:type="pct"/>
            <w:tcBorders>
              <w:tl2br w:val="nil"/>
              <w:tr2bl w:val="nil"/>
            </w:tcBorders>
            <w:vAlign w:val="center"/>
          </w:tcPr>
          <w:p w14:paraId="5B02CEA8">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利旧/已建</w:t>
            </w:r>
          </w:p>
        </w:tc>
      </w:tr>
      <w:tr w14:paraId="04BA56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 w:type="pct"/>
            <w:vMerge w:val="continue"/>
            <w:tcBorders>
              <w:tl2br w:val="nil"/>
              <w:tr2bl w:val="nil"/>
            </w:tcBorders>
            <w:vAlign w:val="center"/>
          </w:tcPr>
          <w:p w14:paraId="39AD8ECA">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283" w:type="pct"/>
            <w:vMerge w:val="restart"/>
            <w:tcBorders>
              <w:tl2br w:val="nil"/>
              <w:tr2bl w:val="nil"/>
            </w:tcBorders>
            <w:vAlign w:val="center"/>
          </w:tcPr>
          <w:p w14:paraId="11C27207">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尾矿库</w:t>
            </w:r>
          </w:p>
        </w:tc>
        <w:tc>
          <w:tcPr>
            <w:tcW w:w="273" w:type="pct"/>
            <w:tcBorders>
              <w:tl2br w:val="nil"/>
              <w:tr2bl w:val="nil"/>
            </w:tcBorders>
            <w:vAlign w:val="center"/>
          </w:tcPr>
          <w:p w14:paraId="6E9B3C67">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坝体工程</w:t>
            </w:r>
          </w:p>
        </w:tc>
        <w:tc>
          <w:tcPr>
            <w:tcW w:w="1693" w:type="pct"/>
            <w:tcBorders>
              <w:tl2br w:val="nil"/>
              <w:tr2bl w:val="nil"/>
            </w:tcBorders>
            <w:vAlign w:val="center"/>
          </w:tcPr>
          <w:p w14:paraId="0236CA15">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尾矿库共2个，一个容积为80000m</w:t>
            </w:r>
            <w:r>
              <w:rPr>
                <w:rFonts w:hint="eastAsia" w:ascii="Times New Roman" w:hAnsi="Times New Roman" w:cs="Times New Roman"/>
                <w:color w:val="000000" w:themeColor="text1"/>
                <w:sz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highlight w:val="none"/>
                <w:lang w:val="en-US" w:eastAsia="zh-CN"/>
                <w14:textFill>
                  <w14:solidFill>
                    <w14:schemeClr w14:val="tx1"/>
                  </w14:solidFill>
                </w14:textFill>
              </w:rPr>
              <w:t>，坝体总长600m，服务年限为5年；另一个容积为250000m</w:t>
            </w:r>
            <w:r>
              <w:rPr>
                <w:rFonts w:hint="eastAsia" w:ascii="Times New Roman" w:hAnsi="Times New Roman" w:cs="Times New Roman"/>
                <w:color w:val="000000" w:themeColor="text1"/>
                <w:sz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highlight w:val="none"/>
                <w:lang w:val="en-US" w:eastAsia="zh-CN"/>
                <w14:textFill>
                  <w14:solidFill>
                    <w14:schemeClr w14:val="tx1"/>
                  </w14:solidFill>
                </w14:textFill>
              </w:rPr>
              <w:t>，坝体总长1200m，服务年限为10年。新建初期坝。坝体结构：尾矿渣和土堆积碾压而成。尾矿库等级为V级。</w:t>
            </w:r>
          </w:p>
        </w:tc>
        <w:tc>
          <w:tcPr>
            <w:tcW w:w="2100" w:type="pct"/>
            <w:tcBorders>
              <w:tl2br w:val="nil"/>
              <w:tr2bl w:val="nil"/>
            </w:tcBorders>
            <w:vAlign w:val="center"/>
          </w:tcPr>
          <w:p w14:paraId="449A73CF">
            <w:pPr>
              <w:pStyle w:val="14"/>
              <w:keepNext w:val="0"/>
              <w:keepLines w:val="0"/>
              <w:pageBreakBefore w:val="0"/>
              <w:widowControl w:val="0"/>
              <w:kinsoku/>
              <w:wordWrap/>
              <w:topLinePunct/>
              <w:autoSpaceDE/>
              <w:autoSpaceDN/>
              <w:bidi w:val="0"/>
              <w:snapToGrid w:val="0"/>
              <w:spacing w:line="360" w:lineRule="exact"/>
              <w:ind w:firstLine="0" w:firstLineChars="0"/>
              <w:jc w:val="center"/>
              <w:textAlignment w:val="auto"/>
              <w:rPr>
                <w:rFonts w:hint="eastAsia"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位于</w:t>
            </w:r>
            <w:r>
              <w:rPr>
                <w:rFonts w:hint="eastAsia" w:ascii="Times New Roman" w:hAnsi="Times New Roman" w:cs="Times New Roman"/>
                <w:color w:val="000000" w:themeColor="text1"/>
                <w:sz w:val="21"/>
                <w:highlight w:val="none"/>
                <w:lang w:eastAsia="zh-CN"/>
                <w14:textFill>
                  <w14:solidFill>
                    <w14:schemeClr w14:val="tx1"/>
                  </w14:solidFill>
                </w14:textFill>
              </w:rPr>
              <w:t>选矿厂南</w:t>
            </w:r>
            <w:r>
              <w:rPr>
                <w:rFonts w:hint="eastAsia" w:ascii="Times New Roman" w:hAnsi="Times New Roman" w:cs="Times New Roman"/>
                <w:color w:val="000000" w:themeColor="text1"/>
                <w:sz w:val="21"/>
                <w:highlight w:val="none"/>
                <w14:textFill>
                  <w14:solidFill>
                    <w14:schemeClr w14:val="tx1"/>
                  </w14:solidFill>
                </w14:textFill>
              </w:rPr>
              <w:t>侧</w:t>
            </w:r>
            <w:r>
              <w:rPr>
                <w:rFonts w:hint="eastAsia" w:ascii="Times New Roman" w:hAnsi="Times New Roman" w:cs="Times New Roman"/>
                <w:color w:val="000000" w:themeColor="text1"/>
                <w:sz w:val="21"/>
                <w:highlight w:val="none"/>
                <w:lang w:eastAsia="zh-CN"/>
                <w14:textFill>
                  <w14:solidFill>
                    <w14:schemeClr w14:val="tx1"/>
                  </w14:solidFill>
                </w14:textFill>
              </w:rPr>
              <w:t>，</w:t>
            </w:r>
            <w:r>
              <w:rPr>
                <w:rFonts w:hint="eastAsia" w:ascii="Times New Roman" w:hAnsi="Times New Roman" w:cs="Times New Roman"/>
                <w:color w:val="000000" w:themeColor="text1"/>
                <w:sz w:val="21"/>
                <w:highlight w:val="none"/>
                <w14:textFill>
                  <w14:solidFill>
                    <w14:schemeClr w14:val="tx1"/>
                  </w14:solidFill>
                </w14:textFill>
              </w:rPr>
              <w:t>设计总库容</w:t>
            </w:r>
            <w:r>
              <w:rPr>
                <w:rFonts w:hint="eastAsia" w:ascii="Times New Roman" w:hAnsi="Times New Roman" w:cs="Times New Roman"/>
                <w:color w:val="000000" w:themeColor="text1"/>
                <w:sz w:val="21"/>
                <w:highlight w:val="none"/>
                <w:lang w:val="en-US" w:eastAsia="zh-CN"/>
                <w14:textFill>
                  <w14:solidFill>
                    <w14:schemeClr w14:val="tx1"/>
                  </w14:solidFill>
                </w14:textFill>
              </w:rPr>
              <w:t>527.55</w:t>
            </w:r>
            <w:r>
              <w:rPr>
                <w:rFonts w:hint="eastAsia" w:ascii="Times New Roman" w:hAnsi="Times New Roman" w:cs="Times New Roman"/>
                <w:color w:val="000000" w:themeColor="text1"/>
                <w:sz w:val="21"/>
                <w:highlight w:val="none"/>
                <w14:textFill>
                  <w14:solidFill>
                    <w14:schemeClr w14:val="tx1"/>
                  </w14:solidFill>
                </w14:textFill>
              </w:rPr>
              <w:t>万m</w:t>
            </w:r>
            <w:r>
              <w:rPr>
                <w:rFonts w:hint="eastAsia" w:ascii="Times New Roman" w:hAnsi="Times New Roman" w:cs="Times New Roman"/>
                <w:color w:val="000000" w:themeColor="text1"/>
                <w:sz w:val="21"/>
                <w:highlight w:val="none"/>
                <w:vertAlign w:val="superscript"/>
                <w14:textFill>
                  <w14:solidFill>
                    <w14:schemeClr w14:val="tx1"/>
                  </w14:solidFill>
                </w14:textFill>
              </w:rPr>
              <w:t>3</w:t>
            </w:r>
            <w:r>
              <w:rPr>
                <w:rFonts w:hint="eastAsia" w:ascii="Times New Roman" w:hAnsi="Times New Roman" w:cs="Times New Roman"/>
                <w:color w:val="000000" w:themeColor="text1"/>
                <w:sz w:val="21"/>
                <w:highlight w:val="none"/>
                <w14:textFill>
                  <w14:solidFill>
                    <w14:schemeClr w14:val="tx1"/>
                  </w14:solidFill>
                </w14:textFill>
              </w:rPr>
              <w:t>，总有效库容约为</w:t>
            </w:r>
            <w:r>
              <w:rPr>
                <w:rFonts w:hint="eastAsia" w:ascii="Times New Roman" w:hAnsi="Times New Roman" w:cs="Times New Roman"/>
                <w:color w:val="000000" w:themeColor="text1"/>
                <w:sz w:val="21"/>
                <w:highlight w:val="none"/>
                <w:lang w:val="en-US" w:eastAsia="zh-CN"/>
                <w14:textFill>
                  <w14:solidFill>
                    <w14:schemeClr w14:val="tx1"/>
                  </w14:solidFill>
                </w14:textFill>
              </w:rPr>
              <w:t>501.17</w:t>
            </w:r>
            <w:r>
              <w:rPr>
                <w:rFonts w:hint="eastAsia" w:ascii="Times New Roman" w:hAnsi="Times New Roman" w:cs="Times New Roman"/>
                <w:color w:val="000000" w:themeColor="text1"/>
                <w:sz w:val="21"/>
                <w:highlight w:val="none"/>
                <w14:textFill>
                  <w14:solidFill>
                    <w14:schemeClr w14:val="tx1"/>
                  </w14:solidFill>
                </w14:textFill>
              </w:rPr>
              <w:t>万m</w:t>
            </w:r>
            <w:r>
              <w:rPr>
                <w:rFonts w:hint="eastAsia" w:ascii="Times New Roman" w:hAnsi="Times New Roman" w:cs="Times New Roman"/>
                <w:color w:val="000000" w:themeColor="text1"/>
                <w:sz w:val="21"/>
                <w:highlight w:val="none"/>
                <w:vertAlign w:val="superscript"/>
                <w14:textFill>
                  <w14:solidFill>
                    <w14:schemeClr w14:val="tx1"/>
                  </w14:solidFill>
                </w14:textFill>
              </w:rPr>
              <w:t>3</w:t>
            </w:r>
            <w:r>
              <w:rPr>
                <w:rFonts w:hint="eastAsia" w:ascii="Times New Roman" w:hAnsi="Times New Roman" w:cs="Times New Roman"/>
                <w:color w:val="000000" w:themeColor="text1"/>
                <w:sz w:val="21"/>
                <w:highlight w:val="none"/>
                <w14:textFill>
                  <w14:solidFill>
                    <w14:schemeClr w14:val="tx1"/>
                  </w14:solidFill>
                </w14:textFill>
              </w:rPr>
              <w:t>，最终堆积标高</w:t>
            </w:r>
            <w:r>
              <w:rPr>
                <w:rFonts w:hint="eastAsia" w:ascii="Times New Roman" w:hAnsi="Times New Roman" w:cs="Times New Roman"/>
                <w:color w:val="000000" w:themeColor="text1"/>
                <w:sz w:val="21"/>
                <w:highlight w:val="none"/>
                <w:lang w:val="en-US" w:eastAsia="zh-CN"/>
                <w14:textFill>
                  <w14:solidFill>
                    <w14:schemeClr w14:val="tx1"/>
                  </w14:solidFill>
                </w14:textFill>
              </w:rPr>
              <w:t>1264</w:t>
            </w:r>
            <w:r>
              <w:rPr>
                <w:rFonts w:hint="eastAsia" w:ascii="Times New Roman" w:hAnsi="Times New Roman" w:cs="Times New Roman"/>
                <w:color w:val="000000" w:themeColor="text1"/>
                <w:sz w:val="21"/>
                <w:highlight w:val="none"/>
                <w14:textFill>
                  <w14:solidFill>
                    <w14:schemeClr w14:val="tx1"/>
                  </w14:solidFill>
                </w14:textFill>
              </w:rPr>
              <w:t>.0m，尾矿堆积坝总高度为</w:t>
            </w:r>
            <w:r>
              <w:rPr>
                <w:rFonts w:hint="eastAsia" w:ascii="Times New Roman" w:hAnsi="Times New Roman" w:cs="Times New Roman"/>
                <w:color w:val="000000" w:themeColor="text1"/>
                <w:sz w:val="21"/>
                <w:highlight w:val="none"/>
                <w:lang w:val="en-US" w:eastAsia="zh-CN"/>
                <w14:textFill>
                  <w14:solidFill>
                    <w14:schemeClr w14:val="tx1"/>
                  </w14:solidFill>
                </w14:textFill>
              </w:rPr>
              <w:t>30</w:t>
            </w:r>
            <w:r>
              <w:rPr>
                <w:rFonts w:hint="eastAsia" w:ascii="Times New Roman" w:hAnsi="Times New Roman" w:cs="Times New Roman"/>
                <w:color w:val="000000" w:themeColor="text1"/>
                <w:sz w:val="21"/>
                <w:highlight w:val="none"/>
                <w14:textFill>
                  <w14:solidFill>
                    <w14:schemeClr w14:val="tx1"/>
                  </w14:solidFill>
                </w14:textFill>
              </w:rPr>
              <w:t>m</w:t>
            </w:r>
            <w:r>
              <w:rPr>
                <w:rFonts w:hint="eastAsia" w:ascii="Times New Roman" w:hAnsi="Times New Roman" w:cs="Times New Roman"/>
                <w:color w:val="000000" w:themeColor="text1"/>
                <w:sz w:val="21"/>
                <w:highlight w:val="none"/>
                <w:lang w:eastAsia="zh-CN"/>
                <w14:textFill>
                  <w14:solidFill>
                    <w14:schemeClr w14:val="tx1"/>
                  </w14:solidFill>
                </w14:textFill>
              </w:rPr>
              <w:t>。</w:t>
            </w:r>
            <w:r>
              <w:rPr>
                <w:rFonts w:hint="eastAsia" w:ascii="Times New Roman" w:hAnsi="Times New Roman" w:cs="Times New Roman"/>
                <w:color w:val="000000" w:themeColor="text1"/>
                <w:sz w:val="21"/>
                <w:highlight w:val="none"/>
                <w:lang w:val="en-US" w:eastAsia="zh-CN"/>
                <w14:textFill>
                  <w14:solidFill>
                    <w14:schemeClr w14:val="tx1"/>
                  </w14:solidFill>
                </w14:textFill>
              </w:rPr>
              <w:t>在库区下游建设拦挡坝，拦挡坝采取库区戈壁料碾压而成，坝顶标高1237.0m，最大坝高4.5m，上、下游坡比均为1：2.0，坝轴线总长度约480.0m。</w:t>
            </w:r>
            <w:r>
              <w:rPr>
                <w:rFonts w:hint="eastAsia" w:ascii="Times New Roman" w:hAnsi="Times New Roman" w:cs="Times New Roman"/>
                <w:color w:val="000000" w:themeColor="text1"/>
                <w:sz w:val="21"/>
                <w:highlight w:val="none"/>
                <w:lang w:eastAsia="zh-CN"/>
                <w14:textFill>
                  <w14:solidFill>
                    <w14:schemeClr w14:val="tx1"/>
                  </w14:solidFill>
                </w14:textFill>
              </w:rPr>
              <w:t>堆积内边坡坡向</w:t>
            </w:r>
            <w:r>
              <w:rPr>
                <w:rFonts w:hint="eastAsia" w:ascii="Times New Roman" w:hAnsi="Times New Roman" w:cs="Times New Roman"/>
                <w:color w:val="000000" w:themeColor="text1"/>
                <w:sz w:val="21"/>
                <w:highlight w:val="none"/>
                <w:lang w:val="en-US" w:eastAsia="zh-CN"/>
                <w14:textFill>
                  <w14:solidFill>
                    <w14:schemeClr w14:val="tx1"/>
                  </w14:solidFill>
                </w14:textFill>
              </w:rPr>
              <w:t>拦挡坝</w:t>
            </w:r>
            <w:r>
              <w:rPr>
                <w:rFonts w:hint="eastAsia" w:ascii="Times New Roman" w:hAnsi="Times New Roman" w:cs="Times New Roman"/>
                <w:color w:val="000000" w:themeColor="text1"/>
                <w:sz w:val="21"/>
                <w:highlight w:val="none"/>
                <w:lang w:eastAsia="zh-CN"/>
                <w14:textFill>
                  <w14:solidFill>
                    <w14:schemeClr w14:val="tx1"/>
                  </w14:solidFill>
                </w14:textFill>
              </w:rPr>
              <w:t>，平均坡度为1.0%，堆积外边坡为1</w:t>
            </w:r>
            <w:r>
              <w:rPr>
                <w:rFonts w:hint="default" w:ascii="Times New Roman" w:hAnsi="Times New Roman" w:cs="Times New Roman"/>
                <w:color w:val="000000" w:themeColor="text1"/>
                <w:sz w:val="21"/>
                <w:highlight w:val="none"/>
                <w:lang w:eastAsia="zh-CN"/>
                <w14:textFill>
                  <w14:solidFill>
                    <w14:schemeClr w14:val="tx1"/>
                  </w14:solidFill>
                </w14:textFill>
              </w:rPr>
              <w:t>:3.5，堆积坝坝高为</w:t>
            </w:r>
            <w:r>
              <w:rPr>
                <w:rFonts w:hint="default" w:ascii="Times New Roman" w:hAnsi="Times New Roman" w:cs="Times New Roman"/>
                <w:color w:val="000000" w:themeColor="text1"/>
                <w:sz w:val="21"/>
                <w:highlight w:val="none"/>
                <w:lang w:val="en-US" w:eastAsia="zh-CN"/>
                <w14:textFill>
                  <w14:solidFill>
                    <w14:schemeClr w14:val="tx1"/>
                  </w14:solidFill>
                </w14:textFill>
              </w:rPr>
              <w:t>30</w:t>
            </w:r>
            <w:r>
              <w:rPr>
                <w:rFonts w:hint="default" w:ascii="Times New Roman" w:hAnsi="Times New Roman" w:cs="Times New Roman"/>
                <w:color w:val="000000" w:themeColor="text1"/>
                <w:sz w:val="21"/>
                <w:highlight w:val="none"/>
                <w:lang w:eastAsia="zh-CN"/>
                <w14:textFill>
                  <w14:solidFill>
                    <w14:schemeClr w14:val="tx1"/>
                  </w14:solidFill>
                </w14:textFill>
              </w:rPr>
              <w:t>m。堆积坝外坡面每隔</w:t>
            </w:r>
            <w:r>
              <w:rPr>
                <w:rFonts w:hint="default" w:ascii="Times New Roman" w:hAnsi="Times New Roman" w:cs="Times New Roman"/>
                <w:color w:val="000000" w:themeColor="text1"/>
                <w:sz w:val="21"/>
                <w:highlight w:val="none"/>
                <w:lang w:val="en-US" w:eastAsia="zh-CN"/>
                <w14:textFill>
                  <w14:solidFill>
                    <w14:schemeClr w14:val="tx1"/>
                  </w14:solidFill>
                </w14:textFill>
              </w:rPr>
              <w:t>10</w:t>
            </w:r>
            <w:r>
              <w:rPr>
                <w:rFonts w:hint="default" w:ascii="Times New Roman" w:hAnsi="Times New Roman" w:cs="Times New Roman"/>
                <w:color w:val="000000" w:themeColor="text1"/>
                <w:sz w:val="21"/>
                <w:highlight w:val="none"/>
                <w:lang w:eastAsia="zh-CN"/>
                <w14:textFill>
                  <w14:solidFill>
                    <w14:schemeClr w14:val="tx1"/>
                  </w14:solidFill>
                </w14:textFill>
              </w:rPr>
              <w:t>m高度设一道</w:t>
            </w:r>
            <w:r>
              <w:rPr>
                <w:rFonts w:hint="default" w:ascii="Times New Roman" w:hAnsi="Times New Roman" w:cs="Times New Roman"/>
                <w:color w:val="000000" w:themeColor="text1"/>
                <w:sz w:val="21"/>
                <w:highlight w:val="none"/>
                <w:lang w:val="en-US" w:eastAsia="zh-CN"/>
                <w14:textFill>
                  <w14:solidFill>
                    <w14:schemeClr w14:val="tx1"/>
                  </w14:solidFill>
                </w14:textFill>
              </w:rPr>
              <w:t>3.0m宽的</w:t>
            </w:r>
            <w:r>
              <w:rPr>
                <w:rFonts w:hint="default" w:ascii="Times New Roman" w:hAnsi="Times New Roman" w:cs="Times New Roman"/>
                <w:color w:val="000000" w:themeColor="text1"/>
                <w:sz w:val="21"/>
                <w:highlight w:val="none"/>
                <w:lang w:eastAsia="zh-CN"/>
                <w14:textFill>
                  <w14:solidFill>
                    <w14:schemeClr w14:val="tx1"/>
                  </w14:solidFill>
                </w14:textFill>
              </w:rPr>
              <w:t>台阶，并在台阶上修建300×400mm纵、横向浆砌石排水沟。堆积坝外边界设置明挖梯形断面排水沟，底宽500mm，深600mm，边坡比1：1。库区需采取全库防渗，故设计尾矿库防渗型式采用全库区水平防渗，防渗衬垫系统由下至上依次为：整平压实基础、500mm厚压实粘土（压实后渗透系数≤1.0×10</w:t>
            </w:r>
            <w:r>
              <w:rPr>
                <w:rFonts w:hint="default" w:ascii="Times New Roman" w:hAnsi="Times New Roman" w:cs="Times New Roman"/>
                <w:color w:val="000000" w:themeColor="text1"/>
                <w:sz w:val="21"/>
                <w:highlight w:val="none"/>
                <w:vertAlign w:val="superscript"/>
                <w:lang w:eastAsia="zh-CN"/>
                <w14:textFill>
                  <w14:solidFill>
                    <w14:schemeClr w14:val="tx1"/>
                  </w14:solidFill>
                </w14:textFill>
              </w:rPr>
              <w:t>-10</w:t>
            </w:r>
            <w:r>
              <w:rPr>
                <w:rFonts w:hint="default" w:ascii="Times New Roman" w:hAnsi="Times New Roman" w:cs="Times New Roman"/>
                <w:color w:val="000000" w:themeColor="text1"/>
                <w:sz w:val="21"/>
                <w:highlight w:val="none"/>
                <w:lang w:eastAsia="zh-CN"/>
                <w14:textFill>
                  <w14:solidFill>
                    <w14:schemeClr w14:val="tx1"/>
                  </w14:solidFill>
                </w14:textFill>
              </w:rPr>
              <w:t>cm/s）、</w:t>
            </w:r>
            <w:bookmarkStart w:id="430" w:name="OLE_LINK9"/>
            <w:bookmarkStart w:id="431" w:name="OLE_LINK10"/>
            <w:r>
              <w:rPr>
                <w:rFonts w:hint="default" w:ascii="Times New Roman" w:hAnsi="Times New Roman" w:cs="Times New Roman"/>
                <w:color w:val="000000" w:themeColor="text1"/>
                <w:sz w:val="21"/>
                <w:highlight w:val="none"/>
                <w:lang w:eastAsia="zh-CN"/>
                <w14:textFill>
                  <w14:solidFill>
                    <w14:schemeClr w14:val="tx1"/>
                  </w14:solidFill>
                </w14:textFill>
              </w:rPr>
              <w:t>400g/m</w:t>
            </w:r>
            <w:r>
              <w:rPr>
                <w:rFonts w:hint="default" w:ascii="Times New Roman" w:hAnsi="Times New Roman" w:cs="Times New Roman"/>
                <w:color w:val="000000" w:themeColor="text1"/>
                <w:sz w:val="21"/>
                <w:highlight w:val="none"/>
                <w:vertAlign w:val="superscript"/>
                <w:lang w:eastAsia="zh-CN"/>
                <w14:textFill>
                  <w14:solidFill>
                    <w14:schemeClr w14:val="tx1"/>
                  </w14:solidFill>
                </w14:textFill>
              </w:rPr>
              <w:t>2</w:t>
            </w:r>
            <w:r>
              <w:rPr>
                <w:rFonts w:hint="default" w:ascii="Times New Roman" w:hAnsi="Times New Roman" w:cs="Times New Roman"/>
                <w:color w:val="000000" w:themeColor="text1"/>
                <w:sz w:val="21"/>
                <w:highlight w:val="none"/>
                <w:lang w:eastAsia="zh-CN"/>
                <w14:textFill>
                  <w14:solidFill>
                    <w14:schemeClr w14:val="tx1"/>
                  </w14:solidFill>
                </w14:textFill>
              </w:rPr>
              <w:t>的防渗土工膜、</w:t>
            </w:r>
            <w:bookmarkEnd w:id="430"/>
            <w:bookmarkEnd w:id="431"/>
            <w:r>
              <w:rPr>
                <w:rFonts w:hint="default" w:ascii="Times New Roman" w:hAnsi="Times New Roman" w:cs="Times New Roman"/>
                <w:color w:val="000000" w:themeColor="text1"/>
                <w:sz w:val="21"/>
                <w:highlight w:val="none"/>
                <w:lang w:eastAsia="zh-CN"/>
                <w14:textFill>
                  <w14:solidFill>
                    <w14:schemeClr w14:val="tx1"/>
                  </w14:solidFill>
                </w14:textFill>
              </w:rPr>
              <w:t>300mm厚砂砾覆盖层</w:t>
            </w:r>
            <w:r>
              <w:rPr>
                <w:rFonts w:hint="eastAsia" w:ascii="Times New Roman" w:hAnsi="Times New Roman" w:cs="Times New Roman"/>
                <w:color w:val="000000" w:themeColor="text1"/>
                <w:sz w:val="21"/>
                <w:highlight w:val="none"/>
                <w:lang w:eastAsia="zh-CN"/>
                <w14:textFill>
                  <w14:solidFill>
                    <w14:schemeClr w14:val="tx1"/>
                  </w14:solidFill>
                </w14:textFill>
              </w:rPr>
              <w:t>。在库底铺设土工膜之前，应先铺设500mm厚压实粘土。</w:t>
            </w:r>
          </w:p>
        </w:tc>
        <w:tc>
          <w:tcPr>
            <w:tcW w:w="404" w:type="pct"/>
            <w:tcBorders>
              <w:tl2br w:val="nil"/>
              <w:tr2bl w:val="nil"/>
            </w:tcBorders>
            <w:vAlign w:val="center"/>
          </w:tcPr>
          <w:p w14:paraId="07CE385C">
            <w:pPr>
              <w:pStyle w:val="14"/>
              <w:keepNext w:val="0"/>
              <w:keepLines w:val="0"/>
              <w:pageBreakBefore w:val="0"/>
              <w:widowControl w:val="0"/>
              <w:kinsoku/>
              <w:wordWrap/>
              <w:topLinePunct/>
              <w:autoSpaceDE/>
              <w:autoSpaceDN/>
              <w:bidi w:val="0"/>
              <w:snapToGrid w:val="0"/>
              <w:spacing w:line="360" w:lineRule="exact"/>
              <w:ind w:firstLine="0" w:firstLineChars="0"/>
              <w:jc w:val="center"/>
              <w:textAlignment w:val="auto"/>
              <w:rPr>
                <w:rFonts w:ascii="Times New Roman" w:hAnsi="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新建</w:t>
            </w:r>
          </w:p>
        </w:tc>
      </w:tr>
      <w:tr w14:paraId="2246C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0076B0BD">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283" w:type="pct"/>
            <w:vMerge w:val="continue"/>
            <w:tcBorders>
              <w:tl2br w:val="nil"/>
              <w:tr2bl w:val="nil"/>
            </w:tcBorders>
            <w:vAlign w:val="center"/>
          </w:tcPr>
          <w:p w14:paraId="2FB26961">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p>
        </w:tc>
        <w:tc>
          <w:tcPr>
            <w:tcW w:w="273" w:type="pct"/>
            <w:tcBorders>
              <w:tl2br w:val="nil"/>
              <w:tr2bl w:val="nil"/>
            </w:tcBorders>
            <w:vAlign w:val="center"/>
          </w:tcPr>
          <w:p w14:paraId="18FB6819">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排洪系统</w:t>
            </w:r>
          </w:p>
        </w:tc>
        <w:tc>
          <w:tcPr>
            <w:tcW w:w="1693" w:type="pct"/>
            <w:tcBorders>
              <w:tl2br w:val="nil"/>
              <w:tr2bl w:val="nil"/>
            </w:tcBorders>
            <w:vAlign w:val="center"/>
          </w:tcPr>
          <w:p w14:paraId="1DE594BD">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/（原环评无相关描述）</w:t>
            </w:r>
          </w:p>
        </w:tc>
        <w:tc>
          <w:tcPr>
            <w:tcW w:w="2100" w:type="pct"/>
            <w:tcBorders>
              <w:tl2br w:val="nil"/>
              <w:tr2bl w:val="nil"/>
            </w:tcBorders>
            <w:vAlign w:val="center"/>
          </w:tcPr>
          <w:p w14:paraId="016DAD7F">
            <w:pPr>
              <w:pStyle w:val="14"/>
              <w:keepNext w:val="0"/>
              <w:keepLines w:val="0"/>
              <w:pageBreakBefore w:val="0"/>
              <w:widowControl w:val="0"/>
              <w:kinsoku/>
              <w:wordWrap/>
              <w:topLinePunct/>
              <w:autoSpaceDE/>
              <w:autoSpaceDN/>
              <w:bidi w:val="0"/>
              <w:snapToGrid w:val="0"/>
              <w:spacing w:line="360" w:lineRule="exact"/>
              <w:ind w:firstLine="0" w:firstLineChars="0"/>
              <w:jc w:val="center"/>
              <w:textAlignment w:val="auto"/>
              <w:rPr>
                <w:rFonts w:hint="eastAsia"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拟建库区地形较缓，尾</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矿</w:t>
            </w:r>
            <w:r>
              <w:rPr>
                <w:rFonts w:hint="eastAsia" w:ascii="Times New Roman" w:hAnsi="Times New Roman" w:cs="Times New Roman"/>
                <w:color w:val="000000" w:themeColor="text1"/>
                <w:sz w:val="21"/>
                <w:szCs w:val="21"/>
                <w:highlight w:val="none"/>
                <w14:textFill>
                  <w14:solidFill>
                    <w14:schemeClr w14:val="tx1"/>
                  </w14:solidFill>
                </w14:textFill>
              </w:rPr>
              <w:t>采用库</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尾</w:t>
            </w:r>
            <w:r>
              <w:rPr>
                <w:rFonts w:hint="eastAsia" w:ascii="Times New Roman" w:hAnsi="Times New Roman" w:cs="Times New Roman"/>
                <w:color w:val="000000" w:themeColor="text1"/>
                <w:sz w:val="21"/>
                <w:szCs w:val="21"/>
                <w:highlight w:val="none"/>
                <w14:textFill>
                  <w14:solidFill>
                    <w14:schemeClr w14:val="tx1"/>
                  </w14:solidFill>
                </w14:textFill>
              </w:rPr>
              <w:t>排放方式。设计在尾矿库上游设置截洪沟，将库区上游洪水直接排至下游，截洪沟断面为梯形断面，边坡比1:0.5，底宽800mm，深1000mm，浆砌石结构，长度为765m。尾矿库库内采用井—管式排洪系统，在尾矿库下游最低处设一集水池，用于收集尾矿水及汛期洪水。</w:t>
            </w:r>
          </w:p>
        </w:tc>
        <w:tc>
          <w:tcPr>
            <w:tcW w:w="404" w:type="pct"/>
            <w:tcBorders>
              <w:tl2br w:val="nil"/>
              <w:tr2bl w:val="nil"/>
            </w:tcBorders>
            <w:vAlign w:val="center"/>
          </w:tcPr>
          <w:p w14:paraId="699CA130">
            <w:pPr>
              <w:pStyle w:val="14"/>
              <w:keepNext w:val="0"/>
              <w:keepLines w:val="0"/>
              <w:pageBreakBefore w:val="0"/>
              <w:widowControl w:val="0"/>
              <w:kinsoku/>
              <w:wordWrap/>
              <w:topLinePunct/>
              <w:autoSpaceDE/>
              <w:autoSpaceDN/>
              <w:bidi w:val="0"/>
              <w:snapToGrid w:val="0"/>
              <w:spacing w:line="360" w:lineRule="exact"/>
              <w:ind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新建</w:t>
            </w:r>
          </w:p>
        </w:tc>
      </w:tr>
      <w:tr w14:paraId="2B5C0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6C2E9B56">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283" w:type="pct"/>
            <w:vMerge w:val="continue"/>
            <w:tcBorders>
              <w:tl2br w:val="nil"/>
              <w:tr2bl w:val="nil"/>
            </w:tcBorders>
            <w:vAlign w:val="center"/>
          </w:tcPr>
          <w:p w14:paraId="5E00FA95">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p>
        </w:tc>
        <w:tc>
          <w:tcPr>
            <w:tcW w:w="273" w:type="pct"/>
            <w:tcBorders>
              <w:tl2br w:val="nil"/>
              <w:tr2bl w:val="nil"/>
            </w:tcBorders>
            <w:vAlign w:val="center"/>
          </w:tcPr>
          <w:p w14:paraId="7286F585">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尾矿输送系统</w:t>
            </w:r>
          </w:p>
        </w:tc>
        <w:tc>
          <w:tcPr>
            <w:tcW w:w="1693" w:type="pct"/>
            <w:tcBorders>
              <w:tl2br w:val="nil"/>
              <w:tr2bl w:val="nil"/>
            </w:tcBorders>
            <w:vAlign w:val="center"/>
          </w:tcPr>
          <w:p w14:paraId="53C2C7B6">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/（原环评无相关描述）</w:t>
            </w:r>
          </w:p>
        </w:tc>
        <w:tc>
          <w:tcPr>
            <w:tcW w:w="2100" w:type="pct"/>
            <w:tcBorders>
              <w:tl2br w:val="nil"/>
              <w:tr2bl w:val="nil"/>
            </w:tcBorders>
            <w:vAlign w:val="center"/>
          </w:tcPr>
          <w:p w14:paraId="2162B872">
            <w:pPr>
              <w:pStyle w:val="14"/>
              <w:keepNext w:val="0"/>
              <w:keepLines w:val="0"/>
              <w:pageBreakBefore w:val="0"/>
              <w:widowControl w:val="0"/>
              <w:kinsoku/>
              <w:wordWrap/>
              <w:topLinePunct/>
              <w:autoSpaceDE/>
              <w:autoSpaceDN/>
              <w:bidi w:val="0"/>
              <w:snapToGrid w:val="0"/>
              <w:spacing w:line="360" w:lineRule="exact"/>
              <w:ind w:firstLine="0" w:firstLineChars="0"/>
              <w:jc w:val="center"/>
              <w:textAlignment w:val="auto"/>
              <w:rPr>
                <w:rFonts w:hint="eastAsia"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尾矿为干式堆存，尾矿堆存顺序由库前向库尾方向，采用自下而上分层堆排，完成一层后再进行下一层堆排。尾矿堆排分区、分层进行整平、碾压，由库</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尾</w:t>
            </w:r>
            <w:r>
              <w:rPr>
                <w:rFonts w:hint="eastAsia" w:ascii="Times New Roman" w:hAnsi="Times New Roman" w:cs="Times New Roman"/>
                <w:color w:val="000000" w:themeColor="text1"/>
                <w:sz w:val="21"/>
                <w:szCs w:val="21"/>
                <w:highlight w:val="none"/>
                <w14:textFill>
                  <w14:solidFill>
                    <w14:schemeClr w14:val="tx1"/>
                  </w14:solidFill>
                </w14:textFill>
              </w:rPr>
              <w:t>向库</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前</w:t>
            </w:r>
            <w:r>
              <w:rPr>
                <w:rFonts w:hint="eastAsia" w:ascii="Times New Roman" w:hAnsi="Times New Roman" w:cs="Times New Roman"/>
                <w:color w:val="000000" w:themeColor="text1"/>
                <w:sz w:val="21"/>
                <w:szCs w:val="21"/>
                <w:highlight w:val="none"/>
                <w14:textFill>
                  <w14:solidFill>
                    <w14:schemeClr w14:val="tx1"/>
                  </w14:solidFill>
                </w14:textFill>
              </w:rPr>
              <w:t>逐渐推进作业。尾</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矿</w:t>
            </w:r>
            <w:r>
              <w:rPr>
                <w:rFonts w:hint="eastAsia" w:ascii="Times New Roman" w:hAnsi="Times New Roman" w:cs="Times New Roman"/>
                <w:color w:val="000000" w:themeColor="text1"/>
                <w:sz w:val="21"/>
                <w:szCs w:val="21"/>
                <w:highlight w:val="none"/>
                <w14:textFill>
                  <w14:solidFill>
                    <w14:schemeClr w14:val="tx1"/>
                  </w14:solidFill>
                </w14:textFill>
              </w:rPr>
              <w:t>由固定式带式输送机送至尾矿库</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北</w:t>
            </w:r>
            <w:r>
              <w:rPr>
                <w:rFonts w:hint="eastAsia" w:ascii="Times New Roman" w:hAnsi="Times New Roman" w:cs="Times New Roman"/>
                <w:color w:val="000000" w:themeColor="text1"/>
                <w:sz w:val="21"/>
                <w:szCs w:val="21"/>
                <w:highlight w:val="none"/>
                <w14:textFill>
                  <w14:solidFill>
                    <w14:schemeClr w14:val="tx1"/>
                  </w14:solidFill>
                </w14:textFill>
              </w:rPr>
              <w:t>侧，连接移动式皮带机，将尾矿输送至相应顺序堆排分区的指定卸料点后，联合挖掘机、推土机将尾矿在该分层作业平面内进行摊开、整平，尾渣要逐层压实，堆积坝终期边坡向内40m范围内为碾压区，碾压区压实度不低于92%，非碾压区压实度不低于80%。分层碾压厚度不超过0.5m，碾压设备型号为液压单钢轮振动压路机。</w:t>
            </w:r>
          </w:p>
        </w:tc>
        <w:tc>
          <w:tcPr>
            <w:tcW w:w="404" w:type="pct"/>
            <w:tcBorders>
              <w:tl2br w:val="nil"/>
              <w:tr2bl w:val="nil"/>
            </w:tcBorders>
            <w:vAlign w:val="center"/>
          </w:tcPr>
          <w:p w14:paraId="524492DA">
            <w:pPr>
              <w:pStyle w:val="14"/>
              <w:keepNext w:val="0"/>
              <w:keepLines w:val="0"/>
              <w:pageBreakBefore w:val="0"/>
              <w:widowControl w:val="0"/>
              <w:kinsoku/>
              <w:wordWrap/>
              <w:topLinePunct/>
              <w:autoSpaceDE/>
              <w:autoSpaceDN/>
              <w:bidi w:val="0"/>
              <w:snapToGrid w:val="0"/>
              <w:spacing w:line="360" w:lineRule="exact"/>
              <w:ind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新建</w:t>
            </w:r>
          </w:p>
        </w:tc>
      </w:tr>
      <w:tr w14:paraId="7CD14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5F736DFF">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283" w:type="pct"/>
            <w:vMerge w:val="continue"/>
            <w:tcBorders>
              <w:tl2br w:val="nil"/>
              <w:tr2bl w:val="nil"/>
            </w:tcBorders>
            <w:vAlign w:val="center"/>
          </w:tcPr>
          <w:p w14:paraId="58067E16">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p>
        </w:tc>
        <w:tc>
          <w:tcPr>
            <w:tcW w:w="273" w:type="pct"/>
            <w:tcBorders>
              <w:tl2br w:val="nil"/>
              <w:tr2bl w:val="nil"/>
            </w:tcBorders>
            <w:vAlign w:val="center"/>
          </w:tcPr>
          <w:p w14:paraId="3A9A8280">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回水系统</w:t>
            </w:r>
          </w:p>
        </w:tc>
        <w:tc>
          <w:tcPr>
            <w:tcW w:w="1693" w:type="pct"/>
            <w:tcBorders>
              <w:tl2br w:val="nil"/>
              <w:tr2bl w:val="nil"/>
            </w:tcBorders>
            <w:vAlign w:val="center"/>
          </w:tcPr>
          <w:p w14:paraId="34E23889">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/（原环评无相关描述）</w:t>
            </w:r>
          </w:p>
        </w:tc>
        <w:tc>
          <w:tcPr>
            <w:tcW w:w="2100" w:type="pct"/>
            <w:tcBorders>
              <w:tl2br w:val="nil"/>
              <w:tr2bl w:val="nil"/>
            </w:tcBorders>
            <w:vAlign w:val="center"/>
          </w:tcPr>
          <w:p w14:paraId="5CD8AA3F">
            <w:pPr>
              <w:pStyle w:val="14"/>
              <w:keepNext w:val="0"/>
              <w:keepLines w:val="0"/>
              <w:pageBreakBefore w:val="0"/>
              <w:widowControl w:val="0"/>
              <w:kinsoku/>
              <w:wordWrap/>
              <w:topLinePunct/>
              <w:autoSpaceDE/>
              <w:autoSpaceDN/>
              <w:bidi w:val="0"/>
              <w:snapToGrid w:val="0"/>
              <w:spacing w:line="360" w:lineRule="exact"/>
              <w:ind w:firstLine="0" w:firstLineChars="0"/>
              <w:jc w:val="center"/>
              <w:textAlignment w:val="auto"/>
              <w:rPr>
                <w:rFonts w:hint="eastAsia"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尾矿库中的水澄清后从进入排水管排至坝外回水池，通过泵输送回选矿厂水池供生产使用，尾矿库中的水不外排。</w:t>
            </w:r>
          </w:p>
        </w:tc>
        <w:tc>
          <w:tcPr>
            <w:tcW w:w="404" w:type="pct"/>
            <w:tcBorders>
              <w:tl2br w:val="nil"/>
              <w:tr2bl w:val="nil"/>
            </w:tcBorders>
            <w:vAlign w:val="center"/>
          </w:tcPr>
          <w:p w14:paraId="487956E1">
            <w:pPr>
              <w:pStyle w:val="14"/>
              <w:keepNext w:val="0"/>
              <w:keepLines w:val="0"/>
              <w:pageBreakBefore w:val="0"/>
              <w:widowControl w:val="0"/>
              <w:kinsoku/>
              <w:wordWrap/>
              <w:topLinePunct/>
              <w:autoSpaceDE/>
              <w:autoSpaceDN/>
              <w:bidi w:val="0"/>
              <w:snapToGrid w:val="0"/>
              <w:spacing w:line="360" w:lineRule="exact"/>
              <w:ind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新建</w:t>
            </w:r>
          </w:p>
        </w:tc>
      </w:tr>
      <w:tr w14:paraId="08342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3017C76B">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283" w:type="pct"/>
            <w:vMerge w:val="continue"/>
            <w:tcBorders>
              <w:tl2br w:val="nil"/>
              <w:tr2bl w:val="nil"/>
            </w:tcBorders>
            <w:vAlign w:val="center"/>
          </w:tcPr>
          <w:p w14:paraId="3435CD73">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p>
        </w:tc>
        <w:tc>
          <w:tcPr>
            <w:tcW w:w="273" w:type="pct"/>
            <w:tcBorders>
              <w:tl2br w:val="nil"/>
              <w:tr2bl w:val="nil"/>
            </w:tcBorders>
            <w:vAlign w:val="center"/>
          </w:tcPr>
          <w:p w14:paraId="25137C55">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防渗工程</w:t>
            </w:r>
          </w:p>
        </w:tc>
        <w:tc>
          <w:tcPr>
            <w:tcW w:w="1693" w:type="pct"/>
            <w:tcBorders>
              <w:tl2br w:val="nil"/>
              <w:tr2bl w:val="nil"/>
            </w:tcBorders>
            <w:vAlign w:val="center"/>
          </w:tcPr>
          <w:p w14:paraId="766D37DD">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新建防渗设施。</w:t>
            </w:r>
          </w:p>
        </w:tc>
        <w:tc>
          <w:tcPr>
            <w:tcW w:w="2100" w:type="pct"/>
            <w:tcBorders>
              <w:tl2br w:val="nil"/>
              <w:tr2bl w:val="nil"/>
            </w:tcBorders>
            <w:vAlign w:val="center"/>
          </w:tcPr>
          <w:p w14:paraId="6F82D891">
            <w:pPr>
              <w:pStyle w:val="14"/>
              <w:keepNext w:val="0"/>
              <w:keepLines w:val="0"/>
              <w:pageBreakBefore w:val="0"/>
              <w:widowControl w:val="0"/>
              <w:kinsoku/>
              <w:wordWrap/>
              <w:topLinePunct/>
              <w:autoSpaceDE/>
              <w:autoSpaceDN/>
              <w:bidi w:val="0"/>
              <w:snapToGrid w:val="0"/>
              <w:spacing w:line="360" w:lineRule="exact"/>
              <w:ind w:firstLine="0" w:firstLineChars="0"/>
              <w:jc w:val="center"/>
              <w:textAlignment w:val="auto"/>
              <w:rPr>
                <w:rFonts w:hint="eastAsia"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全库区防渗。整个库区铺设人工防渗系统。按照《一般工业固体废物贮存和填埋污染控制标准》（GB18599-2020）第</w:t>
            </w:r>
            <w:r>
              <w:rPr>
                <w:rFonts w:hint="default" w:ascii="Times New Roman" w:hAnsi="Times New Roman" w:cs="Times New Roman"/>
                <w:color w:val="000000" w:themeColor="text1"/>
                <w:sz w:val="21"/>
                <w:szCs w:val="21"/>
                <w:highlight w:val="none"/>
                <w14:textFill>
                  <w14:solidFill>
                    <w14:schemeClr w14:val="tx1"/>
                  </w14:solidFill>
                </w14:textFill>
              </w:rPr>
              <w:fldChar w:fldCharType="begin"/>
            </w:r>
            <w:r>
              <w:rPr>
                <w:rFonts w:hint="default" w:ascii="Times New Roman" w:hAnsi="Times New Roman" w:cs="Times New Roman"/>
                <w:color w:val="000000" w:themeColor="text1"/>
                <w:sz w:val="21"/>
                <w:szCs w:val="21"/>
                <w:highlight w:val="none"/>
                <w14:textFill>
                  <w14:solidFill>
                    <w14:schemeClr w14:val="tx1"/>
                  </w14:solidFill>
                </w14:textFill>
              </w:rPr>
              <w:instrText xml:space="preserve"> = 1 \* ROMAN \* MERGEFORMAT </w:instrText>
            </w:r>
            <w:r>
              <w:rPr>
                <w:rFonts w:hint="default" w:ascii="Times New Roman" w:hAnsi="Times New Roman" w:cs="Times New Roman"/>
                <w:color w:val="000000" w:themeColor="text1"/>
                <w:sz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 w:val="21"/>
                <w:szCs w:val="21"/>
                <w:highlight w:val="none"/>
                <w14:textFill>
                  <w14:solidFill>
                    <w14:schemeClr w14:val="tx1"/>
                  </w14:solidFill>
                </w14:textFill>
              </w:rPr>
              <w:t>I</w:t>
            </w:r>
            <w:r>
              <w:rPr>
                <w:rFonts w:hint="default" w:ascii="Times New Roman" w:hAnsi="Times New Roman" w:cs="Times New Roman"/>
                <w:color w:val="000000" w:themeColor="text1"/>
                <w:sz w:val="21"/>
                <w:szCs w:val="21"/>
                <w:highlight w:val="none"/>
                <w14:textFill>
                  <w14:solidFill>
                    <w14:schemeClr w14:val="tx1"/>
                  </w14:solidFill>
                </w14:textFill>
              </w:rPr>
              <w:fldChar w:fldCharType="end"/>
            </w:r>
            <w:r>
              <w:rPr>
                <w:rFonts w:hint="eastAsia" w:ascii="Times New Roman" w:hAnsi="Times New Roman" w:cs="Times New Roman"/>
                <w:color w:val="000000" w:themeColor="text1"/>
                <w:sz w:val="21"/>
                <w:szCs w:val="21"/>
                <w:highlight w:val="none"/>
                <w14:textFill>
                  <w14:solidFill>
                    <w14:schemeClr w14:val="tx1"/>
                  </w14:solidFill>
                </w14:textFill>
              </w:rPr>
              <w:t>类一般工业固体废物要求，防渗层采用</w:t>
            </w:r>
            <w:r>
              <w:rPr>
                <w:rFonts w:hint="default" w:ascii="Times New Roman" w:hAnsi="Times New Roman" w:cs="Times New Roman"/>
                <w:color w:val="000000" w:themeColor="text1"/>
                <w:sz w:val="21"/>
                <w:szCs w:val="21"/>
                <w:highlight w:val="none"/>
                <w:lang w:eastAsia="zh-CN"/>
                <w14:textFill>
                  <w14:solidFill>
                    <w14:schemeClr w14:val="tx1"/>
                  </w14:solidFill>
                </w14:textFill>
              </w:rPr>
              <w:t>整平压实基础、500mm厚压实粘土（压实后渗透系数≤1.0×10</w:t>
            </w:r>
            <w:r>
              <w:rPr>
                <w:rFonts w:hint="default" w:ascii="Times New Roman" w:hAnsi="Times New Roman" w:cs="Times New Roman"/>
                <w:color w:val="000000" w:themeColor="text1"/>
                <w:sz w:val="21"/>
                <w:szCs w:val="21"/>
                <w:highlight w:val="none"/>
                <w:vertAlign w:val="superscript"/>
                <w:lang w:eastAsia="zh-CN"/>
                <w14:textFill>
                  <w14:solidFill>
                    <w14:schemeClr w14:val="tx1"/>
                  </w14:solidFill>
                </w14:textFill>
              </w:rPr>
              <w:t>-10</w:t>
            </w:r>
            <w:r>
              <w:rPr>
                <w:rFonts w:hint="default" w:ascii="Times New Roman" w:hAnsi="Times New Roman" w:cs="Times New Roman"/>
                <w:color w:val="000000" w:themeColor="text1"/>
                <w:sz w:val="21"/>
                <w:szCs w:val="21"/>
                <w:highlight w:val="none"/>
                <w:lang w:eastAsia="zh-CN"/>
                <w14:textFill>
                  <w14:solidFill>
                    <w14:schemeClr w14:val="tx1"/>
                  </w14:solidFill>
                </w14:textFill>
              </w:rPr>
              <w:t>cm/s）、400g/m</w:t>
            </w:r>
            <w:r>
              <w:rPr>
                <w:rFonts w:hint="default" w:ascii="Times New Roman" w:hAnsi="Times New Roman" w:cs="Times New Roman"/>
                <w:color w:val="000000" w:themeColor="text1"/>
                <w:sz w:val="21"/>
                <w:szCs w:val="21"/>
                <w:highlight w:val="none"/>
                <w:vertAlign w:val="superscript"/>
                <w:lang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eastAsia="zh-CN"/>
                <w14:textFill>
                  <w14:solidFill>
                    <w14:schemeClr w14:val="tx1"/>
                  </w14:solidFill>
                </w14:textFill>
              </w:rPr>
              <w:t>的防渗土工膜、300mm厚砂砾覆盖层</w:t>
            </w: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404" w:type="pct"/>
            <w:tcBorders>
              <w:tl2br w:val="nil"/>
              <w:tr2bl w:val="nil"/>
            </w:tcBorders>
            <w:vAlign w:val="center"/>
          </w:tcPr>
          <w:p w14:paraId="12C80D98">
            <w:pPr>
              <w:pStyle w:val="14"/>
              <w:keepNext w:val="0"/>
              <w:keepLines w:val="0"/>
              <w:pageBreakBefore w:val="0"/>
              <w:widowControl w:val="0"/>
              <w:kinsoku/>
              <w:wordWrap/>
              <w:topLinePunct/>
              <w:autoSpaceDE/>
              <w:autoSpaceDN/>
              <w:bidi w:val="0"/>
              <w:snapToGrid w:val="0"/>
              <w:spacing w:line="360" w:lineRule="exact"/>
              <w:ind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新建</w:t>
            </w:r>
          </w:p>
        </w:tc>
      </w:tr>
      <w:tr w14:paraId="17410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tcBorders>
              <w:tl2br w:val="nil"/>
              <w:tr2bl w:val="nil"/>
            </w:tcBorders>
            <w:vAlign w:val="center"/>
          </w:tcPr>
          <w:p w14:paraId="4331A01D">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r>
              <w:rPr>
                <w:rFonts w:hint="eastAsia" w:ascii="Times New Roman" w:hAnsi="Times New Roman" w:cs="Times New Roman"/>
                <w:bCs/>
                <w:color w:val="000000" w:themeColor="text1"/>
                <w:sz w:val="21"/>
                <w:highlight w:val="none"/>
                <w14:textFill>
                  <w14:solidFill>
                    <w14:schemeClr w14:val="tx1"/>
                  </w14:solidFill>
                </w14:textFill>
              </w:rPr>
              <w:t>辅助工程</w:t>
            </w:r>
          </w:p>
        </w:tc>
        <w:tc>
          <w:tcPr>
            <w:tcW w:w="556" w:type="pct"/>
            <w:gridSpan w:val="2"/>
            <w:tcBorders>
              <w:tl2br w:val="nil"/>
              <w:tr2bl w:val="nil"/>
            </w:tcBorders>
            <w:vAlign w:val="center"/>
          </w:tcPr>
          <w:p w14:paraId="03D67241">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办公生活区</w:t>
            </w:r>
          </w:p>
        </w:tc>
        <w:tc>
          <w:tcPr>
            <w:tcW w:w="1693" w:type="pct"/>
            <w:tcBorders>
              <w:tl2br w:val="nil"/>
              <w:tr2bl w:val="nil"/>
            </w:tcBorders>
            <w:vAlign w:val="center"/>
          </w:tcPr>
          <w:p w14:paraId="7C0C3A0E">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新建生产生活辅助设施。办公室共5间，总建筑面积87.5m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olor w:val="000000" w:themeColor="text1"/>
                <w:sz w:val="21"/>
                <w:szCs w:val="21"/>
                <w:highlight w:val="none"/>
                <w:lang w:val="en-US" w:eastAsia="zh-CN"/>
                <w14:textFill>
                  <w14:solidFill>
                    <w14:schemeClr w14:val="tx1"/>
                  </w14:solidFill>
                </w14:textFill>
              </w:rPr>
              <w:t>，砖砼结构；宿舍共30间，总建筑面积525m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olor w:val="000000" w:themeColor="text1"/>
                <w:sz w:val="21"/>
                <w:szCs w:val="21"/>
                <w:highlight w:val="none"/>
                <w:lang w:val="en-US" w:eastAsia="zh-CN"/>
                <w14:textFill>
                  <w14:solidFill>
                    <w14:schemeClr w14:val="tx1"/>
                  </w14:solidFill>
                </w14:textFill>
              </w:rPr>
              <w:t>，砖砼结构；餐厅占地面积40m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olor w:val="000000" w:themeColor="text1"/>
                <w:sz w:val="21"/>
                <w:szCs w:val="21"/>
                <w:highlight w:val="none"/>
                <w:lang w:val="en-US" w:eastAsia="zh-CN"/>
                <w14:textFill>
                  <w14:solidFill>
                    <w14:schemeClr w14:val="tx1"/>
                  </w14:solidFill>
                </w14:textFill>
              </w:rPr>
              <w:t>，厕所占地面积16m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2</w:t>
            </w:r>
          </w:p>
        </w:tc>
        <w:tc>
          <w:tcPr>
            <w:tcW w:w="2100" w:type="pct"/>
            <w:tcBorders>
              <w:tl2br w:val="nil"/>
              <w:tr2bl w:val="nil"/>
            </w:tcBorders>
            <w:shd w:val="clear" w:color="auto" w:fill="auto"/>
            <w:vAlign w:val="center"/>
          </w:tcPr>
          <w:p w14:paraId="3C465BB0">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eastAsia="宋体" w:cs="Courier New"/>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办公生活区压占地面积约1.16</w:t>
            </w:r>
            <w:r>
              <w:rPr>
                <w:rFonts w:hint="eastAsia" w:ascii="Times New Roman" w:hAnsi="Times New Roman"/>
                <w:color w:val="000000" w:themeColor="text1"/>
                <w:sz w:val="21"/>
                <w:szCs w:val="21"/>
                <w:highlight w:val="none"/>
                <w:lang w:val="en-US" w:eastAsia="zh-CN"/>
                <w14:textFill>
                  <w14:solidFill>
                    <w14:schemeClr w14:val="tx1"/>
                  </w14:solidFill>
                </w14:textFill>
              </w:rPr>
              <w:t>hm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2</w:t>
            </w:r>
            <w:r>
              <w:rPr>
                <w:rFonts w:ascii="Times New Roman" w:hAnsi="Times New Roman"/>
                <w:color w:val="000000" w:themeColor="text1"/>
                <w:sz w:val="21"/>
                <w:szCs w:val="21"/>
                <w:highlight w:val="none"/>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包括办公楼、职工宿舍、食堂、澡堂、厕所等</w:t>
            </w:r>
            <w:r>
              <w:rPr>
                <w:rFonts w:ascii="Times New Roman" w:hAnsi="Times New Roman"/>
                <w:color w:val="000000" w:themeColor="text1"/>
                <w:sz w:val="21"/>
                <w:szCs w:val="21"/>
                <w:highlight w:val="none"/>
                <w14:textFill>
                  <w14:solidFill>
                    <w14:schemeClr w14:val="tx1"/>
                  </w14:solidFill>
                </w14:textFill>
              </w:rPr>
              <w:t>。</w:t>
            </w:r>
          </w:p>
        </w:tc>
        <w:tc>
          <w:tcPr>
            <w:tcW w:w="404" w:type="pct"/>
            <w:tcBorders>
              <w:tl2br w:val="nil"/>
              <w:tr2bl w:val="nil"/>
            </w:tcBorders>
            <w:vAlign w:val="center"/>
          </w:tcPr>
          <w:p w14:paraId="30C996FC">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olor w:val="000000" w:themeColor="text1"/>
                <w:sz w:val="21"/>
                <w:highlight w:val="none"/>
                <w14:textFill>
                  <w14:solidFill>
                    <w14:schemeClr w14:val="tx1"/>
                  </w14:solidFill>
                </w14:textFill>
              </w:rPr>
            </w:pPr>
            <w:r>
              <w:rPr>
                <w:rFonts w:hint="eastAsia" w:ascii="Times New Roman" w:hAnsi="Times New Roman"/>
                <w:color w:val="000000" w:themeColor="text1"/>
                <w:sz w:val="21"/>
                <w:highlight w:val="none"/>
                <w14:textFill>
                  <w14:solidFill>
                    <w14:schemeClr w14:val="tx1"/>
                  </w14:solidFill>
                </w14:textFill>
              </w:rPr>
              <w:t>利旧</w:t>
            </w:r>
          </w:p>
        </w:tc>
      </w:tr>
      <w:tr w14:paraId="6DBB0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restart"/>
            <w:tcBorders>
              <w:tl2br w:val="nil"/>
              <w:tr2bl w:val="nil"/>
            </w:tcBorders>
            <w:vAlign w:val="center"/>
          </w:tcPr>
          <w:p w14:paraId="33098D88">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kern w:val="0"/>
                <w:sz w:val="21"/>
                <w:highlight w:val="none"/>
                <w14:textFill>
                  <w14:solidFill>
                    <w14:schemeClr w14:val="tx1"/>
                  </w14:solidFill>
                </w14:textFill>
              </w:rPr>
            </w:pPr>
            <w:r>
              <w:rPr>
                <w:rFonts w:hint="eastAsia" w:ascii="Times New Roman" w:hAnsi="Times New Roman" w:cs="Times New Roman"/>
                <w:bCs/>
                <w:color w:val="000000" w:themeColor="text1"/>
                <w:sz w:val="21"/>
                <w:highlight w:val="none"/>
                <w14:textFill>
                  <w14:solidFill>
                    <w14:schemeClr w14:val="tx1"/>
                  </w14:solidFill>
                </w14:textFill>
              </w:rPr>
              <w:t>公用工程</w:t>
            </w:r>
          </w:p>
        </w:tc>
        <w:tc>
          <w:tcPr>
            <w:tcW w:w="556" w:type="pct"/>
            <w:gridSpan w:val="2"/>
            <w:tcBorders>
              <w:tl2br w:val="nil"/>
              <w:tr2bl w:val="nil"/>
            </w:tcBorders>
            <w:vAlign w:val="center"/>
          </w:tcPr>
          <w:p w14:paraId="0E7AD74B">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给水工程</w:t>
            </w:r>
          </w:p>
        </w:tc>
        <w:tc>
          <w:tcPr>
            <w:tcW w:w="1693" w:type="pct"/>
            <w:tcBorders>
              <w:tl2br w:val="nil"/>
              <w:tr2bl w:val="nil"/>
            </w:tcBorders>
            <w:vAlign w:val="center"/>
          </w:tcPr>
          <w:p w14:paraId="45ADF276">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产供水来源于清水池，清水池的水来自矿井坑下水和5km外的水源地水。矿井的水自流至清水池，其出水量为2400t/d；水源地的水通过管道泵进入清水池，其出水量为400t/d，水源地有井8眼，常开六眼，每眼井出水量为20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olor w:val="000000" w:themeColor="text1"/>
                <w:sz w:val="21"/>
                <w:szCs w:val="21"/>
                <w:highlight w:val="none"/>
                <w:lang w:val="en-US" w:eastAsia="zh-CN"/>
                <w14:textFill>
                  <w14:solidFill>
                    <w14:schemeClr w14:val="tx1"/>
                  </w14:solidFill>
                </w14:textFill>
              </w:rPr>
              <w:t>/h。</w:t>
            </w:r>
          </w:p>
          <w:p w14:paraId="3A60E8A6">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生活区供水为90km外的雅满苏矿区的生活用水，水被汽车运回后倒入60m地埋式蓄水罐，用水时再用泵抽至食堂饮用。</w:t>
            </w:r>
          </w:p>
          <w:p w14:paraId="364786D0">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清水池共2个，容积分别为7500m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1"/>
                <w:szCs w:val="21"/>
                <w:highlight w:val="none"/>
                <w:lang w:val="en-US" w:eastAsia="zh-CN"/>
                <w14:textFill>
                  <w14:solidFill>
                    <w14:schemeClr w14:val="tx1"/>
                  </w14:solidFill>
                </w14:textFill>
              </w:rPr>
              <w:t>、3000m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3</w:t>
            </w:r>
          </w:p>
        </w:tc>
        <w:tc>
          <w:tcPr>
            <w:tcW w:w="2100" w:type="pct"/>
            <w:tcBorders>
              <w:tl2br w:val="nil"/>
              <w:tr2bl w:val="nil"/>
            </w:tcBorders>
            <w:shd w:val="clear" w:color="auto" w:fill="auto"/>
            <w:vAlign w:val="center"/>
          </w:tcPr>
          <w:p w14:paraId="3D1B568F">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eastAsia="宋体" w:cs="Courier New"/>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生活区供水为90km外的雅满苏矿区的生活用水，由60m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1"/>
                <w:szCs w:val="21"/>
                <w:highlight w:val="none"/>
                <w:lang w:val="en-US" w:eastAsia="zh-CN"/>
                <w14:textFill>
                  <w14:solidFill>
                    <w14:schemeClr w14:val="tx1"/>
                  </w14:solidFill>
                </w14:textFill>
              </w:rPr>
              <w:t>地埋式储水罐储存，用水时用泵抽出。补充</w:t>
            </w:r>
            <w:r>
              <w:rPr>
                <w:rFonts w:hint="eastAsia" w:ascii="Times New Roman" w:hAnsi="Times New Roman"/>
                <w:color w:val="000000" w:themeColor="text1"/>
                <w:sz w:val="21"/>
                <w:szCs w:val="21"/>
                <w:highlight w:val="none"/>
                <w:lang w:eastAsia="zh-CN"/>
                <w14:textFill>
                  <w14:solidFill>
                    <w14:schemeClr w14:val="tx1"/>
                  </w14:solidFill>
                </w14:textFill>
              </w:rPr>
              <w:t>水源为距离选矿厂</w:t>
            </w:r>
            <w:r>
              <w:rPr>
                <w:rFonts w:hint="eastAsia" w:ascii="Times New Roman" w:hAnsi="Times New Roman"/>
                <w:color w:val="000000" w:themeColor="text1"/>
                <w:sz w:val="21"/>
                <w:szCs w:val="21"/>
                <w:highlight w:val="none"/>
                <w:lang w:val="en-US" w:eastAsia="zh-CN"/>
                <w14:textFill>
                  <w14:solidFill>
                    <w14:schemeClr w14:val="tx1"/>
                  </w14:solidFill>
                </w14:textFill>
              </w:rPr>
              <w:t>5km的已建机电井，通过输水管线加压输送至项目区。矿井涌水通过泵站输送至清水池，供矿区生产使用。</w:t>
            </w:r>
          </w:p>
        </w:tc>
        <w:tc>
          <w:tcPr>
            <w:tcW w:w="404" w:type="pct"/>
            <w:tcBorders>
              <w:tl2br w:val="nil"/>
              <w:tr2bl w:val="nil"/>
            </w:tcBorders>
            <w:vAlign w:val="center"/>
          </w:tcPr>
          <w:p w14:paraId="08BDE9BA">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olor w:val="000000" w:themeColor="text1"/>
                <w:sz w:val="21"/>
                <w:highlight w:val="none"/>
                <w14:textFill>
                  <w14:solidFill>
                    <w14:schemeClr w14:val="tx1"/>
                  </w14:solidFill>
                </w14:textFill>
              </w:rPr>
            </w:pPr>
            <w:r>
              <w:rPr>
                <w:rFonts w:hint="eastAsia" w:ascii="Times New Roman" w:hAnsi="Times New Roman"/>
                <w:color w:val="000000" w:themeColor="text1"/>
                <w:sz w:val="21"/>
                <w:highlight w:val="none"/>
                <w14:textFill>
                  <w14:solidFill>
                    <w14:schemeClr w14:val="tx1"/>
                  </w14:solidFill>
                </w14:textFill>
              </w:rPr>
              <w:t>利旧</w:t>
            </w:r>
          </w:p>
        </w:tc>
      </w:tr>
      <w:tr w14:paraId="58928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215EFD36">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556" w:type="pct"/>
            <w:gridSpan w:val="2"/>
            <w:vMerge w:val="restart"/>
            <w:tcBorders>
              <w:tl2br w:val="nil"/>
              <w:tr2bl w:val="nil"/>
            </w:tcBorders>
            <w:vAlign w:val="center"/>
          </w:tcPr>
          <w:p w14:paraId="38399DC7">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排水工程</w:t>
            </w:r>
          </w:p>
        </w:tc>
        <w:tc>
          <w:tcPr>
            <w:tcW w:w="1693" w:type="pct"/>
            <w:tcBorders>
              <w:tl2br w:val="nil"/>
              <w:tr2bl w:val="nil"/>
            </w:tcBorders>
            <w:vAlign w:val="center"/>
          </w:tcPr>
          <w:p w14:paraId="6D4EB4AC">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选矿生产过程中所排放的尾矿水排入尾矿库，经沉淀从尾矿库抽回至清水池进行循环使用，不对外排放废水。</w:t>
            </w:r>
          </w:p>
        </w:tc>
        <w:tc>
          <w:tcPr>
            <w:tcW w:w="2100" w:type="pct"/>
            <w:tcBorders>
              <w:tl2br w:val="nil"/>
              <w:tr2bl w:val="nil"/>
            </w:tcBorders>
            <w:shd w:val="clear" w:color="auto" w:fill="auto"/>
            <w:vAlign w:val="center"/>
          </w:tcPr>
          <w:p w14:paraId="331849A7">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eastAsia="宋体" w:cs="Courier New"/>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选矿废水部分被铁精粉带走，精矿过滤水、尾矿浓缩压滤溢流水返回生产工序循环利用，尾矿</w:t>
            </w:r>
            <w:r>
              <w:rPr>
                <w:rFonts w:hint="eastAsia" w:ascii="Times New Roman" w:hAnsi="Times New Roman"/>
                <w:color w:val="000000" w:themeColor="text1"/>
                <w:sz w:val="21"/>
                <w:szCs w:val="21"/>
                <w:highlight w:val="none"/>
                <w:lang w:eastAsia="zh-CN"/>
                <w14:textFill>
                  <w14:solidFill>
                    <w14:schemeClr w14:val="tx1"/>
                  </w14:solidFill>
                </w14:textFill>
              </w:rPr>
              <w:t>采用干排</w:t>
            </w:r>
            <w:r>
              <w:rPr>
                <w:rFonts w:hint="eastAsia" w:ascii="Times New Roman" w:hAnsi="Times New Roman"/>
                <w:color w:val="000000" w:themeColor="text1"/>
                <w:sz w:val="21"/>
                <w:szCs w:val="21"/>
                <w:highlight w:val="none"/>
                <w14:textFill>
                  <w14:solidFill>
                    <w14:schemeClr w14:val="tx1"/>
                  </w14:solidFill>
                </w14:textFill>
              </w:rPr>
              <w:t>，尾矿库设有回水系统，使用水泵将库内澄清水通过管道泵送至选矿厂生产回水池</w:t>
            </w:r>
            <w:r>
              <w:rPr>
                <w:rFonts w:hint="eastAsia"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2座各1000m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1"/>
                <w:szCs w:val="21"/>
                <w:highlight w:val="none"/>
                <w:vertAlign w:val="baseline"/>
                <w:lang w:val="en-US" w:eastAsia="zh-CN"/>
                <w14:textFill>
                  <w14:solidFill>
                    <w14:schemeClr w14:val="tx1"/>
                  </w14:solidFill>
                </w14:textFill>
              </w:rPr>
              <w:t>高位回水池</w:t>
            </w:r>
            <w:r>
              <w:rPr>
                <w:rFonts w:hint="eastAsia"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，供选矿循环使用，</w:t>
            </w:r>
            <w:r>
              <w:rPr>
                <w:rFonts w:ascii="Times New Roman" w:hAnsi="Times New Roman"/>
                <w:color w:val="000000" w:themeColor="text1"/>
                <w:sz w:val="21"/>
                <w:szCs w:val="21"/>
                <w:highlight w:val="none"/>
                <w14:textFill>
                  <w14:solidFill>
                    <w14:schemeClr w14:val="tx1"/>
                  </w14:solidFill>
                </w14:textFill>
              </w:rPr>
              <w:t>实现生产废水</w:t>
            </w:r>
            <w:r>
              <w:rPr>
                <w:rFonts w:hint="eastAsia" w:ascii="Times New Roman" w:hAnsi="Times New Roman"/>
                <w:color w:val="000000" w:themeColor="text1"/>
                <w:sz w:val="21"/>
                <w:szCs w:val="21"/>
                <w:highlight w:val="none"/>
                <w14:textFill>
                  <w14:solidFill>
                    <w14:schemeClr w14:val="tx1"/>
                  </w14:solidFill>
                </w14:textFill>
              </w:rPr>
              <w:t>“</w:t>
            </w:r>
            <w:r>
              <w:rPr>
                <w:rFonts w:ascii="Times New Roman" w:hAnsi="Times New Roman"/>
                <w:color w:val="000000" w:themeColor="text1"/>
                <w:sz w:val="21"/>
                <w:szCs w:val="21"/>
                <w:highlight w:val="none"/>
                <w14:textFill>
                  <w14:solidFill>
                    <w14:schemeClr w14:val="tx1"/>
                  </w14:solidFill>
                </w14:textFill>
              </w:rPr>
              <w:t>闭路循环</w:t>
            </w:r>
            <w:r>
              <w:rPr>
                <w:rFonts w:hint="eastAsia" w:ascii="Times New Roman" w:hAnsi="Times New Roman"/>
                <w:color w:val="000000" w:themeColor="text1"/>
                <w:sz w:val="21"/>
                <w:szCs w:val="21"/>
                <w:highlight w:val="none"/>
                <w14:textFill>
                  <w14:solidFill>
                    <w14:schemeClr w14:val="tx1"/>
                  </w14:solidFill>
                </w14:textFill>
              </w:rPr>
              <w:t>”</w:t>
            </w:r>
            <w:r>
              <w:rPr>
                <w:rFonts w:ascii="Times New Roman" w:hAnsi="Times New Roman"/>
                <w:color w:val="000000" w:themeColor="text1"/>
                <w:sz w:val="21"/>
                <w:szCs w:val="21"/>
                <w:highlight w:val="none"/>
                <w14:textFill>
                  <w14:solidFill>
                    <w14:schemeClr w14:val="tx1"/>
                  </w14:solidFill>
                </w14:textFill>
              </w:rPr>
              <w:t>，不外排。</w:t>
            </w:r>
          </w:p>
        </w:tc>
        <w:tc>
          <w:tcPr>
            <w:tcW w:w="404" w:type="pct"/>
            <w:tcBorders>
              <w:tl2br w:val="nil"/>
              <w:tr2bl w:val="nil"/>
            </w:tcBorders>
            <w:vAlign w:val="center"/>
          </w:tcPr>
          <w:p w14:paraId="76DA5D91">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color w:val="000000" w:themeColor="text1"/>
                <w:sz w:val="21"/>
                <w:highlight w:val="none"/>
                <w14:textFill>
                  <w14:solidFill>
                    <w14:schemeClr w14:val="tx1"/>
                  </w14:solidFill>
                </w14:textFill>
              </w:rPr>
              <w:t>利旧</w:t>
            </w:r>
            <w:r>
              <w:rPr>
                <w:rFonts w:hint="eastAsia" w:ascii="Times New Roman" w:hAnsi="Times New Roman"/>
                <w:color w:val="000000" w:themeColor="text1"/>
                <w:sz w:val="21"/>
                <w:highlight w:val="none"/>
                <w:lang w:val="en-US" w:eastAsia="zh-CN"/>
                <w14:textFill>
                  <w14:solidFill>
                    <w14:schemeClr w14:val="tx1"/>
                  </w14:solidFill>
                </w14:textFill>
              </w:rPr>
              <w:t>/新建</w:t>
            </w:r>
          </w:p>
        </w:tc>
      </w:tr>
      <w:tr w14:paraId="1D3EE8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7A766B99">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556" w:type="pct"/>
            <w:gridSpan w:val="2"/>
            <w:vMerge w:val="continue"/>
            <w:tcBorders>
              <w:tl2br w:val="nil"/>
              <w:tr2bl w:val="nil"/>
            </w:tcBorders>
            <w:vAlign w:val="center"/>
          </w:tcPr>
          <w:p w14:paraId="2F4C08AF">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p>
        </w:tc>
        <w:tc>
          <w:tcPr>
            <w:tcW w:w="1693" w:type="pct"/>
            <w:tcBorders>
              <w:tl2br w:val="nil"/>
              <w:tr2bl w:val="nil"/>
            </w:tcBorders>
            <w:vAlign w:val="center"/>
          </w:tcPr>
          <w:p w14:paraId="2372E419">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生活区污水自排后进入管道，最终排入尾矿库。</w:t>
            </w:r>
          </w:p>
        </w:tc>
        <w:tc>
          <w:tcPr>
            <w:tcW w:w="2100" w:type="pct"/>
            <w:tcBorders>
              <w:tl2br w:val="nil"/>
              <w:tr2bl w:val="nil"/>
            </w:tcBorders>
            <w:shd w:val="clear" w:color="auto" w:fill="auto"/>
            <w:vAlign w:val="center"/>
          </w:tcPr>
          <w:p w14:paraId="6428AC05">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eastAsia="宋体" w:cs="Courier New"/>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生活区新建一套</w:t>
            </w:r>
            <w:r>
              <w:rPr>
                <w:rFonts w:ascii="Times New Roman" w:hAnsi="Times New Roman"/>
                <w:color w:val="000000" w:themeColor="text1"/>
                <w:sz w:val="21"/>
                <w:szCs w:val="21"/>
                <w:highlight w:val="none"/>
                <w14:textFill>
                  <w14:solidFill>
                    <w14:schemeClr w14:val="tx1"/>
                  </w14:solidFill>
                </w14:textFill>
              </w:rPr>
              <w:t>地埋式一体化生活污水处理设施，</w:t>
            </w:r>
            <w:r>
              <w:rPr>
                <w:rFonts w:hint="eastAsia" w:ascii="Times New Roman" w:hAnsi="Times New Roman"/>
                <w:color w:val="000000" w:themeColor="text1"/>
                <w:sz w:val="21"/>
                <w:szCs w:val="21"/>
                <w:highlight w:val="none"/>
                <w14:textFill>
                  <w14:solidFill>
                    <w14:schemeClr w14:val="tx1"/>
                  </w14:solidFill>
                </w14:textFill>
              </w:rPr>
              <w:t>处理生活区内的生活污水，生活污水经处理达到《农村生活污水处理排放标准》（DB65 4275-2019）表2规定的A级排放限值以及《城市污水再生利用 城市杂用水水质》（GB/T18920-2020）中的城市绿化、道路清扫、消防、建筑施工限值后用于选矿生产工序循环利用及绿化，不外排。</w:t>
            </w:r>
          </w:p>
        </w:tc>
        <w:tc>
          <w:tcPr>
            <w:tcW w:w="404" w:type="pct"/>
            <w:tcBorders>
              <w:tl2br w:val="nil"/>
              <w:tr2bl w:val="nil"/>
            </w:tcBorders>
            <w:vAlign w:val="center"/>
          </w:tcPr>
          <w:p w14:paraId="000CB145">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新建</w:t>
            </w:r>
          </w:p>
        </w:tc>
      </w:tr>
      <w:tr w14:paraId="1DDB6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20E45BF4">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556" w:type="pct"/>
            <w:gridSpan w:val="2"/>
            <w:tcBorders>
              <w:tl2br w:val="nil"/>
              <w:tr2bl w:val="nil"/>
            </w:tcBorders>
            <w:vAlign w:val="center"/>
          </w:tcPr>
          <w:p w14:paraId="550E12A4">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供热工程</w:t>
            </w:r>
          </w:p>
        </w:tc>
        <w:tc>
          <w:tcPr>
            <w:tcW w:w="1693" w:type="pct"/>
            <w:tcBorders>
              <w:tl2br w:val="nil"/>
              <w:tr2bl w:val="nil"/>
            </w:tcBorders>
            <w:vAlign w:val="center"/>
          </w:tcPr>
          <w:p w14:paraId="4163C66E">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一台型号为CLSG-W-0.3MW的燃煤立式锅炉，一台型号为CLSG-W-0.2MW的燃煤立式锅炉，用于生活区采暖。</w:t>
            </w:r>
          </w:p>
        </w:tc>
        <w:tc>
          <w:tcPr>
            <w:tcW w:w="2100" w:type="pct"/>
            <w:tcBorders>
              <w:tl2br w:val="nil"/>
              <w:tr2bl w:val="nil"/>
            </w:tcBorders>
            <w:vAlign w:val="center"/>
          </w:tcPr>
          <w:p w14:paraId="77366DEC">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color w:val="000000" w:themeColor="text1"/>
                <w:sz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原有燃煤锅炉已拆除。</w:t>
            </w:r>
            <w:r>
              <w:rPr>
                <w:rFonts w:hint="eastAsia" w:ascii="Times New Roman" w:hAnsi="Times New Roman" w:eastAsia="宋体"/>
                <w:color w:val="000000" w:themeColor="text1"/>
                <w:sz w:val="21"/>
                <w:szCs w:val="21"/>
                <w:highlight w:val="none"/>
                <w:lang w:eastAsia="zh-CN"/>
                <w14:textFill>
                  <w14:solidFill>
                    <w14:schemeClr w14:val="tx1"/>
                  </w14:solidFill>
                </w14:textFill>
              </w:rPr>
              <w:t>矿山配备有两台1.4MW电加热锅炉，最大供热负荷为2.8MW，采用直接供暖的方式。</w:t>
            </w:r>
          </w:p>
        </w:tc>
        <w:tc>
          <w:tcPr>
            <w:tcW w:w="404" w:type="pct"/>
            <w:tcBorders>
              <w:tl2br w:val="nil"/>
              <w:tr2bl w:val="nil"/>
            </w:tcBorders>
            <w:vAlign w:val="center"/>
          </w:tcPr>
          <w:p w14:paraId="4A7DE845">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eastAsia" w:ascii="Times New Roman" w:hAnsi="Times New Roman" w:eastAsia="宋体"/>
                <w:color w:val="000000" w:themeColor="text1"/>
                <w:sz w:val="21"/>
                <w:highlight w:val="none"/>
                <w:lang w:eastAsia="zh-CN"/>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新建</w:t>
            </w:r>
          </w:p>
        </w:tc>
      </w:tr>
      <w:tr w14:paraId="7D67B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66CD8B8F">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556" w:type="pct"/>
            <w:gridSpan w:val="2"/>
            <w:tcBorders>
              <w:tl2br w:val="nil"/>
              <w:tr2bl w:val="nil"/>
            </w:tcBorders>
            <w:vAlign w:val="center"/>
          </w:tcPr>
          <w:p w14:paraId="2A8FFAD8">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供电工程</w:t>
            </w:r>
          </w:p>
        </w:tc>
        <w:tc>
          <w:tcPr>
            <w:tcW w:w="1693" w:type="pct"/>
            <w:tcBorders>
              <w:tl2br w:val="nil"/>
              <w:tr2bl w:val="nil"/>
            </w:tcBorders>
            <w:vAlign w:val="center"/>
          </w:tcPr>
          <w:p w14:paraId="6D816616">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设有一台容量为3150kVA的变压器和一台容量为1000kVA的变压器，使得来源于雅满苏变电所高压电从35kV降至10kV，再从10kV降至380V。</w:t>
            </w:r>
          </w:p>
        </w:tc>
        <w:tc>
          <w:tcPr>
            <w:tcW w:w="2100" w:type="pct"/>
            <w:tcBorders>
              <w:tl2br w:val="nil"/>
              <w:tr2bl w:val="nil"/>
            </w:tcBorders>
            <w:vAlign w:val="center"/>
          </w:tcPr>
          <w:p w14:paraId="23F55A3D">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color w:val="000000" w:themeColor="text1"/>
                <w:sz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lang w:eastAsia="zh-CN"/>
                <w14:textFill>
                  <w14:solidFill>
                    <w14:schemeClr w14:val="tx1"/>
                  </w14:solidFill>
                </w14:textFill>
              </w:rPr>
              <w:t>矿区</w:t>
            </w:r>
            <w:r>
              <w:rPr>
                <w:rFonts w:hint="eastAsia" w:ascii="Times New Roman" w:hAnsi="Times New Roman"/>
                <w:color w:val="000000" w:themeColor="text1"/>
                <w:sz w:val="21"/>
                <w:szCs w:val="21"/>
                <w:highlight w:val="none"/>
                <w14:textFill>
                  <w14:solidFill>
                    <w14:schemeClr w14:val="tx1"/>
                  </w14:solidFill>
                </w14:textFill>
              </w:rPr>
              <w:t>供电电源来自哈密市雅满苏变电所及35kV输电线路。选矿厂主厂房附近的变配电室内，变压器出口电压0.4kV。</w:t>
            </w:r>
          </w:p>
        </w:tc>
        <w:tc>
          <w:tcPr>
            <w:tcW w:w="404" w:type="pct"/>
            <w:tcBorders>
              <w:tl2br w:val="nil"/>
              <w:tr2bl w:val="nil"/>
            </w:tcBorders>
            <w:vAlign w:val="center"/>
          </w:tcPr>
          <w:p w14:paraId="5A83AC9B">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eastAsia" w:ascii="Times New Roman" w:hAnsi="Times New Roman" w:eastAsia="宋体"/>
                <w:color w:val="000000" w:themeColor="text1"/>
                <w:sz w:val="21"/>
                <w:highlight w:val="none"/>
                <w:lang w:eastAsia="zh-CN"/>
                <w14:textFill>
                  <w14:solidFill>
                    <w14:schemeClr w14:val="tx1"/>
                  </w14:solidFill>
                </w14:textFill>
              </w:rPr>
            </w:pPr>
            <w:r>
              <w:rPr>
                <w:rFonts w:hint="eastAsia" w:ascii="Times New Roman" w:hAnsi="Times New Roman"/>
                <w:color w:val="000000" w:themeColor="text1"/>
                <w:sz w:val="21"/>
                <w:highlight w:val="none"/>
                <w:lang w:eastAsia="zh-CN"/>
                <w14:textFill>
                  <w14:solidFill>
                    <w14:schemeClr w14:val="tx1"/>
                  </w14:solidFill>
                </w14:textFill>
              </w:rPr>
              <w:t>利旧</w:t>
            </w:r>
          </w:p>
        </w:tc>
      </w:tr>
      <w:tr w14:paraId="4ECFF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restart"/>
            <w:tcBorders>
              <w:tl2br w:val="nil"/>
              <w:tr2bl w:val="nil"/>
            </w:tcBorders>
            <w:vAlign w:val="center"/>
          </w:tcPr>
          <w:p w14:paraId="4240624A">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r>
              <w:rPr>
                <w:rFonts w:hint="eastAsia" w:ascii="Times New Roman" w:hAnsi="Times New Roman" w:cs="Times New Roman"/>
                <w:bCs/>
                <w:color w:val="000000" w:themeColor="text1"/>
                <w:sz w:val="21"/>
                <w:highlight w:val="none"/>
                <w14:textFill>
                  <w14:solidFill>
                    <w14:schemeClr w14:val="tx1"/>
                  </w14:solidFill>
                </w14:textFill>
              </w:rPr>
              <w:t>储运工程</w:t>
            </w:r>
          </w:p>
        </w:tc>
        <w:tc>
          <w:tcPr>
            <w:tcW w:w="556" w:type="pct"/>
            <w:gridSpan w:val="2"/>
            <w:tcBorders>
              <w:tl2br w:val="nil"/>
              <w:tr2bl w:val="nil"/>
            </w:tcBorders>
            <w:vAlign w:val="center"/>
          </w:tcPr>
          <w:p w14:paraId="0BDA8FA9">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道路</w:t>
            </w:r>
          </w:p>
        </w:tc>
        <w:tc>
          <w:tcPr>
            <w:tcW w:w="1693" w:type="pct"/>
            <w:tcBorders>
              <w:tl2br w:val="nil"/>
              <w:tr2bl w:val="nil"/>
            </w:tcBorders>
            <w:vAlign w:val="center"/>
          </w:tcPr>
          <w:p w14:paraId="4A323DEB">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/（原环评无相关描述）</w:t>
            </w:r>
          </w:p>
        </w:tc>
        <w:tc>
          <w:tcPr>
            <w:tcW w:w="2100" w:type="pct"/>
            <w:tcBorders>
              <w:tl2br w:val="nil"/>
              <w:tr2bl w:val="nil"/>
            </w:tcBorders>
            <w:vAlign w:val="center"/>
          </w:tcPr>
          <w:p w14:paraId="41F8B955">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color w:val="000000" w:themeColor="text1"/>
                <w:sz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规划矿山道路长约350m，基宽6m，路面宽4m，占地面积0.21hm</w:t>
            </w:r>
            <w:r>
              <w:rPr>
                <w:rFonts w:hint="default" w:ascii="Times New Roman" w:hAnsi="Times New Roman"/>
                <w:color w:val="000000" w:themeColor="text1"/>
                <w:sz w:val="21"/>
                <w:szCs w:val="21"/>
                <w:highlight w:val="none"/>
                <w:vertAlign w:val="superscript"/>
                <w14:textFill>
                  <w14:solidFill>
                    <w14:schemeClr w14:val="tx1"/>
                  </w14:solidFill>
                </w14:textFill>
              </w:rPr>
              <w:t>2</w:t>
            </w:r>
            <w:r>
              <w:rPr>
                <w:rFonts w:hint="eastAsia" w:ascii="Times New Roman" w:hAnsi="Times New Roman"/>
                <w:color w:val="000000" w:themeColor="text1"/>
                <w:sz w:val="21"/>
                <w:szCs w:val="21"/>
                <w:highlight w:val="none"/>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原矿、铁精粉均采用车辆运输。</w:t>
            </w:r>
          </w:p>
        </w:tc>
        <w:tc>
          <w:tcPr>
            <w:tcW w:w="404" w:type="pct"/>
            <w:tcBorders>
              <w:tl2br w:val="nil"/>
              <w:tr2bl w:val="nil"/>
            </w:tcBorders>
            <w:vAlign w:val="center"/>
          </w:tcPr>
          <w:p w14:paraId="25B9E3E9">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eastAsia" w:ascii="Times New Roman" w:hAnsi="Times New Roman" w:eastAsia="宋体"/>
                <w:color w:val="000000" w:themeColor="text1"/>
                <w:sz w:val="21"/>
                <w:highlight w:val="none"/>
                <w:lang w:eastAsia="zh-CN"/>
                <w14:textFill>
                  <w14:solidFill>
                    <w14:schemeClr w14:val="tx1"/>
                  </w14:solidFill>
                </w14:textFill>
              </w:rPr>
            </w:pPr>
            <w:r>
              <w:rPr>
                <w:rFonts w:hint="eastAsia" w:ascii="Times New Roman" w:hAnsi="Times New Roman"/>
                <w:color w:val="000000" w:themeColor="text1"/>
                <w:sz w:val="21"/>
                <w:highlight w:val="none"/>
                <w:lang w:eastAsia="zh-CN"/>
                <w14:textFill>
                  <w14:solidFill>
                    <w14:schemeClr w14:val="tx1"/>
                  </w14:solidFill>
                </w14:textFill>
              </w:rPr>
              <w:t>新建</w:t>
            </w:r>
          </w:p>
        </w:tc>
      </w:tr>
      <w:tr w14:paraId="0EE4F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65BE158C">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556" w:type="pct"/>
            <w:gridSpan w:val="2"/>
            <w:tcBorders>
              <w:tl2br w:val="nil"/>
              <w:tr2bl w:val="nil"/>
            </w:tcBorders>
            <w:vAlign w:val="center"/>
          </w:tcPr>
          <w:p w14:paraId="3DA11F35">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eastAsia" w:ascii="Times New Roman" w:hAnsi="Times New Roman" w:eastAsia="宋体" w:cs="Times New Roman"/>
                <w:color w:val="000000" w:themeColor="text1"/>
                <w:sz w:val="21"/>
                <w:highlight w:val="none"/>
                <w:lang w:eastAsia="zh-CN"/>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精矿</w:t>
            </w:r>
            <w:r>
              <w:rPr>
                <w:rFonts w:hint="eastAsia" w:ascii="Times New Roman" w:hAnsi="Times New Roman" w:cs="Times New Roman"/>
                <w:color w:val="000000" w:themeColor="text1"/>
                <w:sz w:val="21"/>
                <w:highlight w:val="none"/>
                <w:lang w:eastAsia="zh-CN"/>
                <w14:textFill>
                  <w14:solidFill>
                    <w14:schemeClr w14:val="tx1"/>
                  </w14:solidFill>
                </w14:textFill>
              </w:rPr>
              <w:t>库</w:t>
            </w:r>
          </w:p>
        </w:tc>
        <w:tc>
          <w:tcPr>
            <w:tcW w:w="1693" w:type="pct"/>
            <w:tcBorders>
              <w:tl2br w:val="nil"/>
              <w:tr2bl w:val="nil"/>
            </w:tcBorders>
            <w:vAlign w:val="center"/>
          </w:tcPr>
          <w:p w14:paraId="41687F5C">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ascii="Times New Roman" w:hAnsi="Times New Roman" w:eastAsia="宋体"/>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olor w:val="000000" w:themeColor="text1"/>
                <w:sz w:val="21"/>
                <w:szCs w:val="21"/>
                <w:highlight w:val="none"/>
                <w:vertAlign w:val="baseline"/>
                <w:lang w:val="en-US" w:eastAsia="zh-CN"/>
                <w14:textFill>
                  <w14:solidFill>
                    <w14:schemeClr w14:val="tx1"/>
                  </w14:solidFill>
                </w14:textFill>
              </w:rPr>
              <w:t>铁精粉堆场一处，占地面积10000m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2</w:t>
            </w:r>
          </w:p>
        </w:tc>
        <w:tc>
          <w:tcPr>
            <w:tcW w:w="2100" w:type="pct"/>
            <w:tcBorders>
              <w:tl2br w:val="nil"/>
              <w:tr2bl w:val="nil"/>
            </w:tcBorders>
            <w:vAlign w:val="center"/>
          </w:tcPr>
          <w:p w14:paraId="69507C9C">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color w:val="000000" w:themeColor="text1"/>
                <w:sz w:val="21"/>
                <w:highlight w:val="none"/>
                <w:lang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铁精矿</w:t>
            </w:r>
            <w:r>
              <w:rPr>
                <w:rFonts w:hint="eastAsia" w:ascii="Times New Roman" w:hAnsi="Times New Roman"/>
                <w:color w:val="000000" w:themeColor="text1"/>
                <w:sz w:val="21"/>
                <w:szCs w:val="21"/>
                <w:highlight w:val="none"/>
                <w:lang w:eastAsia="zh-CN"/>
                <w14:textFill>
                  <w14:solidFill>
                    <w14:schemeClr w14:val="tx1"/>
                  </w14:solidFill>
                </w14:textFill>
              </w:rPr>
              <w:t>库</w:t>
            </w:r>
            <w:r>
              <w:rPr>
                <w:rFonts w:hint="eastAsia" w:ascii="Times New Roman" w:hAnsi="Times New Roman"/>
                <w:color w:val="000000" w:themeColor="text1"/>
                <w:sz w:val="21"/>
                <w:szCs w:val="21"/>
                <w:highlight w:val="none"/>
                <w:lang w:val="en-US" w:eastAsia="zh-CN"/>
                <w14:textFill>
                  <w14:solidFill>
                    <w14:schemeClr w14:val="tx1"/>
                  </w14:solidFill>
                </w14:textFill>
              </w:rPr>
              <w:t>一座，封闭式，用于临时贮存铁精粉，</w:t>
            </w:r>
            <w:r>
              <w:rPr>
                <w:rFonts w:hint="eastAsia" w:ascii="Times New Roman" w:hAnsi="Times New Roman"/>
                <w:color w:val="000000" w:themeColor="text1"/>
                <w:sz w:val="21"/>
                <w:szCs w:val="21"/>
                <w:highlight w:val="none"/>
                <w:lang w:eastAsia="zh-CN"/>
                <w14:textFill>
                  <w14:solidFill>
                    <w14:schemeClr w14:val="tx1"/>
                  </w14:solidFill>
                </w14:textFill>
              </w:rPr>
              <w:t>占地面积</w:t>
            </w:r>
            <w:r>
              <w:rPr>
                <w:rFonts w:hint="eastAsia" w:ascii="Times New Roman" w:hAnsi="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color w:val="000000" w:themeColor="text1"/>
                <w:sz w:val="21"/>
                <w:szCs w:val="21"/>
                <w:highlight w:val="none"/>
                <w14:textFill>
                  <w14:solidFill>
                    <w14:schemeClr w14:val="tx1"/>
                  </w14:solidFill>
                </w14:textFill>
              </w:rPr>
              <w:t>000m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olor w:val="000000" w:themeColor="text1"/>
                <w:sz w:val="21"/>
                <w:szCs w:val="21"/>
                <w:highlight w:val="none"/>
                <w:vertAlign w:val="baseline"/>
                <w:lang w:val="en-US" w:eastAsia="zh-CN"/>
                <w14:textFill>
                  <w14:solidFill>
                    <w14:schemeClr w14:val="tx1"/>
                  </w14:solidFill>
                </w14:textFill>
              </w:rPr>
              <w:t>。</w:t>
            </w:r>
          </w:p>
        </w:tc>
        <w:tc>
          <w:tcPr>
            <w:tcW w:w="404" w:type="pct"/>
            <w:tcBorders>
              <w:tl2br w:val="nil"/>
              <w:tr2bl w:val="nil"/>
            </w:tcBorders>
            <w:vAlign w:val="center"/>
          </w:tcPr>
          <w:p w14:paraId="3169F7B0">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eastAsia" w:ascii="Times New Roman" w:hAnsi="Times New Roman" w:eastAsia="宋体"/>
                <w:color w:val="000000" w:themeColor="text1"/>
                <w:sz w:val="21"/>
                <w:highlight w:val="none"/>
                <w:lang w:eastAsia="zh-CN"/>
                <w14:textFill>
                  <w14:solidFill>
                    <w14:schemeClr w14:val="tx1"/>
                  </w14:solidFill>
                </w14:textFill>
              </w:rPr>
            </w:pPr>
            <w:r>
              <w:rPr>
                <w:rFonts w:hint="eastAsia" w:ascii="Times New Roman" w:hAnsi="Times New Roman"/>
                <w:color w:val="000000" w:themeColor="text1"/>
                <w:sz w:val="21"/>
                <w:highlight w:val="none"/>
                <w:lang w:eastAsia="zh-CN"/>
                <w14:textFill>
                  <w14:solidFill>
                    <w14:schemeClr w14:val="tx1"/>
                  </w14:solidFill>
                </w14:textFill>
              </w:rPr>
              <w:t>新建</w:t>
            </w:r>
          </w:p>
        </w:tc>
      </w:tr>
      <w:tr w14:paraId="2378A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4CC0297F">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556" w:type="pct"/>
            <w:gridSpan w:val="2"/>
            <w:tcBorders>
              <w:tl2br w:val="nil"/>
              <w:tr2bl w:val="nil"/>
            </w:tcBorders>
            <w:vAlign w:val="center"/>
          </w:tcPr>
          <w:p w14:paraId="28F25A66">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原矿仓</w:t>
            </w:r>
          </w:p>
        </w:tc>
        <w:tc>
          <w:tcPr>
            <w:tcW w:w="1693" w:type="pct"/>
            <w:tcBorders>
              <w:tl2br w:val="nil"/>
              <w:tr2bl w:val="nil"/>
            </w:tcBorders>
            <w:vAlign w:val="center"/>
          </w:tcPr>
          <w:p w14:paraId="26AEDED5">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原矿堆放地一处，占地面积2500m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2</w:t>
            </w:r>
          </w:p>
        </w:tc>
        <w:tc>
          <w:tcPr>
            <w:tcW w:w="2100" w:type="pct"/>
            <w:tcBorders>
              <w:tl2br w:val="nil"/>
              <w:tr2bl w:val="nil"/>
            </w:tcBorders>
            <w:vAlign w:val="center"/>
          </w:tcPr>
          <w:p w14:paraId="67AD2950">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eastAsia" w:ascii="Times New Roman" w:hAnsi="Times New Roman"/>
                <w:color w:val="000000" w:themeColor="text1"/>
                <w:sz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新建一座原矿仓，占地面积100m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olor w:val="000000" w:themeColor="text1"/>
                <w:sz w:val="21"/>
                <w:szCs w:val="21"/>
                <w:highlight w:val="none"/>
                <w:vertAlign w:val="baseline"/>
                <w:lang w:val="en-US" w:eastAsia="zh-CN"/>
                <w14:textFill>
                  <w14:solidFill>
                    <w14:schemeClr w14:val="tx1"/>
                  </w14:solidFill>
                </w14:textFill>
              </w:rPr>
              <w:t>，可临时堆存500~700m</w:t>
            </w:r>
            <w:r>
              <w:rPr>
                <w:rFonts w:hint="eastAsia" w:ascii="Times New Roman" w:hAnsi="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21"/>
                <w:szCs w:val="21"/>
                <w:highlight w:val="none"/>
                <w:vertAlign w:val="baseline"/>
                <w:lang w:val="en-US" w:eastAsia="zh-CN"/>
                <w14:textFill>
                  <w14:solidFill>
                    <w14:schemeClr w14:val="tx1"/>
                  </w14:solidFill>
                </w14:textFill>
              </w:rPr>
              <w:t>原矿。</w:t>
            </w:r>
          </w:p>
        </w:tc>
        <w:tc>
          <w:tcPr>
            <w:tcW w:w="404" w:type="pct"/>
            <w:tcBorders>
              <w:tl2br w:val="nil"/>
              <w:tr2bl w:val="nil"/>
            </w:tcBorders>
            <w:vAlign w:val="center"/>
          </w:tcPr>
          <w:p w14:paraId="216F2BC4">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default" w:ascii="Times New Roman" w:hAnsi="Times New Roman"/>
                <w:color w:val="000000" w:themeColor="text1"/>
                <w:sz w:val="21"/>
                <w:highlight w:val="none"/>
                <w:lang w:val="en-US" w:eastAsia="zh-CN"/>
                <w14:textFill>
                  <w14:solidFill>
                    <w14:schemeClr w14:val="tx1"/>
                  </w14:solidFill>
                </w14:textFill>
              </w:rPr>
            </w:pPr>
            <w:r>
              <w:rPr>
                <w:rFonts w:hint="eastAsia" w:ascii="Times New Roman" w:hAnsi="Times New Roman"/>
                <w:color w:val="000000" w:themeColor="text1"/>
                <w:sz w:val="21"/>
                <w:highlight w:val="none"/>
                <w:lang w:val="en-US" w:eastAsia="zh-CN"/>
                <w14:textFill>
                  <w14:solidFill>
                    <w14:schemeClr w14:val="tx1"/>
                  </w14:solidFill>
                </w14:textFill>
              </w:rPr>
              <w:t>新建</w:t>
            </w:r>
          </w:p>
        </w:tc>
      </w:tr>
      <w:tr w14:paraId="6BD55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restart"/>
            <w:tcBorders>
              <w:tl2br w:val="nil"/>
              <w:tr2bl w:val="nil"/>
            </w:tcBorders>
            <w:vAlign w:val="center"/>
          </w:tcPr>
          <w:p w14:paraId="1F64DBB5">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r>
              <w:rPr>
                <w:rFonts w:hint="eastAsia" w:ascii="Times New Roman" w:hAnsi="Times New Roman" w:cs="Times New Roman"/>
                <w:bCs/>
                <w:color w:val="000000" w:themeColor="text1"/>
                <w:sz w:val="21"/>
                <w:highlight w:val="none"/>
                <w14:textFill>
                  <w14:solidFill>
                    <w14:schemeClr w14:val="tx1"/>
                  </w14:solidFill>
                </w14:textFill>
              </w:rPr>
              <w:t>环保工程</w:t>
            </w:r>
          </w:p>
        </w:tc>
        <w:tc>
          <w:tcPr>
            <w:tcW w:w="556" w:type="pct"/>
            <w:gridSpan w:val="2"/>
            <w:tcBorders>
              <w:tl2br w:val="nil"/>
              <w:tr2bl w:val="nil"/>
            </w:tcBorders>
            <w:vAlign w:val="center"/>
          </w:tcPr>
          <w:p w14:paraId="030E054C">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废气处理</w:t>
            </w:r>
          </w:p>
        </w:tc>
        <w:tc>
          <w:tcPr>
            <w:tcW w:w="1693" w:type="pct"/>
            <w:tcBorders>
              <w:tl2br w:val="nil"/>
              <w:tr2bl w:val="nil"/>
            </w:tcBorders>
            <w:vAlign w:val="center"/>
          </w:tcPr>
          <w:p w14:paraId="0A68E380">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cs="宋体"/>
                <w:color w:val="000000" w:themeColor="text1"/>
                <w:sz w:val="21"/>
                <w:szCs w:val="21"/>
                <w:highlight w:val="none"/>
                <w:lang w:val="en-US" w:eastAsia="zh-CN"/>
                <w14:textFill>
                  <w14:solidFill>
                    <w14:schemeClr w14:val="tx1"/>
                  </w14:solidFill>
                </w14:textFill>
              </w:rPr>
              <w:t>破碎筛分工段设置密闭罩、抽风装置和除尘设施，并辅以防尘喷雾设施。</w:t>
            </w:r>
          </w:p>
        </w:tc>
        <w:tc>
          <w:tcPr>
            <w:tcW w:w="2100" w:type="pct"/>
            <w:tcBorders>
              <w:tl2br w:val="nil"/>
              <w:tr2bl w:val="nil"/>
            </w:tcBorders>
            <w:shd w:val="clear" w:color="auto" w:fill="auto"/>
            <w:vAlign w:val="center"/>
          </w:tcPr>
          <w:p w14:paraId="24DF67EA">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新建</w:t>
            </w:r>
            <w:r>
              <w:rPr>
                <w:rFonts w:hint="eastAsia" w:ascii="Times New Roman" w:hAnsi="Times New Roman" w:cs="宋体"/>
                <w:color w:val="000000" w:themeColor="text1"/>
                <w:sz w:val="21"/>
                <w:szCs w:val="21"/>
                <w:highlight w:val="none"/>
                <w:lang w:eastAsia="zh-CN"/>
                <w14:textFill>
                  <w14:solidFill>
                    <w14:schemeClr w14:val="tx1"/>
                  </w14:solidFill>
                </w14:textFill>
              </w:rPr>
              <w:t>破碎筛分</w:t>
            </w:r>
            <w:r>
              <w:rPr>
                <w:rFonts w:hint="eastAsia" w:ascii="Times New Roman" w:hAnsi="Times New Roman" w:cs="宋体"/>
                <w:color w:val="000000" w:themeColor="text1"/>
                <w:sz w:val="21"/>
                <w:szCs w:val="21"/>
                <w:highlight w:val="none"/>
                <w14:textFill>
                  <w14:solidFill>
                    <w14:schemeClr w14:val="tx1"/>
                  </w14:solidFill>
                </w14:textFill>
              </w:rPr>
              <w:t>辊磨布袋除尘系统</w:t>
            </w:r>
            <w:r>
              <w:rPr>
                <w:rFonts w:hint="eastAsia" w:ascii="Times New Roman" w:hAnsi="Times New Roman" w:cs="宋体"/>
                <w:color w:val="000000" w:themeColor="text1"/>
                <w:sz w:val="21"/>
                <w:szCs w:val="21"/>
                <w:highlight w:val="none"/>
                <w:lang w:eastAsia="zh-CN"/>
                <w14:textFill>
                  <w14:solidFill>
                    <w14:schemeClr w14:val="tx1"/>
                  </w14:solidFill>
                </w14:textFill>
              </w:rPr>
              <w:t>，</w:t>
            </w:r>
            <w:r>
              <w:rPr>
                <w:rFonts w:hint="eastAsia" w:ascii="Times New Roman" w:hAnsi="Times New Roman" w:cs="宋体"/>
                <w:color w:val="000000" w:themeColor="text1"/>
                <w:sz w:val="21"/>
                <w:szCs w:val="21"/>
                <w:highlight w:val="none"/>
                <w14:textFill>
                  <w14:solidFill>
                    <w14:schemeClr w14:val="tx1"/>
                  </w14:solidFill>
                </w14:textFill>
              </w:rPr>
              <w:t>各环节粉尘经布袋除尘器除尘后通过15m高排气筒排放</w:t>
            </w:r>
            <w:r>
              <w:rPr>
                <w:rFonts w:hint="eastAsia" w:ascii="Times New Roman" w:hAnsi="Times New Roman" w:cs="宋体"/>
                <w:color w:val="000000" w:themeColor="text1"/>
                <w:sz w:val="21"/>
                <w:szCs w:val="21"/>
                <w:highlight w:val="none"/>
                <w:lang w:eastAsia="zh-CN"/>
                <w14:textFill>
                  <w14:solidFill>
                    <w14:schemeClr w14:val="tx1"/>
                  </w14:solidFill>
                </w14:textFill>
              </w:rPr>
              <w:t>，采用湿式</w:t>
            </w:r>
            <w:r>
              <w:rPr>
                <w:rFonts w:hint="eastAsia" w:ascii="Times New Roman" w:hAnsi="Times New Roman" w:cs="宋体"/>
                <w:color w:val="000000" w:themeColor="text1"/>
                <w:sz w:val="21"/>
                <w:szCs w:val="21"/>
                <w:highlight w:val="none"/>
                <w14:textFill>
                  <w14:solidFill>
                    <w14:schemeClr w14:val="tx1"/>
                  </w14:solidFill>
                </w14:textFill>
              </w:rPr>
              <w:t>磨矿；运输扬尘</w:t>
            </w:r>
            <w:r>
              <w:rPr>
                <w:rFonts w:hint="eastAsia" w:ascii="Times New Roman" w:hAnsi="Times New Roman" w:cs="宋体"/>
                <w:color w:val="000000" w:themeColor="text1"/>
                <w:sz w:val="21"/>
                <w:szCs w:val="21"/>
                <w:highlight w:val="none"/>
                <w:lang w:eastAsia="zh-CN"/>
                <w14:textFill>
                  <w14:solidFill>
                    <w14:schemeClr w14:val="tx1"/>
                  </w14:solidFill>
                </w14:textFill>
              </w:rPr>
              <w:t>采取</w:t>
            </w:r>
            <w:r>
              <w:rPr>
                <w:rFonts w:hint="eastAsia" w:ascii="Times New Roman" w:hAnsi="Times New Roman" w:cs="宋体"/>
                <w:color w:val="000000" w:themeColor="text1"/>
                <w:sz w:val="21"/>
                <w:szCs w:val="21"/>
                <w:highlight w:val="none"/>
                <w14:textFill>
                  <w14:solidFill>
                    <w14:schemeClr w14:val="tx1"/>
                  </w14:solidFill>
                </w14:textFill>
              </w:rPr>
              <w:t>洒水降尘、车辆限速；保持尾矿湿润，减少扬尘。</w:t>
            </w:r>
          </w:p>
        </w:tc>
        <w:tc>
          <w:tcPr>
            <w:tcW w:w="404" w:type="pct"/>
            <w:tcBorders>
              <w:tl2br w:val="nil"/>
              <w:tr2bl w:val="nil"/>
            </w:tcBorders>
            <w:vAlign w:val="center"/>
          </w:tcPr>
          <w:p w14:paraId="76EC9B9D">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宋体"/>
                <w:color w:val="000000" w:themeColor="text1"/>
                <w:sz w:val="21"/>
                <w:highlight w:val="none"/>
                <w14:textFill>
                  <w14:solidFill>
                    <w14:schemeClr w14:val="tx1"/>
                  </w14:solidFill>
                </w14:textFill>
              </w:rPr>
            </w:pPr>
            <w:r>
              <w:rPr>
                <w:rFonts w:hint="eastAsia" w:ascii="Times New Roman" w:hAnsi="Times New Roman"/>
                <w:color w:val="000000" w:themeColor="text1"/>
                <w:sz w:val="21"/>
                <w:highlight w:val="none"/>
                <w14:textFill>
                  <w14:solidFill>
                    <w14:schemeClr w14:val="tx1"/>
                  </w14:solidFill>
                </w14:textFill>
              </w:rPr>
              <w:t>新建</w:t>
            </w:r>
          </w:p>
        </w:tc>
      </w:tr>
      <w:tr w14:paraId="57472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78FD2BD4">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556" w:type="pct"/>
            <w:gridSpan w:val="2"/>
            <w:tcBorders>
              <w:tl2br w:val="nil"/>
              <w:tr2bl w:val="nil"/>
            </w:tcBorders>
            <w:vAlign w:val="center"/>
          </w:tcPr>
          <w:p w14:paraId="5F05A9A6">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废水处理</w:t>
            </w:r>
          </w:p>
        </w:tc>
        <w:tc>
          <w:tcPr>
            <w:tcW w:w="1693" w:type="pct"/>
            <w:tcBorders>
              <w:tl2br w:val="nil"/>
              <w:tr2bl w:val="nil"/>
            </w:tcBorders>
            <w:vAlign w:val="center"/>
          </w:tcPr>
          <w:p w14:paraId="01FAC5C5">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选矿生产过程中所排放的尾矿水排入尾矿库，经沉淀从尾矿库抽回至清水池进行循环使用，不对外排放废水。生活区污水自排后进入管道，最终排入尾矿库。</w:t>
            </w:r>
          </w:p>
        </w:tc>
        <w:tc>
          <w:tcPr>
            <w:tcW w:w="2100" w:type="pct"/>
            <w:tcBorders>
              <w:tl2br w:val="nil"/>
              <w:tr2bl w:val="nil"/>
            </w:tcBorders>
            <w:shd w:val="clear" w:color="auto" w:fill="auto"/>
            <w:vAlign w:val="center"/>
          </w:tcPr>
          <w:p w14:paraId="03170F23">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生产废水循环使用，不外排</w:t>
            </w:r>
            <w:r>
              <w:rPr>
                <w:rFonts w:hint="eastAsia" w:ascii="Times New Roman" w:hAnsi="Times New Roman"/>
                <w:color w:val="000000" w:themeColor="text1"/>
                <w:sz w:val="21"/>
                <w:szCs w:val="21"/>
                <w:highlight w:val="none"/>
                <w:lang w:eastAsia="zh-CN"/>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生活污水通过下水管道进入</w:t>
            </w:r>
            <w:r>
              <w:rPr>
                <w:rFonts w:hint="eastAsia" w:ascii="Times New Roman" w:hAnsi="Times New Roman"/>
                <w:color w:val="000000" w:themeColor="text1"/>
                <w:sz w:val="21"/>
                <w:szCs w:val="21"/>
                <w:highlight w:val="none"/>
                <w14:textFill>
                  <w14:solidFill>
                    <w14:schemeClr w14:val="tx1"/>
                  </w14:solidFill>
                </w14:textFill>
              </w:rPr>
              <w:t>地埋式一体化处理设施</w:t>
            </w:r>
            <w:r>
              <w:rPr>
                <w:rFonts w:ascii="Times New Roman" w:hAnsi="Times New Roman" w:cs="Times New Roman"/>
                <w:color w:val="000000" w:themeColor="text1"/>
                <w:sz w:val="21"/>
                <w:szCs w:val="21"/>
                <w:highlight w:val="none"/>
                <w14:textFill>
                  <w14:solidFill>
                    <w14:schemeClr w14:val="tx1"/>
                  </w14:solidFill>
                </w14:textFill>
              </w:rPr>
              <w:t>处理</w:t>
            </w:r>
            <w:r>
              <w:rPr>
                <w:rFonts w:hint="eastAsia" w:ascii="Times New Roman" w:hAnsi="Times New Roman" w:cs="Times New Roman"/>
                <w:color w:val="000000" w:themeColor="text1"/>
                <w:sz w:val="21"/>
                <w:szCs w:val="21"/>
                <w:highlight w:val="none"/>
                <w14:textFill>
                  <w14:solidFill>
                    <w14:schemeClr w14:val="tx1"/>
                  </w14:solidFill>
                </w14:textFill>
              </w:rPr>
              <w:t>达标</w:t>
            </w:r>
            <w:r>
              <w:rPr>
                <w:rFonts w:ascii="Times New Roman" w:hAnsi="Times New Roman" w:cs="Times New Roman"/>
                <w:color w:val="000000" w:themeColor="text1"/>
                <w:sz w:val="21"/>
                <w:szCs w:val="21"/>
                <w:highlight w:val="none"/>
                <w14:textFill>
                  <w14:solidFill>
                    <w14:schemeClr w14:val="tx1"/>
                  </w14:solidFill>
                </w14:textFill>
              </w:rPr>
              <w:t>后</w:t>
            </w:r>
            <w:r>
              <w:rPr>
                <w:rFonts w:hint="eastAsia" w:ascii="Times New Roman" w:hAnsi="Times New Roman" w:cs="Times New Roman"/>
                <w:color w:val="000000" w:themeColor="text1"/>
                <w:sz w:val="21"/>
                <w:szCs w:val="21"/>
                <w:highlight w:val="none"/>
                <w14:textFill>
                  <w14:solidFill>
                    <w14:schemeClr w14:val="tx1"/>
                  </w14:solidFill>
                </w14:textFill>
              </w:rPr>
              <w:t>用于选矿生产工序循环利用及绿化，</w:t>
            </w:r>
            <w:r>
              <w:rPr>
                <w:rFonts w:ascii="Times New Roman" w:hAnsi="Times New Roman"/>
                <w:color w:val="000000" w:themeColor="text1"/>
                <w:sz w:val="21"/>
                <w:szCs w:val="21"/>
                <w:highlight w:val="none"/>
                <w14:textFill>
                  <w14:solidFill>
                    <w14:schemeClr w14:val="tx1"/>
                  </w14:solidFill>
                </w14:textFill>
              </w:rPr>
              <w:t>做到了零外排</w:t>
            </w:r>
            <w:r>
              <w:rPr>
                <w:rFonts w:hint="eastAsia" w:ascii="Times New Roman" w:hAnsi="Times New Roman"/>
                <w:color w:val="000000" w:themeColor="text1"/>
                <w:sz w:val="21"/>
                <w:szCs w:val="21"/>
                <w:highlight w:val="none"/>
                <w14:textFill>
                  <w14:solidFill>
                    <w14:schemeClr w14:val="tx1"/>
                  </w14:solidFill>
                </w14:textFill>
              </w:rPr>
              <w:t>。</w:t>
            </w:r>
          </w:p>
        </w:tc>
        <w:tc>
          <w:tcPr>
            <w:tcW w:w="404" w:type="pct"/>
            <w:tcBorders>
              <w:tl2br w:val="nil"/>
              <w:tr2bl w:val="nil"/>
            </w:tcBorders>
            <w:vAlign w:val="center"/>
          </w:tcPr>
          <w:p w14:paraId="7DA1FB0D">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宋体"/>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新建</w:t>
            </w:r>
          </w:p>
        </w:tc>
      </w:tr>
      <w:tr w14:paraId="52AB3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2E22F0DE">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556" w:type="pct"/>
            <w:gridSpan w:val="2"/>
            <w:tcBorders>
              <w:tl2br w:val="nil"/>
              <w:tr2bl w:val="nil"/>
            </w:tcBorders>
            <w:vAlign w:val="center"/>
          </w:tcPr>
          <w:p w14:paraId="74B53464">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噪声治理</w:t>
            </w:r>
          </w:p>
        </w:tc>
        <w:tc>
          <w:tcPr>
            <w:tcW w:w="1693" w:type="pct"/>
            <w:tcBorders>
              <w:tl2br w:val="nil"/>
              <w:tr2bl w:val="nil"/>
            </w:tcBorders>
            <w:vAlign w:val="center"/>
          </w:tcPr>
          <w:p w14:paraId="668E11C3">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厂房内隔声、减</w:t>
            </w:r>
            <w:r>
              <w:rPr>
                <w:rFonts w:hint="eastAsia" w:ascii="Times New Roman" w:hAnsi="Times New Roman" w:cs="宋体"/>
                <w:color w:val="000000" w:themeColor="text1"/>
                <w:sz w:val="21"/>
                <w:szCs w:val="21"/>
                <w:highlight w:val="none"/>
                <w:lang w:val="en-US" w:eastAsia="zh-CN"/>
                <w14:textFill>
                  <w14:solidFill>
                    <w14:schemeClr w14:val="tx1"/>
                  </w14:solidFill>
                </w14:textFill>
              </w:rPr>
              <w:t>振</w:t>
            </w:r>
          </w:p>
        </w:tc>
        <w:tc>
          <w:tcPr>
            <w:tcW w:w="2100" w:type="pct"/>
            <w:tcBorders>
              <w:tl2br w:val="nil"/>
              <w:tr2bl w:val="nil"/>
            </w:tcBorders>
            <w:shd w:val="clear" w:color="auto" w:fill="auto"/>
            <w:vAlign w:val="center"/>
          </w:tcPr>
          <w:p w14:paraId="21C5E4D1">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采用低噪声设备，选矿设备设置在厂房内隔声、减</w:t>
            </w:r>
            <w:r>
              <w:rPr>
                <w:rFonts w:hint="eastAsia" w:ascii="Times New Roman" w:hAnsi="Times New Roman" w:cs="宋体"/>
                <w:color w:val="000000" w:themeColor="text1"/>
                <w:sz w:val="21"/>
                <w:szCs w:val="21"/>
                <w:highlight w:val="none"/>
                <w:lang w:val="en-US" w:eastAsia="zh-CN"/>
                <w14:textFill>
                  <w14:solidFill>
                    <w14:schemeClr w14:val="tx1"/>
                  </w14:solidFill>
                </w14:textFill>
              </w:rPr>
              <w:t>振</w:t>
            </w:r>
            <w:r>
              <w:rPr>
                <w:rFonts w:hint="eastAsia" w:ascii="Times New Roman" w:hAnsi="Times New Roman" w:cs="宋体"/>
                <w:color w:val="000000" w:themeColor="text1"/>
                <w:sz w:val="21"/>
                <w:szCs w:val="21"/>
                <w:highlight w:val="none"/>
                <w14:textFill>
                  <w14:solidFill>
                    <w14:schemeClr w14:val="tx1"/>
                  </w14:solidFill>
                </w14:textFill>
              </w:rPr>
              <w:t>。采用弹性支承或弹性连接以减少振动。</w:t>
            </w:r>
          </w:p>
        </w:tc>
        <w:tc>
          <w:tcPr>
            <w:tcW w:w="404" w:type="pct"/>
            <w:tcBorders>
              <w:tl2br w:val="nil"/>
              <w:tr2bl w:val="nil"/>
            </w:tcBorders>
            <w:vAlign w:val="center"/>
          </w:tcPr>
          <w:p w14:paraId="5D35B0F9">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olor w:val="000000" w:themeColor="text1"/>
                <w:sz w:val="21"/>
                <w:highlight w:val="none"/>
                <w14:textFill>
                  <w14:solidFill>
                    <w14:schemeClr w14:val="tx1"/>
                  </w14:solidFill>
                </w14:textFill>
              </w:rPr>
            </w:pPr>
            <w:r>
              <w:rPr>
                <w:rFonts w:hint="eastAsia" w:ascii="Times New Roman" w:hAnsi="Times New Roman"/>
                <w:color w:val="000000" w:themeColor="text1"/>
                <w:sz w:val="21"/>
                <w:highlight w:val="none"/>
                <w14:textFill>
                  <w14:solidFill>
                    <w14:schemeClr w14:val="tx1"/>
                  </w14:solidFill>
                </w14:textFill>
              </w:rPr>
              <w:t>新建</w:t>
            </w:r>
          </w:p>
        </w:tc>
      </w:tr>
      <w:tr w14:paraId="3FCB9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7E2AF189">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556" w:type="pct"/>
            <w:gridSpan w:val="2"/>
            <w:tcBorders>
              <w:tl2br w:val="nil"/>
              <w:tr2bl w:val="nil"/>
            </w:tcBorders>
            <w:vAlign w:val="center"/>
          </w:tcPr>
          <w:p w14:paraId="6B5BFD99">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固体废物</w:t>
            </w:r>
          </w:p>
        </w:tc>
        <w:tc>
          <w:tcPr>
            <w:tcW w:w="1693" w:type="pct"/>
            <w:tcBorders>
              <w:tl2br w:val="nil"/>
              <w:tr2bl w:val="nil"/>
            </w:tcBorders>
            <w:vAlign w:val="center"/>
          </w:tcPr>
          <w:p w14:paraId="59942419">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锅炉灰渣和生活垃圾排入当地环保部门指定地点。</w:t>
            </w:r>
          </w:p>
        </w:tc>
        <w:tc>
          <w:tcPr>
            <w:tcW w:w="2100" w:type="pct"/>
            <w:tcBorders>
              <w:tl2br w:val="nil"/>
              <w:tr2bl w:val="nil"/>
            </w:tcBorders>
            <w:shd w:val="clear" w:color="auto" w:fill="auto"/>
            <w:vAlign w:val="center"/>
          </w:tcPr>
          <w:p w14:paraId="73F5DE19">
            <w:pPr>
              <w:pStyle w:val="14"/>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eastAsia="宋体" w:cs="Courier New"/>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尾矿排入尾矿库，尾矿库停运后随之封场。生活垃圾集中收集</w:t>
            </w:r>
            <w:r>
              <w:rPr>
                <w:rFonts w:ascii="Times New Roman" w:hAnsi="Times New Roman"/>
                <w:color w:val="000000" w:themeColor="text1"/>
                <w:sz w:val="21"/>
                <w:szCs w:val="21"/>
                <w:highlight w:val="none"/>
                <w14:textFill>
                  <w14:solidFill>
                    <w14:schemeClr w14:val="tx1"/>
                  </w14:solidFill>
                </w14:textFill>
              </w:rPr>
              <w:t>后</w:t>
            </w:r>
            <w:r>
              <w:rPr>
                <w:rFonts w:hint="eastAsia" w:ascii="Times New Roman" w:hAnsi="Times New Roman"/>
                <w:color w:val="000000" w:themeColor="text1"/>
                <w:sz w:val="21"/>
                <w:szCs w:val="21"/>
                <w:highlight w:val="none"/>
                <w14:textFill>
                  <w14:solidFill>
                    <w14:schemeClr w14:val="tx1"/>
                  </w14:solidFill>
                </w14:textFill>
              </w:rPr>
              <w:t>定期清运。选矿厂危险废物</w:t>
            </w:r>
            <w:r>
              <w:rPr>
                <w:rFonts w:hint="eastAsia" w:ascii="Times New Roman" w:hAnsi="Times New Roman"/>
                <w:color w:val="000000" w:themeColor="text1"/>
                <w:sz w:val="21"/>
                <w:szCs w:val="21"/>
                <w:highlight w:val="none"/>
                <w:lang w:eastAsia="zh-CN"/>
                <w14:textFill>
                  <w14:solidFill>
                    <w14:schemeClr w14:val="tx1"/>
                  </w14:solidFill>
                </w14:textFill>
              </w:rPr>
              <w:t>依托矿山危废贮存点贮存</w:t>
            </w:r>
            <w:r>
              <w:rPr>
                <w:rFonts w:hint="eastAsia" w:ascii="Times New Roman" w:hAnsi="Times New Roman"/>
                <w:color w:val="000000" w:themeColor="text1"/>
                <w:sz w:val="21"/>
                <w:szCs w:val="21"/>
                <w:highlight w:val="none"/>
                <w14:textFill>
                  <w14:solidFill>
                    <w14:schemeClr w14:val="tx1"/>
                  </w14:solidFill>
                </w14:textFill>
              </w:rPr>
              <w:t>，委托有资质单位处置。选矿除尘灰回用于选矿生产</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404" w:type="pct"/>
            <w:tcBorders>
              <w:tl2br w:val="nil"/>
              <w:tr2bl w:val="nil"/>
            </w:tcBorders>
            <w:vAlign w:val="center"/>
          </w:tcPr>
          <w:p w14:paraId="0E40E5F4">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default" w:ascii="Times New Roman" w:hAnsi="Times New Roman" w:eastAsia="宋体"/>
                <w:color w:val="000000" w:themeColor="text1"/>
                <w:sz w:val="21"/>
                <w:highlight w:val="none"/>
                <w:lang w:val="en-US" w:eastAsia="zh-CN"/>
                <w14:textFill>
                  <w14:solidFill>
                    <w14:schemeClr w14:val="tx1"/>
                  </w14:solidFill>
                </w14:textFill>
              </w:rPr>
            </w:pPr>
            <w:r>
              <w:rPr>
                <w:rFonts w:hint="eastAsia" w:ascii="Times New Roman" w:hAnsi="Times New Roman"/>
                <w:color w:val="000000" w:themeColor="text1"/>
                <w:sz w:val="21"/>
                <w:highlight w:val="none"/>
                <w14:textFill>
                  <w14:solidFill>
                    <w14:schemeClr w14:val="tx1"/>
                  </w14:solidFill>
                </w14:textFill>
              </w:rPr>
              <w:t>新建</w:t>
            </w:r>
            <w:r>
              <w:rPr>
                <w:rFonts w:hint="eastAsia" w:ascii="Times New Roman" w:hAnsi="Times New Roman"/>
                <w:color w:val="000000" w:themeColor="text1"/>
                <w:sz w:val="21"/>
                <w:highlight w:val="none"/>
                <w:lang w:val="en-US" w:eastAsia="zh-CN"/>
                <w14:textFill>
                  <w14:solidFill>
                    <w14:schemeClr w14:val="tx1"/>
                  </w14:solidFill>
                </w14:textFill>
              </w:rPr>
              <w:t>/依托</w:t>
            </w:r>
          </w:p>
        </w:tc>
      </w:tr>
      <w:tr w14:paraId="71781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110A46B8">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556" w:type="pct"/>
            <w:gridSpan w:val="2"/>
            <w:vMerge w:val="restart"/>
            <w:tcBorders>
              <w:tl2br w:val="nil"/>
              <w:tr2bl w:val="nil"/>
            </w:tcBorders>
            <w:vAlign w:val="center"/>
          </w:tcPr>
          <w:p w14:paraId="7E5F57C1">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r>
              <w:rPr>
                <w:rFonts w:hint="eastAsia" w:ascii="Times New Roman" w:hAnsi="Times New Roman" w:cs="Times New Roman"/>
                <w:color w:val="000000" w:themeColor="text1"/>
                <w:sz w:val="21"/>
                <w:highlight w:val="none"/>
                <w14:textFill>
                  <w14:solidFill>
                    <w14:schemeClr w14:val="tx1"/>
                  </w14:solidFill>
                </w14:textFill>
              </w:rPr>
              <w:t>环境风险</w:t>
            </w:r>
          </w:p>
        </w:tc>
        <w:tc>
          <w:tcPr>
            <w:tcW w:w="1693" w:type="pct"/>
            <w:tcBorders>
              <w:tl2br w:val="nil"/>
              <w:tr2bl w:val="nil"/>
            </w:tcBorders>
            <w:vAlign w:val="center"/>
          </w:tcPr>
          <w:p w14:paraId="34359B7F">
            <w:pPr>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eastAsia="宋体" w:cs="Courier New"/>
                <w:color w:val="000000" w:themeColor="text1"/>
                <w:sz w:val="21"/>
                <w:szCs w:val="21"/>
                <w:highlight w:val="none"/>
                <w:lang w:val="en-US" w:eastAsia="zh-CN"/>
                <w14:textFill>
                  <w14:solidFill>
                    <w14:schemeClr w14:val="tx1"/>
                  </w14:solidFill>
                </w14:textFill>
              </w:rPr>
            </w:pPr>
            <w:r>
              <w:rPr>
                <w:rFonts w:hint="eastAsia" w:cs="Courier New"/>
                <w:color w:val="000000" w:themeColor="text1"/>
                <w:sz w:val="21"/>
                <w:szCs w:val="21"/>
                <w:highlight w:val="none"/>
                <w:lang w:val="en-US" w:eastAsia="zh-CN"/>
                <w14:textFill>
                  <w14:solidFill>
                    <w14:schemeClr w14:val="tx1"/>
                  </w14:solidFill>
                </w14:textFill>
              </w:rPr>
              <w:t>结合地形特点在选矿厂至尾矿库之间预留出适当空地作为尾矿浆一旦泄漏时的排流通道。</w:t>
            </w:r>
          </w:p>
        </w:tc>
        <w:tc>
          <w:tcPr>
            <w:tcW w:w="2100" w:type="pct"/>
            <w:tcBorders>
              <w:tl2br w:val="nil"/>
              <w:tr2bl w:val="nil"/>
            </w:tcBorders>
            <w:shd w:val="clear" w:color="auto" w:fill="auto"/>
            <w:vAlign w:val="center"/>
          </w:tcPr>
          <w:p w14:paraId="3FB6BF6B">
            <w:pPr>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ascii="Times New Roman" w:hAnsi="Times New Roman" w:eastAsia="宋体" w:cs="Courier New"/>
                <w:color w:val="000000" w:themeColor="text1"/>
                <w:kern w:val="2"/>
                <w:sz w:val="21"/>
                <w:szCs w:val="21"/>
                <w:highlight w:val="none"/>
                <w:lang w:val="en-US" w:eastAsia="zh-CN" w:bidi="ar-SA"/>
                <w14:textFill>
                  <w14:solidFill>
                    <w14:schemeClr w14:val="tx1"/>
                  </w14:solidFill>
                </w14:textFill>
              </w:rPr>
            </w:pPr>
            <w:r>
              <w:rPr>
                <w:rFonts w:hint="eastAsia" w:cs="Courier New"/>
                <w:color w:val="000000" w:themeColor="text1"/>
                <w:sz w:val="21"/>
                <w:szCs w:val="21"/>
                <w:highlight w:val="none"/>
                <w14:textFill>
                  <w14:solidFill>
                    <w14:schemeClr w14:val="tx1"/>
                  </w14:solidFill>
                </w14:textFill>
              </w:rPr>
              <w:t>选矿车间下游新建1座800m</w:t>
            </w:r>
            <w:r>
              <w:rPr>
                <w:rFonts w:hint="eastAsia" w:cs="Courier New"/>
                <w:color w:val="000000" w:themeColor="text1"/>
                <w:sz w:val="21"/>
                <w:szCs w:val="21"/>
                <w:highlight w:val="none"/>
                <w:vertAlign w:val="superscript"/>
                <w14:textFill>
                  <w14:solidFill>
                    <w14:schemeClr w14:val="tx1"/>
                  </w14:solidFill>
                </w14:textFill>
              </w:rPr>
              <w:t>3</w:t>
            </w:r>
            <w:r>
              <w:rPr>
                <w:rFonts w:hint="eastAsia" w:cs="Courier New"/>
                <w:color w:val="000000" w:themeColor="text1"/>
                <w:sz w:val="21"/>
                <w:szCs w:val="21"/>
                <w:highlight w:val="none"/>
                <w14:textFill>
                  <w14:solidFill>
                    <w14:schemeClr w14:val="tx1"/>
                  </w14:solidFill>
                </w14:textFill>
              </w:rPr>
              <w:t>的事故池，用于收集事故状态下的尾矿浆及事故废水。</w:t>
            </w:r>
          </w:p>
        </w:tc>
        <w:tc>
          <w:tcPr>
            <w:tcW w:w="404" w:type="pct"/>
            <w:tcBorders>
              <w:tl2br w:val="nil"/>
              <w:tr2bl w:val="nil"/>
            </w:tcBorders>
            <w:vAlign w:val="center"/>
          </w:tcPr>
          <w:p w14:paraId="5FAF5309">
            <w:pPr>
              <w:keepNext w:val="0"/>
              <w:keepLines w:val="0"/>
              <w:pageBreakBefore w:val="0"/>
              <w:widowControl w:val="0"/>
              <w:kinsoku/>
              <w:wordWrap/>
              <w:autoSpaceDE/>
              <w:autoSpaceDN/>
              <w:bidi w:val="0"/>
              <w:snapToGrid w:val="0"/>
              <w:spacing w:line="360" w:lineRule="exact"/>
              <w:ind w:firstLine="0" w:firstLineChars="0"/>
              <w:jc w:val="center"/>
              <w:textAlignment w:val="auto"/>
              <w:rPr>
                <w:rFonts w:cs="Courier New"/>
                <w:color w:val="000000" w:themeColor="text1"/>
                <w:sz w:val="21"/>
                <w:szCs w:val="21"/>
                <w:highlight w:val="none"/>
                <w14:textFill>
                  <w14:solidFill>
                    <w14:schemeClr w14:val="tx1"/>
                  </w14:solidFill>
                </w14:textFill>
              </w:rPr>
            </w:pPr>
            <w:r>
              <w:rPr>
                <w:rFonts w:cs="Courier New"/>
                <w:color w:val="000000" w:themeColor="text1"/>
                <w:sz w:val="21"/>
                <w:szCs w:val="21"/>
                <w:highlight w:val="none"/>
                <w14:textFill>
                  <w14:solidFill>
                    <w14:schemeClr w14:val="tx1"/>
                  </w14:solidFill>
                </w14:textFill>
              </w:rPr>
              <w:t>新建</w:t>
            </w:r>
          </w:p>
        </w:tc>
      </w:tr>
      <w:tr w14:paraId="051C8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2668F36E">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bCs/>
                <w:color w:val="000000" w:themeColor="text1"/>
                <w:sz w:val="21"/>
                <w:highlight w:val="none"/>
                <w14:textFill>
                  <w14:solidFill>
                    <w14:schemeClr w14:val="tx1"/>
                  </w14:solidFill>
                </w14:textFill>
              </w:rPr>
            </w:pPr>
          </w:p>
        </w:tc>
        <w:tc>
          <w:tcPr>
            <w:tcW w:w="556" w:type="pct"/>
            <w:gridSpan w:val="2"/>
            <w:vMerge w:val="continue"/>
            <w:tcBorders>
              <w:tl2br w:val="nil"/>
              <w:tr2bl w:val="nil"/>
            </w:tcBorders>
            <w:vAlign w:val="center"/>
          </w:tcPr>
          <w:p w14:paraId="153396F1">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ascii="Times New Roman" w:hAnsi="Times New Roman" w:cs="Times New Roman"/>
                <w:color w:val="000000" w:themeColor="text1"/>
                <w:sz w:val="21"/>
                <w:highlight w:val="none"/>
                <w14:textFill>
                  <w14:solidFill>
                    <w14:schemeClr w14:val="tx1"/>
                  </w14:solidFill>
                </w14:textFill>
              </w:rPr>
            </w:pPr>
          </w:p>
        </w:tc>
        <w:tc>
          <w:tcPr>
            <w:tcW w:w="1693" w:type="pct"/>
            <w:tcBorders>
              <w:tl2br w:val="nil"/>
              <w:tr2bl w:val="nil"/>
            </w:tcBorders>
            <w:vAlign w:val="center"/>
          </w:tcPr>
          <w:p w14:paraId="4007365B">
            <w:pPr>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default" w:eastAsia="宋体" w:cs="Courier New"/>
                <w:color w:val="000000" w:themeColor="text1"/>
                <w:sz w:val="21"/>
                <w:szCs w:val="21"/>
                <w:highlight w:val="none"/>
                <w:lang w:val="en-US" w:eastAsia="zh-CN"/>
                <w14:textFill>
                  <w14:solidFill>
                    <w14:schemeClr w14:val="tx1"/>
                  </w14:solidFill>
                </w14:textFill>
              </w:rPr>
            </w:pPr>
            <w:r>
              <w:rPr>
                <w:rFonts w:hint="eastAsia" w:cs="Courier New"/>
                <w:color w:val="000000" w:themeColor="text1"/>
                <w:sz w:val="21"/>
                <w:szCs w:val="21"/>
                <w:highlight w:val="none"/>
                <w:lang w:val="en-US" w:eastAsia="zh-CN"/>
                <w14:textFill>
                  <w14:solidFill>
                    <w14:schemeClr w14:val="tx1"/>
                  </w14:solidFill>
                </w14:textFill>
              </w:rPr>
              <w:t>尾矿库尾矿水抽水泵至少两台，正常运行时一用一备。做好尾矿的固化，严格留干滩长度在50m以上。制定风险事故应急预案。</w:t>
            </w:r>
          </w:p>
        </w:tc>
        <w:tc>
          <w:tcPr>
            <w:tcW w:w="2100" w:type="pct"/>
            <w:tcBorders>
              <w:tl2br w:val="nil"/>
              <w:tr2bl w:val="nil"/>
            </w:tcBorders>
            <w:shd w:val="clear" w:color="auto" w:fill="auto"/>
            <w:vAlign w:val="center"/>
          </w:tcPr>
          <w:p w14:paraId="12B50DEC">
            <w:pPr>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ascii="Times New Roman" w:hAnsi="Times New Roman" w:eastAsia="宋体" w:cs="Courier New"/>
                <w:color w:val="000000" w:themeColor="text1"/>
                <w:kern w:val="2"/>
                <w:sz w:val="21"/>
                <w:szCs w:val="21"/>
                <w:highlight w:val="none"/>
                <w:lang w:val="en-US" w:eastAsia="zh-CN" w:bidi="ar-SA"/>
                <w14:textFill>
                  <w14:solidFill>
                    <w14:schemeClr w14:val="tx1"/>
                  </w14:solidFill>
                </w14:textFill>
              </w:rPr>
            </w:pPr>
            <w:r>
              <w:rPr>
                <w:rFonts w:hint="eastAsia" w:cs="Courier New"/>
                <w:color w:val="000000" w:themeColor="text1"/>
                <w:sz w:val="21"/>
                <w:szCs w:val="21"/>
                <w:highlight w:val="none"/>
                <w14:textFill>
                  <w14:solidFill>
                    <w14:schemeClr w14:val="tx1"/>
                  </w14:solidFill>
                </w14:textFill>
              </w:rPr>
              <w:t>尾矿下游修建</w:t>
            </w:r>
            <w:r>
              <w:rPr>
                <w:rFonts w:hint="eastAsia" w:cs="Courier New"/>
                <w:color w:val="000000" w:themeColor="text1"/>
                <w:sz w:val="21"/>
                <w:szCs w:val="21"/>
                <w:highlight w:val="none"/>
                <w:lang w:eastAsia="zh-CN"/>
                <w14:textFill>
                  <w14:solidFill>
                    <w14:schemeClr w14:val="tx1"/>
                  </w14:solidFill>
                </w14:textFill>
              </w:rPr>
              <w:t>拦挡</w:t>
            </w:r>
            <w:r>
              <w:rPr>
                <w:rFonts w:hint="eastAsia" w:cs="Courier New"/>
                <w:color w:val="000000" w:themeColor="text1"/>
                <w:sz w:val="21"/>
                <w:szCs w:val="21"/>
                <w:highlight w:val="none"/>
                <w14:textFill>
                  <w14:solidFill>
                    <w14:schemeClr w14:val="tx1"/>
                  </w14:solidFill>
                </w14:textFill>
              </w:rPr>
              <w:t>坝</w:t>
            </w:r>
            <w:r>
              <w:rPr>
                <w:rFonts w:hint="eastAsia"/>
                <w:color w:val="000000" w:themeColor="text1"/>
                <w:sz w:val="21"/>
                <w:szCs w:val="21"/>
                <w:highlight w:val="none"/>
                <w14:textFill>
                  <w14:solidFill>
                    <w14:schemeClr w14:val="tx1"/>
                  </w14:solidFill>
                </w14:textFill>
              </w:rPr>
              <w:t>1座</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集水池布置在拦挡坝南侧</w:t>
            </w:r>
            <w:r>
              <w:rPr>
                <w:rFonts w:hint="eastAsia" w:cs="Courier New"/>
                <w:color w:val="000000" w:themeColor="text1"/>
                <w:sz w:val="21"/>
                <w:szCs w:val="21"/>
                <w:highlight w:val="none"/>
                <w14:textFill>
                  <w14:solidFill>
                    <w14:schemeClr w14:val="tx1"/>
                  </w14:solidFill>
                </w14:textFill>
              </w:rPr>
              <w:t>，作为暴雨时库区洪水的缓存池和应急事故池使用，同时对尾矿库溃坝的高势能起到消能作用。</w:t>
            </w:r>
            <w:r>
              <w:rPr>
                <w:rFonts w:hint="eastAsia" w:cs="Courier New"/>
                <w:color w:val="000000" w:themeColor="text1"/>
                <w:sz w:val="21"/>
                <w:szCs w:val="21"/>
                <w:highlight w:val="none"/>
                <w:lang w:val="en-US" w:eastAsia="zh-CN"/>
                <w14:textFill>
                  <w14:solidFill>
                    <w14:schemeClr w14:val="tx1"/>
                  </w14:solidFill>
                </w14:textFill>
              </w:rPr>
              <w:t>拦挡坝采取库区戈壁料碾压而成，坝顶标高1237.0m，最大坝高4.5m，上、下游坡比均为1：2.0，坝轴线总长度约480.0m。</w:t>
            </w:r>
          </w:p>
        </w:tc>
        <w:tc>
          <w:tcPr>
            <w:tcW w:w="404" w:type="pct"/>
            <w:tcBorders>
              <w:tl2br w:val="nil"/>
              <w:tr2bl w:val="nil"/>
            </w:tcBorders>
            <w:vAlign w:val="center"/>
          </w:tcPr>
          <w:p w14:paraId="17D225A5">
            <w:pPr>
              <w:keepNext w:val="0"/>
              <w:keepLines w:val="0"/>
              <w:pageBreakBefore w:val="0"/>
              <w:widowControl w:val="0"/>
              <w:kinsoku/>
              <w:wordWrap/>
              <w:autoSpaceDE/>
              <w:autoSpaceDN/>
              <w:bidi w:val="0"/>
              <w:snapToGrid w:val="0"/>
              <w:spacing w:line="360" w:lineRule="exact"/>
              <w:ind w:firstLine="0" w:firstLineChars="0"/>
              <w:jc w:val="center"/>
              <w:textAlignment w:val="auto"/>
              <w:rPr>
                <w:rFonts w:cs="Courier New"/>
                <w:color w:val="000000" w:themeColor="text1"/>
                <w:sz w:val="21"/>
                <w:szCs w:val="21"/>
                <w:highlight w:val="none"/>
                <w14:textFill>
                  <w14:solidFill>
                    <w14:schemeClr w14:val="tx1"/>
                  </w14:solidFill>
                </w14:textFill>
              </w:rPr>
            </w:pPr>
            <w:r>
              <w:rPr>
                <w:rFonts w:cs="Courier New"/>
                <w:color w:val="000000" w:themeColor="text1"/>
                <w:sz w:val="21"/>
                <w:szCs w:val="21"/>
                <w:highlight w:val="none"/>
                <w14:textFill>
                  <w14:solidFill>
                    <w14:schemeClr w14:val="tx1"/>
                  </w14:solidFill>
                </w14:textFill>
              </w:rPr>
              <w:t>新建</w:t>
            </w:r>
          </w:p>
        </w:tc>
      </w:tr>
      <w:tr w14:paraId="130BE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restart"/>
            <w:tcBorders>
              <w:tl2br w:val="nil"/>
              <w:tr2bl w:val="nil"/>
            </w:tcBorders>
            <w:vAlign w:val="center"/>
          </w:tcPr>
          <w:p w14:paraId="713F8505">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eastAsia" w:ascii="Times New Roman" w:hAnsi="Times New Roman" w:eastAsia="宋体" w:cs="Times New Roman"/>
                <w:bCs/>
                <w:color w:val="000000" w:themeColor="text1"/>
                <w:sz w:val="21"/>
                <w:highlight w:val="none"/>
                <w:lang w:val="en-US" w:eastAsia="zh-CN"/>
                <w14:textFill>
                  <w14:solidFill>
                    <w14:schemeClr w14:val="tx1"/>
                  </w14:solidFill>
                </w14:textFill>
              </w:rPr>
            </w:pPr>
            <w:bookmarkStart w:id="432" w:name="_Toc28750"/>
            <w:bookmarkStart w:id="433" w:name="_Toc20082"/>
            <w:bookmarkStart w:id="434" w:name="_Toc30884"/>
            <w:r>
              <w:rPr>
                <w:rFonts w:hint="eastAsia" w:ascii="Times New Roman" w:hAnsi="Times New Roman" w:cs="Times New Roman"/>
                <w:bCs/>
                <w:color w:val="000000" w:themeColor="text1"/>
                <w:sz w:val="21"/>
                <w:highlight w:val="none"/>
                <w:lang w:val="en-US" w:eastAsia="zh-CN"/>
                <w14:textFill>
                  <w14:solidFill>
                    <w14:schemeClr w14:val="tx1"/>
                  </w14:solidFill>
                </w14:textFill>
              </w:rPr>
              <w:t>依托工程</w:t>
            </w:r>
          </w:p>
        </w:tc>
        <w:tc>
          <w:tcPr>
            <w:tcW w:w="556" w:type="pct"/>
            <w:gridSpan w:val="2"/>
            <w:tcBorders>
              <w:tl2br w:val="nil"/>
              <w:tr2bl w:val="nil"/>
            </w:tcBorders>
            <w:vAlign w:val="center"/>
          </w:tcPr>
          <w:p w14:paraId="34E22DC6">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西成矿业原矿</w:t>
            </w:r>
          </w:p>
        </w:tc>
        <w:tc>
          <w:tcPr>
            <w:tcW w:w="1693" w:type="pct"/>
            <w:tcBorders>
              <w:tl2br w:val="nil"/>
              <w:tr2bl w:val="nil"/>
            </w:tcBorders>
            <w:vAlign w:val="center"/>
          </w:tcPr>
          <w:p w14:paraId="6BA38A25">
            <w:pPr>
              <w:keepNext w:val="0"/>
              <w:keepLines w:val="0"/>
              <w:pageBreakBefore w:val="0"/>
              <w:widowControl w:val="0"/>
              <w:kinsoku/>
              <w:wordWrap/>
              <w:overflowPunct w:val="0"/>
              <w:topLinePunct/>
              <w:autoSpaceDE/>
              <w:autoSpaceDN/>
              <w:bidi w:val="0"/>
              <w:adjustRightInd/>
              <w:snapToGrid w:val="0"/>
              <w:spacing w:line="360" w:lineRule="exact"/>
              <w:ind w:left="0" w:leftChars="0" w:firstLine="0" w:firstLineChars="0"/>
              <w:jc w:val="both"/>
              <w:textAlignment w:val="auto"/>
              <w:rPr>
                <w:rFonts w:hint="default" w:eastAsia="宋体" w:cs="Courier New"/>
                <w:color w:val="000000" w:themeColor="text1"/>
                <w:sz w:val="21"/>
                <w:szCs w:val="21"/>
                <w:highlight w:val="none"/>
                <w:lang w:val="en-US" w:eastAsia="zh-CN"/>
                <w14:textFill>
                  <w14:solidFill>
                    <w14:schemeClr w14:val="tx1"/>
                  </w14:solidFill>
                </w14:textFill>
              </w:rPr>
            </w:pPr>
            <w:r>
              <w:rPr>
                <w:rFonts w:hint="eastAsia" w:cs="Courier New"/>
                <w:color w:val="000000" w:themeColor="text1"/>
                <w:sz w:val="21"/>
                <w:szCs w:val="21"/>
                <w:highlight w:val="none"/>
                <w:lang w:val="en-US" w:eastAsia="zh-CN"/>
                <w14:textFill>
                  <w14:solidFill>
                    <w14:schemeClr w14:val="tx1"/>
                  </w14:solidFill>
                </w14:textFill>
              </w:rPr>
              <w:t>30万t/a铁矿石原料来自</w:t>
            </w:r>
            <w:r>
              <w:rPr>
                <w:rFonts w:hint="eastAsia" w:ascii="Times New Roman" w:hAnsi="Times New Roman" w:cs="Times New Roman"/>
                <w:color w:val="000000" w:themeColor="text1"/>
                <w:sz w:val="21"/>
                <w:highlight w:val="none"/>
                <w:lang w:val="en-US" w:eastAsia="zh-CN"/>
                <w14:textFill>
                  <w14:solidFill>
                    <w14:schemeClr w14:val="tx1"/>
                  </w14:solidFill>
                </w14:textFill>
              </w:rPr>
              <w:t>西成</w:t>
            </w:r>
            <w:r>
              <w:rPr>
                <w:rFonts w:hint="eastAsia" w:cs="Courier New"/>
                <w:color w:val="000000" w:themeColor="text1"/>
                <w:sz w:val="21"/>
                <w:szCs w:val="21"/>
                <w:highlight w:val="none"/>
                <w:lang w:val="en-US" w:eastAsia="zh-CN"/>
                <w14:textFill>
                  <w14:solidFill>
                    <w14:schemeClr w14:val="tx1"/>
                  </w14:solidFill>
                </w14:textFill>
              </w:rPr>
              <w:t>矿业M1033铁矿，汽车运输，运距约1km</w:t>
            </w:r>
          </w:p>
        </w:tc>
        <w:tc>
          <w:tcPr>
            <w:tcW w:w="2100" w:type="pct"/>
            <w:tcBorders>
              <w:tl2br w:val="nil"/>
              <w:tr2bl w:val="nil"/>
            </w:tcBorders>
            <w:shd w:val="clear" w:color="auto" w:fill="auto"/>
            <w:vAlign w:val="center"/>
          </w:tcPr>
          <w:p w14:paraId="2AD3A46A">
            <w:pPr>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eastAsia="宋体" w:cs="Courier New"/>
                <w:color w:val="000000" w:themeColor="text1"/>
                <w:kern w:val="2"/>
                <w:sz w:val="21"/>
                <w:szCs w:val="21"/>
                <w:highlight w:val="none"/>
                <w:lang w:val="en-US" w:eastAsia="zh-CN" w:bidi="ar-SA"/>
                <w14:textFill>
                  <w14:solidFill>
                    <w14:schemeClr w14:val="tx1"/>
                  </w14:solidFill>
                </w14:textFill>
              </w:rPr>
            </w:pPr>
            <w:r>
              <w:rPr>
                <w:rFonts w:hint="eastAsia" w:cs="Courier New"/>
                <w:color w:val="000000" w:themeColor="text1"/>
                <w:sz w:val="21"/>
                <w:szCs w:val="21"/>
                <w:highlight w:val="none"/>
                <w:lang w:val="en-US" w:eastAsia="zh-CN"/>
                <w14:textFill>
                  <w14:solidFill>
                    <w14:schemeClr w14:val="tx1"/>
                  </w14:solidFill>
                </w14:textFill>
              </w:rPr>
              <w:t>60万t/a铁矿石原料来自</w:t>
            </w:r>
            <w:r>
              <w:rPr>
                <w:rFonts w:hint="eastAsia" w:ascii="Times New Roman" w:hAnsi="Times New Roman" w:cs="Times New Roman"/>
                <w:color w:val="000000" w:themeColor="text1"/>
                <w:sz w:val="21"/>
                <w:highlight w:val="none"/>
                <w:lang w:val="en-US" w:eastAsia="zh-CN"/>
                <w14:textFill>
                  <w14:solidFill>
                    <w14:schemeClr w14:val="tx1"/>
                  </w14:solidFill>
                </w14:textFill>
              </w:rPr>
              <w:t>西成</w:t>
            </w:r>
            <w:r>
              <w:rPr>
                <w:rFonts w:hint="eastAsia" w:cs="Courier New"/>
                <w:color w:val="000000" w:themeColor="text1"/>
                <w:sz w:val="21"/>
                <w:szCs w:val="21"/>
                <w:highlight w:val="none"/>
                <w:lang w:val="en-US" w:eastAsia="zh-CN"/>
                <w14:textFill>
                  <w14:solidFill>
                    <w14:schemeClr w14:val="tx1"/>
                  </w14:solidFill>
                </w14:textFill>
              </w:rPr>
              <w:t>矿业M1033铁矿，汽车运输，运距约1km</w:t>
            </w:r>
          </w:p>
        </w:tc>
        <w:tc>
          <w:tcPr>
            <w:tcW w:w="404" w:type="pct"/>
            <w:tcBorders>
              <w:tl2br w:val="nil"/>
              <w:tr2bl w:val="nil"/>
            </w:tcBorders>
            <w:vAlign w:val="center"/>
          </w:tcPr>
          <w:p w14:paraId="30AD49F1">
            <w:pPr>
              <w:keepNext w:val="0"/>
              <w:keepLines w:val="0"/>
              <w:pageBreakBefore w:val="0"/>
              <w:widowControl w:val="0"/>
              <w:kinsoku/>
              <w:wordWrap/>
              <w:autoSpaceDE/>
              <w:autoSpaceDN/>
              <w:bidi w:val="0"/>
              <w:snapToGrid w:val="0"/>
              <w:spacing w:line="360" w:lineRule="exact"/>
              <w:ind w:firstLine="0" w:firstLineChars="0"/>
              <w:jc w:val="center"/>
              <w:textAlignment w:val="auto"/>
              <w:rPr>
                <w:rFonts w:hint="eastAsia" w:eastAsia="宋体" w:cs="Courier New"/>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highlight w:val="none"/>
                <w:lang w:val="en-US" w:eastAsia="zh-CN"/>
                <w14:textFill>
                  <w14:solidFill>
                    <w14:schemeClr w14:val="tx1"/>
                  </w14:solidFill>
                </w14:textFill>
              </w:rPr>
              <w:t>依托</w:t>
            </w:r>
          </w:p>
        </w:tc>
      </w:tr>
      <w:tr w14:paraId="3CBF2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46162DA8">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eastAsia" w:ascii="Times New Roman" w:hAnsi="Times New Roman" w:cs="Times New Roman"/>
                <w:bCs/>
                <w:color w:val="000000" w:themeColor="text1"/>
                <w:sz w:val="21"/>
                <w:highlight w:val="none"/>
                <w:lang w:val="en-US" w:eastAsia="zh-CN"/>
                <w14:textFill>
                  <w14:solidFill>
                    <w14:schemeClr w14:val="tx1"/>
                  </w14:solidFill>
                </w14:textFill>
              </w:rPr>
            </w:pPr>
          </w:p>
        </w:tc>
        <w:tc>
          <w:tcPr>
            <w:tcW w:w="556" w:type="pct"/>
            <w:gridSpan w:val="2"/>
            <w:tcBorders>
              <w:tl2br w:val="nil"/>
              <w:tr2bl w:val="nil"/>
            </w:tcBorders>
            <w:vAlign w:val="center"/>
          </w:tcPr>
          <w:p w14:paraId="7D0A8D56">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志合矿业原矿</w:t>
            </w:r>
          </w:p>
        </w:tc>
        <w:tc>
          <w:tcPr>
            <w:tcW w:w="1693" w:type="pct"/>
            <w:tcBorders>
              <w:tl2br w:val="nil"/>
              <w:tr2bl w:val="nil"/>
            </w:tcBorders>
            <w:vAlign w:val="center"/>
          </w:tcPr>
          <w:p w14:paraId="2EF8346E">
            <w:pPr>
              <w:keepNext w:val="0"/>
              <w:keepLines w:val="0"/>
              <w:pageBreakBefore w:val="0"/>
              <w:widowControl w:val="0"/>
              <w:kinsoku/>
              <w:wordWrap/>
              <w:overflowPunct w:val="0"/>
              <w:topLinePunct/>
              <w:autoSpaceDE/>
              <w:autoSpaceDN/>
              <w:bidi w:val="0"/>
              <w:adjustRightInd/>
              <w:snapToGrid w:val="0"/>
              <w:spacing w:line="360" w:lineRule="exact"/>
              <w:ind w:firstLine="420" w:firstLineChars="200"/>
              <w:jc w:val="both"/>
              <w:textAlignment w:val="auto"/>
              <w:rPr>
                <w:rFonts w:hint="eastAsia" w:eastAsia="宋体" w:cs="Courier New"/>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/（原环评无相关描述）</w:t>
            </w:r>
          </w:p>
        </w:tc>
        <w:tc>
          <w:tcPr>
            <w:tcW w:w="2100" w:type="pct"/>
            <w:tcBorders>
              <w:tl2br w:val="nil"/>
              <w:tr2bl w:val="nil"/>
            </w:tcBorders>
            <w:shd w:val="clear" w:color="auto" w:fill="auto"/>
            <w:vAlign w:val="center"/>
          </w:tcPr>
          <w:p w14:paraId="42CAC9B7">
            <w:pPr>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eastAsia="宋体" w:cs="Courier New"/>
                <w:color w:val="000000" w:themeColor="text1"/>
                <w:kern w:val="2"/>
                <w:sz w:val="21"/>
                <w:szCs w:val="21"/>
                <w:highlight w:val="none"/>
                <w:lang w:val="en-US" w:eastAsia="zh-CN" w:bidi="ar-SA"/>
                <w14:textFill>
                  <w14:solidFill>
                    <w14:schemeClr w14:val="tx1"/>
                  </w14:solidFill>
                </w14:textFill>
              </w:rPr>
            </w:pPr>
            <w:r>
              <w:rPr>
                <w:rFonts w:hint="eastAsia" w:cs="Courier New"/>
                <w:color w:val="000000" w:themeColor="text1"/>
                <w:sz w:val="21"/>
                <w:szCs w:val="21"/>
                <w:highlight w:val="none"/>
                <w:lang w:val="en-US" w:eastAsia="zh-CN"/>
                <w14:textFill>
                  <w14:solidFill>
                    <w14:schemeClr w14:val="tx1"/>
                  </w14:solidFill>
                </w14:textFill>
              </w:rPr>
              <w:t>30万t/a铁矿石原料来自志合矿业M1033铁矿，汽车运输，运距约5km</w:t>
            </w:r>
          </w:p>
        </w:tc>
        <w:tc>
          <w:tcPr>
            <w:tcW w:w="404" w:type="pct"/>
            <w:tcBorders>
              <w:tl2br w:val="nil"/>
              <w:tr2bl w:val="nil"/>
            </w:tcBorders>
            <w:vAlign w:val="center"/>
          </w:tcPr>
          <w:p w14:paraId="794900DF">
            <w:pPr>
              <w:keepNext w:val="0"/>
              <w:keepLines w:val="0"/>
              <w:pageBreakBefore w:val="0"/>
              <w:widowControl w:val="0"/>
              <w:kinsoku/>
              <w:wordWrap/>
              <w:autoSpaceDE/>
              <w:autoSpaceDN/>
              <w:bidi w:val="0"/>
              <w:snapToGrid w:val="0"/>
              <w:spacing w:line="360" w:lineRule="exact"/>
              <w:ind w:firstLine="0" w:firstLineChars="0"/>
              <w:jc w:val="center"/>
              <w:textAlignment w:val="auto"/>
              <w:rPr>
                <w:rFonts w:cs="Courier New"/>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highlight w:val="none"/>
                <w:lang w:val="en-US" w:eastAsia="zh-CN"/>
                <w14:textFill>
                  <w14:solidFill>
                    <w14:schemeClr w14:val="tx1"/>
                  </w14:solidFill>
                </w14:textFill>
              </w:rPr>
              <w:t>依托</w:t>
            </w:r>
          </w:p>
        </w:tc>
      </w:tr>
      <w:tr w14:paraId="127EA3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4" w:type="pct"/>
            <w:vMerge w:val="continue"/>
            <w:tcBorders>
              <w:tl2br w:val="nil"/>
              <w:tr2bl w:val="nil"/>
            </w:tcBorders>
            <w:vAlign w:val="center"/>
          </w:tcPr>
          <w:p w14:paraId="08685E2C">
            <w:pPr>
              <w:pStyle w:val="14"/>
              <w:keepNext w:val="0"/>
              <w:keepLines w:val="0"/>
              <w:pageBreakBefore w:val="0"/>
              <w:widowControl w:val="0"/>
              <w:kinsoku/>
              <w:wordWrap/>
              <w:autoSpaceDE/>
              <w:autoSpaceDN/>
              <w:bidi w:val="0"/>
              <w:snapToGrid w:val="0"/>
              <w:spacing w:line="360" w:lineRule="exact"/>
              <w:ind w:firstLine="0" w:firstLineChars="0"/>
              <w:jc w:val="center"/>
              <w:textAlignment w:val="auto"/>
              <w:rPr>
                <w:rFonts w:hint="eastAsia" w:ascii="Times New Roman" w:hAnsi="Times New Roman" w:cs="Times New Roman"/>
                <w:bCs/>
                <w:color w:val="000000" w:themeColor="text1"/>
                <w:sz w:val="21"/>
                <w:highlight w:val="none"/>
                <w:lang w:val="en-US" w:eastAsia="zh-CN"/>
                <w14:textFill>
                  <w14:solidFill>
                    <w14:schemeClr w14:val="tx1"/>
                  </w14:solidFill>
                </w14:textFill>
              </w:rPr>
            </w:pPr>
          </w:p>
        </w:tc>
        <w:tc>
          <w:tcPr>
            <w:tcW w:w="556" w:type="pct"/>
            <w:gridSpan w:val="2"/>
            <w:tcBorders>
              <w:tl2br w:val="nil"/>
              <w:tr2bl w:val="nil"/>
            </w:tcBorders>
            <w:vAlign w:val="center"/>
          </w:tcPr>
          <w:p w14:paraId="1DCB6908">
            <w:pPr>
              <w:pStyle w:val="14"/>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highlight w:val="none"/>
                <w:lang w:val="en-US" w:eastAsia="zh-CN"/>
                <w14:textFill>
                  <w14:solidFill>
                    <w14:schemeClr w14:val="tx1"/>
                  </w14:solidFill>
                </w14:textFill>
              </w:rPr>
              <w:t>危废贮存</w:t>
            </w:r>
          </w:p>
        </w:tc>
        <w:tc>
          <w:tcPr>
            <w:tcW w:w="1693" w:type="pct"/>
            <w:tcBorders>
              <w:tl2br w:val="nil"/>
              <w:tr2bl w:val="nil"/>
            </w:tcBorders>
            <w:vAlign w:val="center"/>
          </w:tcPr>
          <w:p w14:paraId="15105440">
            <w:pPr>
              <w:keepNext w:val="0"/>
              <w:keepLines w:val="0"/>
              <w:pageBreakBefore w:val="0"/>
              <w:widowControl w:val="0"/>
              <w:kinsoku/>
              <w:wordWrap/>
              <w:overflowPunct w:val="0"/>
              <w:topLinePunct/>
              <w:autoSpaceDE/>
              <w:autoSpaceDN/>
              <w:bidi w:val="0"/>
              <w:adjustRightInd/>
              <w:snapToGrid w:val="0"/>
              <w:spacing w:line="360" w:lineRule="exact"/>
              <w:ind w:firstLine="420" w:firstLineChars="200"/>
              <w:jc w:val="both"/>
              <w:textAlignment w:val="auto"/>
              <w:rPr>
                <w:rFonts w:hint="default" w:cs="Courier New"/>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/（原环评无相关描述）</w:t>
            </w:r>
          </w:p>
        </w:tc>
        <w:tc>
          <w:tcPr>
            <w:tcW w:w="2100" w:type="pct"/>
            <w:tcBorders>
              <w:tl2br w:val="nil"/>
              <w:tr2bl w:val="nil"/>
            </w:tcBorders>
            <w:shd w:val="clear" w:color="auto" w:fill="auto"/>
            <w:vAlign w:val="center"/>
          </w:tcPr>
          <w:p w14:paraId="3E34B57C">
            <w:pPr>
              <w:keepNext w:val="0"/>
              <w:keepLines w:val="0"/>
              <w:pageBreakBefore w:val="0"/>
              <w:widowControl w:val="0"/>
              <w:kinsoku/>
              <w:wordWrap/>
              <w:overflowPunct w:val="0"/>
              <w:topLinePunct/>
              <w:autoSpaceDE/>
              <w:autoSpaceDN/>
              <w:bidi w:val="0"/>
              <w:adjustRightInd/>
              <w:snapToGrid w:val="0"/>
              <w:spacing w:line="360" w:lineRule="exact"/>
              <w:ind w:firstLine="0" w:firstLineChars="0"/>
              <w:jc w:val="both"/>
              <w:textAlignment w:val="auto"/>
              <w:rPr>
                <w:rFonts w:hint="eastAsia" w:ascii="Times New Roman" w:hAnsi="Times New Roman" w:eastAsia="宋体" w:cs="Courier New"/>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选矿厂危险废物</w:t>
            </w:r>
            <w:r>
              <w:rPr>
                <w:rFonts w:hint="eastAsia" w:ascii="Times New Roman" w:hAnsi="Times New Roman"/>
                <w:color w:val="000000" w:themeColor="text1"/>
                <w:sz w:val="21"/>
                <w:szCs w:val="21"/>
                <w:highlight w:val="none"/>
                <w:lang w:eastAsia="zh-CN"/>
                <w14:textFill>
                  <w14:solidFill>
                    <w14:schemeClr w14:val="tx1"/>
                  </w14:solidFill>
                </w14:textFill>
              </w:rPr>
              <w:t>依托矿山危废贮存点贮存，设置在西风井1工业场地内，面积20m</w:t>
            </w:r>
            <w:r>
              <w:rPr>
                <w:rFonts w:hint="eastAsia" w:ascii="Times New Roman" w:hAnsi="Times New Roman"/>
                <w:color w:val="000000" w:themeColor="text1"/>
                <w:sz w:val="21"/>
                <w:szCs w:val="21"/>
                <w:highlight w:val="none"/>
                <w:vertAlign w:val="superscript"/>
                <w:lang w:eastAsia="zh-CN"/>
                <w14:textFill>
                  <w14:solidFill>
                    <w14:schemeClr w14:val="tx1"/>
                  </w14:solidFill>
                </w14:textFill>
              </w:rPr>
              <w:t>2</w:t>
            </w:r>
          </w:p>
        </w:tc>
        <w:tc>
          <w:tcPr>
            <w:tcW w:w="404" w:type="pct"/>
            <w:tcBorders>
              <w:tl2br w:val="nil"/>
              <w:tr2bl w:val="nil"/>
            </w:tcBorders>
            <w:vAlign w:val="center"/>
          </w:tcPr>
          <w:p w14:paraId="7B957A70">
            <w:pPr>
              <w:keepNext w:val="0"/>
              <w:keepLines w:val="0"/>
              <w:pageBreakBefore w:val="0"/>
              <w:widowControl w:val="0"/>
              <w:kinsoku/>
              <w:wordWrap/>
              <w:autoSpaceDE/>
              <w:autoSpaceDN/>
              <w:bidi w:val="0"/>
              <w:snapToGrid w:val="0"/>
              <w:spacing w:line="360" w:lineRule="exact"/>
              <w:ind w:firstLine="0" w:firstLineChars="0"/>
              <w:jc w:val="center"/>
              <w:textAlignment w:val="auto"/>
              <w:rPr>
                <w:rFonts w:hint="eastAsia" w:ascii="Times New Roman" w:hAnsi="Times New Roman"/>
                <w:color w:val="000000" w:themeColor="text1"/>
                <w:sz w:val="21"/>
                <w:highlight w:val="none"/>
                <w:lang w:val="en-US" w:eastAsia="zh-CN"/>
                <w14:textFill>
                  <w14:solidFill>
                    <w14:schemeClr w14:val="tx1"/>
                  </w14:solidFill>
                </w14:textFill>
              </w:rPr>
            </w:pPr>
            <w:r>
              <w:rPr>
                <w:rFonts w:hint="eastAsia" w:ascii="Times New Roman" w:hAnsi="Times New Roman"/>
                <w:color w:val="000000" w:themeColor="text1"/>
                <w:sz w:val="21"/>
                <w:highlight w:val="none"/>
                <w:lang w:val="en-US" w:eastAsia="zh-CN"/>
                <w14:textFill>
                  <w14:solidFill>
                    <w14:schemeClr w14:val="tx1"/>
                  </w14:solidFill>
                </w14:textFill>
              </w:rPr>
              <w:t>依托</w:t>
            </w:r>
          </w:p>
        </w:tc>
      </w:tr>
    </w:tbl>
    <w:p w14:paraId="7A5C1BD8">
      <w:pPr>
        <w:pStyle w:val="85"/>
        <w:overflowPunct w:val="0"/>
        <w:topLinePunct/>
        <w:spacing w:beforeLines="0" w:afterLines="0" w:line="480" w:lineRule="exact"/>
        <w:jc w:val="both"/>
        <w:rPr>
          <w:rFonts w:hint="eastAsia" w:ascii="Times New Roman" w:hAnsi="Times New Roman" w:cs="Times New Roman"/>
          <w:color w:val="000000" w:themeColor="text1"/>
          <w:szCs w:val="24"/>
          <w:highlight w:val="none"/>
          <w14:textFill>
            <w14:solidFill>
              <w14:schemeClr w14:val="tx1"/>
            </w14:solidFill>
          </w14:textFill>
        </w:rPr>
        <w:sectPr>
          <w:pgSz w:w="16838" w:h="11906" w:orient="landscape"/>
          <w:pgMar w:top="1803" w:right="1440" w:bottom="1803" w:left="1440" w:header="850" w:footer="1134" w:gutter="0"/>
          <w:pgBorders>
            <w:top w:val="none" w:sz="0" w:space="0"/>
            <w:left w:val="none" w:sz="0" w:space="0"/>
            <w:bottom w:val="none" w:sz="0" w:space="0"/>
            <w:right w:val="none" w:sz="0" w:space="0"/>
          </w:pgBorders>
          <w:pgNumType w:fmt="decimal"/>
          <w:cols w:space="720" w:num="1"/>
          <w:docGrid w:linePitch="312" w:charSpace="0"/>
        </w:sectPr>
      </w:pPr>
    </w:p>
    <w:p w14:paraId="3029BDEA">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主要生产设备</w:t>
      </w:r>
      <w:r>
        <w:rPr>
          <w:rFonts w:hint="eastAsia"/>
          <w:color w:val="000000" w:themeColor="text1"/>
          <w:highlight w:val="none"/>
          <w14:textFill>
            <w14:solidFill>
              <w14:schemeClr w14:val="tx1"/>
            </w14:solidFill>
          </w14:textFill>
        </w:rPr>
        <w:t>及能源消耗</w:t>
      </w:r>
      <w:bookmarkEnd w:id="432"/>
      <w:bookmarkEnd w:id="433"/>
      <w:bookmarkEnd w:id="434"/>
    </w:p>
    <w:p w14:paraId="32EB346E">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3.2.4.1</w:t>
      </w:r>
      <w:r>
        <w:rPr>
          <w:color w:val="000000" w:themeColor="text1"/>
          <w:highlight w:val="none"/>
          <w14:textFill>
            <w14:solidFill>
              <w14:schemeClr w14:val="tx1"/>
            </w14:solidFill>
          </w14:textFill>
        </w:rPr>
        <w:t>主要生产设备</w:t>
      </w:r>
      <w:r>
        <w:rPr>
          <w:rFonts w:hint="eastAsia"/>
          <w:color w:val="000000" w:themeColor="text1"/>
          <w:highlight w:val="none"/>
          <w14:textFill>
            <w14:solidFill>
              <w14:schemeClr w14:val="tx1"/>
            </w14:solidFill>
          </w14:textFill>
        </w:rPr>
        <w:t>及仪表</w:t>
      </w:r>
    </w:p>
    <w:p w14:paraId="335D9937">
      <w:pPr>
        <w:pStyle w:val="85"/>
        <w:overflowPunct w:val="0"/>
        <w:topLinePunct/>
        <w:spacing w:beforeLines="0" w:afterLines="0" w:line="480" w:lineRule="exact"/>
        <w:jc w:val="both"/>
        <w:rPr>
          <w:rFonts w:ascii="Times New Roman" w:hAnsi="Times New Roman" w:cs="Times New Roman"/>
          <w:color w:val="000000" w:themeColor="text1"/>
          <w:szCs w:val="24"/>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本项目</w:t>
      </w:r>
      <w:r>
        <w:rPr>
          <w:rFonts w:hint="eastAsia" w:ascii="Times New Roman" w:hAnsi="Times New Roman" w:cs="Times New Roman"/>
          <w:color w:val="000000" w:themeColor="text1"/>
          <w:szCs w:val="24"/>
          <w:highlight w:val="none"/>
          <w:lang w:eastAsia="zh-CN"/>
          <w14:textFill>
            <w14:solidFill>
              <w14:schemeClr w14:val="tx1"/>
            </w14:solidFill>
          </w14:textFill>
        </w:rPr>
        <w:t>新增</w:t>
      </w:r>
      <w:r>
        <w:rPr>
          <w:rFonts w:ascii="Times New Roman" w:hAnsi="Times New Roman" w:cs="Times New Roman"/>
          <w:color w:val="000000" w:themeColor="text1"/>
          <w:szCs w:val="24"/>
          <w:highlight w:val="none"/>
          <w14:textFill>
            <w14:solidFill>
              <w14:schemeClr w14:val="tx1"/>
            </w14:solidFill>
          </w14:textFill>
        </w:rPr>
        <w:t>主要生产设备见表3.2-</w:t>
      </w:r>
      <w:r>
        <w:rPr>
          <w:rFonts w:hint="eastAsia" w:ascii="Times New Roman" w:hAnsi="Times New Roman" w:cs="Times New Roman"/>
          <w:color w:val="000000" w:themeColor="text1"/>
          <w:szCs w:val="24"/>
          <w:highlight w:val="none"/>
          <w:lang w:val="en-US" w:eastAsia="zh-CN"/>
          <w14:textFill>
            <w14:solidFill>
              <w14:schemeClr w14:val="tx1"/>
            </w14:solidFill>
          </w14:textFill>
        </w:rPr>
        <w:t>3</w:t>
      </w:r>
      <w:r>
        <w:rPr>
          <w:rFonts w:ascii="Times New Roman" w:hAnsi="Times New Roman" w:cs="Times New Roman"/>
          <w:color w:val="000000" w:themeColor="text1"/>
          <w:szCs w:val="24"/>
          <w:highlight w:val="none"/>
          <w14:textFill>
            <w14:solidFill>
              <w14:schemeClr w14:val="tx1"/>
            </w14:solidFill>
          </w14:textFill>
        </w:rPr>
        <w:t>。</w:t>
      </w:r>
    </w:p>
    <w:p w14:paraId="625EB4CA">
      <w:pPr>
        <w:pStyle w:val="56"/>
        <w:spacing w:line="480" w:lineRule="exact"/>
        <w:ind w:firstLine="0" w:firstLineChars="0"/>
        <w:jc w:val="center"/>
        <w:rPr>
          <w:rFonts w:cs="Times New Roman"/>
          <w:b/>
          <w:bCs/>
          <w:color w:val="000000" w:themeColor="text1"/>
          <w:sz w:val="24"/>
          <w:highlight w:val="none"/>
          <w14:textFill>
            <w14:solidFill>
              <w14:schemeClr w14:val="tx1"/>
            </w14:solidFill>
          </w14:textFill>
        </w:rPr>
      </w:pPr>
      <w:r>
        <w:rPr>
          <w:rFonts w:cs="Times New Roman"/>
          <w:b/>
          <w:bCs/>
          <w:color w:val="000000" w:themeColor="text1"/>
          <w:sz w:val="24"/>
          <w:highlight w:val="none"/>
          <w14:textFill>
            <w14:solidFill>
              <w14:schemeClr w14:val="tx1"/>
            </w14:solidFill>
          </w14:textFill>
        </w:rPr>
        <w:t>表3.2-</w:t>
      </w:r>
      <w:r>
        <w:rPr>
          <w:rFonts w:hint="eastAsia" w:cs="Times New Roman"/>
          <w:b/>
          <w:bCs/>
          <w:color w:val="000000" w:themeColor="text1"/>
          <w:sz w:val="24"/>
          <w:highlight w:val="none"/>
          <w:lang w:val="en-US" w:eastAsia="zh-CN"/>
          <w14:textFill>
            <w14:solidFill>
              <w14:schemeClr w14:val="tx1"/>
            </w14:solidFill>
          </w14:textFill>
        </w:rPr>
        <w:t>3</w:t>
      </w:r>
      <w:r>
        <w:rPr>
          <w:rFonts w:hint="eastAsia" w:cs="Times New Roman"/>
          <w:b/>
          <w:bCs/>
          <w:color w:val="000000" w:themeColor="text1"/>
          <w:sz w:val="24"/>
          <w:highlight w:val="none"/>
          <w14:textFill>
            <w14:solidFill>
              <w14:schemeClr w14:val="tx1"/>
            </w14:solidFill>
          </w14:textFill>
        </w:rPr>
        <w:t xml:space="preserve">    </w:t>
      </w:r>
      <w:r>
        <w:rPr>
          <w:rFonts w:hint="eastAsia" w:cs="Times New Roman"/>
          <w:b/>
          <w:bCs/>
          <w:color w:val="000000" w:themeColor="text1"/>
          <w:sz w:val="24"/>
          <w:highlight w:val="none"/>
          <w:lang w:eastAsia="zh-CN"/>
          <w14:textFill>
            <w14:solidFill>
              <w14:schemeClr w14:val="tx1"/>
            </w14:solidFill>
          </w14:textFill>
        </w:rPr>
        <w:t>新增</w:t>
      </w:r>
      <w:r>
        <w:rPr>
          <w:rFonts w:hint="eastAsia" w:cs="Times New Roman"/>
          <w:b/>
          <w:bCs/>
          <w:color w:val="000000" w:themeColor="text1"/>
          <w:sz w:val="24"/>
          <w:highlight w:val="none"/>
          <w14:textFill>
            <w14:solidFill>
              <w14:schemeClr w14:val="tx1"/>
            </w14:solidFill>
          </w14:textFill>
        </w:rPr>
        <w:t>主要设备一览表</w:t>
      </w:r>
    </w:p>
    <w:tbl>
      <w:tblPr>
        <w:tblStyle w:val="32"/>
        <w:tblW w:w="503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06"/>
        <w:gridCol w:w="1794"/>
        <w:gridCol w:w="741"/>
        <w:gridCol w:w="741"/>
        <w:gridCol w:w="3601"/>
        <w:gridCol w:w="1002"/>
      </w:tblGrid>
      <w:tr w14:paraId="26B4F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02" w:type="pct"/>
            <w:vAlign w:val="center"/>
          </w:tcPr>
          <w:p w14:paraId="73CA07E9">
            <w:pPr>
              <w:overflowPunct w:val="0"/>
              <w:topLinePunct/>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1070" w:type="pct"/>
            <w:vAlign w:val="center"/>
          </w:tcPr>
          <w:p w14:paraId="601BE3F2">
            <w:pPr>
              <w:overflowPunct w:val="0"/>
              <w:topLinePunct/>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名称</w:t>
            </w:r>
          </w:p>
        </w:tc>
        <w:tc>
          <w:tcPr>
            <w:tcW w:w="442" w:type="pct"/>
            <w:vAlign w:val="center"/>
          </w:tcPr>
          <w:p w14:paraId="238817E6">
            <w:pPr>
              <w:overflowPunct w:val="0"/>
              <w:topLinePunct/>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数量</w:t>
            </w:r>
          </w:p>
        </w:tc>
        <w:tc>
          <w:tcPr>
            <w:tcW w:w="442" w:type="pct"/>
            <w:vAlign w:val="center"/>
          </w:tcPr>
          <w:p w14:paraId="33FDFB60">
            <w:pPr>
              <w:overflowPunct w:val="0"/>
              <w:topLinePunct/>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单位</w:t>
            </w:r>
          </w:p>
        </w:tc>
        <w:tc>
          <w:tcPr>
            <w:tcW w:w="2147" w:type="pct"/>
            <w:vAlign w:val="center"/>
          </w:tcPr>
          <w:p w14:paraId="7F71C173">
            <w:pPr>
              <w:overflowPunct w:val="0"/>
              <w:topLinePunct/>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规格</w:t>
            </w:r>
          </w:p>
        </w:tc>
        <w:tc>
          <w:tcPr>
            <w:tcW w:w="594" w:type="pct"/>
            <w:vAlign w:val="center"/>
          </w:tcPr>
          <w:p w14:paraId="456D7373">
            <w:pPr>
              <w:overflowPunct w:val="0"/>
              <w:topLinePunct/>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14:paraId="5DD33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vAlign w:val="center"/>
          </w:tcPr>
          <w:p w14:paraId="1A54859D">
            <w:pPr>
              <w:pStyle w:val="45"/>
              <w:overflowPunct w:val="0"/>
              <w:topLinePunct/>
              <w:spacing w:before="0" w:beforeAutospacing="0"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一</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破碎、筛分作业</w:t>
            </w:r>
          </w:p>
        </w:tc>
      </w:tr>
      <w:tr w14:paraId="741F3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38260079">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070" w:type="pct"/>
            <w:vAlign w:val="center"/>
          </w:tcPr>
          <w:p w14:paraId="6B9907AD">
            <w:pPr>
              <w:pStyle w:val="53"/>
              <w:widowControl w:val="0"/>
              <w:overflowPunct w:val="0"/>
              <w:topLinePunct/>
              <w:spacing w:after="0" w:line="360" w:lineRule="exact"/>
              <w:ind w:firstLine="0" w:firstLineChars="0"/>
              <w:jc w:val="center"/>
              <w:outlineLvl w:val="9"/>
              <w:rPr>
                <w:rFonts w:ascii="Times New Roman" w:hAnsi="Times New Roman" w:eastAsia="宋体"/>
                <w:b w:val="0"/>
                <w:color w:val="000000" w:themeColor="text1"/>
                <w:sz w:val="21"/>
                <w:highlight w:val="none"/>
                <w:lang w:eastAsia="zh-CN"/>
                <w14:textFill>
                  <w14:solidFill>
                    <w14:schemeClr w14:val="tx1"/>
                  </w14:solidFill>
                </w14:textFill>
              </w:rPr>
            </w:pPr>
            <w:r>
              <w:rPr>
                <w:rFonts w:hint="eastAsia" w:ascii="Times New Roman" w:hAnsi="Times New Roman" w:eastAsia="宋体"/>
                <w:b w:val="0"/>
                <w:color w:val="000000" w:themeColor="text1"/>
                <w:sz w:val="21"/>
                <w:highlight w:val="none"/>
                <w:lang w:eastAsia="zh-CN"/>
                <w14:textFill>
                  <w14:solidFill>
                    <w14:schemeClr w14:val="tx1"/>
                  </w14:solidFill>
                </w14:textFill>
              </w:rPr>
              <w:t>棒条给矿机</w:t>
            </w:r>
          </w:p>
        </w:tc>
        <w:tc>
          <w:tcPr>
            <w:tcW w:w="442" w:type="pct"/>
            <w:vAlign w:val="center"/>
          </w:tcPr>
          <w:p w14:paraId="4294C8DB">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5F84F50C">
            <w:pPr>
              <w:pStyle w:val="53"/>
              <w:widowControl w:val="0"/>
              <w:overflowPunct w:val="0"/>
              <w:topLinePunct/>
              <w:spacing w:after="0" w:line="360" w:lineRule="exact"/>
              <w:ind w:firstLine="0" w:firstLineChars="0"/>
              <w:jc w:val="center"/>
              <w:outlineLvl w:val="9"/>
              <w:rPr>
                <w:rFonts w:ascii="Times New Roman" w:hAnsi="Times New Roman" w:eastAsia="宋体"/>
                <w:b w:val="0"/>
                <w:color w:val="000000" w:themeColor="text1"/>
                <w:sz w:val="21"/>
                <w:highlight w:val="none"/>
                <w14:textFill>
                  <w14:solidFill>
                    <w14:schemeClr w14:val="tx1"/>
                  </w14:solidFill>
                </w14:textFill>
              </w:rPr>
            </w:pPr>
            <w:bookmarkStart w:id="435" w:name="_Toc9642"/>
            <w:bookmarkStart w:id="436" w:name="_Toc24047"/>
            <w:bookmarkStart w:id="437" w:name="_Toc19555"/>
            <w:r>
              <w:rPr>
                <w:rFonts w:ascii="Times New Roman" w:hAnsi="Times New Roman" w:eastAsia="宋体"/>
                <w:b w:val="0"/>
                <w:color w:val="000000" w:themeColor="text1"/>
                <w:sz w:val="21"/>
                <w:highlight w:val="none"/>
                <w14:textFill>
                  <w14:solidFill>
                    <w14:schemeClr w14:val="tx1"/>
                  </w14:solidFill>
                </w14:textFill>
              </w:rPr>
              <w:t>台</w:t>
            </w:r>
            <w:bookmarkEnd w:id="435"/>
            <w:bookmarkEnd w:id="436"/>
            <w:bookmarkEnd w:id="437"/>
          </w:p>
        </w:tc>
        <w:tc>
          <w:tcPr>
            <w:tcW w:w="2147" w:type="pct"/>
            <w:vAlign w:val="center"/>
          </w:tcPr>
          <w:p w14:paraId="0FF264C3">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ZSW1500×6000</w:t>
            </w:r>
          </w:p>
        </w:tc>
        <w:tc>
          <w:tcPr>
            <w:tcW w:w="594" w:type="pct"/>
            <w:vAlign w:val="center"/>
          </w:tcPr>
          <w:p w14:paraId="4C712AE3">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3E073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02477AD1">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070" w:type="pct"/>
            <w:vAlign w:val="center"/>
          </w:tcPr>
          <w:p w14:paraId="0CB4ED27">
            <w:pPr>
              <w:pStyle w:val="53"/>
              <w:widowControl w:val="0"/>
              <w:overflowPunct w:val="0"/>
              <w:topLinePunct/>
              <w:spacing w:after="0" w:line="360" w:lineRule="exact"/>
              <w:ind w:firstLine="0" w:firstLineChars="0"/>
              <w:jc w:val="center"/>
              <w:outlineLvl w:val="9"/>
              <w:rPr>
                <w:rFonts w:ascii="Times New Roman" w:hAnsi="Times New Roman" w:eastAsia="宋体"/>
                <w:b w:val="0"/>
                <w:color w:val="000000" w:themeColor="text1"/>
                <w:sz w:val="21"/>
                <w:highlight w:val="none"/>
                <w14:textFill>
                  <w14:solidFill>
                    <w14:schemeClr w14:val="tx1"/>
                  </w14:solidFill>
                </w14:textFill>
              </w:rPr>
            </w:pPr>
            <w:r>
              <w:rPr>
                <w:rFonts w:ascii="Times New Roman" w:hAnsi="Times New Roman" w:eastAsia="宋体"/>
                <w:b w:val="0"/>
                <w:color w:val="000000" w:themeColor="text1"/>
                <w:sz w:val="21"/>
                <w:highlight w:val="none"/>
                <w14:textFill>
                  <w14:solidFill>
                    <w14:schemeClr w14:val="tx1"/>
                  </w14:solidFill>
                </w14:textFill>
              </w:rPr>
              <w:t>颚式破碎机</w:t>
            </w:r>
          </w:p>
        </w:tc>
        <w:tc>
          <w:tcPr>
            <w:tcW w:w="442" w:type="pct"/>
            <w:vAlign w:val="center"/>
          </w:tcPr>
          <w:p w14:paraId="3B0EC35C">
            <w:pPr>
              <w:pStyle w:val="53"/>
              <w:widowControl w:val="0"/>
              <w:overflowPunct w:val="0"/>
              <w:topLinePunct/>
              <w:spacing w:after="0" w:line="360" w:lineRule="exact"/>
              <w:ind w:firstLine="0" w:firstLineChars="0"/>
              <w:jc w:val="center"/>
              <w:outlineLvl w:val="9"/>
              <w:rPr>
                <w:rFonts w:ascii="Times New Roman" w:hAnsi="Times New Roman" w:eastAsia="宋体"/>
                <w:b w:val="0"/>
                <w:color w:val="000000" w:themeColor="text1"/>
                <w:sz w:val="21"/>
                <w:highlight w:val="none"/>
                <w14:textFill>
                  <w14:solidFill>
                    <w14:schemeClr w14:val="tx1"/>
                  </w14:solidFill>
                </w14:textFill>
              </w:rPr>
            </w:pPr>
            <w:bookmarkStart w:id="438" w:name="_Toc16236"/>
            <w:bookmarkStart w:id="439" w:name="_Toc17907"/>
            <w:bookmarkStart w:id="440" w:name="_Toc3536"/>
            <w:r>
              <w:rPr>
                <w:rFonts w:ascii="Times New Roman" w:hAnsi="Times New Roman" w:eastAsia="宋体"/>
                <w:b w:val="0"/>
                <w:color w:val="000000" w:themeColor="text1"/>
                <w:sz w:val="21"/>
                <w:highlight w:val="none"/>
                <w14:textFill>
                  <w14:solidFill>
                    <w14:schemeClr w14:val="tx1"/>
                  </w14:solidFill>
                </w14:textFill>
              </w:rPr>
              <w:t>1</w:t>
            </w:r>
            <w:bookmarkEnd w:id="438"/>
            <w:bookmarkEnd w:id="439"/>
            <w:bookmarkEnd w:id="440"/>
          </w:p>
        </w:tc>
        <w:tc>
          <w:tcPr>
            <w:tcW w:w="442" w:type="pct"/>
            <w:vAlign w:val="center"/>
          </w:tcPr>
          <w:p w14:paraId="58B75BAA">
            <w:pPr>
              <w:pStyle w:val="53"/>
              <w:widowControl w:val="0"/>
              <w:overflowPunct w:val="0"/>
              <w:topLinePunct/>
              <w:spacing w:after="0" w:line="360" w:lineRule="exact"/>
              <w:ind w:firstLine="0" w:firstLineChars="0"/>
              <w:jc w:val="center"/>
              <w:outlineLvl w:val="9"/>
              <w:rPr>
                <w:rFonts w:ascii="Times New Roman" w:hAnsi="Times New Roman" w:eastAsia="宋体"/>
                <w:b w:val="0"/>
                <w:color w:val="000000" w:themeColor="text1"/>
                <w:sz w:val="21"/>
                <w:highlight w:val="none"/>
                <w14:textFill>
                  <w14:solidFill>
                    <w14:schemeClr w14:val="tx1"/>
                  </w14:solidFill>
                </w14:textFill>
              </w:rPr>
            </w:pPr>
            <w:bookmarkStart w:id="441" w:name="_Toc45"/>
            <w:bookmarkStart w:id="442" w:name="_Toc29860"/>
            <w:bookmarkStart w:id="443" w:name="_Toc27875"/>
            <w:r>
              <w:rPr>
                <w:rFonts w:ascii="Times New Roman" w:hAnsi="Times New Roman" w:eastAsia="宋体"/>
                <w:b w:val="0"/>
                <w:color w:val="000000" w:themeColor="text1"/>
                <w:sz w:val="21"/>
                <w:highlight w:val="none"/>
                <w14:textFill>
                  <w14:solidFill>
                    <w14:schemeClr w14:val="tx1"/>
                  </w14:solidFill>
                </w14:textFill>
              </w:rPr>
              <w:t>台</w:t>
            </w:r>
            <w:bookmarkEnd w:id="441"/>
            <w:bookmarkEnd w:id="442"/>
            <w:bookmarkEnd w:id="443"/>
          </w:p>
        </w:tc>
        <w:tc>
          <w:tcPr>
            <w:tcW w:w="2147" w:type="pct"/>
            <w:vAlign w:val="center"/>
          </w:tcPr>
          <w:p w14:paraId="0ABBF485">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JC1200M</w:t>
            </w:r>
          </w:p>
        </w:tc>
        <w:tc>
          <w:tcPr>
            <w:tcW w:w="594" w:type="pct"/>
            <w:vAlign w:val="center"/>
          </w:tcPr>
          <w:p w14:paraId="572D54DD">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077BF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365C3EC4">
            <w:pPr>
              <w:overflowPunct w:val="0"/>
              <w:topLinePunct/>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1070" w:type="pct"/>
            <w:vAlign w:val="center"/>
          </w:tcPr>
          <w:p w14:paraId="468819F6">
            <w:pPr>
              <w:pStyle w:val="53"/>
              <w:widowControl w:val="0"/>
              <w:overflowPunct w:val="0"/>
              <w:topLinePunct/>
              <w:spacing w:after="0" w:line="360" w:lineRule="exact"/>
              <w:ind w:firstLine="0" w:firstLineChars="0"/>
              <w:jc w:val="center"/>
              <w:outlineLvl w:val="9"/>
              <w:rPr>
                <w:rFonts w:ascii="Times New Roman" w:hAnsi="Times New Roman" w:eastAsia="宋体" w:cs="宋体"/>
                <w:b w:val="0"/>
                <w:color w:val="000000" w:themeColor="text1"/>
                <w:sz w:val="21"/>
                <w:highlight w:val="none"/>
                <w14:textFill>
                  <w14:solidFill>
                    <w14:schemeClr w14:val="tx1"/>
                  </w14:solidFill>
                </w14:textFill>
              </w:rPr>
            </w:pPr>
            <w:r>
              <w:rPr>
                <w:rFonts w:ascii="Times New Roman" w:hAnsi="Times New Roman" w:eastAsia="宋体" w:cs="宋体"/>
                <w:b w:val="0"/>
                <w:color w:val="000000" w:themeColor="text1"/>
                <w:sz w:val="21"/>
                <w:highlight w:val="none"/>
                <w14:textFill>
                  <w14:solidFill>
                    <w14:schemeClr w14:val="tx1"/>
                  </w14:solidFill>
                </w14:textFill>
              </w:rPr>
              <w:t>圆锥破碎机</w:t>
            </w:r>
          </w:p>
        </w:tc>
        <w:tc>
          <w:tcPr>
            <w:tcW w:w="442" w:type="pct"/>
            <w:vAlign w:val="center"/>
          </w:tcPr>
          <w:p w14:paraId="113E606C">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35DAF6F2">
            <w:pPr>
              <w:pStyle w:val="53"/>
              <w:widowControl w:val="0"/>
              <w:overflowPunct w:val="0"/>
              <w:topLinePunct/>
              <w:spacing w:after="0" w:line="360" w:lineRule="exact"/>
              <w:ind w:firstLine="0" w:firstLineChars="0"/>
              <w:jc w:val="center"/>
              <w:outlineLvl w:val="9"/>
              <w:rPr>
                <w:rFonts w:ascii="Times New Roman" w:hAnsi="Times New Roman" w:eastAsia="宋体" w:cs="宋体"/>
                <w:b w:val="0"/>
                <w:color w:val="000000" w:themeColor="text1"/>
                <w:sz w:val="21"/>
                <w:highlight w:val="none"/>
                <w14:textFill>
                  <w14:solidFill>
                    <w14:schemeClr w14:val="tx1"/>
                  </w14:solidFill>
                </w14:textFill>
              </w:rPr>
            </w:pPr>
            <w:r>
              <w:rPr>
                <w:rFonts w:ascii="Times New Roman" w:hAnsi="Times New Roman" w:eastAsia="宋体" w:cs="宋体"/>
                <w:b w:val="0"/>
                <w:color w:val="000000" w:themeColor="text1"/>
                <w:sz w:val="21"/>
                <w:highlight w:val="none"/>
                <w14:textFill>
                  <w14:solidFill>
                    <w14:schemeClr w14:val="tx1"/>
                  </w14:solidFill>
                </w14:textFill>
              </w:rPr>
              <w:t>台</w:t>
            </w:r>
          </w:p>
        </w:tc>
        <w:tc>
          <w:tcPr>
            <w:tcW w:w="2147" w:type="pct"/>
            <w:vAlign w:val="center"/>
          </w:tcPr>
          <w:p w14:paraId="2DF6B355">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CC300</w:t>
            </w:r>
          </w:p>
        </w:tc>
        <w:tc>
          <w:tcPr>
            <w:tcW w:w="594" w:type="pct"/>
            <w:vAlign w:val="center"/>
          </w:tcPr>
          <w:p w14:paraId="4F42570E">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5054D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0C199A03">
            <w:pPr>
              <w:overflowPunct w:val="0"/>
              <w:topLinePunct/>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1070" w:type="pct"/>
            <w:vAlign w:val="center"/>
          </w:tcPr>
          <w:p w14:paraId="6F336933">
            <w:pPr>
              <w:pStyle w:val="53"/>
              <w:widowControl w:val="0"/>
              <w:overflowPunct w:val="0"/>
              <w:topLinePunct/>
              <w:spacing w:after="0" w:line="360" w:lineRule="exact"/>
              <w:ind w:firstLine="0" w:firstLineChars="0"/>
              <w:jc w:val="center"/>
              <w:outlineLvl w:val="9"/>
              <w:rPr>
                <w:rFonts w:ascii="Times New Roman" w:hAnsi="Times New Roman" w:eastAsia="宋体" w:cs="宋体"/>
                <w:b w:val="0"/>
                <w:color w:val="000000" w:themeColor="text1"/>
                <w:sz w:val="21"/>
                <w:highlight w:val="none"/>
                <w14:textFill>
                  <w14:solidFill>
                    <w14:schemeClr w14:val="tx1"/>
                  </w14:solidFill>
                </w14:textFill>
              </w:rPr>
            </w:pPr>
            <w:r>
              <w:rPr>
                <w:rFonts w:ascii="Times New Roman" w:hAnsi="Times New Roman" w:eastAsia="宋体" w:cs="宋体"/>
                <w:b w:val="0"/>
                <w:color w:val="000000" w:themeColor="text1"/>
                <w:sz w:val="21"/>
                <w:highlight w:val="none"/>
                <w14:textFill>
                  <w14:solidFill>
                    <w14:schemeClr w14:val="tx1"/>
                  </w14:solidFill>
                </w14:textFill>
              </w:rPr>
              <w:t>1#胶带运输机</w:t>
            </w:r>
          </w:p>
        </w:tc>
        <w:tc>
          <w:tcPr>
            <w:tcW w:w="442" w:type="pct"/>
            <w:vAlign w:val="center"/>
          </w:tcPr>
          <w:p w14:paraId="7BB546EF">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56AB874B">
            <w:pPr>
              <w:pStyle w:val="53"/>
              <w:widowControl w:val="0"/>
              <w:overflowPunct w:val="0"/>
              <w:topLinePunct/>
              <w:spacing w:after="0" w:line="360" w:lineRule="exact"/>
              <w:ind w:firstLine="0" w:firstLineChars="0"/>
              <w:jc w:val="center"/>
              <w:outlineLvl w:val="9"/>
              <w:rPr>
                <w:rFonts w:ascii="Times New Roman" w:hAnsi="Times New Roman" w:eastAsia="宋体" w:cs="宋体"/>
                <w:b w:val="0"/>
                <w:color w:val="000000" w:themeColor="text1"/>
                <w:sz w:val="21"/>
                <w:highlight w:val="none"/>
                <w14:textFill>
                  <w14:solidFill>
                    <w14:schemeClr w14:val="tx1"/>
                  </w14:solidFill>
                </w14:textFill>
              </w:rPr>
            </w:pPr>
            <w:r>
              <w:rPr>
                <w:rFonts w:ascii="Times New Roman" w:hAnsi="Times New Roman" w:eastAsia="宋体" w:cs="宋体"/>
                <w:b w:val="0"/>
                <w:color w:val="000000" w:themeColor="text1"/>
                <w:sz w:val="21"/>
                <w:highlight w:val="none"/>
                <w14:textFill>
                  <w14:solidFill>
                    <w14:schemeClr w14:val="tx1"/>
                  </w14:solidFill>
                </w14:textFill>
              </w:rPr>
              <w:t>台</w:t>
            </w:r>
          </w:p>
        </w:tc>
        <w:tc>
          <w:tcPr>
            <w:tcW w:w="2147" w:type="pct"/>
            <w:vAlign w:val="center"/>
          </w:tcPr>
          <w:p w14:paraId="3D487289">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TD75 120120</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L=86.3m</w:t>
            </w:r>
          </w:p>
        </w:tc>
        <w:tc>
          <w:tcPr>
            <w:tcW w:w="594" w:type="pct"/>
            <w:vAlign w:val="center"/>
          </w:tcPr>
          <w:p w14:paraId="32471485">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732CB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5B192F02">
            <w:pPr>
              <w:overflowPunct w:val="0"/>
              <w:topLinePunct/>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1070" w:type="pct"/>
            <w:vAlign w:val="center"/>
          </w:tcPr>
          <w:p w14:paraId="1D7489E7">
            <w:pPr>
              <w:pStyle w:val="53"/>
              <w:widowControl w:val="0"/>
              <w:overflowPunct w:val="0"/>
              <w:topLinePunct/>
              <w:spacing w:after="0" w:line="360" w:lineRule="exact"/>
              <w:ind w:firstLine="0" w:firstLineChars="0"/>
              <w:jc w:val="center"/>
              <w:outlineLvl w:val="9"/>
              <w:rPr>
                <w:rFonts w:ascii="Times New Roman" w:hAnsi="Times New Roman" w:eastAsia="宋体" w:cs="宋体"/>
                <w:b w:val="0"/>
                <w:color w:val="000000" w:themeColor="text1"/>
                <w:sz w:val="21"/>
                <w:highlight w:val="none"/>
                <w14:textFill>
                  <w14:solidFill>
                    <w14:schemeClr w14:val="tx1"/>
                  </w14:solidFill>
                </w14:textFill>
              </w:rPr>
            </w:pPr>
            <w:r>
              <w:rPr>
                <w:rFonts w:ascii="Times New Roman" w:hAnsi="Times New Roman" w:eastAsia="宋体" w:cs="宋体"/>
                <w:b w:val="0"/>
                <w:color w:val="000000" w:themeColor="text1"/>
                <w:sz w:val="21"/>
                <w:highlight w:val="none"/>
                <w14:textFill>
                  <w14:solidFill>
                    <w14:schemeClr w14:val="tx1"/>
                  </w14:solidFill>
                </w14:textFill>
              </w:rPr>
              <w:t>磁滑轮</w:t>
            </w:r>
          </w:p>
        </w:tc>
        <w:tc>
          <w:tcPr>
            <w:tcW w:w="442" w:type="pct"/>
            <w:vAlign w:val="center"/>
          </w:tcPr>
          <w:p w14:paraId="598D89D1">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031D3110">
            <w:pPr>
              <w:pStyle w:val="53"/>
              <w:widowControl w:val="0"/>
              <w:overflowPunct w:val="0"/>
              <w:topLinePunct/>
              <w:spacing w:after="0" w:line="360" w:lineRule="exact"/>
              <w:ind w:firstLine="0" w:firstLineChars="0"/>
              <w:jc w:val="center"/>
              <w:outlineLvl w:val="9"/>
              <w:rPr>
                <w:rFonts w:ascii="Times New Roman" w:hAnsi="Times New Roman" w:eastAsia="宋体" w:cs="宋体"/>
                <w:b w:val="0"/>
                <w:color w:val="000000" w:themeColor="text1"/>
                <w:sz w:val="21"/>
                <w:highlight w:val="none"/>
                <w14:textFill>
                  <w14:solidFill>
                    <w14:schemeClr w14:val="tx1"/>
                  </w14:solidFill>
                </w14:textFill>
              </w:rPr>
            </w:pPr>
            <w:r>
              <w:rPr>
                <w:rFonts w:ascii="Times New Roman" w:hAnsi="Times New Roman" w:eastAsia="宋体" w:cs="宋体"/>
                <w:b w:val="0"/>
                <w:color w:val="000000" w:themeColor="text1"/>
                <w:sz w:val="21"/>
                <w:highlight w:val="none"/>
                <w14:textFill>
                  <w14:solidFill>
                    <w14:schemeClr w14:val="tx1"/>
                  </w14:solidFill>
                </w14:textFill>
              </w:rPr>
              <w:t>台</w:t>
            </w:r>
          </w:p>
        </w:tc>
        <w:tc>
          <w:tcPr>
            <w:tcW w:w="2147" w:type="pct"/>
            <w:vAlign w:val="center"/>
          </w:tcPr>
          <w:p w14:paraId="146D7C4D">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CTDG-1216</w:t>
            </w:r>
          </w:p>
        </w:tc>
        <w:tc>
          <w:tcPr>
            <w:tcW w:w="594" w:type="pct"/>
            <w:vAlign w:val="center"/>
          </w:tcPr>
          <w:p w14:paraId="32B16B12">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3369A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56789601">
            <w:pPr>
              <w:overflowPunct w:val="0"/>
              <w:topLinePunct/>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1070" w:type="pct"/>
            <w:vAlign w:val="center"/>
          </w:tcPr>
          <w:p w14:paraId="62A0A1A5">
            <w:pPr>
              <w:pStyle w:val="53"/>
              <w:widowControl w:val="0"/>
              <w:overflowPunct w:val="0"/>
              <w:topLinePunct/>
              <w:spacing w:after="0" w:line="360" w:lineRule="exact"/>
              <w:ind w:firstLine="0" w:firstLineChars="0"/>
              <w:jc w:val="center"/>
              <w:outlineLvl w:val="9"/>
              <w:rPr>
                <w:rFonts w:ascii="Times New Roman" w:hAnsi="Times New Roman" w:eastAsia="宋体" w:cs="宋体"/>
                <w:b w:val="0"/>
                <w:color w:val="000000" w:themeColor="text1"/>
                <w:sz w:val="21"/>
                <w:highlight w:val="none"/>
                <w14:textFill>
                  <w14:solidFill>
                    <w14:schemeClr w14:val="tx1"/>
                  </w14:solidFill>
                </w14:textFill>
              </w:rPr>
            </w:pPr>
            <w:r>
              <w:rPr>
                <w:rFonts w:ascii="Times New Roman" w:hAnsi="Times New Roman" w:eastAsia="宋体" w:cs="宋体"/>
                <w:b w:val="0"/>
                <w:color w:val="000000" w:themeColor="text1"/>
                <w:sz w:val="21"/>
                <w:highlight w:val="none"/>
                <w14:textFill>
                  <w14:solidFill>
                    <w14:schemeClr w14:val="tx1"/>
                  </w14:solidFill>
                </w14:textFill>
              </w:rPr>
              <w:t>2#胶带运输机</w:t>
            </w:r>
          </w:p>
        </w:tc>
        <w:tc>
          <w:tcPr>
            <w:tcW w:w="442" w:type="pct"/>
            <w:vAlign w:val="center"/>
          </w:tcPr>
          <w:p w14:paraId="29280638">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28BC8966">
            <w:pPr>
              <w:pStyle w:val="53"/>
              <w:widowControl w:val="0"/>
              <w:overflowPunct w:val="0"/>
              <w:topLinePunct/>
              <w:spacing w:after="0" w:line="360" w:lineRule="exact"/>
              <w:ind w:firstLine="0" w:firstLineChars="0"/>
              <w:jc w:val="center"/>
              <w:outlineLvl w:val="9"/>
              <w:rPr>
                <w:rFonts w:ascii="Times New Roman" w:hAnsi="Times New Roman" w:eastAsia="宋体" w:cs="宋体"/>
                <w:b w:val="0"/>
                <w:color w:val="000000" w:themeColor="text1"/>
                <w:sz w:val="21"/>
                <w:highlight w:val="none"/>
                <w14:textFill>
                  <w14:solidFill>
                    <w14:schemeClr w14:val="tx1"/>
                  </w14:solidFill>
                </w14:textFill>
              </w:rPr>
            </w:pPr>
            <w:r>
              <w:rPr>
                <w:rFonts w:ascii="Times New Roman" w:hAnsi="Times New Roman" w:eastAsia="宋体" w:cs="宋体"/>
                <w:b w:val="0"/>
                <w:color w:val="000000" w:themeColor="text1"/>
                <w:sz w:val="21"/>
                <w:highlight w:val="none"/>
                <w14:textFill>
                  <w14:solidFill>
                    <w14:schemeClr w14:val="tx1"/>
                  </w14:solidFill>
                </w14:textFill>
              </w:rPr>
              <w:t>台</w:t>
            </w:r>
          </w:p>
        </w:tc>
        <w:tc>
          <w:tcPr>
            <w:tcW w:w="2147" w:type="pct"/>
            <w:vAlign w:val="center"/>
          </w:tcPr>
          <w:p w14:paraId="2EFE2282">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TD75 10080</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L=77.5m</w:t>
            </w:r>
          </w:p>
        </w:tc>
        <w:tc>
          <w:tcPr>
            <w:tcW w:w="594" w:type="pct"/>
            <w:vAlign w:val="center"/>
          </w:tcPr>
          <w:p w14:paraId="37238094">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45628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6803BA1F">
            <w:pPr>
              <w:overflowPunct w:val="0"/>
              <w:topLinePunct/>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1070" w:type="pct"/>
            <w:vAlign w:val="center"/>
          </w:tcPr>
          <w:p w14:paraId="3CE4DBA3">
            <w:pPr>
              <w:pStyle w:val="53"/>
              <w:widowControl w:val="0"/>
              <w:overflowPunct w:val="0"/>
              <w:topLinePunct/>
              <w:spacing w:after="0" w:line="360" w:lineRule="exact"/>
              <w:ind w:firstLine="0" w:firstLineChars="0"/>
              <w:jc w:val="center"/>
              <w:outlineLvl w:val="9"/>
              <w:rPr>
                <w:rFonts w:ascii="Times New Roman" w:hAnsi="Times New Roman" w:eastAsia="宋体" w:cs="宋体"/>
                <w:b w:val="0"/>
                <w:color w:val="000000" w:themeColor="text1"/>
                <w:sz w:val="21"/>
                <w:highlight w:val="none"/>
                <w14:textFill>
                  <w14:solidFill>
                    <w14:schemeClr w14:val="tx1"/>
                  </w14:solidFill>
                </w14:textFill>
              </w:rPr>
            </w:pPr>
            <w:r>
              <w:rPr>
                <w:rFonts w:ascii="Times New Roman" w:hAnsi="Times New Roman" w:eastAsia="宋体" w:cs="宋体"/>
                <w:b w:val="0"/>
                <w:color w:val="000000" w:themeColor="text1"/>
                <w:sz w:val="21"/>
                <w:highlight w:val="none"/>
                <w14:textFill>
                  <w14:solidFill>
                    <w14:schemeClr w14:val="tx1"/>
                  </w14:solidFill>
                </w14:textFill>
              </w:rPr>
              <w:t>电磁除铁器</w:t>
            </w:r>
          </w:p>
        </w:tc>
        <w:tc>
          <w:tcPr>
            <w:tcW w:w="442" w:type="pct"/>
            <w:vAlign w:val="center"/>
          </w:tcPr>
          <w:p w14:paraId="025A3529">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67F68BEC">
            <w:pPr>
              <w:pStyle w:val="53"/>
              <w:widowControl w:val="0"/>
              <w:overflowPunct w:val="0"/>
              <w:topLinePunct/>
              <w:spacing w:after="0" w:line="360" w:lineRule="exact"/>
              <w:ind w:firstLine="0" w:firstLineChars="0"/>
              <w:jc w:val="center"/>
              <w:outlineLvl w:val="9"/>
              <w:rPr>
                <w:rFonts w:ascii="Times New Roman" w:hAnsi="Times New Roman" w:eastAsia="宋体" w:cs="宋体"/>
                <w:b w:val="0"/>
                <w:color w:val="000000" w:themeColor="text1"/>
                <w:sz w:val="21"/>
                <w:highlight w:val="none"/>
                <w14:textFill>
                  <w14:solidFill>
                    <w14:schemeClr w14:val="tx1"/>
                  </w14:solidFill>
                </w14:textFill>
              </w:rPr>
            </w:pPr>
            <w:r>
              <w:rPr>
                <w:rFonts w:ascii="Times New Roman" w:hAnsi="Times New Roman" w:eastAsia="宋体" w:cs="宋体"/>
                <w:b w:val="0"/>
                <w:color w:val="000000" w:themeColor="text1"/>
                <w:sz w:val="21"/>
                <w:highlight w:val="none"/>
                <w14:textFill>
                  <w14:solidFill>
                    <w14:schemeClr w14:val="tx1"/>
                  </w14:solidFill>
                </w14:textFill>
              </w:rPr>
              <w:t>台</w:t>
            </w:r>
          </w:p>
        </w:tc>
        <w:tc>
          <w:tcPr>
            <w:tcW w:w="2147" w:type="pct"/>
            <w:vAlign w:val="center"/>
          </w:tcPr>
          <w:p w14:paraId="6CF8399E">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LKH-10 </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B=1000mm</w:t>
            </w:r>
          </w:p>
        </w:tc>
        <w:tc>
          <w:tcPr>
            <w:tcW w:w="594" w:type="pct"/>
            <w:vAlign w:val="center"/>
          </w:tcPr>
          <w:p w14:paraId="3210D12E">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345B3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093B3E0A">
            <w:pPr>
              <w:overflowPunct w:val="0"/>
              <w:topLinePunct/>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w:t>
            </w:r>
          </w:p>
        </w:tc>
        <w:tc>
          <w:tcPr>
            <w:tcW w:w="1070" w:type="pct"/>
            <w:vAlign w:val="center"/>
          </w:tcPr>
          <w:p w14:paraId="1D9BB877">
            <w:pPr>
              <w:pStyle w:val="53"/>
              <w:widowControl w:val="0"/>
              <w:overflowPunct w:val="0"/>
              <w:topLinePunct/>
              <w:spacing w:after="0" w:line="360" w:lineRule="exact"/>
              <w:ind w:firstLine="0" w:firstLineChars="0"/>
              <w:jc w:val="center"/>
              <w:outlineLvl w:val="9"/>
              <w:rPr>
                <w:rFonts w:ascii="Times New Roman" w:hAnsi="Times New Roman" w:eastAsia="宋体" w:cs="宋体"/>
                <w:b w:val="0"/>
                <w:color w:val="000000" w:themeColor="text1"/>
                <w:sz w:val="21"/>
                <w:highlight w:val="none"/>
                <w14:textFill>
                  <w14:solidFill>
                    <w14:schemeClr w14:val="tx1"/>
                  </w14:solidFill>
                </w14:textFill>
              </w:rPr>
            </w:pPr>
            <w:r>
              <w:rPr>
                <w:rFonts w:ascii="Times New Roman" w:hAnsi="Times New Roman" w:eastAsia="宋体" w:cs="宋体"/>
                <w:b w:val="0"/>
                <w:color w:val="000000" w:themeColor="text1"/>
                <w:sz w:val="21"/>
                <w:highlight w:val="none"/>
                <w14:textFill>
                  <w14:solidFill>
                    <w14:schemeClr w14:val="tx1"/>
                  </w14:solidFill>
                </w14:textFill>
              </w:rPr>
              <w:t>3#胶带运输机</w:t>
            </w:r>
          </w:p>
        </w:tc>
        <w:tc>
          <w:tcPr>
            <w:tcW w:w="442" w:type="pct"/>
            <w:vAlign w:val="center"/>
          </w:tcPr>
          <w:p w14:paraId="28BC1BFF">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7901A0C3">
            <w:pPr>
              <w:pStyle w:val="53"/>
              <w:widowControl w:val="0"/>
              <w:overflowPunct w:val="0"/>
              <w:topLinePunct/>
              <w:spacing w:after="0" w:line="360" w:lineRule="exact"/>
              <w:ind w:firstLine="0" w:firstLineChars="0"/>
              <w:jc w:val="center"/>
              <w:outlineLvl w:val="9"/>
              <w:rPr>
                <w:rFonts w:ascii="Times New Roman" w:hAnsi="Times New Roman" w:eastAsia="宋体" w:cs="宋体"/>
                <w:b w:val="0"/>
                <w:color w:val="000000" w:themeColor="text1"/>
                <w:sz w:val="21"/>
                <w:highlight w:val="none"/>
                <w14:textFill>
                  <w14:solidFill>
                    <w14:schemeClr w14:val="tx1"/>
                  </w14:solidFill>
                </w14:textFill>
              </w:rPr>
            </w:pPr>
            <w:r>
              <w:rPr>
                <w:rFonts w:ascii="Times New Roman" w:hAnsi="Times New Roman" w:eastAsia="宋体" w:cs="宋体"/>
                <w:b w:val="0"/>
                <w:color w:val="000000" w:themeColor="text1"/>
                <w:sz w:val="21"/>
                <w:highlight w:val="none"/>
                <w14:textFill>
                  <w14:solidFill>
                    <w14:schemeClr w14:val="tx1"/>
                  </w14:solidFill>
                </w14:textFill>
              </w:rPr>
              <w:t>台</w:t>
            </w:r>
          </w:p>
        </w:tc>
        <w:tc>
          <w:tcPr>
            <w:tcW w:w="2147" w:type="pct"/>
            <w:vAlign w:val="center"/>
          </w:tcPr>
          <w:p w14:paraId="2BE95C89">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TD75 10080</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L=44.4m</w:t>
            </w:r>
          </w:p>
        </w:tc>
        <w:tc>
          <w:tcPr>
            <w:tcW w:w="594" w:type="pct"/>
            <w:vAlign w:val="center"/>
          </w:tcPr>
          <w:p w14:paraId="307CFFD9">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05373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253C9D76">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1070" w:type="pct"/>
            <w:vAlign w:val="center"/>
          </w:tcPr>
          <w:p w14:paraId="1C996D95">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电动单梁起重机</w:t>
            </w:r>
          </w:p>
        </w:tc>
        <w:tc>
          <w:tcPr>
            <w:tcW w:w="442" w:type="pct"/>
            <w:vAlign w:val="center"/>
          </w:tcPr>
          <w:p w14:paraId="4564F294">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42" w:type="pct"/>
            <w:vAlign w:val="center"/>
          </w:tcPr>
          <w:p w14:paraId="28645FDC">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台</w:t>
            </w:r>
          </w:p>
        </w:tc>
        <w:tc>
          <w:tcPr>
            <w:tcW w:w="2147" w:type="pct"/>
            <w:vAlign w:val="center"/>
          </w:tcPr>
          <w:p w14:paraId="37DFE4C9">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Q=10t</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Lk=10.5m</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H=12m</w:t>
            </w:r>
          </w:p>
        </w:tc>
        <w:tc>
          <w:tcPr>
            <w:tcW w:w="594" w:type="pct"/>
            <w:vAlign w:val="center"/>
          </w:tcPr>
          <w:p w14:paraId="2741194B">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281C6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482BF0DF">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1070" w:type="pct"/>
            <w:vAlign w:val="center"/>
          </w:tcPr>
          <w:p w14:paraId="3E44FF8D">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电动葫芦</w:t>
            </w:r>
          </w:p>
        </w:tc>
        <w:tc>
          <w:tcPr>
            <w:tcW w:w="442" w:type="pct"/>
            <w:vAlign w:val="center"/>
          </w:tcPr>
          <w:p w14:paraId="2C03156D">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42" w:type="pct"/>
            <w:vAlign w:val="center"/>
          </w:tcPr>
          <w:p w14:paraId="2D5D60D2">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台</w:t>
            </w:r>
          </w:p>
        </w:tc>
        <w:tc>
          <w:tcPr>
            <w:tcW w:w="2147" w:type="pct"/>
            <w:vAlign w:val="center"/>
          </w:tcPr>
          <w:p w14:paraId="13F84A85">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Q=5t </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H=24m</w:t>
            </w:r>
          </w:p>
        </w:tc>
        <w:tc>
          <w:tcPr>
            <w:tcW w:w="594" w:type="pct"/>
            <w:vAlign w:val="center"/>
          </w:tcPr>
          <w:p w14:paraId="30D44D42">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69E55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1AE4266C">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w:t>
            </w:r>
          </w:p>
        </w:tc>
        <w:tc>
          <w:tcPr>
            <w:tcW w:w="1070" w:type="pct"/>
            <w:vAlign w:val="center"/>
          </w:tcPr>
          <w:p w14:paraId="1CC11199">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电动单梁起重机</w:t>
            </w:r>
          </w:p>
        </w:tc>
        <w:tc>
          <w:tcPr>
            <w:tcW w:w="442" w:type="pct"/>
            <w:vAlign w:val="center"/>
          </w:tcPr>
          <w:p w14:paraId="1B9DC6D7">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42" w:type="pct"/>
            <w:vAlign w:val="center"/>
          </w:tcPr>
          <w:p w14:paraId="03382952">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台</w:t>
            </w:r>
          </w:p>
        </w:tc>
        <w:tc>
          <w:tcPr>
            <w:tcW w:w="2147" w:type="pct"/>
            <w:vAlign w:val="center"/>
          </w:tcPr>
          <w:p w14:paraId="35537C0C">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Q=10t</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Lk=16.5m</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H=24m</w:t>
            </w:r>
          </w:p>
        </w:tc>
        <w:tc>
          <w:tcPr>
            <w:tcW w:w="594" w:type="pct"/>
            <w:vAlign w:val="center"/>
          </w:tcPr>
          <w:p w14:paraId="51F92708">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161DA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2FF0367B">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1070" w:type="pct"/>
            <w:vAlign w:val="center"/>
          </w:tcPr>
          <w:p w14:paraId="3BD75678">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除尘器</w:t>
            </w:r>
          </w:p>
        </w:tc>
        <w:tc>
          <w:tcPr>
            <w:tcW w:w="442" w:type="pct"/>
            <w:vAlign w:val="center"/>
          </w:tcPr>
          <w:p w14:paraId="4476A2A6">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442" w:type="pct"/>
            <w:vAlign w:val="center"/>
          </w:tcPr>
          <w:p w14:paraId="25B0DA3E">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台</w:t>
            </w:r>
          </w:p>
        </w:tc>
        <w:tc>
          <w:tcPr>
            <w:tcW w:w="2147" w:type="pct"/>
            <w:vAlign w:val="center"/>
          </w:tcPr>
          <w:p w14:paraId="0E201FF3">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LJD型</w:t>
            </w:r>
          </w:p>
        </w:tc>
        <w:tc>
          <w:tcPr>
            <w:tcW w:w="594" w:type="pct"/>
            <w:vAlign w:val="center"/>
          </w:tcPr>
          <w:p w14:paraId="0550AF4F">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2474D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1F551BDB">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w:t>
            </w:r>
          </w:p>
        </w:tc>
        <w:tc>
          <w:tcPr>
            <w:tcW w:w="1070" w:type="pct"/>
            <w:vAlign w:val="center"/>
          </w:tcPr>
          <w:p w14:paraId="2209AE83">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除尘器</w:t>
            </w:r>
          </w:p>
        </w:tc>
        <w:tc>
          <w:tcPr>
            <w:tcW w:w="442" w:type="pct"/>
            <w:vAlign w:val="center"/>
          </w:tcPr>
          <w:p w14:paraId="594DA68A">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442" w:type="pct"/>
            <w:vAlign w:val="center"/>
          </w:tcPr>
          <w:p w14:paraId="7DBDCB06">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台</w:t>
            </w:r>
          </w:p>
        </w:tc>
        <w:tc>
          <w:tcPr>
            <w:tcW w:w="2147" w:type="pct"/>
            <w:vAlign w:val="center"/>
          </w:tcPr>
          <w:p w14:paraId="6933B66B">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LJD型</w:t>
            </w:r>
          </w:p>
        </w:tc>
        <w:tc>
          <w:tcPr>
            <w:tcW w:w="594" w:type="pct"/>
            <w:vAlign w:val="center"/>
          </w:tcPr>
          <w:p w14:paraId="59EC4701">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56C3D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43AD23E2">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c>
          <w:tcPr>
            <w:tcW w:w="1070" w:type="pct"/>
            <w:vAlign w:val="center"/>
          </w:tcPr>
          <w:p w14:paraId="14D20F13">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电子</w:t>
            </w:r>
            <w:r>
              <w:rPr>
                <w:rFonts w:hint="eastAsia" w:cs="Times New Roman"/>
                <w:color w:val="000000" w:themeColor="text1"/>
                <w:sz w:val="21"/>
                <w:szCs w:val="21"/>
                <w:highlight w:val="none"/>
                <w:lang w:eastAsia="zh-CN"/>
                <w14:textFill>
                  <w14:solidFill>
                    <w14:schemeClr w14:val="tx1"/>
                  </w14:solidFill>
                </w14:textFill>
              </w:rPr>
              <w:t>皮带秤</w:t>
            </w:r>
          </w:p>
        </w:tc>
        <w:tc>
          <w:tcPr>
            <w:tcW w:w="442" w:type="pct"/>
            <w:vAlign w:val="center"/>
          </w:tcPr>
          <w:p w14:paraId="12F42AB0">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42" w:type="pct"/>
            <w:vAlign w:val="center"/>
          </w:tcPr>
          <w:p w14:paraId="7B94F91B">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台</w:t>
            </w:r>
          </w:p>
        </w:tc>
        <w:tc>
          <w:tcPr>
            <w:tcW w:w="2147" w:type="pct"/>
            <w:vAlign w:val="center"/>
          </w:tcPr>
          <w:p w14:paraId="5EF5BEF0">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DLC-1200</w:t>
            </w:r>
          </w:p>
        </w:tc>
        <w:tc>
          <w:tcPr>
            <w:tcW w:w="594" w:type="pct"/>
            <w:vAlign w:val="center"/>
          </w:tcPr>
          <w:p w14:paraId="66BEA46A">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p>
        </w:tc>
      </w:tr>
      <w:tr w14:paraId="1E824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vAlign w:val="center"/>
          </w:tcPr>
          <w:p w14:paraId="394416E5">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二、高压辊磨</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、打散作业</w:t>
            </w:r>
          </w:p>
        </w:tc>
      </w:tr>
      <w:tr w14:paraId="54A06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73919861">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070" w:type="pct"/>
            <w:vAlign w:val="center"/>
          </w:tcPr>
          <w:p w14:paraId="77780193">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电振给矿机</w:t>
            </w:r>
          </w:p>
        </w:tc>
        <w:tc>
          <w:tcPr>
            <w:tcW w:w="442" w:type="pct"/>
            <w:vAlign w:val="center"/>
          </w:tcPr>
          <w:p w14:paraId="789AE185">
            <w:pPr>
              <w:pStyle w:val="53"/>
              <w:widowControl w:val="0"/>
              <w:overflowPunct w:val="0"/>
              <w:topLinePunct/>
              <w:spacing w:after="0" w:line="360" w:lineRule="exact"/>
              <w:ind w:firstLine="0" w:firstLineChars="0"/>
              <w:jc w:val="center"/>
              <w:outlineLvl w:val="9"/>
              <w:rPr>
                <w:rFonts w:ascii="Times New Roman" w:hAnsi="Times New Roman" w:eastAsia="宋体"/>
                <w:b w:val="0"/>
                <w:color w:val="000000" w:themeColor="text1"/>
                <w:sz w:val="21"/>
                <w:highlight w:val="none"/>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12</w:t>
            </w:r>
          </w:p>
        </w:tc>
        <w:tc>
          <w:tcPr>
            <w:tcW w:w="442" w:type="pct"/>
            <w:vAlign w:val="center"/>
          </w:tcPr>
          <w:p w14:paraId="7D78AEFC">
            <w:pPr>
              <w:pStyle w:val="53"/>
              <w:widowControl w:val="0"/>
              <w:overflowPunct w:val="0"/>
              <w:topLinePunct/>
              <w:spacing w:after="0" w:line="360" w:lineRule="exact"/>
              <w:ind w:firstLine="0" w:firstLineChars="0"/>
              <w:jc w:val="center"/>
              <w:outlineLvl w:val="9"/>
              <w:rPr>
                <w:rFonts w:hint="default"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台</w:t>
            </w:r>
          </w:p>
        </w:tc>
        <w:tc>
          <w:tcPr>
            <w:tcW w:w="2147" w:type="pct"/>
            <w:vAlign w:val="center"/>
          </w:tcPr>
          <w:p w14:paraId="1F0D44DA">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XZG609L</w:t>
            </w:r>
          </w:p>
        </w:tc>
        <w:tc>
          <w:tcPr>
            <w:tcW w:w="594" w:type="pct"/>
            <w:vAlign w:val="center"/>
          </w:tcPr>
          <w:p w14:paraId="3512EF5C">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37A76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2" w:type="pct"/>
            <w:vAlign w:val="center"/>
          </w:tcPr>
          <w:p w14:paraId="397BA86D">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070" w:type="pct"/>
            <w:vAlign w:val="center"/>
          </w:tcPr>
          <w:p w14:paraId="2CD2488C">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4#胶带运输机</w:t>
            </w:r>
          </w:p>
        </w:tc>
        <w:tc>
          <w:tcPr>
            <w:tcW w:w="442" w:type="pct"/>
            <w:vAlign w:val="center"/>
          </w:tcPr>
          <w:p w14:paraId="6860EC7C">
            <w:pPr>
              <w:pStyle w:val="53"/>
              <w:widowControl w:val="0"/>
              <w:overflowPunct w:val="0"/>
              <w:topLinePunct/>
              <w:spacing w:after="0" w:line="360" w:lineRule="exact"/>
              <w:ind w:firstLine="0" w:firstLineChars="0"/>
              <w:jc w:val="center"/>
              <w:outlineLvl w:val="9"/>
              <w:rPr>
                <w:rFonts w:ascii="Times New Roman" w:hAnsi="Times New Roman" w:eastAsia="宋体"/>
                <w:b w:val="0"/>
                <w:color w:val="000000" w:themeColor="text1"/>
                <w:sz w:val="21"/>
                <w:highlight w:val="none"/>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2E586FEB">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台</w:t>
            </w:r>
          </w:p>
        </w:tc>
        <w:tc>
          <w:tcPr>
            <w:tcW w:w="2147" w:type="pct"/>
            <w:vAlign w:val="center"/>
          </w:tcPr>
          <w:p w14:paraId="407F952E">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TD75 12080</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L=86.4m</w:t>
            </w:r>
          </w:p>
        </w:tc>
        <w:tc>
          <w:tcPr>
            <w:tcW w:w="594" w:type="pct"/>
            <w:vAlign w:val="center"/>
          </w:tcPr>
          <w:p w14:paraId="41C4D412">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1C02B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046FCDCA">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1070" w:type="pct"/>
            <w:vAlign w:val="center"/>
          </w:tcPr>
          <w:p w14:paraId="09D1CA44">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电磁除铁器</w:t>
            </w:r>
          </w:p>
        </w:tc>
        <w:tc>
          <w:tcPr>
            <w:tcW w:w="442" w:type="pct"/>
            <w:vAlign w:val="center"/>
          </w:tcPr>
          <w:p w14:paraId="5EC686CE">
            <w:pPr>
              <w:pStyle w:val="53"/>
              <w:widowControl w:val="0"/>
              <w:overflowPunct w:val="0"/>
              <w:topLinePunct/>
              <w:spacing w:after="0" w:line="360" w:lineRule="exact"/>
              <w:ind w:firstLine="0" w:firstLineChars="0"/>
              <w:jc w:val="center"/>
              <w:outlineLvl w:val="9"/>
              <w:rPr>
                <w:rFonts w:ascii="Times New Roman" w:hAnsi="Times New Roman" w:eastAsia="宋体"/>
                <w:b w:val="0"/>
                <w:color w:val="000000" w:themeColor="text1"/>
                <w:sz w:val="21"/>
                <w:highlight w:val="none"/>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10E7935E">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台</w:t>
            </w:r>
          </w:p>
        </w:tc>
        <w:tc>
          <w:tcPr>
            <w:tcW w:w="2147" w:type="pct"/>
            <w:vAlign w:val="center"/>
          </w:tcPr>
          <w:p w14:paraId="62E393BD">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LKH-12 </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B=1200mm</w:t>
            </w:r>
          </w:p>
        </w:tc>
        <w:tc>
          <w:tcPr>
            <w:tcW w:w="594" w:type="pct"/>
            <w:vAlign w:val="center"/>
          </w:tcPr>
          <w:p w14:paraId="43F6FBA3">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0BB3E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0D0255F3">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1070" w:type="pct"/>
            <w:vAlign w:val="center"/>
          </w:tcPr>
          <w:p w14:paraId="326CEFD5">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电子</w:t>
            </w:r>
            <w:r>
              <w:rPr>
                <w:rFonts w:hint="eastAsia" w:cs="Times New Roman"/>
                <w:color w:val="000000" w:themeColor="text1"/>
                <w:sz w:val="21"/>
                <w:szCs w:val="21"/>
                <w:highlight w:val="none"/>
                <w:lang w:eastAsia="zh-CN"/>
                <w14:textFill>
                  <w14:solidFill>
                    <w14:schemeClr w14:val="tx1"/>
                  </w14:solidFill>
                </w14:textFill>
              </w:rPr>
              <w:t>皮带秤</w:t>
            </w:r>
          </w:p>
        </w:tc>
        <w:tc>
          <w:tcPr>
            <w:tcW w:w="442" w:type="pct"/>
            <w:vAlign w:val="center"/>
          </w:tcPr>
          <w:p w14:paraId="18A940F1">
            <w:pPr>
              <w:pStyle w:val="53"/>
              <w:widowControl w:val="0"/>
              <w:overflowPunct w:val="0"/>
              <w:topLinePunct/>
              <w:spacing w:after="0" w:line="360" w:lineRule="exact"/>
              <w:ind w:firstLine="0" w:firstLineChars="0"/>
              <w:jc w:val="center"/>
              <w:outlineLvl w:val="9"/>
              <w:rPr>
                <w:rFonts w:ascii="Times New Roman" w:hAnsi="Times New Roman" w:eastAsia="宋体"/>
                <w:b w:val="0"/>
                <w:color w:val="000000" w:themeColor="text1"/>
                <w:sz w:val="21"/>
                <w:highlight w:val="none"/>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5E4DEE88">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台</w:t>
            </w:r>
          </w:p>
        </w:tc>
        <w:tc>
          <w:tcPr>
            <w:tcW w:w="2147" w:type="pct"/>
            <w:vAlign w:val="center"/>
          </w:tcPr>
          <w:p w14:paraId="53F7B46C">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B=1200</w:t>
            </w:r>
          </w:p>
        </w:tc>
        <w:tc>
          <w:tcPr>
            <w:tcW w:w="594" w:type="pct"/>
            <w:vAlign w:val="center"/>
          </w:tcPr>
          <w:p w14:paraId="67A0BA1F">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14B87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17A4392D">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070" w:type="pct"/>
            <w:vAlign w:val="center"/>
          </w:tcPr>
          <w:p w14:paraId="6185F63A">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高压辊磨机</w:t>
            </w:r>
          </w:p>
        </w:tc>
        <w:tc>
          <w:tcPr>
            <w:tcW w:w="442" w:type="pct"/>
            <w:vAlign w:val="center"/>
          </w:tcPr>
          <w:p w14:paraId="1A13F921">
            <w:pPr>
              <w:pStyle w:val="53"/>
              <w:widowControl w:val="0"/>
              <w:overflowPunct w:val="0"/>
              <w:topLinePunct/>
              <w:spacing w:after="0" w:line="360" w:lineRule="exact"/>
              <w:ind w:firstLine="0" w:firstLineChars="0"/>
              <w:jc w:val="center"/>
              <w:outlineLvl w:val="9"/>
              <w:rPr>
                <w:rFonts w:ascii="Times New Roman" w:hAnsi="Times New Roman" w:eastAsia="宋体"/>
                <w:b w:val="0"/>
                <w:color w:val="000000" w:themeColor="text1"/>
                <w:sz w:val="21"/>
                <w:highlight w:val="none"/>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34E88BEB">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台</w:t>
            </w:r>
          </w:p>
        </w:tc>
        <w:tc>
          <w:tcPr>
            <w:tcW w:w="2147" w:type="pct"/>
            <w:vAlign w:val="center"/>
          </w:tcPr>
          <w:p w14:paraId="0C3012B2">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GM1400×600</w:t>
            </w:r>
          </w:p>
        </w:tc>
        <w:tc>
          <w:tcPr>
            <w:tcW w:w="594" w:type="pct"/>
            <w:vAlign w:val="center"/>
          </w:tcPr>
          <w:p w14:paraId="5B43FADD">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79028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3AC6327B">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1070" w:type="pct"/>
            <w:vAlign w:val="center"/>
          </w:tcPr>
          <w:p w14:paraId="256A9778">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5#胶带运输机</w:t>
            </w:r>
          </w:p>
        </w:tc>
        <w:tc>
          <w:tcPr>
            <w:tcW w:w="442" w:type="pct"/>
            <w:vAlign w:val="center"/>
          </w:tcPr>
          <w:p w14:paraId="46EB84D6">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72EEA7A2">
            <w:pPr>
              <w:pStyle w:val="53"/>
              <w:widowControl w:val="0"/>
              <w:overflowPunct w:val="0"/>
              <w:topLinePunct/>
              <w:spacing w:after="0" w:line="360" w:lineRule="exact"/>
              <w:ind w:firstLine="0" w:firstLineChars="0"/>
              <w:jc w:val="center"/>
              <w:outlineLvl w:val="9"/>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t>台</w:t>
            </w:r>
          </w:p>
        </w:tc>
        <w:tc>
          <w:tcPr>
            <w:tcW w:w="2147" w:type="pct"/>
            <w:vAlign w:val="center"/>
          </w:tcPr>
          <w:p w14:paraId="425198AD">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TD75 12080 </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L=9.2m</w:t>
            </w:r>
          </w:p>
        </w:tc>
        <w:tc>
          <w:tcPr>
            <w:tcW w:w="594" w:type="pct"/>
            <w:vAlign w:val="center"/>
          </w:tcPr>
          <w:p w14:paraId="3F27F67E">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302E5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694EDC24">
            <w:pPr>
              <w:overflowPunct w:val="0"/>
              <w:topLinePunct/>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1070" w:type="pct"/>
            <w:vAlign w:val="center"/>
          </w:tcPr>
          <w:p w14:paraId="21212A8D">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6#胶带运输机</w:t>
            </w:r>
          </w:p>
        </w:tc>
        <w:tc>
          <w:tcPr>
            <w:tcW w:w="442" w:type="pct"/>
            <w:vAlign w:val="center"/>
          </w:tcPr>
          <w:p w14:paraId="3C63583C">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4A6AF11B">
            <w:pPr>
              <w:pStyle w:val="53"/>
              <w:widowControl w:val="0"/>
              <w:overflowPunct w:val="0"/>
              <w:topLinePunct/>
              <w:spacing w:after="0" w:line="360" w:lineRule="exact"/>
              <w:ind w:firstLine="0" w:firstLineChars="0"/>
              <w:jc w:val="center"/>
              <w:outlineLvl w:val="9"/>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t>台</w:t>
            </w:r>
          </w:p>
        </w:tc>
        <w:tc>
          <w:tcPr>
            <w:tcW w:w="2147" w:type="pct"/>
            <w:vAlign w:val="center"/>
          </w:tcPr>
          <w:p w14:paraId="529C4073">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TD75 12080</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L=85.2m</w:t>
            </w:r>
          </w:p>
        </w:tc>
        <w:tc>
          <w:tcPr>
            <w:tcW w:w="594" w:type="pct"/>
            <w:vAlign w:val="center"/>
          </w:tcPr>
          <w:p w14:paraId="5E696E4B">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362F4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70E4F5F7">
            <w:pPr>
              <w:overflowPunct w:val="0"/>
              <w:topLinePunct/>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w:t>
            </w:r>
          </w:p>
        </w:tc>
        <w:tc>
          <w:tcPr>
            <w:tcW w:w="1070" w:type="pct"/>
            <w:vAlign w:val="center"/>
          </w:tcPr>
          <w:p w14:paraId="452DEDDA">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电振给矿机</w:t>
            </w:r>
          </w:p>
        </w:tc>
        <w:tc>
          <w:tcPr>
            <w:tcW w:w="442" w:type="pct"/>
            <w:vAlign w:val="center"/>
          </w:tcPr>
          <w:p w14:paraId="7E0A62B1">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6</w:t>
            </w:r>
          </w:p>
        </w:tc>
        <w:tc>
          <w:tcPr>
            <w:tcW w:w="442" w:type="pct"/>
            <w:vAlign w:val="center"/>
          </w:tcPr>
          <w:p w14:paraId="793EF6A4">
            <w:pPr>
              <w:pStyle w:val="53"/>
              <w:widowControl w:val="0"/>
              <w:overflowPunct w:val="0"/>
              <w:topLinePunct/>
              <w:spacing w:after="0" w:line="360" w:lineRule="exact"/>
              <w:ind w:firstLine="0" w:firstLineChars="0"/>
              <w:jc w:val="center"/>
              <w:outlineLvl w:val="9"/>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t>台</w:t>
            </w:r>
          </w:p>
        </w:tc>
        <w:tc>
          <w:tcPr>
            <w:tcW w:w="2147" w:type="pct"/>
            <w:vAlign w:val="center"/>
          </w:tcPr>
          <w:p w14:paraId="1DE541F8">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XZG609L</w:t>
            </w:r>
          </w:p>
        </w:tc>
        <w:tc>
          <w:tcPr>
            <w:tcW w:w="594" w:type="pct"/>
            <w:vAlign w:val="center"/>
          </w:tcPr>
          <w:p w14:paraId="1E2CF1F0">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7AB93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71DB5A16">
            <w:pPr>
              <w:overflowPunct w:val="0"/>
              <w:topLinePunct/>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w:t>
            </w:r>
          </w:p>
        </w:tc>
        <w:tc>
          <w:tcPr>
            <w:tcW w:w="1070" w:type="pct"/>
            <w:vAlign w:val="center"/>
          </w:tcPr>
          <w:p w14:paraId="20B71872">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7#胶带运输机</w:t>
            </w:r>
          </w:p>
        </w:tc>
        <w:tc>
          <w:tcPr>
            <w:tcW w:w="442" w:type="pct"/>
            <w:vAlign w:val="center"/>
          </w:tcPr>
          <w:p w14:paraId="7CBE88D4">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577EE093">
            <w:pPr>
              <w:pStyle w:val="53"/>
              <w:widowControl w:val="0"/>
              <w:overflowPunct w:val="0"/>
              <w:topLinePunct/>
              <w:spacing w:after="0" w:line="360" w:lineRule="exact"/>
              <w:ind w:firstLine="0" w:firstLineChars="0"/>
              <w:jc w:val="center"/>
              <w:outlineLvl w:val="9"/>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t>台</w:t>
            </w:r>
          </w:p>
        </w:tc>
        <w:tc>
          <w:tcPr>
            <w:tcW w:w="2147" w:type="pct"/>
            <w:vAlign w:val="center"/>
          </w:tcPr>
          <w:p w14:paraId="068CE83C">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TD75 12080</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L=83.3m</w:t>
            </w:r>
          </w:p>
        </w:tc>
        <w:tc>
          <w:tcPr>
            <w:tcW w:w="594" w:type="pct"/>
            <w:vAlign w:val="center"/>
          </w:tcPr>
          <w:p w14:paraId="379DE9BB">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691D0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6BF98103">
            <w:pPr>
              <w:overflowPunct w:val="0"/>
              <w:topLinePunct/>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1070" w:type="pct"/>
            <w:vAlign w:val="center"/>
          </w:tcPr>
          <w:p w14:paraId="1D449436">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直线振动筛</w:t>
            </w:r>
          </w:p>
        </w:tc>
        <w:tc>
          <w:tcPr>
            <w:tcW w:w="442" w:type="pct"/>
            <w:vAlign w:val="center"/>
          </w:tcPr>
          <w:p w14:paraId="2A39EC26">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15293974">
            <w:pPr>
              <w:pStyle w:val="53"/>
              <w:widowControl w:val="0"/>
              <w:overflowPunct w:val="0"/>
              <w:topLinePunct/>
              <w:spacing w:after="0" w:line="360" w:lineRule="exact"/>
              <w:ind w:firstLine="0" w:firstLineChars="0"/>
              <w:jc w:val="center"/>
              <w:outlineLvl w:val="9"/>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t>台</w:t>
            </w:r>
          </w:p>
        </w:tc>
        <w:tc>
          <w:tcPr>
            <w:tcW w:w="2147" w:type="pct"/>
            <w:vAlign w:val="center"/>
          </w:tcPr>
          <w:p w14:paraId="68B7330B">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GXSF2461</w:t>
            </w:r>
          </w:p>
        </w:tc>
        <w:tc>
          <w:tcPr>
            <w:tcW w:w="594" w:type="pct"/>
            <w:vAlign w:val="center"/>
          </w:tcPr>
          <w:p w14:paraId="18A42C2A">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3792D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7C8FF516">
            <w:pPr>
              <w:overflowPunct w:val="0"/>
              <w:topLinePunct/>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w:t>
            </w:r>
          </w:p>
        </w:tc>
        <w:tc>
          <w:tcPr>
            <w:tcW w:w="1070" w:type="pct"/>
            <w:vAlign w:val="center"/>
          </w:tcPr>
          <w:p w14:paraId="065A359D">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8#胶带运输机</w:t>
            </w:r>
          </w:p>
        </w:tc>
        <w:tc>
          <w:tcPr>
            <w:tcW w:w="442" w:type="pct"/>
            <w:vAlign w:val="center"/>
          </w:tcPr>
          <w:p w14:paraId="4C18C020">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1B65D061">
            <w:pPr>
              <w:pStyle w:val="53"/>
              <w:widowControl w:val="0"/>
              <w:overflowPunct w:val="0"/>
              <w:topLinePunct/>
              <w:spacing w:after="0" w:line="360" w:lineRule="exact"/>
              <w:ind w:firstLine="0" w:firstLineChars="0"/>
              <w:jc w:val="center"/>
              <w:outlineLvl w:val="9"/>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t>台</w:t>
            </w:r>
          </w:p>
        </w:tc>
        <w:tc>
          <w:tcPr>
            <w:tcW w:w="2147" w:type="pct"/>
            <w:vAlign w:val="center"/>
          </w:tcPr>
          <w:p w14:paraId="2839CAC6">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TD75 10080</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L=87.8m</w:t>
            </w:r>
          </w:p>
        </w:tc>
        <w:tc>
          <w:tcPr>
            <w:tcW w:w="594" w:type="pct"/>
            <w:vAlign w:val="center"/>
          </w:tcPr>
          <w:p w14:paraId="17A7CA0A">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25428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4D11F2BC">
            <w:pPr>
              <w:overflowPunct w:val="0"/>
              <w:topLinePunct/>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1070" w:type="pct"/>
            <w:vAlign w:val="center"/>
          </w:tcPr>
          <w:p w14:paraId="5EFD5A84">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液下泵</w:t>
            </w:r>
          </w:p>
        </w:tc>
        <w:tc>
          <w:tcPr>
            <w:tcW w:w="442" w:type="pct"/>
            <w:vAlign w:val="center"/>
          </w:tcPr>
          <w:p w14:paraId="6616032C">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2</w:t>
            </w:r>
          </w:p>
        </w:tc>
        <w:tc>
          <w:tcPr>
            <w:tcW w:w="442" w:type="pct"/>
            <w:vAlign w:val="center"/>
          </w:tcPr>
          <w:p w14:paraId="4434F07F">
            <w:pPr>
              <w:pStyle w:val="53"/>
              <w:widowControl w:val="0"/>
              <w:overflowPunct w:val="0"/>
              <w:topLinePunct/>
              <w:spacing w:after="0" w:line="360" w:lineRule="exact"/>
              <w:ind w:firstLine="0" w:firstLineChars="0"/>
              <w:jc w:val="center"/>
              <w:outlineLvl w:val="9"/>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t>台</w:t>
            </w:r>
          </w:p>
        </w:tc>
        <w:tc>
          <w:tcPr>
            <w:tcW w:w="2147" w:type="pct"/>
            <w:vAlign w:val="center"/>
          </w:tcPr>
          <w:p w14:paraId="00BB6B0D">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40PV-SP</w:t>
            </w:r>
          </w:p>
        </w:tc>
        <w:tc>
          <w:tcPr>
            <w:tcW w:w="594" w:type="pct"/>
            <w:vAlign w:val="center"/>
          </w:tcPr>
          <w:p w14:paraId="541A0F3C">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763D1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17498561">
            <w:pPr>
              <w:overflowPunct w:val="0"/>
              <w:topLinePunct/>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w:t>
            </w:r>
          </w:p>
        </w:tc>
        <w:tc>
          <w:tcPr>
            <w:tcW w:w="1070" w:type="pct"/>
            <w:vAlign w:val="center"/>
          </w:tcPr>
          <w:p w14:paraId="66BC0550">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电动吊钩桥式起重机</w:t>
            </w:r>
          </w:p>
        </w:tc>
        <w:tc>
          <w:tcPr>
            <w:tcW w:w="442" w:type="pct"/>
            <w:vAlign w:val="center"/>
          </w:tcPr>
          <w:p w14:paraId="10709ED3">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0D722AE9">
            <w:pPr>
              <w:pStyle w:val="53"/>
              <w:widowControl w:val="0"/>
              <w:overflowPunct w:val="0"/>
              <w:topLinePunct/>
              <w:spacing w:after="0" w:line="360" w:lineRule="exact"/>
              <w:ind w:firstLine="0" w:firstLineChars="0"/>
              <w:jc w:val="center"/>
              <w:outlineLvl w:val="9"/>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t>台</w:t>
            </w:r>
          </w:p>
        </w:tc>
        <w:tc>
          <w:tcPr>
            <w:tcW w:w="2147" w:type="pct"/>
            <w:vAlign w:val="center"/>
          </w:tcPr>
          <w:p w14:paraId="5D337FCD">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Q=32/8t </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 xml:space="preserve">Lk=10.5m </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H=16m</w:t>
            </w:r>
          </w:p>
        </w:tc>
        <w:tc>
          <w:tcPr>
            <w:tcW w:w="594" w:type="pct"/>
            <w:vAlign w:val="center"/>
          </w:tcPr>
          <w:p w14:paraId="6161FDA3">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2B009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22965DEE">
            <w:pPr>
              <w:overflowPunct w:val="0"/>
              <w:topLinePunct/>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w:t>
            </w:r>
          </w:p>
        </w:tc>
        <w:tc>
          <w:tcPr>
            <w:tcW w:w="1070" w:type="pct"/>
            <w:vAlign w:val="center"/>
          </w:tcPr>
          <w:p w14:paraId="2E205EA9">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电动单梁起重机</w:t>
            </w:r>
          </w:p>
        </w:tc>
        <w:tc>
          <w:tcPr>
            <w:tcW w:w="442" w:type="pct"/>
            <w:vAlign w:val="center"/>
          </w:tcPr>
          <w:p w14:paraId="3F218646">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75BE6932">
            <w:pPr>
              <w:pStyle w:val="53"/>
              <w:widowControl w:val="0"/>
              <w:overflowPunct w:val="0"/>
              <w:topLinePunct/>
              <w:spacing w:after="0" w:line="360" w:lineRule="exact"/>
              <w:ind w:firstLine="0" w:firstLineChars="0"/>
              <w:jc w:val="center"/>
              <w:outlineLvl w:val="9"/>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t>台</w:t>
            </w:r>
          </w:p>
        </w:tc>
        <w:tc>
          <w:tcPr>
            <w:tcW w:w="2147" w:type="pct"/>
            <w:vAlign w:val="center"/>
          </w:tcPr>
          <w:p w14:paraId="56AAE3E9">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Q=10t</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Lk=10.5m</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14:textFill>
                  <w14:solidFill>
                    <w14:schemeClr w14:val="tx1"/>
                  </w14:solidFill>
                </w14:textFill>
              </w:rPr>
              <w:t>H=24m</w:t>
            </w:r>
          </w:p>
        </w:tc>
        <w:tc>
          <w:tcPr>
            <w:tcW w:w="594" w:type="pct"/>
            <w:vAlign w:val="center"/>
          </w:tcPr>
          <w:p w14:paraId="06E19382">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78575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7CAD72C1">
            <w:pPr>
              <w:overflowPunct w:val="0"/>
              <w:topLinePunct/>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p>
        </w:tc>
        <w:tc>
          <w:tcPr>
            <w:tcW w:w="1070" w:type="pct"/>
            <w:vAlign w:val="center"/>
          </w:tcPr>
          <w:p w14:paraId="3CEAE2C0">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电动葫芦</w:t>
            </w:r>
          </w:p>
        </w:tc>
        <w:tc>
          <w:tcPr>
            <w:tcW w:w="442" w:type="pct"/>
            <w:vAlign w:val="center"/>
          </w:tcPr>
          <w:p w14:paraId="7F962FD5">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73BAED58">
            <w:pPr>
              <w:pStyle w:val="53"/>
              <w:widowControl w:val="0"/>
              <w:overflowPunct w:val="0"/>
              <w:topLinePunct/>
              <w:spacing w:after="0" w:line="360" w:lineRule="exact"/>
              <w:ind w:firstLine="0" w:firstLineChars="0"/>
              <w:jc w:val="center"/>
              <w:outlineLvl w:val="9"/>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t>台</w:t>
            </w:r>
          </w:p>
        </w:tc>
        <w:tc>
          <w:tcPr>
            <w:tcW w:w="2147" w:type="pct"/>
            <w:vAlign w:val="center"/>
          </w:tcPr>
          <w:p w14:paraId="16CB4802">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Q=5t H=24m</w:t>
            </w:r>
          </w:p>
        </w:tc>
        <w:tc>
          <w:tcPr>
            <w:tcW w:w="594" w:type="pct"/>
            <w:vAlign w:val="center"/>
          </w:tcPr>
          <w:p w14:paraId="04307605">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621DC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7164C5AD">
            <w:pPr>
              <w:overflowPunct w:val="0"/>
              <w:topLinePunct/>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w:t>
            </w:r>
          </w:p>
        </w:tc>
        <w:tc>
          <w:tcPr>
            <w:tcW w:w="1070" w:type="pct"/>
            <w:vAlign w:val="center"/>
          </w:tcPr>
          <w:p w14:paraId="5AE0A2D8">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除尘器</w:t>
            </w:r>
          </w:p>
        </w:tc>
        <w:tc>
          <w:tcPr>
            <w:tcW w:w="442" w:type="pct"/>
            <w:vAlign w:val="center"/>
          </w:tcPr>
          <w:p w14:paraId="1AB53A7D">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7</w:t>
            </w:r>
          </w:p>
        </w:tc>
        <w:tc>
          <w:tcPr>
            <w:tcW w:w="442" w:type="pct"/>
            <w:vAlign w:val="center"/>
          </w:tcPr>
          <w:p w14:paraId="414EF0F3">
            <w:pPr>
              <w:pStyle w:val="53"/>
              <w:widowControl w:val="0"/>
              <w:overflowPunct w:val="0"/>
              <w:topLinePunct/>
              <w:spacing w:after="0" w:line="360" w:lineRule="exact"/>
              <w:ind w:firstLine="0" w:firstLineChars="0"/>
              <w:jc w:val="center"/>
              <w:outlineLvl w:val="9"/>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t>台</w:t>
            </w:r>
          </w:p>
        </w:tc>
        <w:tc>
          <w:tcPr>
            <w:tcW w:w="2147" w:type="pct"/>
            <w:vAlign w:val="center"/>
          </w:tcPr>
          <w:p w14:paraId="4132DB53">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LJD型</w:t>
            </w:r>
          </w:p>
        </w:tc>
        <w:tc>
          <w:tcPr>
            <w:tcW w:w="594" w:type="pct"/>
            <w:vAlign w:val="center"/>
          </w:tcPr>
          <w:p w14:paraId="1D8CC47E">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7E228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089676E4">
            <w:pPr>
              <w:overflowPunct w:val="0"/>
              <w:topLinePunct/>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w:t>
            </w:r>
          </w:p>
        </w:tc>
        <w:tc>
          <w:tcPr>
            <w:tcW w:w="1070" w:type="pct"/>
            <w:vAlign w:val="center"/>
          </w:tcPr>
          <w:p w14:paraId="03D41721">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除尘器</w:t>
            </w:r>
          </w:p>
        </w:tc>
        <w:tc>
          <w:tcPr>
            <w:tcW w:w="442" w:type="pct"/>
            <w:vAlign w:val="center"/>
          </w:tcPr>
          <w:p w14:paraId="604B6D2F">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6</w:t>
            </w:r>
          </w:p>
        </w:tc>
        <w:tc>
          <w:tcPr>
            <w:tcW w:w="442" w:type="pct"/>
            <w:vAlign w:val="center"/>
          </w:tcPr>
          <w:p w14:paraId="2BC4C9FD">
            <w:pPr>
              <w:pStyle w:val="53"/>
              <w:widowControl w:val="0"/>
              <w:overflowPunct w:val="0"/>
              <w:topLinePunct/>
              <w:spacing w:after="0" w:line="360" w:lineRule="exact"/>
              <w:ind w:firstLine="0" w:firstLineChars="0"/>
              <w:jc w:val="center"/>
              <w:outlineLvl w:val="9"/>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宋体"/>
                <w:b w:val="0"/>
                <w:color w:val="000000" w:themeColor="text1"/>
                <w:sz w:val="21"/>
                <w:highlight w:val="none"/>
                <w:lang w:val="en-US" w:eastAsia="zh-CN"/>
                <w14:textFill>
                  <w14:solidFill>
                    <w14:schemeClr w14:val="tx1"/>
                  </w14:solidFill>
                </w14:textFill>
              </w:rPr>
              <w:t>台</w:t>
            </w:r>
          </w:p>
        </w:tc>
        <w:tc>
          <w:tcPr>
            <w:tcW w:w="2147" w:type="pct"/>
            <w:vAlign w:val="center"/>
          </w:tcPr>
          <w:p w14:paraId="234CDCF3">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LJD型</w:t>
            </w:r>
          </w:p>
        </w:tc>
        <w:tc>
          <w:tcPr>
            <w:tcW w:w="594" w:type="pct"/>
            <w:vAlign w:val="center"/>
          </w:tcPr>
          <w:p w14:paraId="79F1B140">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00200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vAlign w:val="center"/>
          </w:tcPr>
          <w:p w14:paraId="2BC782D3">
            <w:pPr>
              <w:pStyle w:val="45"/>
              <w:overflowPunct w:val="0"/>
              <w:topLinePunct/>
              <w:spacing w:before="0" w:beforeAutospacing="0"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三</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磨矿、选别、脱水作业</w:t>
            </w:r>
          </w:p>
        </w:tc>
      </w:tr>
      <w:tr w14:paraId="45493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6B5409F8">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070" w:type="pct"/>
            <w:vAlign w:val="center"/>
          </w:tcPr>
          <w:p w14:paraId="2DEABEEA">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粗粒磁选机</w:t>
            </w:r>
          </w:p>
        </w:tc>
        <w:tc>
          <w:tcPr>
            <w:tcW w:w="442" w:type="pct"/>
            <w:vAlign w:val="center"/>
          </w:tcPr>
          <w:p w14:paraId="6CA24548">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2</w:t>
            </w:r>
          </w:p>
        </w:tc>
        <w:tc>
          <w:tcPr>
            <w:tcW w:w="442" w:type="pct"/>
            <w:vAlign w:val="center"/>
          </w:tcPr>
          <w:p w14:paraId="03F366D8">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eastAsia="zh-CN"/>
                <w14:textFill>
                  <w14:solidFill>
                    <w14:schemeClr w14:val="tx1"/>
                  </w14:solidFill>
                </w14:textFill>
              </w:rPr>
            </w:pPr>
            <w:r>
              <w:rPr>
                <w:rFonts w:hint="eastAsia" w:ascii="Times New Roman" w:hAnsi="Times New Roman" w:eastAsia="宋体"/>
                <w:b w:val="0"/>
                <w:color w:val="000000" w:themeColor="text1"/>
                <w:sz w:val="21"/>
                <w:highlight w:val="none"/>
                <w:lang w:eastAsia="zh-CN"/>
                <w14:textFill>
                  <w14:solidFill>
                    <w14:schemeClr w14:val="tx1"/>
                  </w14:solidFill>
                </w14:textFill>
              </w:rPr>
              <w:t>台</w:t>
            </w:r>
          </w:p>
        </w:tc>
        <w:tc>
          <w:tcPr>
            <w:tcW w:w="2147" w:type="pct"/>
            <w:vAlign w:val="center"/>
          </w:tcPr>
          <w:p w14:paraId="6F8D728B">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XCTB-1232</w:t>
            </w:r>
          </w:p>
        </w:tc>
        <w:tc>
          <w:tcPr>
            <w:tcW w:w="594" w:type="pct"/>
            <w:vAlign w:val="center"/>
          </w:tcPr>
          <w:p w14:paraId="259A89A1">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6D47F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0D3549B1">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070" w:type="pct"/>
            <w:vAlign w:val="center"/>
          </w:tcPr>
          <w:p w14:paraId="056FE982">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湿式半逆流磁选机</w:t>
            </w:r>
          </w:p>
        </w:tc>
        <w:tc>
          <w:tcPr>
            <w:tcW w:w="442" w:type="pct"/>
            <w:vAlign w:val="center"/>
          </w:tcPr>
          <w:p w14:paraId="7BC768E6">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4</w:t>
            </w:r>
          </w:p>
        </w:tc>
        <w:tc>
          <w:tcPr>
            <w:tcW w:w="442" w:type="pct"/>
            <w:vAlign w:val="center"/>
          </w:tcPr>
          <w:p w14:paraId="4A0D9D66">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eastAsia="zh-CN"/>
                <w14:textFill>
                  <w14:solidFill>
                    <w14:schemeClr w14:val="tx1"/>
                  </w14:solidFill>
                </w14:textFill>
              </w:rPr>
            </w:pPr>
            <w:r>
              <w:rPr>
                <w:rFonts w:hint="eastAsia" w:ascii="Times New Roman" w:hAnsi="Times New Roman" w:eastAsia="宋体"/>
                <w:b w:val="0"/>
                <w:color w:val="000000" w:themeColor="text1"/>
                <w:sz w:val="21"/>
                <w:highlight w:val="none"/>
                <w:lang w:eastAsia="zh-CN"/>
                <w14:textFill>
                  <w14:solidFill>
                    <w14:schemeClr w14:val="tx1"/>
                  </w14:solidFill>
                </w14:textFill>
              </w:rPr>
              <w:t>台</w:t>
            </w:r>
          </w:p>
        </w:tc>
        <w:tc>
          <w:tcPr>
            <w:tcW w:w="2147" w:type="pct"/>
            <w:vAlign w:val="center"/>
          </w:tcPr>
          <w:p w14:paraId="31F54F8C">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CTB-1230</w:t>
            </w:r>
          </w:p>
        </w:tc>
        <w:tc>
          <w:tcPr>
            <w:tcW w:w="594" w:type="pct"/>
            <w:vAlign w:val="center"/>
          </w:tcPr>
          <w:p w14:paraId="0BDCDB22">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31E78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3F92EC90">
            <w:pPr>
              <w:overflowPunct w:val="0"/>
              <w:topLinePunct/>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1070" w:type="pct"/>
            <w:vAlign w:val="center"/>
          </w:tcPr>
          <w:p w14:paraId="47CFF083">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旋流器</w:t>
            </w:r>
          </w:p>
        </w:tc>
        <w:tc>
          <w:tcPr>
            <w:tcW w:w="442" w:type="pct"/>
            <w:vAlign w:val="center"/>
          </w:tcPr>
          <w:p w14:paraId="1DB3CEE9">
            <w:pPr>
              <w:pStyle w:val="53"/>
              <w:widowControl w:val="0"/>
              <w:overflowPunct w:val="0"/>
              <w:topLinePunct/>
              <w:spacing w:after="0" w:line="360" w:lineRule="exact"/>
              <w:ind w:firstLine="0" w:firstLineChars="0"/>
              <w:jc w:val="center"/>
              <w:outlineLvl w:val="9"/>
              <w:rPr>
                <w:rFonts w:hint="default"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2</w:t>
            </w:r>
          </w:p>
        </w:tc>
        <w:tc>
          <w:tcPr>
            <w:tcW w:w="442" w:type="pct"/>
            <w:vAlign w:val="center"/>
          </w:tcPr>
          <w:p w14:paraId="6CBF136C">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eastAsia="zh-CN"/>
                <w14:textFill>
                  <w14:solidFill>
                    <w14:schemeClr w14:val="tx1"/>
                  </w14:solidFill>
                </w14:textFill>
              </w:rPr>
            </w:pPr>
            <w:r>
              <w:rPr>
                <w:rFonts w:hint="eastAsia" w:ascii="Times New Roman" w:hAnsi="Times New Roman" w:eastAsia="宋体"/>
                <w:b w:val="0"/>
                <w:color w:val="000000" w:themeColor="text1"/>
                <w:sz w:val="21"/>
                <w:highlight w:val="none"/>
                <w:lang w:eastAsia="zh-CN"/>
                <w14:textFill>
                  <w14:solidFill>
                    <w14:schemeClr w14:val="tx1"/>
                  </w14:solidFill>
                </w14:textFill>
              </w:rPr>
              <w:t>台</w:t>
            </w:r>
          </w:p>
        </w:tc>
        <w:tc>
          <w:tcPr>
            <w:tcW w:w="2147" w:type="pct"/>
            <w:vAlign w:val="center"/>
          </w:tcPr>
          <w:p w14:paraId="1EED3BC7">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FX-350×6</w:t>
            </w:r>
          </w:p>
        </w:tc>
        <w:tc>
          <w:tcPr>
            <w:tcW w:w="594" w:type="pct"/>
            <w:vAlign w:val="center"/>
          </w:tcPr>
          <w:p w14:paraId="5F66F4B7">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64348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6CFC88DB">
            <w:pPr>
              <w:overflowPunct w:val="0"/>
              <w:topLinePunct/>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bookmarkStart w:id="444" w:name="_Toc4290"/>
            <w:bookmarkStart w:id="445" w:name="_Toc26345"/>
            <w:bookmarkStart w:id="446" w:name="_Toc11305"/>
            <w:bookmarkStart w:id="447" w:name="_Toc9110"/>
            <w:bookmarkStart w:id="448" w:name="_Toc25938"/>
            <w:r>
              <w:rPr>
                <w:rFonts w:hint="eastAsia"/>
                <w:color w:val="000000" w:themeColor="text1"/>
                <w:sz w:val="21"/>
                <w:szCs w:val="21"/>
                <w:highlight w:val="none"/>
                <w:lang w:val="en-US" w:eastAsia="zh-CN"/>
                <w14:textFill>
                  <w14:solidFill>
                    <w14:schemeClr w14:val="tx1"/>
                  </w14:solidFill>
                </w14:textFill>
              </w:rPr>
              <w:t>4</w:t>
            </w:r>
          </w:p>
        </w:tc>
        <w:tc>
          <w:tcPr>
            <w:tcW w:w="1070" w:type="pct"/>
            <w:vAlign w:val="center"/>
          </w:tcPr>
          <w:p w14:paraId="4EF96290">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脱水筛</w:t>
            </w:r>
          </w:p>
        </w:tc>
        <w:tc>
          <w:tcPr>
            <w:tcW w:w="442" w:type="pct"/>
            <w:vAlign w:val="center"/>
          </w:tcPr>
          <w:p w14:paraId="1DA9DC9E">
            <w:pPr>
              <w:pStyle w:val="53"/>
              <w:widowControl w:val="0"/>
              <w:overflowPunct w:val="0"/>
              <w:topLinePunct/>
              <w:spacing w:after="0" w:line="360" w:lineRule="exact"/>
              <w:ind w:firstLine="0" w:firstLineChars="0"/>
              <w:jc w:val="center"/>
              <w:outlineLvl w:val="9"/>
              <w:rPr>
                <w:rFonts w:hint="default"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2</w:t>
            </w:r>
          </w:p>
        </w:tc>
        <w:tc>
          <w:tcPr>
            <w:tcW w:w="442" w:type="pct"/>
            <w:vAlign w:val="center"/>
          </w:tcPr>
          <w:p w14:paraId="276E3EA1">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eastAsia="zh-CN"/>
                <w14:textFill>
                  <w14:solidFill>
                    <w14:schemeClr w14:val="tx1"/>
                  </w14:solidFill>
                </w14:textFill>
              </w:rPr>
            </w:pPr>
            <w:r>
              <w:rPr>
                <w:rFonts w:hint="eastAsia" w:ascii="Times New Roman" w:hAnsi="Times New Roman" w:eastAsia="宋体"/>
                <w:b w:val="0"/>
                <w:color w:val="000000" w:themeColor="text1"/>
                <w:sz w:val="21"/>
                <w:highlight w:val="none"/>
                <w:lang w:eastAsia="zh-CN"/>
                <w14:textFill>
                  <w14:solidFill>
                    <w14:schemeClr w14:val="tx1"/>
                  </w14:solidFill>
                </w14:textFill>
              </w:rPr>
              <w:t>台</w:t>
            </w:r>
          </w:p>
        </w:tc>
        <w:tc>
          <w:tcPr>
            <w:tcW w:w="2147" w:type="pct"/>
            <w:vAlign w:val="center"/>
          </w:tcPr>
          <w:p w14:paraId="77D083B2">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ZKX1836</w:t>
            </w:r>
          </w:p>
        </w:tc>
        <w:tc>
          <w:tcPr>
            <w:tcW w:w="594" w:type="pct"/>
            <w:vAlign w:val="center"/>
          </w:tcPr>
          <w:p w14:paraId="55BF95E9">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34584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3DECA298">
            <w:pPr>
              <w:overflowPunct w:val="0"/>
              <w:topLinePunct/>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1070" w:type="pct"/>
            <w:vAlign w:val="center"/>
          </w:tcPr>
          <w:p w14:paraId="7970822D">
            <w:pPr>
              <w:pStyle w:val="45"/>
              <w:overflowPunct w:val="0"/>
              <w:topLinePunct/>
              <w:spacing w:before="0" w:beforeAutospacing="0" w:line="360" w:lineRule="exact"/>
              <w:ind w:firstLine="0" w:firstLineChars="0"/>
              <w:jc w:val="center"/>
              <w:rPr>
                <w:rFonts w:hint="eastAsia"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过滤机</w:t>
            </w:r>
          </w:p>
        </w:tc>
        <w:tc>
          <w:tcPr>
            <w:tcW w:w="442" w:type="pct"/>
            <w:vAlign w:val="center"/>
          </w:tcPr>
          <w:p w14:paraId="75D6301E">
            <w:pPr>
              <w:pStyle w:val="53"/>
              <w:widowControl w:val="0"/>
              <w:overflowPunct w:val="0"/>
              <w:topLinePunct/>
              <w:spacing w:after="0" w:line="360" w:lineRule="exact"/>
              <w:ind w:firstLine="0" w:firstLineChars="0"/>
              <w:jc w:val="center"/>
              <w:outlineLvl w:val="9"/>
              <w:rPr>
                <w:rFonts w:hint="default"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4</w:t>
            </w:r>
          </w:p>
        </w:tc>
        <w:tc>
          <w:tcPr>
            <w:tcW w:w="442" w:type="pct"/>
            <w:vAlign w:val="center"/>
          </w:tcPr>
          <w:p w14:paraId="0F4C573E">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eastAsia="zh-CN"/>
                <w14:textFill>
                  <w14:solidFill>
                    <w14:schemeClr w14:val="tx1"/>
                  </w14:solidFill>
                </w14:textFill>
              </w:rPr>
            </w:pPr>
            <w:r>
              <w:rPr>
                <w:rFonts w:hint="eastAsia" w:ascii="Times New Roman" w:hAnsi="Times New Roman" w:eastAsia="宋体"/>
                <w:b w:val="0"/>
                <w:color w:val="000000" w:themeColor="text1"/>
                <w:sz w:val="21"/>
                <w:highlight w:val="none"/>
                <w:lang w:eastAsia="zh-CN"/>
                <w14:textFill>
                  <w14:solidFill>
                    <w14:schemeClr w14:val="tx1"/>
                  </w14:solidFill>
                </w14:textFill>
              </w:rPr>
              <w:t>台</w:t>
            </w:r>
          </w:p>
        </w:tc>
        <w:tc>
          <w:tcPr>
            <w:tcW w:w="2147" w:type="pct"/>
            <w:vAlign w:val="center"/>
          </w:tcPr>
          <w:p w14:paraId="7EA70989">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BY-72</w:t>
            </w:r>
          </w:p>
        </w:tc>
        <w:tc>
          <w:tcPr>
            <w:tcW w:w="594" w:type="pct"/>
            <w:vAlign w:val="center"/>
          </w:tcPr>
          <w:p w14:paraId="02F97C27">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7B5A5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vAlign w:val="center"/>
          </w:tcPr>
          <w:p w14:paraId="5580E286">
            <w:pPr>
              <w:pStyle w:val="45"/>
              <w:overflowPunct w:val="0"/>
              <w:topLinePunct/>
              <w:spacing w:before="0" w:beforeAutospacing="0"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四、尾矿库</w:t>
            </w:r>
          </w:p>
        </w:tc>
      </w:tr>
      <w:tr w14:paraId="17DD3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768F9349">
            <w:pPr>
              <w:overflowPunct w:val="0"/>
              <w:topLinePunct/>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1070" w:type="pct"/>
            <w:vAlign w:val="center"/>
          </w:tcPr>
          <w:p w14:paraId="1ED8C0C7">
            <w:pPr>
              <w:pStyle w:val="45"/>
              <w:overflowPunct w:val="0"/>
              <w:topLinePunct/>
              <w:spacing w:before="0" w:beforeAutospacing="0" w:line="360" w:lineRule="exact"/>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自卸汽车</w:t>
            </w:r>
          </w:p>
        </w:tc>
        <w:tc>
          <w:tcPr>
            <w:tcW w:w="442" w:type="pct"/>
            <w:vAlign w:val="center"/>
          </w:tcPr>
          <w:p w14:paraId="0B6E3803">
            <w:pPr>
              <w:pStyle w:val="53"/>
              <w:widowControl w:val="0"/>
              <w:overflowPunct w:val="0"/>
              <w:topLinePunct/>
              <w:spacing w:after="0" w:line="360" w:lineRule="exact"/>
              <w:ind w:firstLine="0" w:firstLineChars="0"/>
              <w:jc w:val="center"/>
              <w:outlineLvl w:val="9"/>
              <w:rPr>
                <w:rFonts w:hint="default"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2</w:t>
            </w:r>
          </w:p>
        </w:tc>
        <w:tc>
          <w:tcPr>
            <w:tcW w:w="442" w:type="pct"/>
            <w:vAlign w:val="center"/>
          </w:tcPr>
          <w:p w14:paraId="5FC51611">
            <w:pPr>
              <w:pStyle w:val="53"/>
              <w:widowControl w:val="0"/>
              <w:overflowPunct w:val="0"/>
              <w:topLinePunct/>
              <w:spacing w:after="0" w:line="360" w:lineRule="exact"/>
              <w:ind w:firstLine="0" w:firstLineChars="0"/>
              <w:jc w:val="center"/>
              <w:outlineLvl w:val="9"/>
              <w:rPr>
                <w:rFonts w:hint="default"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辆</w:t>
            </w:r>
          </w:p>
        </w:tc>
        <w:tc>
          <w:tcPr>
            <w:tcW w:w="2147" w:type="pct"/>
            <w:vAlign w:val="center"/>
          </w:tcPr>
          <w:p w14:paraId="6333F1E8">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15t</w:t>
            </w:r>
          </w:p>
        </w:tc>
        <w:tc>
          <w:tcPr>
            <w:tcW w:w="594" w:type="pct"/>
            <w:vAlign w:val="center"/>
          </w:tcPr>
          <w:p w14:paraId="49436E0F">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28942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shd w:val="clear" w:color="auto" w:fill="auto"/>
            <w:vAlign w:val="center"/>
          </w:tcPr>
          <w:p w14:paraId="105515A6">
            <w:pPr>
              <w:overflowPunct w:val="0"/>
              <w:topLinePunct/>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1070" w:type="pct"/>
            <w:vAlign w:val="center"/>
          </w:tcPr>
          <w:p w14:paraId="6294AD83">
            <w:pPr>
              <w:pStyle w:val="45"/>
              <w:overflowPunct w:val="0"/>
              <w:topLinePunct/>
              <w:spacing w:before="0" w:beforeAutospacing="0" w:line="360" w:lineRule="exact"/>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装载机</w:t>
            </w:r>
          </w:p>
        </w:tc>
        <w:tc>
          <w:tcPr>
            <w:tcW w:w="442" w:type="pct"/>
            <w:vAlign w:val="center"/>
          </w:tcPr>
          <w:p w14:paraId="72E0E384">
            <w:pPr>
              <w:pStyle w:val="53"/>
              <w:widowControl w:val="0"/>
              <w:overflowPunct w:val="0"/>
              <w:topLinePunct/>
              <w:spacing w:after="0" w:line="360" w:lineRule="exact"/>
              <w:ind w:firstLine="0" w:firstLineChars="0"/>
              <w:jc w:val="center"/>
              <w:outlineLvl w:val="9"/>
              <w:rPr>
                <w:rFonts w:hint="default"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3F07BF18">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辆</w:t>
            </w:r>
          </w:p>
        </w:tc>
        <w:tc>
          <w:tcPr>
            <w:tcW w:w="2147" w:type="pct"/>
            <w:vAlign w:val="center"/>
          </w:tcPr>
          <w:p w14:paraId="5C442522">
            <w:pPr>
              <w:pStyle w:val="45"/>
              <w:overflowPunct w:val="0"/>
              <w:topLinePunct/>
              <w:spacing w:before="0" w:beforeAutospacing="0" w:line="360" w:lineRule="exact"/>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额定载重量：5t；铲斗容量：2.8m</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c>
          <w:tcPr>
            <w:tcW w:w="594" w:type="pct"/>
            <w:vAlign w:val="center"/>
          </w:tcPr>
          <w:p w14:paraId="28754060">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3D585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shd w:val="clear" w:color="auto" w:fill="auto"/>
            <w:vAlign w:val="center"/>
          </w:tcPr>
          <w:p w14:paraId="07D431F7">
            <w:pPr>
              <w:overflowPunct w:val="0"/>
              <w:topLinePunct/>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1070" w:type="pct"/>
            <w:vAlign w:val="center"/>
          </w:tcPr>
          <w:p w14:paraId="1B0B4638">
            <w:pPr>
              <w:pStyle w:val="45"/>
              <w:overflowPunct w:val="0"/>
              <w:topLinePunct/>
              <w:spacing w:before="0" w:beforeAutospacing="0" w:line="360" w:lineRule="exact"/>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推土机</w:t>
            </w:r>
          </w:p>
        </w:tc>
        <w:tc>
          <w:tcPr>
            <w:tcW w:w="442" w:type="pct"/>
            <w:vAlign w:val="center"/>
          </w:tcPr>
          <w:p w14:paraId="7302F06E">
            <w:pPr>
              <w:pStyle w:val="53"/>
              <w:widowControl w:val="0"/>
              <w:overflowPunct w:val="0"/>
              <w:topLinePunct/>
              <w:spacing w:after="0" w:line="360" w:lineRule="exact"/>
              <w:ind w:firstLine="0" w:firstLineChars="0"/>
              <w:jc w:val="center"/>
              <w:outlineLvl w:val="9"/>
              <w:rPr>
                <w:rFonts w:hint="default"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78D8F2B8">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辆</w:t>
            </w:r>
          </w:p>
        </w:tc>
        <w:tc>
          <w:tcPr>
            <w:tcW w:w="2147" w:type="pct"/>
            <w:vAlign w:val="center"/>
          </w:tcPr>
          <w:p w14:paraId="16D3ACF4">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发动机额定功率：235</w:t>
            </w:r>
            <w:r>
              <w:rPr>
                <w:rFonts w:hint="eastAsia" w:cs="Times New Roman"/>
                <w:color w:val="000000" w:themeColor="text1"/>
                <w:sz w:val="21"/>
                <w:szCs w:val="21"/>
                <w:highlight w:val="none"/>
                <w:lang w:val="en-US" w:eastAsia="zh-CN"/>
                <w14:textFill>
                  <w14:solidFill>
                    <w14:schemeClr w14:val="tx1"/>
                  </w14:solidFill>
                </w14:textFill>
              </w:rPr>
              <w:t>kW</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/1900rpm</w:t>
            </w:r>
          </w:p>
          <w:p w14:paraId="355E2080">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工作质量：39000</w:t>
            </w:r>
            <w:r>
              <w:rPr>
                <w:rFonts w:hint="eastAsia" w:cs="Times New Roman"/>
                <w:color w:val="000000" w:themeColor="text1"/>
                <w:sz w:val="21"/>
                <w:szCs w:val="21"/>
                <w:highlight w:val="none"/>
                <w:lang w:val="en-US" w:eastAsia="zh-CN"/>
                <w14:textFill>
                  <w14:solidFill>
                    <w14:schemeClr w14:val="tx1"/>
                  </w14:solidFill>
                </w14:textFill>
              </w:rPr>
              <w:t>k</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g</w:t>
            </w:r>
          </w:p>
        </w:tc>
        <w:tc>
          <w:tcPr>
            <w:tcW w:w="594" w:type="pct"/>
            <w:vAlign w:val="center"/>
          </w:tcPr>
          <w:p w14:paraId="33D8F54B">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7349A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77758CBB">
            <w:pPr>
              <w:overflowPunct w:val="0"/>
              <w:topLinePunct/>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1070" w:type="pct"/>
            <w:vAlign w:val="center"/>
          </w:tcPr>
          <w:p w14:paraId="2EEECA41">
            <w:pPr>
              <w:pStyle w:val="45"/>
              <w:overflowPunct w:val="0"/>
              <w:topLinePunct/>
              <w:spacing w:before="0" w:beforeAutospacing="0" w:line="360" w:lineRule="exact"/>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单钢轮压路机</w:t>
            </w:r>
          </w:p>
        </w:tc>
        <w:tc>
          <w:tcPr>
            <w:tcW w:w="442" w:type="pct"/>
            <w:vAlign w:val="center"/>
          </w:tcPr>
          <w:p w14:paraId="70EA4A05">
            <w:pPr>
              <w:pStyle w:val="53"/>
              <w:widowControl w:val="0"/>
              <w:overflowPunct w:val="0"/>
              <w:topLinePunct/>
              <w:spacing w:after="0" w:line="360" w:lineRule="exact"/>
              <w:ind w:firstLine="0" w:firstLineChars="0"/>
              <w:jc w:val="center"/>
              <w:outlineLvl w:val="9"/>
              <w:rPr>
                <w:rFonts w:hint="default"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7AABBAAF">
            <w:pPr>
              <w:pStyle w:val="53"/>
              <w:widowControl w:val="0"/>
              <w:overflowPunct w:val="0"/>
              <w:topLinePunct/>
              <w:spacing w:after="0" w:line="360" w:lineRule="exact"/>
              <w:ind w:firstLine="0" w:firstLineChars="0"/>
              <w:jc w:val="center"/>
              <w:outlineLvl w:val="9"/>
              <w:rPr>
                <w:rFonts w:hint="default"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台</w:t>
            </w:r>
          </w:p>
        </w:tc>
        <w:tc>
          <w:tcPr>
            <w:tcW w:w="2147" w:type="pct"/>
            <w:vAlign w:val="center"/>
          </w:tcPr>
          <w:p w14:paraId="56E0F2C4">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工作质量26100kg</w:t>
            </w:r>
          </w:p>
        </w:tc>
        <w:tc>
          <w:tcPr>
            <w:tcW w:w="594" w:type="pct"/>
            <w:vAlign w:val="center"/>
          </w:tcPr>
          <w:p w14:paraId="35DF00EB">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r w14:paraId="69DBB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2" w:type="pct"/>
            <w:vAlign w:val="center"/>
          </w:tcPr>
          <w:p w14:paraId="2426364E">
            <w:pPr>
              <w:overflowPunct w:val="0"/>
              <w:topLinePunct/>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1070" w:type="pct"/>
            <w:vAlign w:val="center"/>
          </w:tcPr>
          <w:p w14:paraId="21DEF1A9">
            <w:pPr>
              <w:pStyle w:val="45"/>
              <w:overflowPunct w:val="0"/>
              <w:topLinePunct/>
              <w:spacing w:before="0" w:beforeAutospacing="0" w:line="360" w:lineRule="exact"/>
              <w:ind w:firstLine="0" w:firstLineChars="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洒水车</w:t>
            </w:r>
          </w:p>
        </w:tc>
        <w:tc>
          <w:tcPr>
            <w:tcW w:w="442" w:type="pct"/>
            <w:vAlign w:val="center"/>
          </w:tcPr>
          <w:p w14:paraId="1422BE15">
            <w:pPr>
              <w:pStyle w:val="53"/>
              <w:widowControl w:val="0"/>
              <w:overflowPunct w:val="0"/>
              <w:topLinePunct/>
              <w:spacing w:after="0" w:line="360" w:lineRule="exact"/>
              <w:ind w:firstLine="0" w:firstLineChars="0"/>
              <w:jc w:val="center"/>
              <w:outlineLvl w:val="9"/>
              <w:rPr>
                <w:rFonts w:hint="default" w:ascii="Times New Roman" w:hAnsi="Times New Roman" w:eastAsia="宋体"/>
                <w:b w:val="0"/>
                <w:color w:val="000000" w:themeColor="text1"/>
                <w:sz w:val="21"/>
                <w:highlight w:val="none"/>
                <w:lang w:val="en-US"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1</w:t>
            </w:r>
          </w:p>
        </w:tc>
        <w:tc>
          <w:tcPr>
            <w:tcW w:w="442" w:type="pct"/>
            <w:vAlign w:val="center"/>
          </w:tcPr>
          <w:p w14:paraId="41AF7C0D">
            <w:pPr>
              <w:pStyle w:val="53"/>
              <w:widowControl w:val="0"/>
              <w:overflowPunct w:val="0"/>
              <w:topLinePunct/>
              <w:spacing w:after="0" w:line="360" w:lineRule="exact"/>
              <w:ind w:firstLine="0" w:firstLineChars="0"/>
              <w:jc w:val="center"/>
              <w:outlineLvl w:val="9"/>
              <w:rPr>
                <w:rFonts w:hint="eastAsia" w:ascii="Times New Roman" w:hAnsi="Times New Roman" w:eastAsia="宋体"/>
                <w:b w:val="0"/>
                <w:color w:val="000000" w:themeColor="text1"/>
                <w:sz w:val="21"/>
                <w:highlight w:val="none"/>
                <w:lang w:eastAsia="zh-CN"/>
                <w14:textFill>
                  <w14:solidFill>
                    <w14:schemeClr w14:val="tx1"/>
                  </w14:solidFill>
                </w14:textFill>
              </w:rPr>
            </w:pPr>
            <w:r>
              <w:rPr>
                <w:rFonts w:hint="eastAsia" w:ascii="Times New Roman" w:hAnsi="Times New Roman" w:eastAsia="宋体"/>
                <w:b w:val="0"/>
                <w:color w:val="000000" w:themeColor="text1"/>
                <w:sz w:val="21"/>
                <w:highlight w:val="none"/>
                <w:lang w:val="en-US" w:eastAsia="zh-CN"/>
                <w14:textFill>
                  <w14:solidFill>
                    <w14:schemeClr w14:val="tx1"/>
                  </w14:solidFill>
                </w14:textFill>
              </w:rPr>
              <w:t>辆</w:t>
            </w:r>
          </w:p>
        </w:tc>
        <w:tc>
          <w:tcPr>
            <w:tcW w:w="2147" w:type="pct"/>
            <w:vAlign w:val="center"/>
          </w:tcPr>
          <w:p w14:paraId="7BA9F7FE">
            <w:pPr>
              <w:pStyle w:val="45"/>
              <w:overflowPunct w:val="0"/>
              <w:topLinePunct/>
              <w:spacing w:before="0" w:beforeAutospacing="0" w:line="360" w:lineRule="exact"/>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10t</w:t>
            </w:r>
          </w:p>
        </w:tc>
        <w:tc>
          <w:tcPr>
            <w:tcW w:w="594" w:type="pct"/>
            <w:vAlign w:val="center"/>
          </w:tcPr>
          <w:p w14:paraId="67709BEB">
            <w:pPr>
              <w:pStyle w:val="45"/>
              <w:overflowPunct w:val="0"/>
              <w:topLinePunct/>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p>
        </w:tc>
      </w:tr>
    </w:tbl>
    <w:p w14:paraId="6E4816D0">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3.2.4.2主要</w:t>
      </w:r>
      <w:r>
        <w:rPr>
          <w:color w:val="000000" w:themeColor="text1"/>
          <w:highlight w:val="none"/>
          <w14:textFill>
            <w14:solidFill>
              <w14:schemeClr w14:val="tx1"/>
            </w14:solidFill>
          </w14:textFill>
        </w:rPr>
        <w:t>原辅材料及能源消耗</w:t>
      </w:r>
    </w:p>
    <w:p w14:paraId="456D183D">
      <w:pPr>
        <w:pStyle w:val="56"/>
        <w:overflowPunct w:val="0"/>
        <w:topLinePunct/>
        <w:spacing w:line="480" w:lineRule="exact"/>
        <w:ind w:firstLine="480"/>
        <w:rPr>
          <w:rFonts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14:textFill>
            <w14:solidFill>
              <w14:schemeClr w14:val="tx1"/>
            </w14:solidFill>
          </w14:textFill>
        </w:rPr>
        <w:t>（1）主要原辅材料</w:t>
      </w:r>
    </w:p>
    <w:p w14:paraId="744A8BEC">
      <w:pPr>
        <w:pStyle w:val="56"/>
        <w:overflowPunct w:val="0"/>
        <w:topLinePunct/>
        <w:spacing w:line="480" w:lineRule="exact"/>
        <w:ind w:firstLine="480"/>
        <w:rPr>
          <w:rFonts w:hint="default" w:cs="Times New Roman"/>
          <w:color w:val="000000" w:themeColor="text1"/>
          <w:sz w:val="24"/>
          <w:highlight w:val="none"/>
          <w:lang w:val="en-US"/>
          <w14:textFill>
            <w14:solidFill>
              <w14:schemeClr w14:val="tx1"/>
            </w14:solidFill>
          </w14:textFill>
        </w:rPr>
      </w:pPr>
      <w:r>
        <w:rPr>
          <w:rFonts w:hint="eastAsia" w:cs="Times New Roman"/>
          <w:color w:val="000000" w:themeColor="text1"/>
          <w:sz w:val="24"/>
          <w:highlight w:val="none"/>
          <w14:textFill>
            <w14:solidFill>
              <w14:schemeClr w14:val="tx1"/>
            </w14:solidFill>
          </w14:textFill>
        </w:rPr>
        <w:t>本项目选矿工程设计的主要原辅材料为原铁矿，</w:t>
      </w:r>
      <w:r>
        <w:rPr>
          <w:rFonts w:hint="eastAsia" w:cs="Times New Roman"/>
          <w:color w:val="000000" w:themeColor="text1"/>
          <w:sz w:val="24"/>
          <w:highlight w:val="none"/>
          <w:lang w:val="en-US" w:eastAsia="zh-CN"/>
          <w14:textFill>
            <w14:solidFill>
              <w14:schemeClr w14:val="tx1"/>
            </w14:solidFill>
          </w14:textFill>
        </w:rPr>
        <w:t>共使用原铁矿90万t/a，其中60万t/a</w:t>
      </w:r>
      <w:r>
        <w:rPr>
          <w:rFonts w:hint="eastAsia" w:cs="Times New Roman"/>
          <w:color w:val="000000" w:themeColor="text1"/>
          <w:sz w:val="24"/>
          <w:highlight w:val="none"/>
          <w14:textFill>
            <w14:solidFill>
              <w14:schemeClr w14:val="tx1"/>
            </w14:solidFill>
          </w14:textFill>
        </w:rPr>
        <w:t>矿石来源为</w:t>
      </w:r>
      <w:r>
        <w:rPr>
          <w:rFonts w:hint="eastAsia" w:cs="Times New Roman"/>
          <w:color w:val="000000" w:themeColor="text1"/>
          <w:sz w:val="24"/>
          <w:highlight w:val="none"/>
          <w:lang w:val="en-US" w:eastAsia="zh-CN"/>
          <w14:textFill>
            <w14:solidFill>
              <w14:schemeClr w14:val="tx1"/>
            </w14:solidFill>
          </w14:textFill>
        </w:rPr>
        <w:t>建设单位自营的M1033铁矿</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不足部分约30万t/a铁</w:t>
      </w:r>
      <w:r>
        <w:rPr>
          <w:rFonts w:hint="eastAsia" w:cs="Times New Roman"/>
          <w:color w:val="000000" w:themeColor="text1"/>
          <w:sz w:val="24"/>
          <w:highlight w:val="none"/>
          <w14:textFill>
            <w14:solidFill>
              <w14:schemeClr w14:val="tx1"/>
            </w14:solidFill>
          </w14:textFill>
        </w:rPr>
        <w:t>矿石来源</w:t>
      </w:r>
      <w:r>
        <w:rPr>
          <w:rFonts w:hint="eastAsia" w:cs="Times New Roman"/>
          <w:color w:val="000000" w:themeColor="text1"/>
          <w:sz w:val="24"/>
          <w:highlight w:val="none"/>
          <w:lang w:val="en-US" w:eastAsia="zh-CN"/>
          <w14:textFill>
            <w14:solidFill>
              <w14:schemeClr w14:val="tx1"/>
            </w14:solidFill>
          </w14:textFill>
        </w:rPr>
        <w:t>采购自哈密市志合矿业有限责任公司新疆哈密市M1033铁矿（12-14线）</w:t>
      </w:r>
      <w:r>
        <w:rPr>
          <w:rFonts w:hint="eastAsia"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哈密市志合矿业有限责任公司新疆哈密市M1033铁矿（12-14线）与西成矿业M1033铁矿直距约3.6km，两矿地处同一矿脉，铁矿石成分基本一致。</w:t>
      </w:r>
    </w:p>
    <w:p w14:paraId="2B44C7FA">
      <w:pPr>
        <w:pStyle w:val="56"/>
        <w:spacing w:line="480" w:lineRule="exact"/>
        <w:ind w:firstLine="0" w:firstLineChars="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3.2-4  </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矿石中主要成分的化学定量分析结果</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4"/>
        <w:gridCol w:w="1064"/>
        <w:gridCol w:w="1064"/>
        <w:gridCol w:w="1065"/>
        <w:gridCol w:w="1065"/>
        <w:gridCol w:w="1065"/>
        <w:gridCol w:w="1065"/>
      </w:tblGrid>
      <w:tr w14:paraId="75445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4" w:type="pct"/>
            <w:tcBorders>
              <w:tl2br w:val="nil"/>
              <w:tr2bl w:val="nil"/>
            </w:tcBorders>
            <w:noWrap w:val="0"/>
            <w:vAlign w:val="top"/>
          </w:tcPr>
          <w:p w14:paraId="04DB3060">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化学成分</w:t>
            </w:r>
          </w:p>
        </w:tc>
        <w:tc>
          <w:tcPr>
            <w:tcW w:w="624" w:type="pct"/>
            <w:tcBorders>
              <w:tl2br w:val="nil"/>
              <w:tr2bl w:val="nil"/>
            </w:tcBorders>
            <w:noWrap w:val="0"/>
            <w:vAlign w:val="top"/>
          </w:tcPr>
          <w:p w14:paraId="1653B0B0">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Na</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O</w:t>
            </w:r>
          </w:p>
        </w:tc>
        <w:tc>
          <w:tcPr>
            <w:tcW w:w="624" w:type="pct"/>
            <w:tcBorders>
              <w:tl2br w:val="nil"/>
              <w:tr2bl w:val="nil"/>
            </w:tcBorders>
            <w:noWrap w:val="0"/>
            <w:vAlign w:val="top"/>
          </w:tcPr>
          <w:p w14:paraId="61DDC6C1">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MgO</w:t>
            </w:r>
          </w:p>
        </w:tc>
        <w:tc>
          <w:tcPr>
            <w:tcW w:w="624" w:type="pct"/>
            <w:tcBorders>
              <w:tl2br w:val="nil"/>
              <w:tr2bl w:val="nil"/>
            </w:tcBorders>
            <w:noWrap w:val="0"/>
            <w:vAlign w:val="top"/>
          </w:tcPr>
          <w:p w14:paraId="75A24831">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Al</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p>
        </w:tc>
        <w:tc>
          <w:tcPr>
            <w:tcW w:w="625" w:type="pct"/>
            <w:tcBorders>
              <w:tl2br w:val="nil"/>
              <w:tr2bl w:val="nil"/>
            </w:tcBorders>
            <w:noWrap w:val="0"/>
            <w:vAlign w:val="top"/>
          </w:tcPr>
          <w:p w14:paraId="4A8EC333">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SiO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tc>
        <w:tc>
          <w:tcPr>
            <w:tcW w:w="625" w:type="pct"/>
            <w:tcBorders>
              <w:tl2br w:val="nil"/>
              <w:tr2bl w:val="nil"/>
            </w:tcBorders>
            <w:noWrap w:val="0"/>
            <w:vAlign w:val="top"/>
          </w:tcPr>
          <w:p w14:paraId="7FD8659A">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w:t>
            </w:r>
          </w:p>
        </w:tc>
        <w:tc>
          <w:tcPr>
            <w:tcW w:w="625" w:type="pct"/>
            <w:tcBorders>
              <w:tl2br w:val="nil"/>
              <w:tr2bl w:val="nil"/>
            </w:tcBorders>
            <w:noWrap w:val="0"/>
            <w:vAlign w:val="top"/>
          </w:tcPr>
          <w:p w14:paraId="72DBDDF1">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p>
        </w:tc>
        <w:tc>
          <w:tcPr>
            <w:tcW w:w="625" w:type="pct"/>
            <w:tcBorders>
              <w:tl2br w:val="nil"/>
              <w:tr2bl w:val="nil"/>
            </w:tcBorders>
            <w:noWrap w:val="0"/>
            <w:vAlign w:val="top"/>
          </w:tcPr>
          <w:p w14:paraId="36FE6E39">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O</w:t>
            </w:r>
          </w:p>
        </w:tc>
      </w:tr>
      <w:tr w14:paraId="6423E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4" w:type="pct"/>
            <w:tcBorders>
              <w:tl2br w:val="nil"/>
              <w:tr2bl w:val="nil"/>
            </w:tcBorders>
            <w:noWrap w:val="0"/>
            <w:vAlign w:val="top"/>
          </w:tcPr>
          <w:p w14:paraId="7EEB016F">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含量（%）</w:t>
            </w:r>
          </w:p>
        </w:tc>
        <w:tc>
          <w:tcPr>
            <w:tcW w:w="624" w:type="pct"/>
            <w:tcBorders>
              <w:tl2br w:val="nil"/>
              <w:tr2bl w:val="nil"/>
            </w:tcBorders>
            <w:noWrap w:val="0"/>
            <w:vAlign w:val="top"/>
          </w:tcPr>
          <w:p w14:paraId="7ED1BFAF">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0.44</w:t>
            </w:r>
          </w:p>
        </w:tc>
        <w:tc>
          <w:tcPr>
            <w:tcW w:w="624" w:type="pct"/>
            <w:tcBorders>
              <w:tl2br w:val="nil"/>
              <w:tr2bl w:val="nil"/>
            </w:tcBorders>
            <w:noWrap w:val="0"/>
            <w:vAlign w:val="top"/>
          </w:tcPr>
          <w:p w14:paraId="3D5BEDDC">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4.11</w:t>
            </w:r>
          </w:p>
        </w:tc>
        <w:tc>
          <w:tcPr>
            <w:tcW w:w="624" w:type="pct"/>
            <w:tcBorders>
              <w:tl2br w:val="nil"/>
              <w:tr2bl w:val="nil"/>
            </w:tcBorders>
            <w:noWrap w:val="0"/>
            <w:vAlign w:val="top"/>
          </w:tcPr>
          <w:p w14:paraId="1B994EC6">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3.29</w:t>
            </w:r>
          </w:p>
        </w:tc>
        <w:tc>
          <w:tcPr>
            <w:tcW w:w="625" w:type="pct"/>
            <w:tcBorders>
              <w:tl2br w:val="nil"/>
              <w:tr2bl w:val="nil"/>
            </w:tcBorders>
            <w:noWrap w:val="0"/>
            <w:vAlign w:val="top"/>
          </w:tcPr>
          <w:p w14:paraId="7791E71A">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43.86</w:t>
            </w:r>
          </w:p>
        </w:tc>
        <w:tc>
          <w:tcPr>
            <w:tcW w:w="625" w:type="pct"/>
            <w:tcBorders>
              <w:tl2br w:val="nil"/>
              <w:tr2bl w:val="nil"/>
            </w:tcBorders>
            <w:noWrap w:val="0"/>
            <w:vAlign w:val="top"/>
          </w:tcPr>
          <w:p w14:paraId="6AEDB4AB">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0.28</w:t>
            </w:r>
          </w:p>
        </w:tc>
        <w:tc>
          <w:tcPr>
            <w:tcW w:w="625" w:type="pct"/>
            <w:tcBorders>
              <w:tl2br w:val="nil"/>
              <w:tr2bl w:val="nil"/>
            </w:tcBorders>
            <w:noWrap w:val="0"/>
            <w:vAlign w:val="top"/>
          </w:tcPr>
          <w:p w14:paraId="66FE7FBF">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0.39</w:t>
            </w:r>
          </w:p>
        </w:tc>
        <w:tc>
          <w:tcPr>
            <w:tcW w:w="625" w:type="pct"/>
            <w:tcBorders>
              <w:tl2br w:val="nil"/>
              <w:tr2bl w:val="nil"/>
            </w:tcBorders>
            <w:noWrap w:val="0"/>
            <w:vAlign w:val="top"/>
          </w:tcPr>
          <w:p w14:paraId="539FA75A">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0.94</w:t>
            </w:r>
          </w:p>
        </w:tc>
      </w:tr>
      <w:tr w14:paraId="300D3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4" w:type="pct"/>
            <w:tcBorders>
              <w:tl2br w:val="nil"/>
              <w:tr2bl w:val="nil"/>
            </w:tcBorders>
            <w:noWrap w:val="0"/>
            <w:vAlign w:val="top"/>
          </w:tcPr>
          <w:p w14:paraId="1C6B8CB6">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化学成分</w:t>
            </w:r>
          </w:p>
        </w:tc>
        <w:tc>
          <w:tcPr>
            <w:tcW w:w="624" w:type="pct"/>
            <w:tcBorders>
              <w:tl2br w:val="nil"/>
              <w:tr2bl w:val="nil"/>
            </w:tcBorders>
            <w:noWrap w:val="0"/>
            <w:vAlign w:val="top"/>
          </w:tcPr>
          <w:p w14:paraId="44263600">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CaO</w:t>
            </w:r>
          </w:p>
        </w:tc>
        <w:tc>
          <w:tcPr>
            <w:tcW w:w="624" w:type="pct"/>
            <w:tcBorders>
              <w:tl2br w:val="nil"/>
              <w:tr2bl w:val="nil"/>
            </w:tcBorders>
            <w:noWrap w:val="0"/>
            <w:vAlign w:val="top"/>
          </w:tcPr>
          <w:p w14:paraId="26F08565">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TiO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tc>
        <w:tc>
          <w:tcPr>
            <w:tcW w:w="624" w:type="pct"/>
            <w:tcBorders>
              <w:tl2br w:val="nil"/>
              <w:tr2bl w:val="nil"/>
            </w:tcBorders>
            <w:noWrap w:val="0"/>
            <w:vAlign w:val="top"/>
          </w:tcPr>
          <w:p w14:paraId="4F2D044D">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Fe</w:t>
            </w:r>
          </w:p>
        </w:tc>
        <w:tc>
          <w:tcPr>
            <w:tcW w:w="625" w:type="pct"/>
            <w:tcBorders>
              <w:tl2br w:val="nil"/>
              <w:tr2bl w:val="nil"/>
            </w:tcBorders>
            <w:noWrap w:val="0"/>
            <w:vAlign w:val="top"/>
          </w:tcPr>
          <w:p w14:paraId="426B9FEE">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Cu</w:t>
            </w:r>
          </w:p>
        </w:tc>
        <w:tc>
          <w:tcPr>
            <w:tcW w:w="625" w:type="pct"/>
            <w:tcBorders>
              <w:tl2br w:val="nil"/>
              <w:tr2bl w:val="nil"/>
            </w:tcBorders>
            <w:noWrap w:val="0"/>
            <w:vAlign w:val="top"/>
          </w:tcPr>
          <w:p w14:paraId="166C670C">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Pb</w:t>
            </w:r>
          </w:p>
        </w:tc>
        <w:tc>
          <w:tcPr>
            <w:tcW w:w="625" w:type="pct"/>
            <w:tcBorders>
              <w:tl2br w:val="nil"/>
              <w:tr2bl w:val="nil"/>
            </w:tcBorders>
            <w:noWrap w:val="0"/>
            <w:vAlign w:val="top"/>
          </w:tcPr>
          <w:p w14:paraId="4D075203">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Zn</w:t>
            </w:r>
          </w:p>
        </w:tc>
        <w:tc>
          <w:tcPr>
            <w:tcW w:w="625" w:type="pct"/>
            <w:tcBorders>
              <w:tl2br w:val="nil"/>
              <w:tr2bl w:val="nil"/>
            </w:tcBorders>
            <w:noWrap w:val="0"/>
            <w:vAlign w:val="top"/>
          </w:tcPr>
          <w:p w14:paraId="75A28E12">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FB938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4" w:type="pct"/>
            <w:tcBorders>
              <w:tl2br w:val="nil"/>
              <w:tr2bl w:val="nil"/>
            </w:tcBorders>
            <w:noWrap w:val="0"/>
            <w:vAlign w:val="top"/>
          </w:tcPr>
          <w:p w14:paraId="7FBC78C4">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含量（%）</w:t>
            </w:r>
          </w:p>
        </w:tc>
        <w:tc>
          <w:tcPr>
            <w:tcW w:w="624" w:type="pct"/>
            <w:tcBorders>
              <w:tl2br w:val="nil"/>
              <w:tr2bl w:val="nil"/>
            </w:tcBorders>
            <w:noWrap w:val="0"/>
            <w:vAlign w:val="top"/>
          </w:tcPr>
          <w:p w14:paraId="5FFB9705">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4.84</w:t>
            </w:r>
          </w:p>
        </w:tc>
        <w:tc>
          <w:tcPr>
            <w:tcW w:w="624" w:type="pct"/>
            <w:tcBorders>
              <w:tl2br w:val="nil"/>
              <w:tr2bl w:val="nil"/>
            </w:tcBorders>
            <w:noWrap w:val="0"/>
            <w:vAlign w:val="top"/>
          </w:tcPr>
          <w:p w14:paraId="7FC7568A">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0.42</w:t>
            </w:r>
          </w:p>
        </w:tc>
        <w:tc>
          <w:tcPr>
            <w:tcW w:w="624" w:type="pct"/>
            <w:tcBorders>
              <w:tl2br w:val="nil"/>
              <w:tr2bl w:val="nil"/>
            </w:tcBorders>
            <w:noWrap w:val="0"/>
            <w:vAlign w:val="top"/>
          </w:tcPr>
          <w:p w14:paraId="52BAE0DB">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28.78</w:t>
            </w:r>
          </w:p>
        </w:tc>
        <w:tc>
          <w:tcPr>
            <w:tcW w:w="625" w:type="pct"/>
            <w:tcBorders>
              <w:tl2br w:val="nil"/>
              <w:tr2bl w:val="nil"/>
            </w:tcBorders>
            <w:noWrap w:val="0"/>
            <w:vAlign w:val="top"/>
          </w:tcPr>
          <w:p w14:paraId="1ACA1101">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＜0.005</w:t>
            </w:r>
          </w:p>
        </w:tc>
        <w:tc>
          <w:tcPr>
            <w:tcW w:w="625" w:type="pct"/>
            <w:tcBorders>
              <w:tl2br w:val="nil"/>
              <w:tr2bl w:val="nil"/>
            </w:tcBorders>
            <w:noWrap w:val="0"/>
            <w:vAlign w:val="top"/>
          </w:tcPr>
          <w:p w14:paraId="3604E2EA">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＜0.005</w:t>
            </w:r>
          </w:p>
        </w:tc>
        <w:tc>
          <w:tcPr>
            <w:tcW w:w="625" w:type="pct"/>
            <w:tcBorders>
              <w:tl2br w:val="nil"/>
              <w:tr2bl w:val="nil"/>
            </w:tcBorders>
            <w:noWrap w:val="0"/>
            <w:vAlign w:val="top"/>
          </w:tcPr>
          <w:p w14:paraId="541F5AD6">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0.011</w:t>
            </w:r>
          </w:p>
        </w:tc>
        <w:tc>
          <w:tcPr>
            <w:tcW w:w="625" w:type="pct"/>
            <w:tcBorders>
              <w:tl2br w:val="nil"/>
              <w:tr2bl w:val="nil"/>
            </w:tcBorders>
            <w:noWrap w:val="0"/>
            <w:vAlign w:val="top"/>
          </w:tcPr>
          <w:p w14:paraId="5E9B8AEB">
            <w:pPr>
              <w:pStyle w:val="45"/>
              <w:overflowPunct w:val="0"/>
              <w:topLinePunct/>
              <w:spacing w:before="0" w:beforeAutospacing="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14:paraId="022D3A73">
      <w:pPr>
        <w:pStyle w:val="56"/>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①矿石组成及类型</w:t>
      </w:r>
    </w:p>
    <w:p w14:paraId="1E5F7979">
      <w:pPr>
        <w:pStyle w:val="7"/>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szCs w:val="28"/>
          <w:highlight w:val="none"/>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矿石金属矿物以磁铁矿为主，次有磁黄铁矿、黄铁矿、赤铁矿等，含量较少。脉石矿物主要为石英、方解石、黑云母，次要矿物为绿泥石，长石，少量白云母等。</w:t>
      </w:r>
    </w:p>
    <w:p w14:paraId="76424C7A">
      <w:pPr>
        <w:pStyle w:val="7"/>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szCs w:val="28"/>
          <w:highlight w:val="none"/>
          <w14:textFill>
            <w14:solidFill>
              <w14:schemeClr w14:val="tx1"/>
            </w14:solidFill>
          </w14:textFill>
        </w:rPr>
      </w:pP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8"/>
          <w:highlight w:val="none"/>
          <w14:textFill>
            <w14:solidFill>
              <w14:schemeClr w14:val="tx1"/>
            </w14:solidFill>
          </w14:textFill>
        </w:rPr>
        <w:t>矿石矿物</w:t>
      </w:r>
    </w:p>
    <w:p w14:paraId="1215474D">
      <w:pPr>
        <w:pStyle w:val="7"/>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szCs w:val="28"/>
          <w:highlight w:val="none"/>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磁铁矿：单晶体常呈八面体，较少呈菱形十二面体。集合体多呈致密块状、粒状和条带状分布。颜色为铁黑色，半金属光泽，不透明。显微镜下灰色带棕色调，均质，具强磁性。多以等轴粒状集合体的形式产出，单晶呈自形，半自形，粒径范围较宽，一般在0.02～0.40mm之间，少部分粒度较粗，呈大于0.7mm，具压扁拉长定向排列。该矿石中磁铁矿含量约占矿物总量15.0</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8"/>
          <w:highlight w:val="none"/>
          <w14:textFill>
            <w14:solidFill>
              <w14:schemeClr w14:val="tx1"/>
            </w14:solidFill>
          </w14:textFill>
        </w:rPr>
        <w:t>～25.0%，分布广泛。磁铁矿与黄铁矿嵌布关系密切，黄铁矿呈集合体形式充填在磁铁矿裂隙间，两者间界限清楚较为清晰，还有少量磁铁矿边缘部被黄铁矿包裹，大部分磁铁矿呈拉长单晶粒状散布偶见有细粒状黄铁矿。</w:t>
      </w:r>
    </w:p>
    <w:p w14:paraId="7C822884">
      <w:pPr>
        <w:pStyle w:val="7"/>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szCs w:val="28"/>
          <w:highlight w:val="none"/>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黄铁矿：各矿体黄铁矿约占矿物总量的5.0%以上，矿石中呈稀疏浸染状、细脉状、粒状分布，有些黄铁矿结晶程度较好，自形、半自形晶常见，裂隙不发育。黄铁矿粒径悬殊，粗粒超过1.0mm，细粒者不到0.005mm，一般在0.025～0.40mm之间。</w:t>
      </w:r>
    </w:p>
    <w:p w14:paraId="01567721">
      <w:pPr>
        <w:pStyle w:val="7"/>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szCs w:val="28"/>
          <w:highlight w:val="none"/>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赤铁矿：单反射光下赤铁矿为钢灰色，隐晶质，金属至半金属光泽，有时光泽暗淡，三个矿体中均含有少量赤铁矿，含量约占矿物总量的1</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8"/>
          <w:highlight w:val="none"/>
          <w14:textFill>
            <w14:solidFill>
              <w14:schemeClr w14:val="tx1"/>
            </w14:solidFill>
          </w14:textFill>
        </w:rPr>
        <w:t>～2%。赤铁矿粒径较为平均，粗粒一般在0.015mm，多分布在磁铁矿的边缘，部分被黄铁矿包裹。</w:t>
      </w:r>
    </w:p>
    <w:p w14:paraId="7FEBC6A8">
      <w:pPr>
        <w:pStyle w:val="7"/>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szCs w:val="28"/>
          <w:highlight w:val="none"/>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磁黄铁矿：含量较少，为它形粒状，粒度变化在0.02～0.15mm，多分布于方解石颗粒之间。遭受剪切变形后粒度变细、拉长，在强变形区域内多在0.01～0.02mm。</w:t>
      </w:r>
    </w:p>
    <w:p w14:paraId="39FC187A">
      <w:pPr>
        <w:pStyle w:val="7"/>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szCs w:val="28"/>
          <w:highlight w:val="none"/>
          <w14:textFill>
            <w14:solidFill>
              <w14:schemeClr w14:val="tx1"/>
            </w14:solidFill>
          </w14:textFill>
        </w:rPr>
      </w:pP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B.</w:t>
      </w:r>
      <w:r>
        <w:rPr>
          <w:rFonts w:hint="default" w:ascii="Times New Roman" w:hAnsi="Times New Roman" w:cs="Times New Roman"/>
          <w:color w:val="000000" w:themeColor="text1"/>
          <w:sz w:val="24"/>
          <w:szCs w:val="28"/>
          <w:highlight w:val="none"/>
          <w14:textFill>
            <w14:solidFill>
              <w14:schemeClr w14:val="tx1"/>
            </w14:solidFill>
          </w14:textFill>
        </w:rPr>
        <w:t>脉石矿物</w:t>
      </w:r>
    </w:p>
    <w:p w14:paraId="78A965D2">
      <w:pPr>
        <w:pStyle w:val="7"/>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szCs w:val="28"/>
          <w:highlight w:val="none"/>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石英：呈他形粒状集合体，次棱角状-次圆状、团块状、脉状分布，粒径多在0.08～0.60mm之间，具拉长定向排列；石英含量约30</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8"/>
          <w:highlight w:val="none"/>
          <w14:textFill>
            <w14:solidFill>
              <w14:schemeClr w14:val="tx1"/>
            </w14:solidFill>
          </w14:textFill>
        </w:rPr>
        <w:t>～55%左右。石英细脉可分两种嵌布形态，一是呈变余粒状分布在黑云母长英质片岩及黑云母长英质角岩中，粒度0.01～0.05mm，二是呈它形粒状变晶分布在矿石中，粒度一般0.02～0.1mm，少量可达1mm集合体</w:t>
      </w:r>
      <w:r>
        <w:rPr>
          <w:rFonts w:hint="default" w:ascii="Times New Roman" w:hAnsi="Times New Roman" w:cs="Times New Roman"/>
          <w:color w:val="000000" w:themeColor="text1"/>
          <w:sz w:val="24"/>
          <w:szCs w:val="28"/>
          <w:highlight w:val="none"/>
          <w:lang w:eastAsia="zh-CN"/>
          <w14:textFill>
            <w14:solidFill>
              <w14:schemeClr w14:val="tx1"/>
            </w14:solidFill>
          </w14:textFill>
        </w:rPr>
        <w:t>，</w:t>
      </w:r>
      <w:r>
        <w:rPr>
          <w:rFonts w:hint="default" w:ascii="Times New Roman" w:hAnsi="Times New Roman" w:cs="Times New Roman"/>
          <w:color w:val="000000" w:themeColor="text1"/>
          <w:sz w:val="24"/>
          <w:szCs w:val="28"/>
          <w:highlight w:val="none"/>
          <w14:textFill>
            <w14:solidFill>
              <w14:schemeClr w14:val="tx1"/>
            </w14:solidFill>
          </w14:textFill>
        </w:rPr>
        <w:t>局部可呈团粒状。</w:t>
      </w:r>
    </w:p>
    <w:p w14:paraId="67E8E6DB">
      <w:pPr>
        <w:pStyle w:val="7"/>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szCs w:val="28"/>
          <w:highlight w:val="none"/>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方解石：含量5</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8"/>
          <w:highlight w:val="none"/>
          <w14:textFill>
            <w14:solidFill>
              <w14:schemeClr w14:val="tx1"/>
            </w14:solidFill>
          </w14:textFill>
        </w:rPr>
        <w:t>～25%，他形粒状，粒径多在0.1～0.65mm之间，具拉长定向排列。</w:t>
      </w:r>
    </w:p>
    <w:p w14:paraId="4C279E64">
      <w:pPr>
        <w:pStyle w:val="7"/>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szCs w:val="28"/>
          <w:highlight w:val="none"/>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黑云母：含量5</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8"/>
          <w:highlight w:val="none"/>
          <w14:textFill>
            <w14:solidFill>
              <w14:schemeClr w14:val="tx1"/>
            </w14:solidFill>
          </w14:textFill>
        </w:rPr>
        <w:t>～20%，黄褐色、浅灰白色鳞片-片状，集合体定向或弯曲成皱纹状定向排列，显千枚状构造，粒度一般0.01×0.03～0.03×0.1mm,可与金属矿物连生，并且在变质作用过程中，有时可穿插交代磁铁矿，或中间夹杂少量粒状黄铁矿。少量黑云母被绿泥石交代呈绿色。</w:t>
      </w:r>
    </w:p>
    <w:p w14:paraId="4124F1A0">
      <w:pPr>
        <w:pStyle w:val="7"/>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szCs w:val="28"/>
          <w:highlight w:val="none"/>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白云母：含量2</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8"/>
          <w:highlight w:val="none"/>
          <w14:textFill>
            <w14:solidFill>
              <w14:schemeClr w14:val="tx1"/>
            </w14:solidFill>
          </w14:textFill>
        </w:rPr>
        <w:t>～10%，淡褐色，由黑云母褪色所致，鳞片状，多与黑云母一起相对集中呈条纹状分布，受外力作用，多呈弯曲状。</w:t>
      </w:r>
    </w:p>
    <w:p w14:paraId="71158F87">
      <w:pPr>
        <w:pStyle w:val="7"/>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szCs w:val="28"/>
          <w:highlight w:val="none"/>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绿泥石：含量约5%，淡黄绿色，呈半自形粒状或不规则形粒状，有的局部集中呈条带状分布。</w:t>
      </w:r>
    </w:p>
    <w:p w14:paraId="604BC095">
      <w:pPr>
        <w:pStyle w:val="56"/>
        <w:keepNext w:val="0"/>
        <w:keepLines w:val="0"/>
        <w:pageBreakBefore w:val="0"/>
        <w:widowControl w:val="0"/>
        <w:kinsoku/>
        <w:wordWrap/>
        <w:overflowPunct w:val="0"/>
        <w:topLinePunct/>
        <w:autoSpaceDE/>
        <w:autoSpaceDN/>
        <w:bidi w:val="0"/>
        <w:adjustRightInd/>
        <w:spacing w:line="480" w:lineRule="exact"/>
        <w:ind w:firstLine="48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szCs w:val="28"/>
          <w:highlight w:val="none"/>
          <w14:textFill>
            <w14:solidFill>
              <w14:schemeClr w14:val="tx1"/>
            </w14:solidFill>
          </w14:textFill>
        </w:rPr>
        <w:t>矿石中还含有少量的长石的物质主要为斜长石，少量为钾长石。</w:t>
      </w:r>
    </w:p>
    <w:p w14:paraId="5B295DF6">
      <w:pPr>
        <w:keepNext w:val="0"/>
        <w:keepLines w:val="0"/>
        <w:pageBreakBefore w:val="0"/>
        <w:widowControl w:val="0"/>
        <w:kinsoku/>
        <w:wordWrap/>
        <w:overflowPunct w:val="0"/>
        <w:topLinePunct/>
        <w:autoSpaceDE/>
        <w:autoSpaceDN/>
        <w:bidi w:val="0"/>
        <w:adjustRightInd/>
        <w:ind w:firstLine="480"/>
        <w:jc w:val="both"/>
        <w:textAlignment w:val="auto"/>
        <w:rPr>
          <w:rFonts w:hint="eastAsia"/>
          <w:color w:val="000000" w:themeColor="text1"/>
          <w:highlight w:val="none"/>
          <w14:textFill>
            <w14:solidFill>
              <w14:schemeClr w14:val="tx1"/>
            </w14:solidFill>
          </w14:textFill>
        </w:rPr>
      </w:pPr>
      <w:r>
        <w:rPr>
          <w:rFonts w:hint="eastAsia" w:cs="Times New Roman"/>
          <w:color w:val="000000" w:themeColor="text1"/>
          <w:sz w:val="24"/>
          <w:highlight w:val="none"/>
          <w14:textFill>
            <w14:solidFill>
              <w14:schemeClr w14:val="tx1"/>
            </w14:solidFill>
          </w14:textFill>
        </w:rPr>
        <w:t>②</w:t>
      </w:r>
      <w:r>
        <w:rPr>
          <w:rFonts w:hint="eastAsia"/>
          <w:color w:val="000000" w:themeColor="text1"/>
          <w:highlight w:val="none"/>
          <w14:textFill>
            <w14:solidFill>
              <w14:schemeClr w14:val="tx1"/>
            </w14:solidFill>
          </w14:textFill>
        </w:rPr>
        <w:t>矿石结构</w:t>
      </w:r>
    </w:p>
    <w:p w14:paraId="0ADF4A2F">
      <w:pPr>
        <w:keepNext w:val="0"/>
        <w:keepLines w:val="0"/>
        <w:pageBreakBefore w:val="0"/>
        <w:widowControl w:val="0"/>
        <w:kinsoku/>
        <w:wordWrap/>
        <w:overflowPunct w:val="0"/>
        <w:topLinePunct/>
        <w:autoSpaceDE/>
        <w:autoSpaceDN/>
        <w:bidi w:val="0"/>
        <w:adjustRightInd/>
        <w:ind w:firstLine="480"/>
        <w:jc w:val="both"/>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矿石结构主要以自形、半自形、它形晶粒结构为主，其次为海绵陨铁结构、粒状变晶结构等。</w:t>
      </w:r>
    </w:p>
    <w:p w14:paraId="2E313840">
      <w:pPr>
        <w:keepNext w:val="0"/>
        <w:keepLines w:val="0"/>
        <w:pageBreakBefore w:val="0"/>
        <w:widowControl w:val="0"/>
        <w:kinsoku/>
        <w:wordWrap/>
        <w:overflowPunct w:val="0"/>
        <w:topLinePunct/>
        <w:autoSpaceDE/>
        <w:autoSpaceDN/>
        <w:bidi w:val="0"/>
        <w:adjustRightInd/>
        <w:ind w:firstLine="480"/>
        <w:jc w:val="both"/>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自形晶粒状结构：单一的自形晶结构少见，主要是磁铁矿呈细一微粒镜下可见四方形或呈八面体，其次可见磁黄铁矿呈六边形，巨型的自形晶体。</w:t>
      </w:r>
    </w:p>
    <w:p w14:paraId="7A7B17A2">
      <w:pPr>
        <w:keepNext w:val="0"/>
        <w:keepLines w:val="0"/>
        <w:pageBreakBefore w:val="0"/>
        <w:widowControl w:val="0"/>
        <w:kinsoku/>
        <w:wordWrap/>
        <w:overflowPunct w:val="0"/>
        <w:topLinePunct/>
        <w:autoSpaceDE/>
        <w:autoSpaceDN/>
        <w:bidi w:val="0"/>
        <w:adjustRightInd/>
        <w:ind w:firstLine="480"/>
        <w:jc w:val="both"/>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自形-半自形晶粒状结构：是矿区最常见的矿石结构，主要是磁铁矿常呈细-微粒自形-半自形，有时也见黄铁矿呈聚晶但粒度比磁铁矿大5～8倍。</w:t>
      </w:r>
    </w:p>
    <w:p w14:paraId="08653419">
      <w:pPr>
        <w:keepNext w:val="0"/>
        <w:keepLines w:val="0"/>
        <w:pageBreakBefore w:val="0"/>
        <w:widowControl w:val="0"/>
        <w:kinsoku/>
        <w:wordWrap/>
        <w:overflowPunct w:val="0"/>
        <w:topLinePunct/>
        <w:autoSpaceDE/>
        <w:autoSpaceDN/>
        <w:bidi w:val="0"/>
        <w:adjustRightInd/>
        <w:ind w:firstLine="480"/>
        <w:jc w:val="both"/>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半自形-它形晶粒结构：细一微粒磁铁矿大致呈等轴状半自形-它形晶粒。</w:t>
      </w:r>
    </w:p>
    <w:p w14:paraId="665BE5DA">
      <w:pPr>
        <w:keepNext w:val="0"/>
        <w:keepLines w:val="0"/>
        <w:pageBreakBefore w:val="0"/>
        <w:widowControl w:val="0"/>
        <w:kinsoku/>
        <w:wordWrap/>
        <w:overflowPunct w:val="0"/>
        <w:topLinePunct/>
        <w:autoSpaceDE/>
        <w:autoSpaceDN/>
        <w:bidi w:val="0"/>
        <w:adjustRightInd/>
        <w:ind w:firstLine="480"/>
        <w:jc w:val="both"/>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粒状变晶结构：矿石中石英、黑云母等非金属矿物呈残留粒状或重结晶粒状产出，金属矿物在脉石矿物间呈粒状产出。</w:t>
      </w:r>
    </w:p>
    <w:p w14:paraId="02EDAFA1">
      <w:pPr>
        <w:keepNext w:val="0"/>
        <w:keepLines w:val="0"/>
        <w:pageBreakBefore w:val="0"/>
        <w:widowControl w:val="0"/>
        <w:kinsoku/>
        <w:wordWrap/>
        <w:overflowPunct w:val="0"/>
        <w:topLinePunct/>
        <w:autoSpaceDE/>
        <w:autoSpaceDN/>
        <w:bidi w:val="0"/>
        <w:adjustRightInd/>
        <w:ind w:firstLine="480"/>
        <w:jc w:val="both"/>
        <w:textAlignment w:val="auto"/>
        <w:rPr>
          <w:rFonts w:hint="eastAsia"/>
          <w:color w:val="000000" w:themeColor="text1"/>
          <w:highlight w:val="none"/>
          <w14:textFill>
            <w14:solidFill>
              <w14:schemeClr w14:val="tx1"/>
            </w14:solidFill>
          </w14:textFill>
        </w:rPr>
      </w:pPr>
      <w:r>
        <w:rPr>
          <w:rFonts w:hint="eastAsia" w:cs="Times New Roman"/>
          <w:color w:val="000000" w:themeColor="text1"/>
          <w:sz w:val="24"/>
          <w:highlight w:val="none"/>
          <w14:textFill>
            <w14:solidFill>
              <w14:schemeClr w14:val="tx1"/>
            </w14:solidFill>
          </w14:textFill>
        </w:rPr>
        <w:t>③</w:t>
      </w:r>
      <w:r>
        <w:rPr>
          <w:rFonts w:hint="eastAsia"/>
          <w:color w:val="000000" w:themeColor="text1"/>
          <w:highlight w:val="none"/>
          <w14:textFill>
            <w14:solidFill>
              <w14:schemeClr w14:val="tx1"/>
            </w14:solidFill>
          </w14:textFill>
        </w:rPr>
        <w:t>矿石的构造</w:t>
      </w:r>
    </w:p>
    <w:p w14:paraId="4A7B9DEA">
      <w:pPr>
        <w:keepNext w:val="0"/>
        <w:keepLines w:val="0"/>
        <w:pageBreakBefore w:val="0"/>
        <w:widowControl w:val="0"/>
        <w:kinsoku/>
        <w:wordWrap/>
        <w:overflowPunct w:val="0"/>
        <w:topLinePunct/>
        <w:autoSpaceDE/>
        <w:autoSpaceDN/>
        <w:bidi w:val="0"/>
        <w:adjustRightInd/>
        <w:ind w:firstLine="480"/>
        <w:jc w:val="both"/>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矿石构造主要有两种，一种是浸染状构造，另一种是浸染条带状及条带状构造。</w:t>
      </w:r>
    </w:p>
    <w:p w14:paraId="7789701F">
      <w:pPr>
        <w:keepNext w:val="0"/>
        <w:keepLines w:val="0"/>
        <w:pageBreakBefore w:val="0"/>
        <w:widowControl w:val="0"/>
        <w:kinsoku/>
        <w:wordWrap/>
        <w:overflowPunct w:val="0"/>
        <w:topLinePunct/>
        <w:autoSpaceDE/>
        <w:autoSpaceDN/>
        <w:bidi w:val="0"/>
        <w:adjustRightInd/>
        <w:ind w:firstLine="480"/>
        <w:jc w:val="both"/>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浸染状构造：是区内矿石主要构造类型之一，在脉石碳酸盐矿物的基质内，细微粒磁铁矿多呈单晶或聚晶均匀或不均匀浸染分布。</w:t>
      </w:r>
    </w:p>
    <w:p w14:paraId="263CC347">
      <w:pPr>
        <w:keepNext w:val="0"/>
        <w:keepLines w:val="0"/>
        <w:pageBreakBefore w:val="0"/>
        <w:widowControl w:val="0"/>
        <w:kinsoku/>
        <w:wordWrap/>
        <w:overflowPunct w:val="0"/>
        <w:topLinePunct/>
        <w:autoSpaceDE/>
        <w:autoSpaceDN/>
        <w:bidi w:val="0"/>
        <w:adjustRightInd/>
        <w:ind w:firstLine="480"/>
        <w:jc w:val="both"/>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浸染条带状及条带状构造：磁铁矿集合体或单晶在矿石中形成浸染条带或条带与脉石矿物富集的条带相间排列，有时条带连续性差，条带不规则，形成短条带或条痕状构造，条带宽窄不一，多为窄条带，当条带小于l.0mm时，形成条纹状构造。</w:t>
      </w:r>
    </w:p>
    <w:p w14:paraId="02589DC4">
      <w:pPr>
        <w:keepNext w:val="0"/>
        <w:keepLines w:val="0"/>
        <w:pageBreakBefore w:val="0"/>
        <w:widowControl w:val="0"/>
        <w:kinsoku/>
        <w:wordWrap/>
        <w:overflowPunct w:val="0"/>
        <w:topLinePunct/>
        <w:autoSpaceDE/>
        <w:autoSpaceDN/>
        <w:bidi w:val="0"/>
        <w:adjustRightInd/>
        <w:ind w:firstLine="480"/>
        <w:jc w:val="both"/>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矿石主要结构为它形—半自形、自形粒状结构、它形不规则状结构、交代结构、包裹结构。</w:t>
      </w:r>
    </w:p>
    <w:p w14:paraId="6A9482EF">
      <w:pPr>
        <w:keepNext w:val="0"/>
        <w:keepLines w:val="0"/>
        <w:pageBreakBefore w:val="0"/>
        <w:widowControl w:val="0"/>
        <w:kinsoku/>
        <w:wordWrap/>
        <w:overflowPunct w:val="0"/>
        <w:topLinePunct/>
        <w:autoSpaceDE/>
        <w:autoSpaceDN/>
        <w:bidi w:val="0"/>
        <w:adjustRightInd/>
        <w:ind w:firstLine="480"/>
        <w:jc w:val="both"/>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）主要能源消耗</w:t>
      </w:r>
    </w:p>
    <w:p w14:paraId="52A90154">
      <w:pPr>
        <w:keepNext w:val="0"/>
        <w:keepLines w:val="0"/>
        <w:pageBreakBefore w:val="0"/>
        <w:widowControl w:val="0"/>
        <w:kinsoku/>
        <w:wordWrap/>
        <w:overflowPunct w:val="0"/>
        <w:topLinePunct/>
        <w:autoSpaceDE/>
        <w:autoSpaceDN/>
        <w:bidi w:val="0"/>
        <w:adjustRightInd/>
        <w:ind w:firstLine="480"/>
        <w:jc w:val="both"/>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本项目主要能源消耗为：电、水等，具体见表3.2-</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w:t>
      </w:r>
    </w:p>
    <w:p w14:paraId="04E9C410">
      <w:pPr>
        <w:ind w:firstLine="0" w:firstLineChars="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表3.2-</w:t>
      </w:r>
      <w:r>
        <w:rPr>
          <w:rFonts w:hint="eastAsia"/>
          <w:b/>
          <w:color w:val="000000" w:themeColor="text1"/>
          <w:highlight w:val="none"/>
          <w:lang w:val="en-US" w:eastAsia="zh-CN"/>
          <w14:textFill>
            <w14:solidFill>
              <w14:schemeClr w14:val="tx1"/>
            </w14:solidFill>
          </w14:textFill>
        </w:rPr>
        <w:t>5</w:t>
      </w:r>
      <w:r>
        <w:rPr>
          <w:b/>
          <w:color w:val="000000" w:themeColor="text1"/>
          <w:highlight w:val="none"/>
          <w14:textFill>
            <w14:solidFill>
              <w14:schemeClr w14:val="tx1"/>
            </w14:solidFill>
          </w14:textFill>
        </w:rPr>
        <w:t xml:space="preserve">    </w:t>
      </w:r>
      <w:r>
        <w:rPr>
          <w:rFonts w:hint="eastAsia"/>
          <w:b/>
          <w:color w:val="000000" w:themeColor="text1"/>
          <w:highlight w:val="none"/>
          <w14:textFill>
            <w14:solidFill>
              <w14:schemeClr w14:val="tx1"/>
            </w14:solidFill>
          </w14:textFill>
        </w:rPr>
        <w:t>本项目主要能源消耗核算表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16"/>
        <w:gridCol w:w="2713"/>
        <w:gridCol w:w="3584"/>
      </w:tblGrid>
      <w:tr w14:paraId="2B85F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1301" w:type="pct"/>
            <w:tcBorders>
              <w:tl2br w:val="nil"/>
              <w:tr2bl w:val="nil"/>
            </w:tcBorders>
            <w:shd w:val="clear" w:color="auto" w:fill="auto"/>
            <w:vAlign w:val="center"/>
          </w:tcPr>
          <w:p w14:paraId="69C29C13">
            <w:pPr>
              <w:spacing w:line="360" w:lineRule="exact"/>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序号</w:t>
            </w:r>
          </w:p>
        </w:tc>
        <w:tc>
          <w:tcPr>
            <w:tcW w:w="1593" w:type="pct"/>
            <w:tcBorders>
              <w:tl2br w:val="nil"/>
              <w:tr2bl w:val="nil"/>
            </w:tcBorders>
            <w:shd w:val="clear" w:color="auto" w:fill="auto"/>
            <w:vAlign w:val="center"/>
          </w:tcPr>
          <w:p w14:paraId="62E3C507">
            <w:pPr>
              <w:spacing w:line="360" w:lineRule="exact"/>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名称</w:t>
            </w:r>
          </w:p>
        </w:tc>
        <w:tc>
          <w:tcPr>
            <w:tcW w:w="2104" w:type="pct"/>
            <w:tcBorders>
              <w:tl2br w:val="nil"/>
              <w:tr2bl w:val="nil"/>
            </w:tcBorders>
            <w:shd w:val="clear" w:color="auto" w:fill="auto"/>
            <w:vAlign w:val="center"/>
          </w:tcPr>
          <w:p w14:paraId="65F2B11D">
            <w:pPr>
              <w:spacing w:line="360" w:lineRule="exact"/>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年消耗量</w:t>
            </w:r>
          </w:p>
        </w:tc>
      </w:tr>
      <w:tr w14:paraId="72943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1" w:type="pct"/>
            <w:tcBorders>
              <w:tl2br w:val="nil"/>
              <w:tr2bl w:val="nil"/>
            </w:tcBorders>
            <w:shd w:val="clear" w:color="auto" w:fill="auto"/>
            <w:vAlign w:val="center"/>
          </w:tcPr>
          <w:p w14:paraId="64C9508F">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1</w:t>
            </w:r>
          </w:p>
        </w:tc>
        <w:tc>
          <w:tcPr>
            <w:tcW w:w="1593" w:type="pct"/>
            <w:tcBorders>
              <w:tl2br w:val="nil"/>
              <w:tr2bl w:val="nil"/>
            </w:tcBorders>
            <w:shd w:val="clear" w:color="auto" w:fill="auto"/>
            <w:vAlign w:val="center"/>
          </w:tcPr>
          <w:p w14:paraId="53E530D4">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新鲜水</w:t>
            </w:r>
          </w:p>
        </w:tc>
        <w:tc>
          <w:tcPr>
            <w:tcW w:w="2104" w:type="pct"/>
            <w:tcBorders>
              <w:tl2br w:val="nil"/>
              <w:tr2bl w:val="nil"/>
            </w:tcBorders>
            <w:shd w:val="clear" w:color="auto" w:fill="auto"/>
            <w:vAlign w:val="center"/>
          </w:tcPr>
          <w:p w14:paraId="0253B428">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11.95</w:t>
            </w:r>
            <w:r>
              <w:rPr>
                <w:rFonts w:hint="eastAsia"/>
                <w:color w:val="000000" w:themeColor="text1"/>
                <w:kern w:val="0"/>
                <w:sz w:val="21"/>
                <w:szCs w:val="21"/>
                <w:highlight w:val="none"/>
                <w14:textFill>
                  <w14:solidFill>
                    <w14:schemeClr w14:val="tx1"/>
                  </w14:solidFill>
                </w14:textFill>
              </w:rPr>
              <w:t>万m</w:t>
            </w:r>
            <w:r>
              <w:rPr>
                <w:rFonts w:hint="eastAsia"/>
                <w:color w:val="000000" w:themeColor="text1"/>
                <w:kern w:val="0"/>
                <w:sz w:val="21"/>
                <w:szCs w:val="21"/>
                <w:highlight w:val="none"/>
                <w:vertAlign w:val="superscript"/>
                <w14:textFill>
                  <w14:solidFill>
                    <w14:schemeClr w14:val="tx1"/>
                  </w14:solidFill>
                </w14:textFill>
              </w:rPr>
              <w:t>3</w:t>
            </w:r>
            <w:r>
              <w:rPr>
                <w:rFonts w:hint="eastAsia"/>
                <w:color w:val="000000" w:themeColor="text1"/>
                <w:kern w:val="0"/>
                <w:sz w:val="21"/>
                <w:szCs w:val="21"/>
                <w:highlight w:val="none"/>
                <w14:textFill>
                  <w14:solidFill>
                    <w14:schemeClr w14:val="tx1"/>
                  </w14:solidFill>
                </w14:textFill>
              </w:rPr>
              <w:t>/a</w:t>
            </w:r>
          </w:p>
        </w:tc>
      </w:tr>
      <w:tr w14:paraId="0A323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01" w:type="pct"/>
            <w:tcBorders>
              <w:tl2br w:val="nil"/>
              <w:tr2bl w:val="nil"/>
            </w:tcBorders>
            <w:shd w:val="clear" w:color="auto" w:fill="auto"/>
            <w:vAlign w:val="center"/>
          </w:tcPr>
          <w:p w14:paraId="125A65BF">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2</w:t>
            </w:r>
          </w:p>
        </w:tc>
        <w:tc>
          <w:tcPr>
            <w:tcW w:w="1593" w:type="pct"/>
            <w:tcBorders>
              <w:tl2br w:val="nil"/>
              <w:tr2bl w:val="nil"/>
            </w:tcBorders>
            <w:shd w:val="clear" w:color="auto" w:fill="auto"/>
            <w:vAlign w:val="center"/>
          </w:tcPr>
          <w:p w14:paraId="3449A800">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电</w:t>
            </w:r>
          </w:p>
        </w:tc>
        <w:tc>
          <w:tcPr>
            <w:tcW w:w="2104" w:type="pct"/>
            <w:tcBorders>
              <w:tl2br w:val="nil"/>
              <w:tr2bl w:val="nil"/>
            </w:tcBorders>
            <w:shd w:val="clear" w:color="auto" w:fill="auto"/>
            <w:vAlign w:val="center"/>
          </w:tcPr>
          <w:p w14:paraId="4EB3E0E9">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2274.6</w:t>
            </w:r>
            <w:r>
              <w:rPr>
                <w:rFonts w:hint="eastAsia"/>
                <w:color w:val="000000" w:themeColor="text1"/>
                <w:kern w:val="0"/>
                <w:sz w:val="21"/>
                <w:szCs w:val="21"/>
                <w:highlight w:val="none"/>
                <w:lang w:eastAsia="zh-CN"/>
                <w14:textFill>
                  <w14:solidFill>
                    <w14:schemeClr w14:val="tx1"/>
                  </w14:solidFill>
                </w14:textFill>
              </w:rPr>
              <w:t>万</w:t>
            </w:r>
            <w:r>
              <w:rPr>
                <w:color w:val="000000" w:themeColor="text1"/>
                <w:kern w:val="0"/>
                <w:sz w:val="21"/>
                <w:szCs w:val="21"/>
                <w:highlight w:val="none"/>
                <w14:textFill>
                  <w14:solidFill>
                    <w14:schemeClr w14:val="tx1"/>
                  </w14:solidFill>
                </w14:textFill>
              </w:rPr>
              <w:t>kW</w:t>
            </w:r>
            <w:r>
              <w:rPr>
                <w:rFonts w:hint="eastAsia"/>
                <w:color w:val="000000" w:themeColor="text1"/>
                <w:kern w:val="0"/>
                <w:sz w:val="21"/>
                <w:szCs w:val="21"/>
                <w:highlight w:val="none"/>
                <w:lang w:val="en-US" w:eastAsia="zh-CN"/>
                <w14:textFill>
                  <w14:solidFill>
                    <w14:schemeClr w14:val="tx1"/>
                  </w14:solidFill>
                </w14:textFill>
              </w:rPr>
              <w:t>·</w:t>
            </w:r>
            <w:r>
              <w:rPr>
                <w:color w:val="000000" w:themeColor="text1"/>
                <w:kern w:val="0"/>
                <w:sz w:val="21"/>
                <w:szCs w:val="21"/>
                <w:highlight w:val="none"/>
                <w14:textFill>
                  <w14:solidFill>
                    <w14:schemeClr w14:val="tx1"/>
                  </w14:solidFill>
                </w14:textFill>
              </w:rPr>
              <w:t>h</w:t>
            </w:r>
          </w:p>
        </w:tc>
      </w:tr>
    </w:tbl>
    <w:p w14:paraId="629CE905">
      <w:pPr>
        <w:pStyle w:val="4"/>
        <w:rPr>
          <w:color w:val="000000" w:themeColor="text1"/>
          <w:highlight w:val="none"/>
          <w14:textFill>
            <w14:solidFill>
              <w14:schemeClr w14:val="tx1"/>
            </w14:solidFill>
          </w14:textFill>
        </w:rPr>
      </w:pPr>
      <w:bookmarkStart w:id="449" w:name="_Toc9093"/>
      <w:bookmarkStart w:id="450" w:name="_Toc4836"/>
      <w:bookmarkStart w:id="451" w:name="_Toc2969"/>
      <w:r>
        <w:rPr>
          <w:color w:val="000000" w:themeColor="text1"/>
          <w:highlight w:val="none"/>
          <w14:textFill>
            <w14:solidFill>
              <w14:schemeClr w14:val="tx1"/>
            </w14:solidFill>
          </w14:textFill>
        </w:rPr>
        <w:t>3.2.</w:t>
      </w:r>
      <w:r>
        <w:rPr>
          <w:rFonts w:hint="eastAsia"/>
          <w:color w:val="000000" w:themeColor="text1"/>
          <w:highlight w:val="none"/>
          <w14:textFill>
            <w14:solidFill>
              <w14:schemeClr w14:val="tx1"/>
            </w14:solidFill>
          </w14:textFill>
        </w:rPr>
        <w:t>5尾矿库</w:t>
      </w:r>
      <w:bookmarkEnd w:id="449"/>
      <w:bookmarkEnd w:id="450"/>
      <w:bookmarkEnd w:id="451"/>
    </w:p>
    <w:p w14:paraId="116E2DAA">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（1）基本情况</w:t>
      </w:r>
    </w:p>
    <w:p w14:paraId="0FF1D639">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尾矿库为新建尾矿库，最终堆积标高</w:t>
      </w:r>
      <w:r>
        <w:rPr>
          <w:rFonts w:hint="eastAsia"/>
          <w:color w:val="000000" w:themeColor="text1"/>
          <w:highlight w:val="none"/>
          <w:lang w:val="en-US" w:eastAsia="zh-CN"/>
          <w14:textFill>
            <w14:solidFill>
              <w14:schemeClr w14:val="tx1"/>
            </w14:solidFill>
          </w14:textFill>
        </w:rPr>
        <w:t>1264</w:t>
      </w:r>
      <w:r>
        <w:rPr>
          <w:rFonts w:hint="eastAsia"/>
          <w:color w:val="000000" w:themeColor="text1"/>
          <w:highlight w:val="none"/>
          <w14:textFill>
            <w14:solidFill>
              <w14:schemeClr w14:val="tx1"/>
            </w14:solidFill>
          </w14:textFill>
        </w:rPr>
        <w:t>.0m，尾矿堆积坝总高度为</w:t>
      </w:r>
      <w:r>
        <w:rPr>
          <w:rFonts w:hint="eastAsia"/>
          <w:color w:val="000000" w:themeColor="text1"/>
          <w:highlight w:val="none"/>
          <w:lang w:val="en-US" w:eastAsia="zh-CN"/>
          <w14:textFill>
            <w14:solidFill>
              <w14:schemeClr w14:val="tx1"/>
            </w14:solidFill>
          </w14:textFill>
        </w:rPr>
        <w:t>30</w:t>
      </w:r>
      <w:r>
        <w:rPr>
          <w:rFonts w:hint="eastAsia"/>
          <w:color w:val="000000" w:themeColor="text1"/>
          <w:highlight w:val="none"/>
          <w14:textFill>
            <w14:solidFill>
              <w14:schemeClr w14:val="tx1"/>
            </w14:solidFill>
          </w14:textFill>
        </w:rPr>
        <w:t>m，总库容</w:t>
      </w:r>
      <w:r>
        <w:rPr>
          <w:rFonts w:hint="eastAsia"/>
          <w:color w:val="000000" w:themeColor="text1"/>
          <w:highlight w:val="none"/>
          <w:lang w:val="en-US" w:eastAsia="zh-CN"/>
          <w14:textFill>
            <w14:solidFill>
              <w14:schemeClr w14:val="tx1"/>
            </w14:solidFill>
          </w14:textFill>
        </w:rPr>
        <w:t>527.55</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，总有效库容约为</w:t>
      </w:r>
      <w:r>
        <w:rPr>
          <w:rFonts w:hint="eastAsia"/>
          <w:color w:val="000000" w:themeColor="text1"/>
          <w:highlight w:val="none"/>
          <w:lang w:val="en-US" w:eastAsia="zh-CN"/>
          <w14:textFill>
            <w14:solidFill>
              <w14:schemeClr w14:val="tx1"/>
            </w14:solidFill>
          </w14:textFill>
        </w:rPr>
        <w:t>501.17</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，尾矿库等别为</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14:textFill>
            <w14:solidFill>
              <w14:schemeClr w14:val="tx1"/>
            </w14:solidFill>
          </w14:textFill>
        </w:rPr>
        <w:t>等，尾矿库可服务约</w:t>
      </w:r>
      <w:r>
        <w:rPr>
          <w:rFonts w:hint="eastAsia"/>
          <w:color w:val="000000" w:themeColor="text1"/>
          <w:highlight w:val="none"/>
          <w:lang w:val="en-US" w:eastAsia="zh-CN"/>
          <w14:textFill>
            <w14:solidFill>
              <w14:schemeClr w14:val="tx1"/>
            </w14:solidFill>
          </w14:textFill>
        </w:rPr>
        <w:t>19</w:t>
      </w:r>
      <w:r>
        <w:rPr>
          <w:rFonts w:hint="eastAsia"/>
          <w:color w:val="000000" w:themeColor="text1"/>
          <w:highlight w:val="none"/>
          <w14:textFill>
            <w14:solidFill>
              <w14:schemeClr w14:val="tx1"/>
            </w14:solidFill>
          </w14:textFill>
        </w:rPr>
        <w:t>年。</w:t>
      </w:r>
      <w:r>
        <w:rPr>
          <w:rFonts w:hint="default" w:ascii="Times New Roman" w:hAnsi="Times New Roman" w:cs="Times New Roman"/>
          <w:color w:val="000000" w:themeColor="text1"/>
          <w:sz w:val="24"/>
          <w:szCs w:val="24"/>
          <w14:textFill>
            <w14:solidFill>
              <w14:schemeClr w14:val="tx1"/>
            </w14:solidFill>
          </w14:textFill>
        </w:rPr>
        <w:t>尾矿库采用库</w:t>
      </w:r>
      <w:r>
        <w:rPr>
          <w:rFonts w:hint="default" w:ascii="Times New Roman" w:hAnsi="Times New Roman" w:cs="Times New Roman"/>
          <w:color w:val="000000" w:themeColor="text1"/>
          <w:sz w:val="24"/>
          <w:szCs w:val="24"/>
          <w:lang w:val="en-US" w:eastAsia="zh-CN"/>
          <w14:textFill>
            <w14:solidFill>
              <w14:schemeClr w14:val="tx1"/>
            </w14:solidFill>
          </w14:textFill>
        </w:rPr>
        <w:t>尾</w:t>
      </w:r>
      <w:r>
        <w:rPr>
          <w:rFonts w:hint="default" w:ascii="Times New Roman" w:hAnsi="Times New Roman" w:cs="Times New Roman"/>
          <w:color w:val="000000" w:themeColor="text1"/>
          <w:sz w:val="24"/>
          <w:szCs w:val="24"/>
          <w14:textFill>
            <w14:solidFill>
              <w14:schemeClr w14:val="tx1"/>
            </w14:solidFill>
          </w14:textFill>
        </w:rPr>
        <w:t>排矿方式，设计在库区南侧设置拦挡坝</w:t>
      </w:r>
      <w:r>
        <w:rPr>
          <w:rFonts w:hint="eastAsia" w:ascii="Times New Roman" w:hAnsi="Times New Roman" w:cs="Times New Roman"/>
          <w:color w:val="000000" w:themeColor="text1"/>
          <w:sz w:val="24"/>
          <w:szCs w:val="24"/>
          <w:lang w:eastAsia="zh-CN"/>
          <w14:textFill>
            <w14:solidFill>
              <w14:schemeClr w14:val="tx1"/>
            </w14:solidFill>
          </w14:textFill>
        </w:rPr>
        <w:t>。</w:t>
      </w:r>
    </w:p>
    <w:p w14:paraId="1314BABE">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eastAsia="zh-CN"/>
          <w14:textFill>
            <w14:solidFill>
              <w14:schemeClr w14:val="tx1"/>
            </w14:solidFill>
          </w14:textFill>
        </w:rPr>
        <w:t>拦挡</w:t>
      </w:r>
      <w:r>
        <w:rPr>
          <w:rFonts w:hint="eastAsia"/>
          <w:color w:val="000000" w:themeColor="text1"/>
          <w:highlight w:val="none"/>
          <w14:textFill>
            <w14:solidFill>
              <w14:schemeClr w14:val="tx1"/>
            </w14:solidFill>
          </w14:textFill>
        </w:rPr>
        <w:t>坝</w:t>
      </w:r>
    </w:p>
    <w:p w14:paraId="574A18A3">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根据《尾矿设施设计规范》（</w:t>
      </w:r>
      <w:r>
        <w:rPr>
          <w:rFonts w:hint="default"/>
          <w:color w:val="000000" w:themeColor="text1"/>
          <w:highlight w:val="none"/>
          <w:lang w:val="en-US" w:eastAsia="zh-CN"/>
          <w14:textFill>
            <w14:solidFill>
              <w14:schemeClr w14:val="tx1"/>
            </w14:solidFill>
          </w14:textFill>
        </w:rPr>
        <w:t>GB50863</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2013</w:t>
      </w:r>
      <w:r>
        <w:rPr>
          <w:rFonts w:hint="eastAsia"/>
          <w:color w:val="000000" w:themeColor="text1"/>
          <w:highlight w:val="none"/>
          <w:lang w:val="en-US" w:eastAsia="zh-CN"/>
          <w14:textFill>
            <w14:solidFill>
              <w14:schemeClr w14:val="tx1"/>
            </w14:solidFill>
          </w14:textFill>
        </w:rPr>
        <w:t>）第</w:t>
      </w:r>
      <w:r>
        <w:rPr>
          <w:rFonts w:hint="default"/>
          <w:color w:val="000000" w:themeColor="text1"/>
          <w:highlight w:val="none"/>
          <w:lang w:val="en-US" w:eastAsia="zh-CN"/>
          <w14:textFill>
            <w14:solidFill>
              <w14:schemeClr w14:val="tx1"/>
            </w14:solidFill>
          </w14:textFill>
        </w:rPr>
        <w:t>4.1.1</w:t>
      </w:r>
      <w:r>
        <w:rPr>
          <w:rFonts w:hint="eastAsia"/>
          <w:color w:val="000000" w:themeColor="text1"/>
          <w:highlight w:val="none"/>
          <w:lang w:val="en-US" w:eastAsia="zh-CN"/>
          <w14:textFill>
            <w14:solidFill>
              <w14:schemeClr w14:val="tx1"/>
            </w14:solidFill>
          </w14:textFill>
        </w:rPr>
        <w:t>条的要求：“尾矿坝坝址选择应以筑坝工程量小，以及形成的库容大和避免不良的工程、水文地质条件为原则，并结合筑坝材料来源、施工条件、尾矿澄清距离及排水构筑物的布置等因素，经综合论证确定”。经对库区地形进行分析、论证，最终确定在库区下游建设拦挡坝，拦挡坝采取库区戈壁料碾压而成，坝顶标高1237.0m，最大坝高4m，上、下游坡比均为1：2.0，坝轴线总长度约566.0</w:t>
      </w:r>
      <w:r>
        <w:rPr>
          <w:rFonts w:hint="default"/>
          <w:color w:val="000000" w:themeColor="text1"/>
          <w:highlight w:val="none"/>
          <w:lang w:val="en-US" w:eastAsia="zh-CN"/>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。坝脚设置500×1700×600mm（底宽×顶宽×深）浆砌石排水沟。</w:t>
      </w:r>
    </w:p>
    <w:p w14:paraId="4E7C30EB">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）尾矿堆积</w:t>
      </w:r>
    </w:p>
    <w:p w14:paraId="3A19D952">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尾矿为干式堆存，尾矿堆存顺序由库前向库尾方向，采用自下而上分层堆排，完成一层后再进行下一层堆排。</w:t>
      </w:r>
    </w:p>
    <w:p w14:paraId="0826A836">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尾矿坝最终堆积标高为</w:t>
      </w:r>
      <w:r>
        <w:rPr>
          <w:rFonts w:hint="eastAsia"/>
          <w:color w:val="000000" w:themeColor="text1"/>
          <w:highlight w:val="none"/>
          <w:lang w:val="en-US" w:eastAsia="zh-CN"/>
          <w14:textFill>
            <w14:solidFill>
              <w14:schemeClr w14:val="tx1"/>
            </w14:solidFill>
          </w14:textFill>
        </w:rPr>
        <w:t>1264</w:t>
      </w:r>
      <w:r>
        <w:rPr>
          <w:rFonts w:hint="eastAsia"/>
          <w:color w:val="000000" w:themeColor="text1"/>
          <w:highlight w:val="none"/>
          <w14:textFill>
            <w14:solidFill>
              <w14:schemeClr w14:val="tx1"/>
            </w14:solidFill>
          </w14:textFill>
        </w:rPr>
        <w:t>m，堆积内边坡坡向</w:t>
      </w:r>
      <w:r>
        <w:rPr>
          <w:rFonts w:hint="eastAsia"/>
          <w:color w:val="000000" w:themeColor="text1"/>
          <w:highlight w:val="none"/>
          <w:lang w:val="en-US" w:eastAsia="zh-CN"/>
          <w14:textFill>
            <w14:solidFill>
              <w14:schemeClr w14:val="tx1"/>
            </w14:solidFill>
          </w14:textFill>
        </w:rPr>
        <w:t>拦挡坝</w:t>
      </w:r>
      <w:r>
        <w:rPr>
          <w:rFonts w:hint="eastAsia"/>
          <w:color w:val="000000" w:themeColor="text1"/>
          <w:highlight w:val="none"/>
          <w14:textFill>
            <w14:solidFill>
              <w14:schemeClr w14:val="tx1"/>
            </w14:solidFill>
          </w14:textFill>
        </w:rPr>
        <w:t>，平均坡度为1.0%，堆积外边坡为1:3.5，堆积坝</w:t>
      </w:r>
      <w:r>
        <w:rPr>
          <w:color w:val="000000" w:themeColor="text1"/>
          <w:highlight w:val="none"/>
          <w14:textFill>
            <w14:solidFill>
              <w14:schemeClr w14:val="tx1"/>
            </w14:solidFill>
          </w14:textFill>
        </w:rPr>
        <w:t>坝高为</w:t>
      </w:r>
      <w:r>
        <w:rPr>
          <w:rFonts w:hint="eastAsia"/>
          <w:color w:val="000000" w:themeColor="text1"/>
          <w:highlight w:val="none"/>
          <w:lang w:val="en-US" w:eastAsia="zh-CN"/>
          <w14:textFill>
            <w14:solidFill>
              <w14:schemeClr w14:val="tx1"/>
            </w14:solidFill>
          </w14:textFill>
        </w:rPr>
        <w:t>30</w:t>
      </w:r>
      <w:r>
        <w:rPr>
          <w:color w:val="000000" w:themeColor="text1"/>
          <w:highlight w:val="none"/>
          <w14:textFill>
            <w14:solidFill>
              <w14:schemeClr w14:val="tx1"/>
            </w14:solidFill>
          </w14:textFill>
        </w:rPr>
        <w:t>m</w:t>
      </w:r>
      <w:r>
        <w:rPr>
          <w:rFonts w:hint="eastAsia"/>
          <w:color w:val="000000" w:themeColor="text1"/>
          <w:highlight w:val="none"/>
          <w14:textFill>
            <w14:solidFill>
              <w14:schemeClr w14:val="tx1"/>
            </w14:solidFill>
          </w14:textFill>
        </w:rPr>
        <w:t>。堆积坝外坡面每隔</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m高度设一道</w:t>
      </w:r>
      <w:r>
        <w:rPr>
          <w:rFonts w:hint="eastAsia"/>
          <w:color w:val="000000" w:themeColor="text1"/>
          <w:highlight w:val="none"/>
          <w:lang w:val="en-US" w:eastAsia="zh-CN"/>
          <w14:textFill>
            <w14:solidFill>
              <w14:schemeClr w14:val="tx1"/>
            </w14:solidFill>
          </w14:textFill>
        </w:rPr>
        <w:t>3.0m宽的</w:t>
      </w:r>
      <w:r>
        <w:rPr>
          <w:rFonts w:hint="eastAsia"/>
          <w:color w:val="000000" w:themeColor="text1"/>
          <w:highlight w:val="none"/>
          <w14:textFill>
            <w14:solidFill>
              <w14:schemeClr w14:val="tx1"/>
            </w14:solidFill>
          </w14:textFill>
        </w:rPr>
        <w:t>台阶，并在台阶上修建300×400mm纵、横向浆砌石排水沟。堆积坝外边界设置明挖梯形断面排水沟，底宽500mm，深600mm，边坡比1：1。</w:t>
      </w:r>
    </w:p>
    <w:p w14:paraId="48BB9D6F">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）尾矿库排洪系统</w:t>
      </w:r>
    </w:p>
    <w:p w14:paraId="1E8086CD">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拟建库区地形较缓，尾</w:t>
      </w:r>
      <w:r>
        <w:rPr>
          <w:rFonts w:hint="eastAsia"/>
          <w:color w:val="000000" w:themeColor="text1"/>
          <w:highlight w:val="none"/>
          <w:lang w:val="en-US" w:eastAsia="zh-CN"/>
          <w14:textFill>
            <w14:solidFill>
              <w14:schemeClr w14:val="tx1"/>
            </w14:solidFill>
          </w14:textFill>
        </w:rPr>
        <w:t>矿</w:t>
      </w:r>
      <w:r>
        <w:rPr>
          <w:rFonts w:hint="eastAsia"/>
          <w:color w:val="000000" w:themeColor="text1"/>
          <w:highlight w:val="none"/>
          <w14:textFill>
            <w14:solidFill>
              <w14:schemeClr w14:val="tx1"/>
            </w14:solidFill>
          </w14:textFill>
        </w:rPr>
        <w:t>采用库</w:t>
      </w:r>
      <w:r>
        <w:rPr>
          <w:rFonts w:hint="eastAsia"/>
          <w:color w:val="000000" w:themeColor="text1"/>
          <w:highlight w:val="none"/>
          <w:lang w:val="en-US" w:eastAsia="zh-CN"/>
          <w14:textFill>
            <w14:solidFill>
              <w14:schemeClr w14:val="tx1"/>
            </w14:solidFill>
          </w14:textFill>
        </w:rPr>
        <w:t>尾</w:t>
      </w:r>
      <w:r>
        <w:rPr>
          <w:rFonts w:hint="eastAsia"/>
          <w:color w:val="000000" w:themeColor="text1"/>
          <w:highlight w:val="none"/>
          <w14:textFill>
            <w14:solidFill>
              <w14:schemeClr w14:val="tx1"/>
            </w14:solidFill>
          </w14:textFill>
        </w:rPr>
        <w:t>排放方式。设计在尾矿库上游设置截洪沟，将库区上游洪水直接排至下游，截洪沟断面为梯形断面，边坡比1:0.5，底宽800mm，深1000mm，浆砌石结构，长度为</w:t>
      </w:r>
      <w:r>
        <w:rPr>
          <w:rFonts w:hint="default" w:ascii="Times New Roman" w:hAnsi="Times New Roman" w:cs="Times New Roman"/>
          <w:color w:val="000000" w:themeColor="text1"/>
          <w:sz w:val="24"/>
          <w:szCs w:val="24"/>
          <w:lang w:val="en-US" w:eastAsia="zh-CN"/>
          <w14:textFill>
            <w14:solidFill>
              <w14:schemeClr w14:val="tx1"/>
            </w14:solidFill>
          </w14:textFill>
        </w:rPr>
        <w:t>564</w:t>
      </w:r>
      <w:r>
        <w:rPr>
          <w:rFonts w:hint="eastAsia"/>
          <w:color w:val="000000" w:themeColor="text1"/>
          <w:highlight w:val="none"/>
          <w14:textFill>
            <w14:solidFill>
              <w14:schemeClr w14:val="tx1"/>
            </w14:solidFill>
          </w14:textFill>
        </w:rPr>
        <w:t>m。</w:t>
      </w:r>
    </w:p>
    <w:p w14:paraId="14035F0E">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尾矿库库内采用井—管式排洪系统，在尾矿库下游最低处设一集水池，用于收集尾矿水及汛期洪水。排洪井采用窗口式，采用C20水工钢筋混凝土结构，井身内径D=1.8m，井高1.5m，壁厚为150mm。排水管采用C20水工钢筋混凝土结构，内径D=1.2m，壁厚200mm，长</w:t>
      </w:r>
      <w:r>
        <w:rPr>
          <w:rFonts w:hint="eastAsia"/>
          <w:color w:val="000000" w:themeColor="text1"/>
          <w:highlight w:val="none"/>
          <w:lang w:val="en-US" w:eastAsia="zh-CN"/>
          <w14:textFill>
            <w14:solidFill>
              <w14:schemeClr w14:val="tx1"/>
            </w14:solidFill>
          </w14:textFill>
        </w:rPr>
        <w:t>57.5</w:t>
      </w:r>
      <w:r>
        <w:rPr>
          <w:rFonts w:hint="eastAsia"/>
          <w:color w:val="000000" w:themeColor="text1"/>
          <w:highlight w:val="none"/>
          <w14:textFill>
            <w14:solidFill>
              <w14:schemeClr w14:val="tx1"/>
            </w14:solidFill>
          </w14:textFill>
        </w:rPr>
        <w:t>m，铺设坡度为1%，排水管出口与坝外集水池相接。集水池结构尺寸为35×10×6.0m，集水池铺设防渗层进行防渗，防渗层由下至上依次为整平压实基础、500mm厚压实粘土（压实后渗透系数≤1.0×10</w:t>
      </w:r>
      <w:r>
        <w:rPr>
          <w:rFonts w:hint="eastAsia"/>
          <w:color w:val="000000" w:themeColor="text1"/>
          <w:highlight w:val="none"/>
          <w:vertAlign w:val="superscript"/>
          <w14:textFill>
            <w14:solidFill>
              <w14:schemeClr w14:val="tx1"/>
            </w14:solidFill>
          </w14:textFill>
        </w:rPr>
        <w:t>-10</w:t>
      </w:r>
      <w:r>
        <w:rPr>
          <w:rFonts w:hint="eastAsia"/>
          <w:color w:val="000000" w:themeColor="text1"/>
          <w:highlight w:val="none"/>
          <w14:textFill>
            <w14:solidFill>
              <w14:schemeClr w14:val="tx1"/>
            </w14:solidFill>
          </w14:textFill>
        </w:rPr>
        <w:t> cm/s）、400g/m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的防渗土工膜、300mm厚砂砾覆盖层。</w:t>
      </w:r>
    </w:p>
    <w:p w14:paraId="0A6CE386">
      <w:pPr>
        <w:overflowPunct w:val="0"/>
        <w:topLinePunct/>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尾矿堆存</w:t>
      </w:r>
    </w:p>
    <w:p w14:paraId="5963DA01">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尾矿堆排分区、分层进行整平、碾压，由库</w:t>
      </w:r>
      <w:r>
        <w:rPr>
          <w:rFonts w:hint="eastAsia"/>
          <w:color w:val="000000" w:themeColor="text1"/>
          <w:highlight w:val="none"/>
          <w:lang w:val="en-US" w:eastAsia="zh-CN"/>
          <w14:textFill>
            <w14:solidFill>
              <w14:schemeClr w14:val="tx1"/>
            </w14:solidFill>
          </w14:textFill>
        </w:rPr>
        <w:t>尾</w:t>
      </w:r>
      <w:r>
        <w:rPr>
          <w:rFonts w:hint="eastAsia"/>
          <w:color w:val="000000" w:themeColor="text1"/>
          <w:highlight w:val="none"/>
          <w14:textFill>
            <w14:solidFill>
              <w14:schemeClr w14:val="tx1"/>
            </w14:solidFill>
          </w14:textFill>
        </w:rPr>
        <w:t>向库</w:t>
      </w:r>
      <w:r>
        <w:rPr>
          <w:rFonts w:hint="eastAsia"/>
          <w:color w:val="000000" w:themeColor="text1"/>
          <w:highlight w:val="none"/>
          <w:lang w:val="en-US" w:eastAsia="zh-CN"/>
          <w14:textFill>
            <w14:solidFill>
              <w14:schemeClr w14:val="tx1"/>
            </w14:solidFill>
          </w14:textFill>
        </w:rPr>
        <w:t>前</w:t>
      </w:r>
      <w:r>
        <w:rPr>
          <w:rFonts w:hint="eastAsia"/>
          <w:color w:val="000000" w:themeColor="text1"/>
          <w:highlight w:val="none"/>
          <w14:textFill>
            <w14:solidFill>
              <w14:schemeClr w14:val="tx1"/>
            </w14:solidFill>
          </w14:textFill>
        </w:rPr>
        <w:t>逐渐推进作业。尾</w:t>
      </w:r>
      <w:r>
        <w:rPr>
          <w:rFonts w:hint="eastAsia"/>
          <w:color w:val="000000" w:themeColor="text1"/>
          <w:highlight w:val="none"/>
          <w:lang w:val="en-US" w:eastAsia="zh-CN"/>
          <w14:textFill>
            <w14:solidFill>
              <w14:schemeClr w14:val="tx1"/>
            </w14:solidFill>
          </w14:textFill>
        </w:rPr>
        <w:t>矿</w:t>
      </w:r>
      <w:r>
        <w:rPr>
          <w:rFonts w:hint="eastAsia"/>
          <w:color w:val="000000" w:themeColor="text1"/>
          <w:highlight w:val="none"/>
          <w14:textFill>
            <w14:solidFill>
              <w14:schemeClr w14:val="tx1"/>
            </w14:solidFill>
          </w14:textFill>
        </w:rPr>
        <w:t>由固定式带式输送机送至尾矿库</w:t>
      </w:r>
      <w:r>
        <w:rPr>
          <w:rFonts w:hint="eastAsia"/>
          <w:color w:val="000000" w:themeColor="text1"/>
          <w:highlight w:val="none"/>
          <w:lang w:val="en-US" w:eastAsia="zh-CN"/>
          <w14:textFill>
            <w14:solidFill>
              <w14:schemeClr w14:val="tx1"/>
            </w14:solidFill>
          </w14:textFill>
        </w:rPr>
        <w:t>北</w:t>
      </w:r>
      <w:r>
        <w:rPr>
          <w:rFonts w:hint="eastAsia"/>
          <w:color w:val="000000" w:themeColor="text1"/>
          <w:highlight w:val="none"/>
          <w14:textFill>
            <w14:solidFill>
              <w14:schemeClr w14:val="tx1"/>
            </w14:solidFill>
          </w14:textFill>
        </w:rPr>
        <w:t>侧，连接移动式皮带机，将尾矿输送至相应顺序堆排分区的指定卸料点后，联合挖掘机、推土机将尾矿在该分层作业平面内进行摊开、整平，尾渣要逐层压实，堆积坝终期边坡向内40m范围内为碾压区，碾压区压实度不低于92%，非碾压区压实度不低于80%。分层碾压厚度不超过0.5m，碾压</w:t>
      </w:r>
      <w:r>
        <w:rPr>
          <w:rFonts w:hint="eastAsia"/>
          <w:color w:val="000000" w:themeColor="text1"/>
          <w:highlight w:val="none"/>
          <w:lang w:val="en-US" w:eastAsia="zh-CN"/>
          <w14:textFill>
            <w14:solidFill>
              <w14:schemeClr w14:val="tx1"/>
            </w14:solidFill>
          </w14:textFill>
        </w:rPr>
        <w:t>设备采用</w:t>
      </w:r>
      <w:r>
        <w:rPr>
          <w:rFonts w:hint="eastAsia"/>
          <w:color w:val="000000" w:themeColor="text1"/>
          <w:highlight w:val="none"/>
          <w14:textFill>
            <w14:solidFill>
              <w14:schemeClr w14:val="tx1"/>
            </w14:solidFill>
          </w14:textFill>
        </w:rPr>
        <w:t>液压单钢轮振动压路机。</w:t>
      </w:r>
    </w:p>
    <w:p w14:paraId="4B433E48">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）库区防渗</w:t>
      </w:r>
    </w:p>
    <w:p w14:paraId="1C0C42E4">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本项目选矿产生的尾矿属第Ⅰ类一般</w:t>
      </w:r>
      <w:r>
        <w:rPr>
          <w:rFonts w:hint="eastAsia"/>
          <w:color w:val="000000" w:themeColor="text1"/>
          <w:highlight w:val="none"/>
          <w:lang w:val="en-US" w:eastAsia="zh-CN"/>
          <w14:textFill>
            <w14:solidFill>
              <w14:schemeClr w14:val="tx1"/>
            </w14:solidFill>
          </w14:textFill>
        </w:rPr>
        <w:t>工业</w:t>
      </w:r>
      <w:r>
        <w:rPr>
          <w:rFonts w:hint="eastAsia"/>
          <w:color w:val="000000" w:themeColor="text1"/>
          <w:highlight w:val="none"/>
          <w14:textFill>
            <w14:solidFill>
              <w14:schemeClr w14:val="tx1"/>
            </w14:solidFill>
          </w14:textFill>
        </w:rPr>
        <w:t>固体废物。根据环评要求，库区需采取全库防渗，故设计尾矿库防渗型式采用全库区水平防渗，防渗衬垫系统由下至上依次为：整平压实基础、500mm厚压实粘土（压实后渗透系数≤1.0×10</w:t>
      </w:r>
      <w:r>
        <w:rPr>
          <w:rFonts w:hint="eastAsia"/>
          <w:color w:val="000000" w:themeColor="text1"/>
          <w:highlight w:val="none"/>
          <w:vertAlign w:val="superscript"/>
          <w14:textFill>
            <w14:solidFill>
              <w14:schemeClr w14:val="tx1"/>
            </w14:solidFill>
          </w14:textFill>
        </w:rPr>
        <w:t>-10</w:t>
      </w:r>
      <w:r>
        <w:rPr>
          <w:rFonts w:hint="eastAsia"/>
          <w:color w:val="000000" w:themeColor="text1"/>
          <w:highlight w:val="none"/>
          <w14:textFill>
            <w14:solidFill>
              <w14:schemeClr w14:val="tx1"/>
            </w14:solidFill>
          </w14:textFill>
        </w:rPr>
        <w:t>cm/s）、400g/m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的防渗土工膜、300mm厚砂砾覆盖层。</w:t>
      </w:r>
    </w:p>
    <w:p w14:paraId="6966B320">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库底清理要求：场底、边坡基础层、锚固平台及回填材料要平整、密实、无裂缝、无松土、无积水，无明显凹凸不平、无石头砖块，无树根、杂草、淤泥、腐殖土，场底、边坡及锚固平台之间过渡平缓。</w:t>
      </w:r>
    </w:p>
    <w:p w14:paraId="68360019">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在库底铺设土工膜之前，应先铺设500mm厚压实粘土，经机械压实后的渗透系数应满足不大于1.0×10</w:t>
      </w:r>
      <w:r>
        <w:rPr>
          <w:rFonts w:hint="eastAsia"/>
          <w:color w:val="000000" w:themeColor="text1"/>
          <w:highlight w:val="none"/>
          <w:vertAlign w:val="superscript"/>
          <w14:textFill>
            <w14:solidFill>
              <w14:schemeClr w14:val="tx1"/>
            </w14:solidFill>
          </w14:textFill>
        </w:rPr>
        <w:t>-10</w:t>
      </w:r>
      <w:r>
        <w:rPr>
          <w:rFonts w:hint="eastAsia"/>
          <w:color w:val="000000" w:themeColor="text1"/>
          <w:highlight w:val="none"/>
          <w14:textFill>
            <w14:solidFill>
              <w14:schemeClr w14:val="tx1"/>
            </w14:solidFill>
          </w14:textFill>
        </w:rPr>
        <w:t> cm/s。</w:t>
      </w:r>
    </w:p>
    <w:p w14:paraId="4E08DE64">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）尾矿</w:t>
      </w:r>
      <w:r>
        <w:rPr>
          <w:rFonts w:hint="eastAsia"/>
          <w:color w:val="000000" w:themeColor="text1"/>
          <w:highlight w:val="none"/>
          <w:lang w:val="en-US" w:eastAsia="zh-CN"/>
          <w14:textFill>
            <w14:solidFill>
              <w14:schemeClr w14:val="tx1"/>
            </w14:solidFill>
          </w14:textFill>
        </w:rPr>
        <w:t>浓缩脱水</w:t>
      </w:r>
    </w:p>
    <w:p w14:paraId="5CC3E780">
      <w:pPr>
        <w:overflowPunct w:val="0"/>
        <w:topLinePunct/>
        <w:ind w:firstLine="480"/>
        <w:rPr>
          <w:rFonts w:hint="eastAsia"/>
          <w:color w:val="000000" w:themeColor="text1"/>
          <w:highlight w:val="none"/>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尾矿浓缩脱水流程采用旋流器-直线筛-浓密机-压滤机脱水工艺流程，脱水后尾矿经带式输送机输送至尾矿库堆存。</w:t>
      </w:r>
    </w:p>
    <w:p w14:paraId="1C048710">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）尾矿输送、回水系统</w:t>
      </w:r>
    </w:p>
    <w:p w14:paraId="7A9E09B6">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①尾矿输送系统</w:t>
      </w:r>
    </w:p>
    <w:p w14:paraId="42FB06ED">
      <w:pPr>
        <w:overflowPunct w:val="0"/>
        <w:topLinePunct/>
        <w:ind w:firstLine="480"/>
        <w:rPr>
          <w:rFonts w:hint="eastAsia"/>
          <w:color w:val="000000" w:themeColor="text1"/>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设计尾矿采用带式输送机与汽车联合运输</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经压滤车间压滤的尾矿，先由带式输送机输送至库区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北</w:t>
      </w:r>
      <w:r>
        <w:rPr>
          <w:rFonts w:hint="default" w:ascii="Times New Roman" w:hAnsi="Times New Roman" w:eastAsia="宋体" w:cs="Times New Roman"/>
          <w:color w:val="000000" w:themeColor="text1"/>
          <w:sz w:val="24"/>
          <w:szCs w:val="24"/>
          <w:highlight w:val="none"/>
          <w14:textFill>
            <w14:solidFill>
              <w14:schemeClr w14:val="tx1"/>
            </w14:solidFill>
          </w14:textFill>
        </w:rPr>
        <w:t>侧，采用自卸汽车进行协助运输</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自卸汽车运输</w:t>
      </w:r>
      <w:r>
        <w:rPr>
          <w:rFonts w:hint="default" w:ascii="Times New Roman" w:hAnsi="Times New Roman" w:eastAsia="宋体" w:cs="Times New Roman"/>
          <w:color w:val="000000" w:themeColor="text1"/>
          <w:sz w:val="24"/>
          <w:szCs w:val="24"/>
          <w:highlight w:val="none"/>
          <w14:textFill>
            <w14:solidFill>
              <w14:schemeClr w14:val="tx1"/>
            </w14:solidFill>
          </w14:textFill>
        </w:rPr>
        <w:t>倒入库内，库内配一台推土机将尾矿堆积平整</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输送系统能力为</w:t>
      </w:r>
      <w:r>
        <w:rPr>
          <w:rFonts w:hint="eastAsia" w:cs="Times New Roman"/>
          <w:color w:val="000000" w:themeColor="text1"/>
          <w:sz w:val="24"/>
          <w:szCs w:val="24"/>
          <w:highlight w:val="none"/>
          <w:lang w:val="en-US" w:eastAsia="zh-CN"/>
          <w14:textFill>
            <w14:solidFill>
              <w14:schemeClr w14:val="tx1"/>
            </w14:solidFill>
          </w14:textFill>
        </w:rPr>
        <w:t>81.17</w:t>
      </w:r>
      <w:r>
        <w:rPr>
          <w:rFonts w:hint="default" w:ascii="Times New Roman" w:hAnsi="Times New Roman" w:cs="Times New Roman"/>
          <w:color w:val="000000" w:themeColor="text1"/>
          <w:sz w:val="24"/>
          <w:szCs w:val="24"/>
          <w:highlight w:val="none"/>
          <w14:textFill>
            <w14:solidFill>
              <w14:schemeClr w14:val="tx1"/>
            </w14:solidFill>
          </w14:textFill>
        </w:rPr>
        <w:t>t/h。</w:t>
      </w:r>
    </w:p>
    <w:p w14:paraId="10EAB0AC">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设计</w:t>
      </w:r>
      <w:r>
        <w:rPr>
          <w:rFonts w:hint="default" w:ascii="Times New Roman" w:hAnsi="Times New Roman" w:eastAsia="宋体" w:cs="Times New Roman"/>
          <w:color w:val="000000" w:themeColor="text1"/>
          <w:sz w:val="24"/>
          <w:szCs w:val="24"/>
          <w:highlight w:val="none"/>
          <w14:textFill>
            <w14:solidFill>
              <w14:schemeClr w14:val="tx1"/>
            </w14:solidFill>
          </w14:textFill>
        </w:rPr>
        <w:t>在库区北侧一个自然体顶部修建压滤车间，压滤后的尾矿由</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带式</w:t>
      </w:r>
      <w:r>
        <w:rPr>
          <w:rFonts w:hint="default" w:ascii="Times New Roman" w:hAnsi="Times New Roman" w:eastAsia="宋体" w:cs="Times New Roman"/>
          <w:color w:val="000000" w:themeColor="text1"/>
          <w:sz w:val="24"/>
          <w:szCs w:val="24"/>
          <w:highlight w:val="none"/>
          <w14:textFill>
            <w14:solidFill>
              <w14:schemeClr w14:val="tx1"/>
            </w14:solidFill>
          </w14:textFill>
        </w:rPr>
        <w:t>输送机卸入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库区北</w:t>
      </w:r>
      <w:r>
        <w:rPr>
          <w:rFonts w:hint="default" w:ascii="Times New Roman" w:hAnsi="Times New Roman" w:eastAsia="宋体" w:cs="Times New Roman"/>
          <w:color w:val="000000" w:themeColor="text1"/>
          <w:sz w:val="24"/>
          <w:szCs w:val="24"/>
          <w:highlight w:val="none"/>
          <w14:textFill>
            <w14:solidFill>
              <w14:schemeClr w14:val="tx1"/>
            </w14:solidFill>
          </w14:textFill>
        </w:rPr>
        <w:t>侧卸矿点，输送距离近时，直接由装载机倒入库内，库内</w:t>
      </w:r>
      <w:r>
        <w:rPr>
          <w:rFonts w:hint="eastAsia" w:cs="Times New Roman"/>
          <w:color w:val="000000" w:themeColor="text1"/>
          <w:sz w:val="24"/>
          <w:szCs w:val="24"/>
          <w:highlight w:val="none"/>
          <w:lang w:eastAsia="zh-CN"/>
          <w14:textFill>
            <w14:solidFill>
              <w14:schemeClr w14:val="tx1"/>
            </w14:solidFill>
          </w14:textFill>
        </w:rPr>
        <w:t>配备</w:t>
      </w:r>
      <w:r>
        <w:rPr>
          <w:rFonts w:hint="default" w:ascii="Times New Roman" w:hAnsi="Times New Roman" w:eastAsia="宋体" w:cs="Times New Roman"/>
          <w:color w:val="000000" w:themeColor="text1"/>
          <w:sz w:val="24"/>
          <w:szCs w:val="24"/>
          <w:highlight w:val="none"/>
          <w14:textFill>
            <w14:solidFill>
              <w14:schemeClr w14:val="tx1"/>
            </w14:solidFill>
          </w14:textFill>
        </w:rPr>
        <w:t>一台推土机将尾矿堆积平整，当输送距离大于100m后，采用自卸汽车进行协助运输。带式输送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机</w:t>
      </w:r>
      <w:r>
        <w:rPr>
          <w:rFonts w:hint="default" w:ascii="Times New Roman" w:hAnsi="Times New Roman" w:eastAsia="宋体" w:cs="Times New Roman"/>
          <w:color w:val="000000" w:themeColor="text1"/>
          <w:sz w:val="24"/>
          <w:szCs w:val="24"/>
          <w:highlight w:val="none"/>
          <w14:textFill>
            <w14:solidFill>
              <w14:schemeClr w14:val="tx1"/>
            </w14:solidFill>
          </w14:textFill>
        </w:rPr>
        <w:t>由企业安装压滤设备时一并安装</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346B87D2">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②尾矿库回水</w:t>
      </w:r>
    </w:p>
    <w:p w14:paraId="3AD1C292">
      <w:pPr>
        <w:overflowPunct w:val="0"/>
        <w:topLinePunct/>
        <w:ind w:firstLine="480"/>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该尾矿库采用干排，正常情况库内无水，如下雨会产生一定水量，故设置集水池作为尾矿库应急设施。集水池布置在拦挡坝南侧，设置回水泵2台。集水池采用钢筋混凝土现浇，且集水池铺设防渗层进行防渗。集水池尺寸为L=50.0m，宽度B=30.0m，深H=5.0m，容积7500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。集水池四周均设铁质围栏，围栏高1.2m。</w:t>
      </w:r>
    </w:p>
    <w:p w14:paraId="19F84CAA">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尾矿库回水泵送至选厂水池，输送管道为DN350无缝钢管，管道沿地敷设。</w:t>
      </w:r>
    </w:p>
    <w:p w14:paraId="241660CB">
      <w:pPr>
        <w:overflowPunct w:val="0"/>
        <w:topLinePunct/>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尾矿库下游设置</w:t>
      </w:r>
    </w:p>
    <w:p w14:paraId="46A02AF8">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）监测系统</w:t>
      </w:r>
    </w:p>
    <w:p w14:paraId="00A9B5BE">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本次设计尾矿库为四等库，尾矿坝、排水系统均为4级构筑物。按规范要求，尾矿坝应设置坝体位移、降雨量观测设施。通过水平位移观测、垂直沉降观测，全面掌握尾矿坝的安全动态。</w:t>
      </w:r>
    </w:p>
    <w:p w14:paraId="255A3DE2">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①尾矿坝位移监测</w:t>
      </w:r>
    </w:p>
    <w:p w14:paraId="6F530C60">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位移监测设施由位移观测基点和坝上位移观测点组成，位移观测基点</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个，位于尾矿库</w:t>
      </w:r>
      <w:r>
        <w:rPr>
          <w:rFonts w:hint="eastAsia"/>
          <w:color w:val="000000" w:themeColor="text1"/>
          <w:highlight w:val="none"/>
          <w:lang w:val="en-US" w:eastAsia="zh-CN"/>
          <w14:textFill>
            <w14:solidFill>
              <w14:schemeClr w14:val="tx1"/>
            </w14:solidFill>
          </w14:textFill>
        </w:rPr>
        <w:t>西北侧</w:t>
      </w:r>
      <w:r>
        <w:rPr>
          <w:rFonts w:hint="eastAsia"/>
          <w:color w:val="000000" w:themeColor="text1"/>
          <w:highlight w:val="none"/>
          <w14:textFill>
            <w14:solidFill>
              <w14:schemeClr w14:val="tx1"/>
            </w14:solidFill>
          </w14:textFill>
        </w:rPr>
        <w:t>坚实</w:t>
      </w:r>
      <w:r>
        <w:rPr>
          <w:rFonts w:hint="eastAsia"/>
          <w:color w:val="000000" w:themeColor="text1"/>
          <w:highlight w:val="none"/>
          <w:lang w:val="en-US" w:eastAsia="zh-CN"/>
          <w14:textFill>
            <w14:solidFill>
              <w14:schemeClr w14:val="tx1"/>
            </w14:solidFill>
          </w14:textFill>
        </w:rPr>
        <w:t>地</w:t>
      </w:r>
      <w:r>
        <w:rPr>
          <w:rFonts w:hint="eastAsia"/>
          <w:color w:val="000000" w:themeColor="text1"/>
          <w:highlight w:val="none"/>
          <w14:textFill>
            <w14:solidFill>
              <w14:schemeClr w14:val="tx1"/>
            </w14:solidFill>
          </w14:textFill>
        </w:rPr>
        <w:t>基上。拦挡坝坝顶每间隔150m设置1个位移观测点，共3个；堆积坝顶标高</w:t>
      </w:r>
      <w:r>
        <w:rPr>
          <w:rFonts w:hint="eastAsia"/>
          <w:color w:val="000000" w:themeColor="text1"/>
          <w:highlight w:val="none"/>
          <w:lang w:val="en-US" w:eastAsia="zh-CN"/>
          <w14:textFill>
            <w14:solidFill>
              <w14:schemeClr w14:val="tx1"/>
            </w14:solidFill>
          </w14:textFill>
        </w:rPr>
        <w:t>1244</w:t>
      </w:r>
      <w:r>
        <w:rPr>
          <w:rFonts w:hint="eastAsia"/>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1254</w:t>
      </w:r>
      <w:r>
        <w:rPr>
          <w:rFonts w:hint="eastAsia"/>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1264</w:t>
      </w:r>
      <w:r>
        <w:rPr>
          <w:rFonts w:hint="eastAsia"/>
          <w:color w:val="000000" w:themeColor="text1"/>
          <w:highlight w:val="none"/>
          <w14:textFill>
            <w14:solidFill>
              <w14:schemeClr w14:val="tx1"/>
            </w14:solidFill>
          </w14:textFill>
        </w:rPr>
        <w:t>m，分别设置8个位移观测点。</w:t>
      </w:r>
    </w:p>
    <w:p w14:paraId="4122C8DE">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监测点和监测基点必须牢固可靠，土基上的监测基点埋深应</w:t>
      </w:r>
      <w:r>
        <w:rPr>
          <w:rFonts w:hint="eastAsia"/>
          <w:color w:val="000000" w:themeColor="text1"/>
          <w:highlight w:val="none"/>
          <w:lang w:eastAsia="zh-CN"/>
          <w14:textFill>
            <w14:solidFill>
              <w14:schemeClr w14:val="tx1"/>
            </w14:solidFill>
          </w14:textFill>
        </w:rPr>
        <w:t>超过</w:t>
      </w:r>
      <w:r>
        <w:rPr>
          <w:rFonts w:hint="eastAsia"/>
          <w:color w:val="000000" w:themeColor="text1"/>
          <w:highlight w:val="none"/>
          <w14:textFill>
            <w14:solidFill>
              <w14:schemeClr w14:val="tx1"/>
            </w14:solidFill>
          </w14:textFill>
        </w:rPr>
        <w:t>冻土深度0.5m。位移的人工监测采用全站仪定期监测，监测频率一般每月观测一次，汛期增加测次。</w:t>
      </w:r>
    </w:p>
    <w:p w14:paraId="221FA782">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②降雨量监测</w:t>
      </w:r>
    </w:p>
    <w:p w14:paraId="6D01F94D">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库区降水量监测采用设备为雨量计，雨量计可通过雨量桶接收到实际的降雨量，按照每小时进行雨量统计，精度可达到0.1mm。雨量计内有时钟电路，可将</w:t>
      </w:r>
      <w:r>
        <w:rPr>
          <w:rFonts w:hint="eastAsia"/>
          <w:color w:val="000000" w:themeColor="text1"/>
          <w:highlight w:val="none"/>
          <w:lang w:eastAsia="zh-CN"/>
          <w14:textFill>
            <w14:solidFill>
              <w14:schemeClr w14:val="tx1"/>
            </w14:solidFill>
          </w14:textFill>
        </w:rPr>
        <w:t>每日</w:t>
      </w:r>
      <w:r>
        <w:rPr>
          <w:rFonts w:hint="eastAsia"/>
          <w:color w:val="000000" w:themeColor="text1"/>
          <w:highlight w:val="none"/>
          <w14:textFill>
            <w14:solidFill>
              <w14:schemeClr w14:val="tx1"/>
            </w14:solidFill>
          </w14:textFill>
        </w:rPr>
        <w:t>24小时的降雨量分别进行记录，并统计每日的降雨量。雨量计设在选矿厂。</w:t>
      </w:r>
    </w:p>
    <w:p w14:paraId="091CBC48">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地下水水质监测</w:t>
      </w:r>
    </w:p>
    <w:p w14:paraId="7BF77771">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考虑地下水环境监测/观测工作，建设单位已在矿山、选矿厂、尾矿库周边共</w:t>
      </w:r>
      <w:r>
        <w:rPr>
          <w:rFonts w:hint="eastAsia"/>
          <w:color w:val="000000" w:themeColor="text1"/>
          <w:highlight w:val="none"/>
          <w14:textFill>
            <w14:solidFill>
              <w14:schemeClr w14:val="tx1"/>
            </w14:solidFill>
          </w14:textFill>
        </w:rPr>
        <w:t>设置</w:t>
      </w:r>
      <w:r>
        <w:rPr>
          <w:rFonts w:hint="eastAsia"/>
          <w:color w:val="000000" w:themeColor="text1"/>
          <w:highlight w:val="none"/>
          <w:lang w:val="en-US" w:eastAsia="zh-CN"/>
          <w14:textFill>
            <w14:solidFill>
              <w14:schemeClr w14:val="tx1"/>
            </w14:solidFill>
          </w14:textFill>
        </w:rPr>
        <w:t>6口</w:t>
      </w:r>
      <w:r>
        <w:rPr>
          <w:rFonts w:hint="eastAsia"/>
          <w:color w:val="000000" w:themeColor="text1"/>
          <w:highlight w:val="none"/>
          <w14:textFill>
            <w14:solidFill>
              <w14:schemeClr w14:val="tx1"/>
            </w14:solidFill>
          </w14:textFill>
        </w:rPr>
        <w:t>地下水水质监测井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兼顾水位观测</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，其中本底井</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座，扩散井</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座，监测井</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座，分别位于</w:t>
      </w:r>
      <w:r>
        <w:rPr>
          <w:rFonts w:hint="eastAsia"/>
          <w:color w:val="000000" w:themeColor="text1"/>
          <w:highlight w:val="none"/>
          <w:lang w:val="en-US" w:eastAsia="zh-CN"/>
          <w14:textFill>
            <w14:solidFill>
              <w14:schemeClr w14:val="tx1"/>
            </w14:solidFill>
          </w14:textFill>
        </w:rPr>
        <w:t>矿山及选矿厂、尾矿库</w:t>
      </w:r>
      <w:r>
        <w:rPr>
          <w:rFonts w:hint="eastAsia"/>
          <w:color w:val="000000" w:themeColor="text1"/>
          <w:highlight w:val="none"/>
          <w14:textFill>
            <w14:solidFill>
              <w14:schemeClr w14:val="tx1"/>
            </w14:solidFill>
          </w14:textFill>
        </w:rPr>
        <w:t>上游、</w:t>
      </w:r>
      <w:r>
        <w:rPr>
          <w:rFonts w:hint="eastAsia"/>
          <w:color w:val="000000" w:themeColor="text1"/>
          <w:highlight w:val="none"/>
          <w:lang w:val="en-US" w:eastAsia="zh-CN"/>
          <w14:textFill>
            <w14:solidFill>
              <w14:schemeClr w14:val="tx1"/>
            </w14:solidFill>
          </w14:textFill>
        </w:rPr>
        <w:t>两侧</w:t>
      </w:r>
      <w:r>
        <w:rPr>
          <w:rFonts w:hint="eastAsia"/>
          <w:color w:val="000000" w:themeColor="text1"/>
          <w:highlight w:val="none"/>
          <w14:textFill>
            <w14:solidFill>
              <w14:schemeClr w14:val="tx1"/>
            </w14:solidFill>
          </w14:textFill>
        </w:rPr>
        <w:t>及下游。</w:t>
      </w:r>
    </w:p>
    <w:p w14:paraId="0CCD738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w:t>
      </w:r>
      <w:r>
        <w:rPr>
          <w:rFonts w:hint="eastAsia"/>
          <w:color w:val="000000" w:themeColor="text1"/>
          <w:highlight w:val="none"/>
          <w14:textFill>
            <w14:solidFill>
              <w14:schemeClr w14:val="tx1"/>
            </w14:solidFill>
          </w14:textFill>
        </w:rPr>
        <w:t>）尾矿库使用终期的复垦</w:t>
      </w:r>
    </w:p>
    <w:p w14:paraId="5C155CE2">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尾矿库使用终结后，应对尾矿库进行必要的复垦。在尾矿库</w:t>
      </w:r>
      <w:r>
        <w:rPr>
          <w:rFonts w:hint="eastAsia"/>
          <w:color w:val="000000" w:themeColor="text1"/>
          <w:highlight w:val="none"/>
          <w:lang w:val="en-US" w:eastAsia="zh-CN"/>
          <w14:textFill>
            <w14:solidFill>
              <w14:schemeClr w14:val="tx1"/>
            </w14:solidFill>
          </w14:textFill>
        </w:rPr>
        <w:t>沉</w:t>
      </w:r>
      <w:r>
        <w:rPr>
          <w:rFonts w:hint="eastAsia"/>
          <w:color w:val="000000" w:themeColor="text1"/>
          <w:highlight w:val="none"/>
          <w14:textFill>
            <w14:solidFill>
              <w14:schemeClr w14:val="tx1"/>
            </w14:solidFill>
          </w14:textFill>
        </w:rPr>
        <w:t>积滩上普遍覆盖0.3m以上山皮土，根据当地实际情况决定选择草种。因尾矿库为永久设施，所以尾矿库使用结束后排洪</w:t>
      </w:r>
      <w:r>
        <w:rPr>
          <w:rFonts w:hint="eastAsia"/>
          <w:color w:val="000000" w:themeColor="text1"/>
          <w:highlight w:val="none"/>
          <w:lang w:val="en-US" w:eastAsia="zh-CN"/>
          <w14:textFill>
            <w14:solidFill>
              <w14:schemeClr w14:val="tx1"/>
            </w14:solidFill>
          </w14:textFill>
        </w:rPr>
        <w:t>设施</w:t>
      </w:r>
      <w:r>
        <w:rPr>
          <w:rFonts w:hint="eastAsia"/>
          <w:color w:val="000000" w:themeColor="text1"/>
          <w:highlight w:val="none"/>
          <w14:textFill>
            <w14:solidFill>
              <w14:schemeClr w14:val="tx1"/>
            </w14:solidFill>
          </w14:textFill>
        </w:rPr>
        <w:t>不能封堵，依然排出尾矿库汇水面积内的降水</w:t>
      </w:r>
      <w:r>
        <w:rPr>
          <w:rFonts w:hint="eastAsia"/>
          <w:color w:val="000000" w:themeColor="text1"/>
          <w:highlight w:val="none"/>
          <w:lang w:eastAsia="zh-CN"/>
          <w14:textFill>
            <w14:solidFill>
              <w14:schemeClr w14:val="tx1"/>
            </w14:solidFill>
          </w14:textFill>
        </w:rPr>
        <w:t>。</w:t>
      </w:r>
    </w:p>
    <w:p w14:paraId="0689F562">
      <w:pPr>
        <w:pStyle w:val="4"/>
        <w:rPr>
          <w:color w:val="000000" w:themeColor="text1"/>
          <w:highlight w:val="none"/>
          <w14:textFill>
            <w14:solidFill>
              <w14:schemeClr w14:val="tx1"/>
            </w14:solidFill>
          </w14:textFill>
        </w:rPr>
      </w:pPr>
      <w:bookmarkStart w:id="452" w:name="_Toc32708"/>
      <w:bookmarkStart w:id="453" w:name="_Toc18035"/>
      <w:bookmarkStart w:id="454" w:name="_Toc26098"/>
      <w:r>
        <w:rPr>
          <w:color w:val="000000" w:themeColor="text1"/>
          <w:highlight w:val="none"/>
          <w14:textFill>
            <w14:solidFill>
              <w14:schemeClr w14:val="tx1"/>
            </w14:solidFill>
          </w14:textFill>
        </w:rPr>
        <w:t>3.2.</w:t>
      </w:r>
      <w:bookmarkEnd w:id="444"/>
      <w:bookmarkEnd w:id="445"/>
      <w:bookmarkEnd w:id="446"/>
      <w:bookmarkEnd w:id="447"/>
      <w:bookmarkEnd w:id="448"/>
      <w:r>
        <w:rPr>
          <w:rFonts w:hint="eastAsia"/>
          <w:color w:val="000000" w:themeColor="text1"/>
          <w:highlight w:val="none"/>
          <w14:textFill>
            <w14:solidFill>
              <w14:schemeClr w14:val="tx1"/>
            </w14:solidFill>
          </w14:textFill>
        </w:rPr>
        <w:t>6工程占地</w:t>
      </w:r>
      <w:bookmarkEnd w:id="452"/>
      <w:bookmarkEnd w:id="453"/>
      <w:bookmarkEnd w:id="454"/>
    </w:p>
    <w:p w14:paraId="756CEC9C">
      <w:pPr>
        <w:pStyle w:val="56"/>
        <w:spacing w:line="480" w:lineRule="exact"/>
        <w:ind w:firstLine="480"/>
        <w:rPr>
          <w:rFonts w:hint="eastAsia"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14:textFill>
            <w14:solidFill>
              <w14:schemeClr w14:val="tx1"/>
            </w14:solidFill>
          </w14:textFill>
        </w:rPr>
        <w:t>本项目新增占地面积</w:t>
      </w:r>
      <w:r>
        <w:rPr>
          <w:rFonts w:hint="eastAsia" w:cs="Times New Roman"/>
          <w:color w:val="000000" w:themeColor="text1"/>
          <w:sz w:val="24"/>
          <w:highlight w:val="none"/>
          <w:lang w:val="en-US" w:eastAsia="zh-CN"/>
          <w14:textFill>
            <w14:solidFill>
              <w14:schemeClr w14:val="tx1"/>
            </w14:solidFill>
          </w14:textFill>
        </w:rPr>
        <w:t>42.96</w:t>
      </w:r>
      <w:r>
        <w:rPr>
          <w:rFonts w:hint="eastAsia" w:cs="Times New Roman"/>
          <w:color w:val="000000" w:themeColor="text1"/>
          <w:sz w:val="24"/>
          <w:highlight w:val="none"/>
          <w14:textFill>
            <w14:solidFill>
              <w14:schemeClr w14:val="tx1"/>
            </w14:solidFill>
          </w14:textFill>
        </w:rPr>
        <w:t>hm</w:t>
      </w:r>
      <w:r>
        <w:rPr>
          <w:rFonts w:hint="eastAsia" w:cs="Times New Roman"/>
          <w:color w:val="000000" w:themeColor="text1"/>
          <w:sz w:val="24"/>
          <w:highlight w:val="none"/>
          <w:vertAlign w:val="superscript"/>
          <w14:textFill>
            <w14:solidFill>
              <w14:schemeClr w14:val="tx1"/>
            </w14:solidFill>
          </w14:textFill>
        </w:rPr>
        <w:t>2</w:t>
      </w:r>
      <w:r>
        <w:rPr>
          <w:rFonts w:hint="eastAsia" w:cs="Times New Roman"/>
          <w:color w:val="000000" w:themeColor="text1"/>
          <w:sz w:val="24"/>
          <w:highlight w:val="none"/>
          <w14:textFill>
            <w14:solidFill>
              <w14:schemeClr w14:val="tx1"/>
            </w14:solidFill>
          </w14:textFill>
        </w:rPr>
        <w:t>，占地面积详见表3.2-</w:t>
      </w:r>
      <w:r>
        <w:rPr>
          <w:rFonts w:hint="eastAsia" w:cs="Times New Roman"/>
          <w:color w:val="000000" w:themeColor="text1"/>
          <w:sz w:val="24"/>
          <w:highlight w:val="none"/>
          <w:lang w:val="en-US" w:eastAsia="zh-CN"/>
          <w14:textFill>
            <w14:solidFill>
              <w14:schemeClr w14:val="tx1"/>
            </w14:solidFill>
          </w14:textFill>
        </w:rPr>
        <w:t>6</w:t>
      </w:r>
      <w:r>
        <w:rPr>
          <w:rFonts w:hint="eastAsia" w:cs="Times New Roman"/>
          <w:color w:val="000000" w:themeColor="text1"/>
          <w:sz w:val="24"/>
          <w:highlight w:val="none"/>
          <w14:textFill>
            <w14:solidFill>
              <w14:schemeClr w14:val="tx1"/>
            </w14:solidFill>
          </w14:textFill>
        </w:rPr>
        <w:t>。</w:t>
      </w:r>
    </w:p>
    <w:p w14:paraId="1D649397">
      <w:pPr>
        <w:ind w:firstLine="0" w:firstLineChars="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表3.2-</w:t>
      </w:r>
      <w:r>
        <w:rPr>
          <w:rFonts w:hint="eastAsia"/>
          <w:b/>
          <w:color w:val="000000" w:themeColor="text1"/>
          <w:highlight w:val="none"/>
          <w:lang w:val="en-US" w:eastAsia="zh-CN"/>
          <w14:textFill>
            <w14:solidFill>
              <w14:schemeClr w14:val="tx1"/>
            </w14:solidFill>
          </w14:textFill>
        </w:rPr>
        <w:t xml:space="preserve">6 </w:t>
      </w:r>
      <w:r>
        <w:rPr>
          <w:b/>
          <w:color w:val="000000" w:themeColor="text1"/>
          <w:highlight w:val="none"/>
          <w14:textFill>
            <w14:solidFill>
              <w14:schemeClr w14:val="tx1"/>
            </w14:solidFill>
          </w14:textFill>
        </w:rPr>
        <w:t xml:space="preserve">   </w:t>
      </w:r>
      <w:r>
        <w:rPr>
          <w:rFonts w:hint="eastAsia"/>
          <w:b/>
          <w:color w:val="000000" w:themeColor="text1"/>
          <w:highlight w:val="none"/>
          <w14:textFill>
            <w14:solidFill>
              <w14:schemeClr w14:val="tx1"/>
            </w14:solidFill>
          </w14:textFill>
        </w:rPr>
        <w:t>本项目占地情况一览表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1911"/>
        <w:gridCol w:w="2522"/>
        <w:gridCol w:w="2522"/>
      </w:tblGrid>
      <w:tr w14:paraId="04244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915" w:type="pct"/>
            <w:tcBorders>
              <w:tl2br w:val="nil"/>
              <w:tr2bl w:val="nil"/>
            </w:tcBorders>
            <w:shd w:val="clear" w:color="auto" w:fill="auto"/>
            <w:vAlign w:val="center"/>
          </w:tcPr>
          <w:p w14:paraId="199A9D5B">
            <w:pPr>
              <w:spacing w:line="360" w:lineRule="exact"/>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序号</w:t>
            </w:r>
          </w:p>
        </w:tc>
        <w:tc>
          <w:tcPr>
            <w:tcW w:w="1122" w:type="pct"/>
            <w:tcBorders>
              <w:tl2br w:val="nil"/>
              <w:tr2bl w:val="nil"/>
            </w:tcBorders>
            <w:shd w:val="clear" w:color="auto" w:fill="auto"/>
            <w:vAlign w:val="center"/>
          </w:tcPr>
          <w:p w14:paraId="050DB520">
            <w:pPr>
              <w:spacing w:line="360" w:lineRule="exact"/>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名称</w:t>
            </w:r>
          </w:p>
        </w:tc>
        <w:tc>
          <w:tcPr>
            <w:tcW w:w="1481" w:type="pct"/>
            <w:tcBorders>
              <w:tl2br w:val="nil"/>
              <w:tr2bl w:val="nil"/>
            </w:tcBorders>
            <w:shd w:val="clear" w:color="auto" w:fill="auto"/>
            <w:vAlign w:val="center"/>
          </w:tcPr>
          <w:p w14:paraId="38032E47">
            <w:pPr>
              <w:spacing w:line="360" w:lineRule="exact"/>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数量（hm</w:t>
            </w:r>
            <w:r>
              <w:rPr>
                <w:rFonts w:hint="eastAsia"/>
                <w:b/>
                <w:bCs/>
                <w:color w:val="000000" w:themeColor="text1"/>
                <w:kern w:val="0"/>
                <w:sz w:val="21"/>
                <w:szCs w:val="21"/>
                <w:highlight w:val="none"/>
                <w:vertAlign w:val="superscript"/>
                <w14:textFill>
                  <w14:solidFill>
                    <w14:schemeClr w14:val="tx1"/>
                  </w14:solidFill>
                </w14:textFill>
              </w:rPr>
              <w:t>2</w:t>
            </w:r>
            <w:r>
              <w:rPr>
                <w:rFonts w:hint="eastAsia"/>
                <w:b/>
                <w:bCs/>
                <w:color w:val="000000" w:themeColor="text1"/>
                <w:kern w:val="0"/>
                <w:sz w:val="21"/>
                <w:szCs w:val="21"/>
                <w:highlight w:val="none"/>
                <w14:textFill>
                  <w14:solidFill>
                    <w14:schemeClr w14:val="tx1"/>
                  </w14:solidFill>
                </w14:textFill>
              </w:rPr>
              <w:t>）</w:t>
            </w:r>
          </w:p>
        </w:tc>
        <w:tc>
          <w:tcPr>
            <w:tcW w:w="1481" w:type="pct"/>
            <w:tcBorders>
              <w:tl2br w:val="nil"/>
              <w:tr2bl w:val="nil"/>
            </w:tcBorders>
            <w:shd w:val="clear" w:color="auto" w:fill="auto"/>
            <w:vAlign w:val="center"/>
          </w:tcPr>
          <w:p w14:paraId="01E2B7D9">
            <w:pPr>
              <w:spacing w:line="360" w:lineRule="exact"/>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备注</w:t>
            </w:r>
          </w:p>
        </w:tc>
      </w:tr>
      <w:tr w14:paraId="5BF9E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5" w:type="pct"/>
            <w:tcBorders>
              <w:tl2br w:val="nil"/>
              <w:tr2bl w:val="nil"/>
            </w:tcBorders>
            <w:shd w:val="clear" w:color="auto" w:fill="auto"/>
            <w:vAlign w:val="center"/>
          </w:tcPr>
          <w:p w14:paraId="047CA19C">
            <w:pPr>
              <w:spacing w:line="360" w:lineRule="exact"/>
              <w:ind w:firstLine="0" w:firstLineChars="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1</w:t>
            </w:r>
          </w:p>
        </w:tc>
        <w:tc>
          <w:tcPr>
            <w:tcW w:w="1122" w:type="pct"/>
            <w:tcBorders>
              <w:tl2br w:val="nil"/>
              <w:tr2bl w:val="nil"/>
            </w:tcBorders>
            <w:shd w:val="clear" w:color="auto" w:fill="auto"/>
            <w:vAlign w:val="center"/>
          </w:tcPr>
          <w:p w14:paraId="447B9973">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新建</w:t>
            </w:r>
            <w:r>
              <w:rPr>
                <w:rFonts w:hint="eastAsia"/>
                <w:color w:val="000000" w:themeColor="text1"/>
                <w:kern w:val="0"/>
                <w:sz w:val="21"/>
                <w:szCs w:val="21"/>
                <w:highlight w:val="none"/>
                <w14:textFill>
                  <w14:solidFill>
                    <w14:schemeClr w14:val="tx1"/>
                  </w14:solidFill>
                </w14:textFill>
              </w:rPr>
              <w:t>尾矿库</w:t>
            </w:r>
          </w:p>
        </w:tc>
        <w:tc>
          <w:tcPr>
            <w:tcW w:w="1481" w:type="pct"/>
            <w:tcBorders>
              <w:tl2br w:val="nil"/>
              <w:tr2bl w:val="nil"/>
            </w:tcBorders>
            <w:shd w:val="clear" w:color="auto" w:fill="auto"/>
            <w:vAlign w:val="center"/>
          </w:tcPr>
          <w:p w14:paraId="604EE7D8">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42.96</w:t>
            </w:r>
          </w:p>
        </w:tc>
        <w:tc>
          <w:tcPr>
            <w:tcW w:w="1481" w:type="pct"/>
            <w:tcBorders>
              <w:tl2br w:val="nil"/>
              <w:tr2bl w:val="nil"/>
            </w:tcBorders>
            <w:shd w:val="clear" w:color="auto" w:fill="auto"/>
            <w:vAlign w:val="center"/>
          </w:tcPr>
          <w:p w14:paraId="010B0D8A">
            <w:pPr>
              <w:spacing w:line="360" w:lineRule="exact"/>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w:t>
            </w:r>
          </w:p>
        </w:tc>
      </w:tr>
      <w:tr w14:paraId="5ABD2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7" w:type="pct"/>
            <w:gridSpan w:val="2"/>
            <w:tcBorders>
              <w:tl2br w:val="nil"/>
              <w:tr2bl w:val="nil"/>
            </w:tcBorders>
            <w:shd w:val="clear" w:color="auto" w:fill="auto"/>
            <w:vAlign w:val="center"/>
          </w:tcPr>
          <w:p w14:paraId="05399432">
            <w:pPr>
              <w:spacing w:line="360" w:lineRule="exact"/>
              <w:ind w:firstLine="0" w:firstLineChars="0"/>
              <w:jc w:val="center"/>
              <w:rPr>
                <w:rFonts w:cs="Arial"/>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合计</w:t>
            </w:r>
          </w:p>
        </w:tc>
        <w:tc>
          <w:tcPr>
            <w:tcW w:w="1481" w:type="pct"/>
            <w:tcBorders>
              <w:tl2br w:val="nil"/>
              <w:tr2bl w:val="nil"/>
            </w:tcBorders>
            <w:shd w:val="clear" w:color="auto" w:fill="auto"/>
            <w:vAlign w:val="center"/>
          </w:tcPr>
          <w:p w14:paraId="1519C37E">
            <w:pPr>
              <w:spacing w:line="360" w:lineRule="exact"/>
              <w:ind w:firstLine="0" w:firstLineChars="0"/>
              <w:jc w:val="center"/>
              <w:rPr>
                <w:rFonts w:cs="Arial"/>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42.96</w:t>
            </w:r>
          </w:p>
        </w:tc>
        <w:tc>
          <w:tcPr>
            <w:tcW w:w="1481" w:type="pct"/>
            <w:tcBorders>
              <w:tl2br w:val="nil"/>
              <w:tr2bl w:val="nil"/>
            </w:tcBorders>
            <w:shd w:val="clear" w:color="auto" w:fill="auto"/>
            <w:vAlign w:val="center"/>
          </w:tcPr>
          <w:p w14:paraId="6B3F094D">
            <w:pPr>
              <w:spacing w:line="360" w:lineRule="exact"/>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w:t>
            </w:r>
          </w:p>
        </w:tc>
      </w:tr>
      <w:tr w14:paraId="48BDE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37" w:type="pct"/>
            <w:gridSpan w:val="2"/>
            <w:tcBorders>
              <w:tl2br w:val="nil"/>
              <w:tr2bl w:val="nil"/>
            </w:tcBorders>
            <w:shd w:val="clear" w:color="auto" w:fill="auto"/>
            <w:vAlign w:val="center"/>
          </w:tcPr>
          <w:p w14:paraId="77BD6812">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新增用地面积</w:t>
            </w:r>
          </w:p>
        </w:tc>
        <w:tc>
          <w:tcPr>
            <w:tcW w:w="1481" w:type="pct"/>
            <w:tcBorders>
              <w:tl2br w:val="nil"/>
              <w:tr2bl w:val="nil"/>
            </w:tcBorders>
            <w:shd w:val="clear" w:color="auto" w:fill="auto"/>
            <w:vAlign w:val="center"/>
          </w:tcPr>
          <w:p w14:paraId="4FB367F1">
            <w:pPr>
              <w:spacing w:line="360" w:lineRule="exact"/>
              <w:ind w:firstLine="0" w:firstLineChars="0"/>
              <w:jc w:val="center"/>
              <w:rPr>
                <w:rFonts w:cs="Arial"/>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42.96</w:t>
            </w:r>
          </w:p>
        </w:tc>
        <w:tc>
          <w:tcPr>
            <w:tcW w:w="1481" w:type="pct"/>
            <w:tcBorders>
              <w:tl2br w:val="nil"/>
              <w:tr2bl w:val="nil"/>
            </w:tcBorders>
            <w:shd w:val="clear" w:color="auto" w:fill="auto"/>
            <w:vAlign w:val="center"/>
          </w:tcPr>
          <w:p w14:paraId="0192A500">
            <w:pPr>
              <w:spacing w:line="360" w:lineRule="exact"/>
              <w:ind w:firstLine="0" w:firstLineChars="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w:t>
            </w:r>
          </w:p>
        </w:tc>
      </w:tr>
    </w:tbl>
    <w:p w14:paraId="7E5EA57E">
      <w:pPr>
        <w:pStyle w:val="4"/>
        <w:rPr>
          <w:color w:val="000000" w:themeColor="text1"/>
          <w:highlight w:val="none"/>
          <w14:textFill>
            <w14:solidFill>
              <w14:schemeClr w14:val="tx1"/>
            </w14:solidFill>
          </w14:textFill>
        </w:rPr>
      </w:pPr>
      <w:bookmarkStart w:id="455" w:name="_Toc21589"/>
      <w:bookmarkStart w:id="456" w:name="_Toc20881"/>
      <w:bookmarkStart w:id="457" w:name="_Toc8567"/>
      <w:r>
        <w:rPr>
          <w:rFonts w:hint="eastAsia"/>
          <w:color w:val="000000" w:themeColor="text1"/>
          <w:highlight w:val="none"/>
          <w14:textFill>
            <w14:solidFill>
              <w14:schemeClr w14:val="tx1"/>
            </w14:solidFill>
          </w14:textFill>
        </w:rPr>
        <w:t>3.2.7公用工程</w:t>
      </w:r>
      <w:bookmarkEnd w:id="455"/>
      <w:bookmarkEnd w:id="456"/>
      <w:bookmarkEnd w:id="457"/>
    </w:p>
    <w:p w14:paraId="4B3392BB">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3.2.</w:t>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.1给水</w:t>
      </w:r>
      <w:r>
        <w:rPr>
          <w:rFonts w:hint="eastAsia"/>
          <w:color w:val="000000" w:themeColor="text1"/>
          <w:highlight w:val="none"/>
          <w14:textFill>
            <w14:solidFill>
              <w14:schemeClr w14:val="tx1"/>
            </w14:solidFill>
          </w14:textFill>
        </w:rPr>
        <w:t>工程</w:t>
      </w:r>
    </w:p>
    <w:p w14:paraId="4D613C73">
      <w:pPr>
        <w:overflowPunct w:val="0"/>
        <w:topLinePunct/>
        <w:ind w:firstLine="480"/>
        <w:rPr>
          <w:color w:val="000000" w:themeColor="text1"/>
          <w:szCs w:val="28"/>
          <w:highlight w:val="none"/>
          <w14:textFill>
            <w14:solidFill>
              <w14:schemeClr w14:val="tx1"/>
            </w14:solidFill>
          </w14:textFill>
        </w:rPr>
      </w:pPr>
      <w:r>
        <w:rPr>
          <w:color w:val="000000" w:themeColor="text1"/>
          <w:szCs w:val="28"/>
          <w:highlight w:val="none"/>
          <w14:textFill>
            <w14:solidFill>
              <w14:schemeClr w14:val="tx1"/>
            </w14:solidFill>
          </w14:textFill>
        </w:rPr>
        <w:t>（1）用水量</w:t>
      </w:r>
    </w:p>
    <w:p w14:paraId="314CB22E">
      <w:pPr>
        <w:overflowPunct w:val="0"/>
        <w:topLinePunct/>
        <w:ind w:firstLine="480"/>
        <w:rPr>
          <w:color w:val="000000" w:themeColor="text1"/>
          <w:sz w:val="24"/>
          <w:szCs w:val="24"/>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本项目用水</w:t>
      </w:r>
      <w:r>
        <w:rPr>
          <w:color w:val="000000" w:themeColor="text1"/>
          <w:highlight w:val="none"/>
          <w14:textFill>
            <w14:solidFill>
              <w14:schemeClr w14:val="tx1"/>
            </w14:solidFill>
          </w14:textFill>
        </w:rPr>
        <w:t>主要包括生活用水</w:t>
      </w:r>
      <w:r>
        <w:rPr>
          <w:rFonts w:hint="eastAsia"/>
          <w:color w:val="000000" w:themeColor="text1"/>
          <w:highlight w:val="none"/>
          <w14:textFill>
            <w14:solidFill>
              <w14:schemeClr w14:val="tx1"/>
            </w14:solidFill>
          </w14:textFill>
        </w:rPr>
        <w:t>、生产用水、绿化用水，其中生产用水</w:t>
      </w:r>
      <w:r>
        <w:rPr>
          <w:rFonts w:hint="eastAsia"/>
          <w:color w:val="000000" w:themeColor="text1"/>
          <w:highlight w:val="none"/>
          <w:lang w:eastAsia="zh-CN"/>
          <w14:textFill>
            <w14:solidFill>
              <w14:schemeClr w14:val="tx1"/>
            </w14:solidFill>
          </w14:textFill>
        </w:rPr>
        <w:t>主要为</w:t>
      </w:r>
      <w:r>
        <w:rPr>
          <w:rFonts w:hint="eastAsia"/>
          <w:color w:val="000000" w:themeColor="text1"/>
          <w:highlight w:val="none"/>
          <w14:textFill>
            <w14:solidFill>
              <w14:schemeClr w14:val="tx1"/>
            </w14:solidFill>
          </w14:textFill>
        </w:rPr>
        <w:t>选矿生产用水</w:t>
      </w:r>
      <w:r>
        <w:rPr>
          <w:rFonts w:hint="eastAsia"/>
          <w:color w:val="000000" w:themeColor="text1"/>
          <w:sz w:val="24"/>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本</w:t>
      </w:r>
      <w:r>
        <w:rPr>
          <w:color w:val="000000" w:themeColor="text1"/>
          <w:spacing w:val="-10"/>
          <w:highlight w:val="none"/>
          <w14:textFill>
            <w14:solidFill>
              <w14:schemeClr w14:val="tx1"/>
            </w14:solidFill>
          </w14:textFill>
        </w:rPr>
        <w:t>项目</w:t>
      </w:r>
      <w:r>
        <w:rPr>
          <w:rFonts w:hint="eastAsia"/>
          <w:color w:val="000000" w:themeColor="text1"/>
          <w:spacing w:val="-10"/>
          <w:highlight w:val="none"/>
          <w14:textFill>
            <w14:solidFill>
              <w14:schemeClr w14:val="tx1"/>
            </w14:solidFill>
          </w14:textFill>
        </w:rPr>
        <w:t>总用水量为</w:t>
      </w:r>
      <w:r>
        <w:rPr>
          <w:rFonts w:hint="eastAsia"/>
          <w:color w:val="000000" w:themeColor="text1"/>
          <w:highlight w:val="none"/>
          <w:lang w:val="zh-CN"/>
          <w14:textFill>
            <w14:solidFill>
              <w14:schemeClr w14:val="tx1"/>
            </w14:solidFill>
          </w14:textFill>
        </w:rPr>
        <w:t>531</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lang w:val="zh-CN"/>
          <w14:textFill>
            <w14:solidFill>
              <w14:schemeClr w14:val="tx1"/>
            </w14:solidFill>
          </w14:textFill>
        </w:rPr>
        <w:t>.3</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159.58</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其中新鲜水总用水量为</w:t>
      </w:r>
      <w:r>
        <w:rPr>
          <w:rFonts w:hint="eastAsia"/>
          <w:color w:val="000000" w:themeColor="text1"/>
          <w:highlight w:val="none"/>
          <w:lang w:val="en-US" w:eastAsia="zh-CN"/>
          <w14:textFill>
            <w14:solidFill>
              <w14:schemeClr w14:val="tx1"/>
            </w14:solidFill>
          </w14:textFill>
        </w:rPr>
        <w:t>11.9509</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灌溉期425.7</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非灌溉期354.65</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spacing w:val="-10"/>
          <w:highlight w:val="none"/>
          <w14:textFill>
            <w14:solidFill>
              <w14:schemeClr w14:val="tx1"/>
            </w14:solidFill>
          </w14:textFill>
        </w:rPr>
        <w:t>。</w:t>
      </w:r>
      <w:r>
        <w:rPr>
          <w:color w:val="000000" w:themeColor="text1"/>
          <w:spacing w:val="-10"/>
          <w:sz w:val="24"/>
          <w:szCs w:val="24"/>
          <w:highlight w:val="none"/>
          <w14:textFill>
            <w14:solidFill>
              <w14:schemeClr w14:val="tx1"/>
            </w14:solidFill>
          </w14:textFill>
        </w:rPr>
        <w:t>主要用水量估算如下：</w:t>
      </w:r>
    </w:p>
    <w:p w14:paraId="2F4601DE">
      <w:pPr>
        <w:overflowPunct w:val="0"/>
        <w:topLinePunct/>
        <w:ind w:firstLine="48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①办公生活用水</w:t>
      </w:r>
    </w:p>
    <w:p w14:paraId="4EF38923">
      <w:pPr>
        <w:pStyle w:val="41"/>
        <w:overflowPunct w:val="0"/>
        <w:topLinePunct/>
        <w:spacing w:line="480" w:lineRule="exa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本项目劳动定员</w:t>
      </w:r>
      <w:r>
        <w:rPr>
          <w:rFonts w:hint="eastAsia"/>
          <w:color w:val="000000" w:themeColor="text1"/>
          <w:highlight w:val="none"/>
          <w:lang w:val="en-US" w:eastAsia="zh-CN"/>
          <w14:textFill>
            <w14:solidFill>
              <w14:schemeClr w14:val="tx1"/>
            </w14:solidFill>
          </w14:textFill>
        </w:rPr>
        <w:t>50</w:t>
      </w:r>
      <w:r>
        <w:rPr>
          <w:rFonts w:hint="eastAsia"/>
          <w:color w:val="000000" w:themeColor="text1"/>
          <w:highlight w:val="none"/>
          <w14:textFill>
            <w14:solidFill>
              <w14:schemeClr w14:val="tx1"/>
            </w14:solidFill>
          </w14:textFill>
        </w:rPr>
        <w:t>人，生活用水包括饮用水、淋浴用水及其它冲洗用水，根据</w:t>
      </w:r>
      <w:r>
        <w:rPr>
          <w:color w:val="000000" w:themeColor="text1"/>
          <w:szCs w:val="24"/>
          <w:highlight w:val="none"/>
          <w14:textFill>
            <w14:solidFill>
              <w14:schemeClr w14:val="tx1"/>
            </w14:solidFill>
          </w14:textFill>
        </w:rPr>
        <w:t>《新疆维吾尔自治区生活用水定额》</w:t>
      </w:r>
      <w:r>
        <w:rPr>
          <w:rFonts w:hint="eastAsia"/>
          <w:color w:val="000000" w:themeColor="text1"/>
          <w:szCs w:val="24"/>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每人每天用水量约为100L，则总用水量约</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/d（0.</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p>
    <w:p w14:paraId="4B69760A">
      <w:pPr>
        <w:overflowPunct w:val="0"/>
        <w:topLinePunct/>
        <w:ind w:firstLine="48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②生产用水</w:t>
      </w:r>
    </w:p>
    <w:p w14:paraId="0E57CEC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生产用水</w:t>
      </w:r>
      <w:r>
        <w:rPr>
          <w:rFonts w:hint="eastAsia"/>
          <w:color w:val="000000" w:themeColor="text1"/>
          <w:highlight w:val="none"/>
          <w:lang w:val="en-US" w:eastAsia="zh-CN"/>
          <w14:textFill>
            <w14:solidFill>
              <w14:schemeClr w14:val="tx1"/>
            </w14:solidFill>
          </w14:textFill>
        </w:rPr>
        <w:t>为</w:t>
      </w:r>
      <w:r>
        <w:rPr>
          <w:rFonts w:hint="eastAsia"/>
          <w:color w:val="000000" w:themeColor="text1"/>
          <w:highlight w:val="none"/>
          <w14:textFill>
            <w14:solidFill>
              <w14:schemeClr w14:val="tx1"/>
            </w14:solidFill>
          </w14:textFill>
        </w:rPr>
        <w:t>选矿生产用水。选矿生产用水主</w:t>
      </w:r>
      <w:r>
        <w:rPr>
          <w:rFonts w:hint="eastAsia"/>
          <w:color w:val="000000" w:themeColor="text1"/>
          <w:sz w:val="24"/>
          <w:szCs w:val="24"/>
          <w:highlight w:val="none"/>
          <w14:textFill>
            <w14:solidFill>
              <w14:schemeClr w14:val="tx1"/>
            </w14:solidFill>
          </w14:textFill>
        </w:rPr>
        <w:t>要为选矿工艺用水、设备冷却水，选矿</w:t>
      </w:r>
      <w:r>
        <w:rPr>
          <w:color w:val="000000" w:themeColor="text1"/>
          <w:sz w:val="24"/>
          <w:szCs w:val="24"/>
          <w:highlight w:val="none"/>
          <w14:textFill>
            <w14:solidFill>
              <w14:schemeClr w14:val="tx1"/>
            </w14:solidFill>
          </w14:textFill>
        </w:rPr>
        <w:t>生产总用水量</w:t>
      </w:r>
      <w:r>
        <w:rPr>
          <w:rFonts w:hint="eastAsia"/>
          <w:color w:val="000000" w:themeColor="text1"/>
          <w:highlight w:val="none"/>
          <w:lang w:val="zh-CN"/>
          <w14:textFill>
            <w14:solidFill>
              <w14:schemeClr w14:val="tx1"/>
            </w14:solidFill>
          </w14:textFill>
        </w:rPr>
        <w:t>5314.3</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159.43</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r>
        <w:rPr>
          <w:color w:val="000000" w:themeColor="text1"/>
          <w:sz w:val="24"/>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其中新鲜水用水量为</w:t>
      </w:r>
      <w:r>
        <w:rPr>
          <w:rFonts w:hint="eastAsia"/>
          <w:color w:val="000000" w:themeColor="text1"/>
          <w:highlight w:val="none"/>
          <w:lang w:val="en-US" w:eastAsia="zh-CN"/>
          <w14:textFill>
            <w14:solidFill>
              <w14:schemeClr w14:val="tx1"/>
            </w14:solidFill>
          </w14:textFill>
        </w:rPr>
        <w:t>11.7684</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灌溉期420.7</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非灌溉期349.65</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选矿工艺回用</w:t>
      </w:r>
      <w:r>
        <w:rPr>
          <w:color w:val="000000" w:themeColor="text1"/>
          <w:highlight w:val="none"/>
          <w14:textFill>
            <w14:solidFill>
              <w14:schemeClr w14:val="tx1"/>
            </w14:solidFill>
          </w14:textFill>
        </w:rPr>
        <w:t>水量</w:t>
      </w:r>
      <w:r>
        <w:rPr>
          <w:rFonts w:hint="eastAsia"/>
          <w:color w:val="000000" w:themeColor="text1"/>
          <w:highlight w:val="none"/>
          <w:lang w:val="en-US" w:eastAsia="zh-CN"/>
          <w14:textFill>
            <w14:solidFill>
              <w14:schemeClr w14:val="tx1"/>
            </w14:solidFill>
          </w14:textFill>
        </w:rPr>
        <w:t>4371.4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131.14</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利用矿井涌水为</w:t>
      </w:r>
      <w:r>
        <w:rPr>
          <w:rFonts w:hint="eastAsia"/>
          <w:color w:val="000000" w:themeColor="text1"/>
          <w:highlight w:val="none"/>
          <w:lang w:val="en-US" w:eastAsia="zh-CN"/>
          <w14:textFill>
            <w14:solidFill>
              <w14:schemeClr w14:val="tx1"/>
            </w14:solidFill>
          </w14:textFill>
        </w:rPr>
        <w:t>16.3536</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灌溉期517.2</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非灌溉期587</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14:paraId="26359303">
      <w:pPr>
        <w:overflowPunct w:val="0"/>
        <w:topLinePunct/>
        <w:ind w:firstLine="48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fldChar w:fldCharType="begin"/>
      </w:r>
      <w:r>
        <w:rPr>
          <w:rFonts w:hint="eastAsia"/>
          <w:color w:val="000000" w:themeColor="text1"/>
          <w:szCs w:val="28"/>
          <w:highlight w:val="none"/>
          <w14:textFill>
            <w14:solidFill>
              <w14:schemeClr w14:val="tx1"/>
            </w14:solidFill>
          </w14:textFill>
        </w:rPr>
        <w:instrText xml:space="preserve"> = 3 \* GB3 \* MERGEFORMAT </w:instrText>
      </w:r>
      <w:r>
        <w:rPr>
          <w:rFonts w:hint="eastAsia"/>
          <w:color w:val="000000" w:themeColor="text1"/>
          <w:szCs w:val="28"/>
          <w:highlight w:val="none"/>
          <w14:textFill>
            <w14:solidFill>
              <w14:schemeClr w14:val="tx1"/>
            </w14:solidFill>
          </w14:textFill>
        </w:rPr>
        <w:fldChar w:fldCharType="separate"/>
      </w:r>
      <w:r>
        <w:rPr>
          <w:color w:val="000000" w:themeColor="text1"/>
          <w:highlight w:val="none"/>
          <w14:textFill>
            <w14:solidFill>
              <w14:schemeClr w14:val="tx1"/>
            </w14:solidFill>
          </w14:textFill>
        </w:rPr>
        <w:t>③</w:t>
      </w:r>
      <w:r>
        <w:rPr>
          <w:rFonts w:hint="eastAsia"/>
          <w:color w:val="000000" w:themeColor="text1"/>
          <w:szCs w:val="28"/>
          <w:highlight w:val="none"/>
          <w14:textFill>
            <w14:solidFill>
              <w14:schemeClr w14:val="tx1"/>
            </w14:solidFill>
          </w14:textFill>
        </w:rPr>
        <w:fldChar w:fldCharType="end"/>
      </w:r>
      <w:r>
        <w:rPr>
          <w:rFonts w:hint="eastAsia"/>
          <w:color w:val="000000" w:themeColor="text1"/>
          <w:szCs w:val="28"/>
          <w:highlight w:val="none"/>
          <w14:textFill>
            <w14:solidFill>
              <w14:schemeClr w14:val="tx1"/>
            </w14:solidFill>
          </w14:textFill>
        </w:rPr>
        <w:t>绿化用水</w:t>
      </w:r>
    </w:p>
    <w:p w14:paraId="0D7B1216">
      <w:pPr>
        <w:overflowPunct w:val="0"/>
        <w:topLinePunct/>
        <w:ind w:firstLine="480"/>
        <w:rPr>
          <w:color w:val="000000" w:themeColor="text1"/>
          <w:szCs w:val="28"/>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本项目新增绿化面积约</w:t>
      </w:r>
      <w:r>
        <w:rPr>
          <w:rFonts w:hint="eastAsia"/>
          <w:color w:val="000000" w:themeColor="text1"/>
          <w:highlight w:val="none"/>
          <w:lang w:val="en-US" w:eastAsia="zh-CN" w:bidi="ar"/>
          <w14:textFill>
            <w14:solidFill>
              <w14:schemeClr w14:val="tx1"/>
            </w14:solidFill>
          </w14:textFill>
        </w:rPr>
        <w:t>0.1</w:t>
      </w:r>
      <w:r>
        <w:rPr>
          <w:rFonts w:hint="eastAsia"/>
          <w:color w:val="000000" w:themeColor="text1"/>
          <w:highlight w:val="none"/>
          <w:lang w:bidi="ar"/>
          <w14:textFill>
            <w14:solidFill>
              <w14:schemeClr w14:val="tx1"/>
            </w14:solidFill>
          </w14:textFill>
        </w:rPr>
        <w:t>hm</w:t>
      </w:r>
      <w:r>
        <w:rPr>
          <w:color w:val="000000" w:themeColor="text1"/>
          <w:highlight w:val="none"/>
          <w:vertAlign w:val="superscript"/>
          <w:lang w:bidi="ar"/>
          <w14:textFill>
            <w14:solidFill>
              <w14:schemeClr w14:val="tx1"/>
            </w14:solidFill>
          </w14:textFill>
        </w:rPr>
        <w:t>2</w:t>
      </w:r>
      <w:r>
        <w:rPr>
          <w:rFonts w:hint="eastAsia"/>
          <w:color w:val="000000" w:themeColor="text1"/>
          <w:highlight w:val="none"/>
          <w:lang w:bidi="ar"/>
          <w14:textFill>
            <w14:solidFill>
              <w14:schemeClr w14:val="tx1"/>
            </w14:solidFill>
          </w14:textFill>
        </w:rPr>
        <w:t>，按照用水定额标准绿地1.</w:t>
      </w:r>
      <w:r>
        <w:rPr>
          <w:rFonts w:hint="eastAsia"/>
          <w:color w:val="000000" w:themeColor="text1"/>
          <w:highlight w:val="none"/>
          <w:lang w:val="en-US" w:eastAsia="zh-CN" w:bidi="ar"/>
          <w14:textFill>
            <w14:solidFill>
              <w14:schemeClr w14:val="tx1"/>
            </w14:solidFill>
          </w14:textFill>
        </w:rPr>
        <w:t>5</w:t>
      </w:r>
      <w:r>
        <w:rPr>
          <w:rFonts w:hint="eastAsia"/>
          <w:color w:val="000000" w:themeColor="text1"/>
          <w:highlight w:val="none"/>
          <w:lang w:bidi="ar"/>
          <w14:textFill>
            <w14:solidFill>
              <w14:schemeClr w14:val="tx1"/>
            </w14:solidFill>
          </w14:textFill>
        </w:rPr>
        <w:t>L/m</w:t>
      </w:r>
      <w:r>
        <w:rPr>
          <w:color w:val="000000" w:themeColor="text1"/>
          <w:highlight w:val="none"/>
          <w:vertAlign w:val="superscript"/>
          <w:lang w:bidi="ar"/>
          <w14:textFill>
            <w14:solidFill>
              <w14:schemeClr w14:val="tx1"/>
            </w14:solidFill>
          </w14:textFill>
        </w:rPr>
        <w:t>2</w:t>
      </w:r>
      <w:r>
        <w:rPr>
          <w:rFonts w:hint="eastAsia"/>
          <w:color w:val="000000" w:themeColor="text1"/>
          <w:highlight w:val="none"/>
          <w:lang w:bidi="ar"/>
          <w14:textFill>
            <w14:solidFill>
              <w14:schemeClr w14:val="tx1"/>
            </w14:solidFill>
          </w14:textFill>
        </w:rPr>
        <w:t>·d来计算，每日绿化用水量</w:t>
      </w:r>
      <w:r>
        <w:rPr>
          <w:rFonts w:hint="eastAsia"/>
          <w:color w:val="000000" w:themeColor="text1"/>
          <w:highlight w:val="none"/>
          <w:lang w:val="en-US" w:eastAsia="zh-CN" w:bidi="ar"/>
          <w14:textFill>
            <w14:solidFill>
              <w14:schemeClr w14:val="tx1"/>
            </w14:solidFill>
          </w14:textFill>
        </w:rPr>
        <w:t>1.5</w:t>
      </w:r>
      <w:r>
        <w:rPr>
          <w:rFonts w:hint="eastAsia"/>
          <w:color w:val="000000" w:themeColor="text1"/>
          <w:highlight w:val="none"/>
          <w:lang w:bidi="ar"/>
          <w14:textFill>
            <w14:solidFill>
              <w14:schemeClr w14:val="tx1"/>
            </w14:solidFill>
          </w14:textFill>
        </w:rPr>
        <w:t>m</w:t>
      </w:r>
      <w:r>
        <w:rPr>
          <w:color w:val="000000" w:themeColor="text1"/>
          <w:highlight w:val="none"/>
          <w:vertAlign w:val="superscript"/>
          <w:lang w:bidi="ar"/>
          <w14:textFill>
            <w14:solidFill>
              <w14:schemeClr w14:val="tx1"/>
            </w14:solidFill>
          </w14:textFill>
        </w:rPr>
        <w:t>3</w:t>
      </w:r>
      <w:r>
        <w:rPr>
          <w:rFonts w:hint="eastAsia"/>
          <w:color w:val="000000" w:themeColor="text1"/>
          <w:highlight w:val="none"/>
          <w:lang w:bidi="ar"/>
          <w14:textFill>
            <w14:solidFill>
              <w14:schemeClr w14:val="tx1"/>
            </w14:solidFill>
          </w14:textFill>
        </w:rPr>
        <w:t>，则灌溉期绿化用水量为</w:t>
      </w:r>
      <w:r>
        <w:rPr>
          <w:rFonts w:hint="eastAsia"/>
          <w:color w:val="000000" w:themeColor="text1"/>
          <w:highlight w:val="none"/>
          <w:lang w:val="en-US" w:eastAsia="zh-CN" w:bidi="ar"/>
          <w14:textFill>
            <w14:solidFill>
              <w14:schemeClr w14:val="tx1"/>
            </w14:solidFill>
          </w14:textFill>
        </w:rPr>
        <w:t>225</w:t>
      </w:r>
      <w:r>
        <w:rPr>
          <w:rFonts w:hint="eastAsia"/>
          <w:color w:val="000000" w:themeColor="text1"/>
          <w:highlight w:val="none"/>
          <w:lang w:bidi="ar"/>
          <w14:textFill>
            <w14:solidFill>
              <w14:schemeClr w14:val="tx1"/>
            </w14:solidFill>
          </w14:textFill>
        </w:rPr>
        <w:t>m</w:t>
      </w:r>
      <w:r>
        <w:rPr>
          <w:color w:val="000000" w:themeColor="text1"/>
          <w:highlight w:val="none"/>
          <w:vertAlign w:val="superscript"/>
          <w:lang w:bidi="ar"/>
          <w14:textFill>
            <w14:solidFill>
              <w14:schemeClr w14:val="tx1"/>
            </w14:solidFill>
          </w14:textFill>
        </w:rPr>
        <w:t>3</w:t>
      </w:r>
      <w:r>
        <w:rPr>
          <w:color w:val="000000" w:themeColor="text1"/>
          <w:highlight w:val="none"/>
          <w:lang w:bidi="ar"/>
          <w14:textFill>
            <w14:solidFill>
              <w14:schemeClr w14:val="tx1"/>
            </w14:solidFill>
          </w14:textFill>
        </w:rPr>
        <w:t>/a</w:t>
      </w:r>
      <w:r>
        <w:rPr>
          <w:rFonts w:hint="eastAsia"/>
          <w:color w:val="000000" w:themeColor="text1"/>
          <w:highlight w:val="none"/>
          <w:lang w:bidi="ar"/>
          <w14:textFill>
            <w14:solidFill>
              <w14:schemeClr w14:val="tx1"/>
            </w14:solidFill>
          </w14:textFill>
        </w:rPr>
        <w:t>（按1</w:t>
      </w:r>
      <w:r>
        <w:rPr>
          <w:color w:val="000000" w:themeColor="text1"/>
          <w:highlight w:val="none"/>
          <w:lang w:bidi="ar"/>
          <w14:textFill>
            <w14:solidFill>
              <w14:schemeClr w14:val="tx1"/>
            </w14:solidFill>
          </w14:textFill>
        </w:rPr>
        <w:t>50</w:t>
      </w:r>
      <w:r>
        <w:rPr>
          <w:rFonts w:hint="eastAsia"/>
          <w:color w:val="000000" w:themeColor="text1"/>
          <w:highlight w:val="none"/>
          <w:lang w:bidi="ar"/>
          <w14:textFill>
            <w14:solidFill>
              <w14:schemeClr w14:val="tx1"/>
            </w14:solidFill>
          </w14:textFill>
        </w:rPr>
        <w:t>天计）。</w:t>
      </w:r>
    </w:p>
    <w:p w14:paraId="371BD27E">
      <w:pPr>
        <w:overflowPunct w:val="0"/>
        <w:topLinePunct/>
        <w:ind w:firstLine="48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（2）水源及供水系统</w:t>
      </w:r>
    </w:p>
    <w:p w14:paraId="3A9E6589">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生活区供水为90km外的雅满苏矿区的生活用水，由60m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地埋式储水罐储存，用水时用泵抽出。补充</w:t>
      </w:r>
      <w:r>
        <w:rPr>
          <w:rFonts w:hint="eastAsia"/>
          <w:color w:val="000000" w:themeColor="text1"/>
          <w:highlight w:val="none"/>
          <w:lang w:eastAsia="zh-CN"/>
          <w14:textFill>
            <w14:solidFill>
              <w14:schemeClr w14:val="tx1"/>
            </w14:solidFill>
          </w14:textFill>
        </w:rPr>
        <w:t>水源为距离选矿厂</w:t>
      </w:r>
      <w:r>
        <w:rPr>
          <w:rFonts w:hint="eastAsia"/>
          <w:color w:val="000000" w:themeColor="text1"/>
          <w:highlight w:val="none"/>
          <w:lang w:val="en-US" w:eastAsia="zh-CN"/>
          <w14:textFill>
            <w14:solidFill>
              <w14:schemeClr w14:val="tx1"/>
            </w14:solidFill>
          </w14:textFill>
        </w:rPr>
        <w:t>5km的已建机电井，通过输水管线加压输送至项目区。矿井涌水通过泵站输送至选矿厂清水池，供矿区生产使用。</w:t>
      </w:r>
    </w:p>
    <w:p w14:paraId="40C4D4EE">
      <w:pPr>
        <w:overflowPunct w:val="0"/>
        <w:topLinePunct/>
        <w:ind w:firstLine="48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本项目供水系统主要有生活给水系统、生产新水系统、室内消防给水系统及室外消防给水系统。生活给水管网呈枝状布置，管网压力不小于0.3MPa。区间供水主管接点附近设流量检测装置。</w:t>
      </w:r>
    </w:p>
    <w:p w14:paraId="2EBA52C1">
      <w:pPr>
        <w:overflowPunct w:val="0"/>
        <w:topLinePunct/>
        <w:ind w:firstLine="48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选矿厂和</w:t>
      </w:r>
      <w:r>
        <w:rPr>
          <w:color w:val="000000" w:themeColor="text1"/>
          <w:highlight w:val="none"/>
          <w14:textFill>
            <w14:solidFill>
              <w14:schemeClr w14:val="tx1"/>
            </w14:solidFill>
          </w14:textFill>
        </w:rPr>
        <w:t>生活办公区的室内消防供水系统由循环水泵站内的室内消防水泵供给，室外消防供水系统由</w:t>
      </w:r>
      <w:r>
        <w:rPr>
          <w:rFonts w:hint="eastAsia"/>
          <w:color w:val="000000" w:themeColor="text1"/>
          <w:highlight w:val="none"/>
          <w14:textFill>
            <w14:solidFill>
              <w14:schemeClr w14:val="tx1"/>
            </w14:solidFill>
          </w14:textFill>
        </w:rPr>
        <w:t>生产新鲜水</w:t>
      </w:r>
      <w:r>
        <w:rPr>
          <w:color w:val="000000" w:themeColor="text1"/>
          <w:highlight w:val="none"/>
          <w14:textFill>
            <w14:solidFill>
              <w14:schemeClr w14:val="tx1"/>
            </w14:solidFill>
          </w14:textFill>
        </w:rPr>
        <w:t>系统保证</w:t>
      </w:r>
      <w:r>
        <w:rPr>
          <w:rFonts w:hint="eastAsia"/>
          <w:color w:val="000000" w:themeColor="text1"/>
          <w:highlight w:val="none"/>
          <w14:textFill>
            <w14:solidFill>
              <w14:schemeClr w14:val="tx1"/>
            </w14:solidFill>
          </w14:textFill>
        </w:rPr>
        <w:t>。</w:t>
      </w:r>
    </w:p>
    <w:p w14:paraId="18A5CFFA">
      <w:pPr>
        <w:overflowPunct w:val="0"/>
        <w:topLinePunct/>
        <w:ind w:firstLine="480"/>
        <w:rPr>
          <w:color w:val="000000" w:themeColor="text1"/>
          <w:szCs w:val="28"/>
          <w:highlight w:val="none"/>
          <w14:textFill>
            <w14:solidFill>
              <w14:schemeClr w14:val="tx1"/>
            </w14:solidFill>
          </w14:textFill>
        </w:rPr>
      </w:pPr>
      <w:r>
        <w:rPr>
          <w:color w:val="000000" w:themeColor="text1"/>
          <w:highlight w:val="none"/>
          <w14:textFill>
            <w14:solidFill>
              <w14:schemeClr w14:val="tx1"/>
            </w14:solidFill>
          </w14:textFill>
        </w:rPr>
        <w:t>室内消防供水系统从循环水泵站引出两条DN150管道，在区间内形成环状布置，在每个需要室内消防供水的车间设两条进水管。</w:t>
      </w:r>
    </w:p>
    <w:p w14:paraId="2CC909A2">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3.2.</w:t>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2排水工程</w:t>
      </w:r>
    </w:p>
    <w:p w14:paraId="4DF4AE97">
      <w:pPr>
        <w:pStyle w:val="85"/>
        <w:overflowPunct w:val="0"/>
        <w:topLinePunct/>
        <w:spacing w:beforeLines="0" w:afterLines="0" w:line="480" w:lineRule="exact"/>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w:t>
      </w:r>
      <w:r>
        <w:rPr>
          <w:rFonts w:hint="eastAsia" w:ascii="Times New Roman" w:hAnsi="Times New Roman" w:cs="Times New Roman"/>
          <w:color w:val="000000" w:themeColor="text1"/>
          <w:highlight w:val="none"/>
          <w14:textFill>
            <w14:solidFill>
              <w14:schemeClr w14:val="tx1"/>
            </w14:solidFill>
          </w14:textFill>
        </w:rPr>
        <w:t>废水</w:t>
      </w:r>
      <w:r>
        <w:rPr>
          <w:rFonts w:ascii="Times New Roman" w:hAnsi="Times New Roman" w:cs="Times New Roman"/>
          <w:color w:val="000000" w:themeColor="text1"/>
          <w:highlight w:val="none"/>
          <w14:textFill>
            <w14:solidFill>
              <w14:schemeClr w14:val="tx1"/>
            </w14:solidFill>
          </w14:textFill>
        </w:rPr>
        <w:t>量</w:t>
      </w:r>
    </w:p>
    <w:p w14:paraId="1D733798">
      <w:pPr>
        <w:pStyle w:val="85"/>
        <w:overflowPunct w:val="0"/>
        <w:topLinePunct/>
        <w:spacing w:beforeLines="0" w:afterLines="0" w:line="480" w:lineRule="exact"/>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本项目废水主要为选矿工艺产生的选矿废水</w:t>
      </w:r>
      <w:r>
        <w:rPr>
          <w:rFonts w:hint="eastAsia" w:ascii="Times New Roman" w:hAnsi="Times New Roman" w:cs="Times New Roman"/>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办公生活区产生的生活污水</w:t>
      </w:r>
      <w:r>
        <w:rPr>
          <w:rFonts w:hint="eastAsia" w:ascii="Times New Roman" w:hAnsi="Times New Roman" w:cs="Times New Roman"/>
          <w:color w:val="000000" w:themeColor="text1"/>
          <w:highlight w:val="none"/>
          <w14:textFill>
            <w14:solidFill>
              <w14:schemeClr w14:val="tx1"/>
            </w14:solidFill>
          </w14:textFill>
        </w:rPr>
        <w:t>，废水总量为</w:t>
      </w:r>
      <w:r>
        <w:rPr>
          <w:rFonts w:hint="eastAsia" w:ascii="Times New Roman" w:hAnsi="Times New Roman" w:cs="Times New Roman"/>
          <w:color w:val="000000" w:themeColor="text1"/>
          <w:highlight w:val="none"/>
          <w:lang w:val="en-US" w:eastAsia="zh-CN"/>
          <w14:textFill>
            <w14:solidFill>
              <w14:schemeClr w14:val="tx1"/>
            </w14:solidFill>
          </w14:textFill>
        </w:rPr>
        <w:t>131.27</w:t>
      </w:r>
      <w:r>
        <w:rPr>
          <w:rFonts w:hint="eastAsia"/>
          <w:color w:val="000000" w:themeColor="text1"/>
          <w:highlight w:val="none"/>
          <w14:textFill>
            <w14:solidFill>
              <w14:schemeClr w14:val="tx1"/>
            </w14:solidFill>
          </w14:textFill>
        </w:rPr>
        <w:t>万</w:t>
      </w:r>
      <w:r>
        <w:rPr>
          <w:rFonts w:ascii="Times New Roman" w:hAnsi="Times New Roman" w:cs="Times New Roman"/>
          <w:color w:val="000000" w:themeColor="text1"/>
          <w:highlight w:val="none"/>
          <w14:textFill>
            <w14:solidFill>
              <w14:schemeClr w14:val="tx1"/>
            </w14:solidFill>
          </w14:textFill>
        </w:rPr>
        <w:t>m</w:t>
      </w:r>
      <w:r>
        <w:rPr>
          <w:rFonts w:ascii="Times New Roman" w:hAnsi="Times New Roman" w:cs="Times New Roman"/>
          <w:color w:val="000000" w:themeColor="text1"/>
          <w:highlight w:val="none"/>
          <w:vertAlign w:val="superscript"/>
          <w14:textFill>
            <w14:solidFill>
              <w14:schemeClr w14:val="tx1"/>
            </w14:solidFill>
          </w14:textFill>
        </w:rPr>
        <w:t>3</w:t>
      </w:r>
      <w:r>
        <w:rPr>
          <w:rFonts w:ascii="Times New Roman" w:hAnsi="Times New Roman" w:cs="Times New Roman"/>
          <w:color w:val="000000" w:themeColor="text1"/>
          <w:highlight w:val="none"/>
          <w14:textFill>
            <w14:solidFill>
              <w14:schemeClr w14:val="tx1"/>
            </w14:solidFill>
          </w14:textFill>
        </w:rPr>
        <w:t>/a。</w:t>
      </w:r>
    </w:p>
    <w:p w14:paraId="3AE63DFB">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 1 \* GB3 \* MERGEFORMAT </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①</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选矿废水</w:t>
      </w:r>
    </w:p>
    <w:p w14:paraId="57F1303A">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本项目运营期选矿废水产生于选矿过程中，选矿废水量约为</w:t>
      </w:r>
      <w:r>
        <w:rPr>
          <w:rFonts w:hint="eastAsia"/>
          <w:color w:val="000000" w:themeColor="text1"/>
          <w:highlight w:val="none"/>
          <w:lang w:val="zh-CN"/>
          <w14:textFill>
            <w14:solidFill>
              <w14:schemeClr w14:val="tx1"/>
            </w14:solidFill>
          </w14:textFill>
        </w:rPr>
        <w:t>4371.4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131.14</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选矿废水部分被铁精粉带走，精矿过滤水、尾矿浓缩压滤溢流水返回生产工序循环利用，尾矿库设有回水系统，使用水泵将库内澄清水通过管道泵送至选矿厂生产回水池，供选矿循环使用，实现生产废水“闭路循环”，不外排。</w:t>
      </w:r>
    </w:p>
    <w:p w14:paraId="00E597B7">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 2 \* GB3 \* MERGEFORMAT </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②</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生活污水</w:t>
      </w:r>
    </w:p>
    <w:p w14:paraId="569FDC22">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生活污水产生量</w:t>
      </w:r>
      <w:r>
        <w:rPr>
          <w:color w:val="000000" w:themeColor="text1"/>
          <w:highlight w:val="none"/>
          <w14:textFill>
            <w14:solidFill>
              <w14:schemeClr w14:val="tx1"/>
            </w14:solidFill>
          </w14:textFill>
        </w:rPr>
        <w:t>按照生活用水量的</w:t>
      </w:r>
      <w:r>
        <w:rPr>
          <w:rFonts w:hint="eastAsia"/>
          <w:color w:val="000000" w:themeColor="text1"/>
          <w:highlight w:val="none"/>
          <w14:textFill>
            <w14:solidFill>
              <w14:schemeClr w14:val="tx1"/>
            </w14:solidFill>
          </w14:textFill>
        </w:rPr>
        <w:t>85%计，</w:t>
      </w:r>
      <w:r>
        <w:rPr>
          <w:color w:val="000000" w:themeColor="text1"/>
          <w:highlight w:val="none"/>
          <w14:textFill>
            <w14:solidFill>
              <w14:schemeClr w14:val="tx1"/>
            </w14:solidFill>
          </w14:textFill>
        </w:rPr>
        <w:t>生活污水量约</w:t>
      </w:r>
      <w:r>
        <w:rPr>
          <w:rFonts w:hint="eastAsia"/>
          <w:color w:val="000000" w:themeColor="text1"/>
          <w:highlight w:val="none"/>
          <w:lang w:val="en-US" w:eastAsia="zh-CN"/>
          <w14:textFill>
            <w14:solidFill>
              <w14:schemeClr w14:val="tx1"/>
            </w14:solidFill>
          </w14:textFill>
        </w:rPr>
        <w:t>4.25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1275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生活污水通过下水管道进入</w:t>
      </w:r>
      <w:r>
        <w:rPr>
          <w:rFonts w:hint="eastAsia"/>
          <w:color w:val="000000" w:themeColor="text1"/>
          <w:highlight w:val="none"/>
          <w:lang w:eastAsia="zh-CN"/>
          <w14:textFill>
            <w14:solidFill>
              <w14:schemeClr w14:val="tx1"/>
            </w14:solidFill>
          </w14:textFill>
        </w:rPr>
        <w:t>地埋一体式污水设施</w:t>
      </w:r>
      <w:r>
        <w:rPr>
          <w:rFonts w:hint="eastAsia"/>
          <w:color w:val="000000" w:themeColor="text1"/>
          <w:highlight w:val="none"/>
          <w14:textFill>
            <w14:solidFill>
              <w14:schemeClr w14:val="tx1"/>
            </w14:solidFill>
          </w14:textFill>
        </w:rPr>
        <w:t>处理后，灌溉期用于绿化，非灌溉期</w:t>
      </w:r>
      <w:r>
        <w:rPr>
          <w:color w:val="000000" w:themeColor="text1"/>
          <w:highlight w:val="none"/>
          <w14:textFill>
            <w14:solidFill>
              <w14:schemeClr w14:val="tx1"/>
            </w14:solidFill>
          </w14:textFill>
        </w:rPr>
        <w:t>全部通过管路输入选矿生产工序循环使用，做到零排放</w:t>
      </w:r>
      <w:r>
        <w:rPr>
          <w:rFonts w:hint="eastAsia"/>
          <w:color w:val="000000" w:themeColor="text1"/>
          <w:highlight w:val="none"/>
          <w14:textFill>
            <w14:solidFill>
              <w14:schemeClr w14:val="tx1"/>
            </w14:solidFill>
          </w14:textFill>
        </w:rPr>
        <w:t>。</w:t>
      </w:r>
    </w:p>
    <w:p w14:paraId="1F9B4C59">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排水方案</w:t>
      </w:r>
    </w:p>
    <w:p w14:paraId="4F0CC3F1">
      <w:pPr>
        <w:overflowPunct w:val="0"/>
        <w:topLinePunct/>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rFonts w:hint="eastAsia"/>
          <w:color w:val="000000" w:themeColor="text1"/>
          <w:highlight w:val="none"/>
          <w14:textFill>
            <w14:solidFill>
              <w14:schemeClr w14:val="tx1"/>
            </w14:solidFill>
          </w14:textFill>
        </w:rPr>
        <w:t>选矿废水</w:t>
      </w:r>
    </w:p>
    <w:p w14:paraId="6B869303">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本项目选矿工艺废水</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闭路循环</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，正常工况下不外排；非正常工况下，选矿水溢出，立即停止生产，溢出水排入车间排水沟，最终由车间回水泵排入选矿车间外800m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防渗事故池，保证不外排。</w:t>
      </w:r>
    </w:p>
    <w:p w14:paraId="726893C1">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eastAsia"/>
          <w:color w:val="000000" w:themeColor="text1"/>
          <w:highlight w:val="none"/>
          <w14:textFill>
            <w14:solidFill>
              <w14:schemeClr w14:val="tx1"/>
            </w14:solidFill>
          </w14:textFill>
        </w:rPr>
        <w:t>生活污水</w:t>
      </w:r>
    </w:p>
    <w:p w14:paraId="37C086B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选矿厂餐饮废水经隔油池预处理后同盥洗废水等排入地埋式一体化生活污水处理设施</w:t>
      </w:r>
      <w:r>
        <w:rPr>
          <w:color w:val="000000" w:themeColor="text1"/>
          <w:highlight w:val="none"/>
          <w:lang w:val="zh-CN"/>
          <w14:textFill>
            <w14:solidFill>
              <w14:schemeClr w14:val="tx1"/>
            </w14:solidFill>
          </w14:textFill>
        </w:rPr>
        <w:t>（主要工艺：格栅→调节池→初沉池→水解酸化池→曝气池→接触氧化池→二沉池→生物滤膜）</w:t>
      </w:r>
      <w:r>
        <w:rPr>
          <w:color w:val="000000" w:themeColor="text1"/>
          <w:highlight w:val="none"/>
          <w14:textFill>
            <w14:solidFill>
              <w14:schemeClr w14:val="tx1"/>
            </w14:solidFill>
          </w14:textFill>
        </w:rPr>
        <w:t>处理达到</w:t>
      </w:r>
      <w:r>
        <w:rPr>
          <w:rFonts w:hint="eastAsia"/>
          <w:color w:val="000000" w:themeColor="text1"/>
          <w:highlight w:val="none"/>
          <w14:textFill>
            <w14:solidFill>
              <w14:schemeClr w14:val="tx1"/>
            </w14:solidFill>
          </w14:textFill>
        </w:rPr>
        <w:t>《农村生活污水处理排放标准》（DB65 4275-2019）表2规定的A级排放限值以及《城市污水再生利用 城市杂用水水质》（GB/T18920-2020）中的城市绿化、道路清扫、消防、建筑施工限值后，灌溉期</w:t>
      </w:r>
      <w:r>
        <w:rPr>
          <w:rFonts w:hint="eastAsia" w:ascii="宋体" w:hAnsi="宋体" w:cs="宋体"/>
          <w:color w:val="000000" w:themeColor="text1"/>
          <w:spacing w:val="-1"/>
          <w:highlight w:val="none"/>
          <w14:textFill>
            <w14:solidFill>
              <w14:schemeClr w14:val="tx1"/>
            </w14:solidFill>
          </w14:textFill>
        </w:rPr>
        <w:t>用于绿化，非灌溉期用于选矿生产工序循环利用</w:t>
      </w:r>
      <w:r>
        <w:rPr>
          <w:rFonts w:hint="eastAsia"/>
          <w:color w:val="000000" w:themeColor="text1"/>
          <w:highlight w:val="none"/>
          <w14:textFill>
            <w14:solidFill>
              <w14:schemeClr w14:val="tx1"/>
            </w14:solidFill>
          </w14:textFill>
        </w:rPr>
        <w:t>，不外排</w:t>
      </w:r>
      <w:r>
        <w:rPr>
          <w:color w:val="000000" w:themeColor="text1"/>
          <w:highlight w:val="none"/>
          <w14:textFill>
            <w14:solidFill>
              <w14:schemeClr w14:val="tx1"/>
            </w14:solidFill>
          </w14:textFill>
        </w:rPr>
        <w:t>。</w:t>
      </w:r>
    </w:p>
    <w:p w14:paraId="502911D4">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3.2.</w:t>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3供热工程</w:t>
      </w:r>
    </w:p>
    <w:p w14:paraId="139A70F3">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sz w:val="24"/>
          <w:szCs w:val="28"/>
          <w:highlight w:val="none"/>
          <w14:textFill>
            <w14:solidFill>
              <w14:schemeClr w14:val="tx1"/>
            </w14:solidFill>
          </w14:textFill>
        </w:rPr>
        <w:t>矿山已建设锅炉房，由锅炉房集中供暖，矿山配备有两台1.4MW电加热锅炉，最大供热负荷为2.8MW，采用直接供暖的方式。锅炉房由主车间及辅助间组成，辅助间包括水处理、配电控制室及辅助用房。</w:t>
      </w:r>
      <w:r>
        <w:rPr>
          <w:rFonts w:hint="eastAsia"/>
          <w:color w:val="000000" w:themeColor="text1"/>
          <w:sz w:val="24"/>
          <w:szCs w:val="28"/>
          <w:highlight w:val="none"/>
          <w:lang w:eastAsia="zh-CN"/>
          <w14:textFill>
            <w14:solidFill>
              <w14:schemeClr w14:val="tx1"/>
            </w14:solidFill>
          </w14:textFill>
        </w:rPr>
        <w:t>选矿厂供热依托矿山锅炉房。</w:t>
      </w:r>
    </w:p>
    <w:p w14:paraId="24D9EC1E">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3.2.7.4供电工程</w:t>
      </w:r>
    </w:p>
    <w:p w14:paraId="5265F6B0">
      <w:pPr>
        <w:overflowPunct w:val="0"/>
        <w:topLinePunct/>
        <w:ind w:firstLine="480"/>
        <w:rPr>
          <w:color w:val="000000" w:themeColor="text1"/>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矿</w:t>
      </w:r>
      <w:r>
        <w:rPr>
          <w:rFonts w:hint="eastAsia"/>
          <w:color w:val="000000" w:themeColor="text1"/>
          <w:sz w:val="24"/>
          <w:szCs w:val="28"/>
          <w:highlight w:val="none"/>
          <w:lang w:eastAsia="zh-CN"/>
          <w14:textFill>
            <w14:solidFill>
              <w14:schemeClr w14:val="tx1"/>
            </w14:solidFill>
          </w14:textFill>
        </w:rPr>
        <w:t>区</w:t>
      </w:r>
      <w:r>
        <w:rPr>
          <w:rFonts w:hint="eastAsia"/>
          <w:color w:val="000000" w:themeColor="text1"/>
          <w:sz w:val="24"/>
          <w:szCs w:val="28"/>
          <w:highlight w:val="none"/>
          <w14:textFill>
            <w14:solidFill>
              <w14:schemeClr w14:val="tx1"/>
            </w14:solidFill>
          </w14:textFill>
        </w:rPr>
        <w:t>供电电源来自哈密市雅满苏变电所及35kV输电线路。矿</w:t>
      </w:r>
      <w:r>
        <w:rPr>
          <w:rFonts w:hint="eastAsia"/>
          <w:color w:val="000000" w:themeColor="text1"/>
          <w:sz w:val="24"/>
          <w:szCs w:val="28"/>
          <w:highlight w:val="none"/>
          <w:lang w:eastAsia="zh-CN"/>
          <w14:textFill>
            <w14:solidFill>
              <w14:schemeClr w14:val="tx1"/>
            </w14:solidFill>
          </w14:textFill>
        </w:rPr>
        <w:t>区</w:t>
      </w:r>
      <w:r>
        <w:rPr>
          <w:rFonts w:hint="eastAsia"/>
          <w:color w:val="000000" w:themeColor="text1"/>
          <w:sz w:val="24"/>
          <w:szCs w:val="28"/>
          <w:highlight w:val="none"/>
          <w14:textFill>
            <w14:solidFill>
              <w14:schemeClr w14:val="tx1"/>
            </w14:solidFill>
          </w14:textFill>
        </w:rPr>
        <w:t>目前在地表有6台1250kVA变压器，分别布置在原有箕斗竖井井口、原有罐笼竖井井口以及选矿厂主厂房附近的变配电室内，变压器出口电压0.4kV。</w:t>
      </w:r>
    </w:p>
    <w:p w14:paraId="38F11780">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3.2.7.</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消防</w:t>
      </w:r>
    </w:p>
    <w:p w14:paraId="5BAAC1F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选矿工业场地及生活办公区的室内消防供水系统由该场地循环水泵站内的室内消防水泵供给，室外消防供水系统由该场地生产新水系统保证。</w:t>
      </w:r>
    </w:p>
    <w:p w14:paraId="5D3A1923">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消防给水由水池供给，当发生火灾时完全能满足消防水的压力要求。供水水池容积完全能满足火灾延续2小时的要求</w:t>
      </w:r>
      <w:r>
        <w:rPr>
          <w:rFonts w:hint="eastAsia"/>
          <w:color w:val="000000" w:themeColor="text1"/>
          <w:highlight w:val="none"/>
          <w14:textFill>
            <w14:solidFill>
              <w14:schemeClr w14:val="tx1"/>
            </w14:solidFill>
          </w14:textFill>
        </w:rPr>
        <w:t>。</w:t>
      </w:r>
    </w:p>
    <w:p w14:paraId="389D0343">
      <w:pPr>
        <w:pStyle w:val="4"/>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3.2.8依托工程</w:t>
      </w:r>
    </w:p>
    <w:p w14:paraId="1C548CBC">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8.1西成矿业M1033铁矿</w:t>
      </w:r>
      <w:r>
        <w:rPr>
          <w:rFonts w:hint="eastAsia"/>
          <w:color w:val="000000" w:themeColor="text1"/>
          <w:highlight w:val="none"/>
          <w14:textFill>
            <w14:solidFill>
              <w14:schemeClr w14:val="tx1"/>
            </w14:solidFill>
          </w14:textFill>
        </w:rPr>
        <w:t>基本情况</w:t>
      </w:r>
    </w:p>
    <w:p w14:paraId="6AA5D060">
      <w:pPr>
        <w:pStyle w:val="85"/>
        <w:overflowPunct w:val="0"/>
        <w:topLinePunct/>
        <w:spacing w:beforeLines="0" w:afterLines="0" w:line="480" w:lineRule="exact"/>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哈密市西成矿业有限责任公司持有矿权为M1033铁矿，M1033铁矿位于新疆维吾尔自治区哈密市168°方位（与哈密市直线距离约179km），哈密市伊州区雅满苏镇以南约70km处，行政区划属于雅满苏镇管辖。矿区中心地理坐标：E</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，N</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w:t>
      </w:r>
    </w:p>
    <w:p w14:paraId="11331B62">
      <w:pPr>
        <w:pStyle w:val="85"/>
        <w:keepNext w:val="0"/>
        <w:keepLines w:val="0"/>
        <w:pageBreakBefore w:val="0"/>
        <w:kinsoku/>
        <w:wordWrap/>
        <w:overflowPunct w:val="0"/>
        <w:topLinePunct/>
        <w:autoSpaceDE/>
        <w:autoSpaceDN/>
        <w:bidi w:val="0"/>
        <w:adjustRightInd/>
        <w:snapToGrid/>
        <w:spacing w:beforeLines="0" w:afterLines="0" w:line="480" w:lineRule="exact"/>
        <w:jc w:val="both"/>
        <w:textAlignment w:val="auto"/>
        <w:rPr>
          <w:rFonts w:hint="eastAsia" w:ascii="Times New Roman" w:hAnsi="Times New Roman"/>
          <w:color w:val="000000" w:themeColor="text1"/>
          <w:sz w:val="24"/>
          <w:szCs w:val="24"/>
          <w:lang w:eastAsia="zh-CN"/>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西成矿业于2008年首次取得</w:t>
      </w:r>
      <w:r>
        <w:rPr>
          <w:rFonts w:ascii="Times New Roman" w:hAnsi="Times New Roman" w:cs="Times New Roman"/>
          <w:color w:val="000000" w:themeColor="text1"/>
          <w:sz w:val="24"/>
          <w:szCs w:val="24"/>
          <w:highlight w:val="none"/>
          <w14:textFill>
            <w14:solidFill>
              <w14:schemeClr w14:val="tx1"/>
            </w14:solidFill>
          </w14:textFill>
        </w:rPr>
        <w:t>M1033</w:t>
      </w:r>
      <w:r>
        <w:rPr>
          <w:rFonts w:hint="eastAsia" w:ascii="Times New Roman" w:hAnsi="Times New Roman" w:cs="Times New Roman"/>
          <w:color w:val="000000" w:themeColor="text1"/>
          <w:sz w:val="24"/>
          <w:szCs w:val="24"/>
          <w:highlight w:val="none"/>
          <w14:textFill>
            <w14:solidFill>
              <w14:schemeClr w14:val="tx1"/>
            </w14:solidFill>
          </w14:textFill>
        </w:rPr>
        <w:t>铁矿</w:t>
      </w:r>
      <w:r>
        <w:rPr>
          <w:rFonts w:hint="eastAsia" w:ascii="Times New Roman" w:hAnsi="Times New Roman"/>
          <w:color w:val="000000" w:themeColor="text1"/>
          <w:sz w:val="24"/>
          <w:szCs w:val="24"/>
          <w14:textFill>
            <w14:solidFill>
              <w14:schemeClr w14:val="tx1"/>
            </w14:solidFill>
          </w14:textFill>
        </w:rPr>
        <w:t>采矿许可证（许可证证号：6500000811691）</w:t>
      </w:r>
      <w:r>
        <w:rPr>
          <w:rFonts w:hint="eastAsia"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许可生产规模28.8万t/a</w:t>
      </w:r>
      <w:r>
        <w:rPr>
          <w:rFonts w:hint="eastAsia"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2006年</w:t>
      </w:r>
      <w:r>
        <w:rPr>
          <w:rFonts w:hint="eastAsia" w:ascii="Times New Roman" w:hAnsi="Times New Roman"/>
          <w:color w:val="000000" w:themeColor="text1"/>
          <w:sz w:val="24"/>
          <w:szCs w:val="24"/>
          <w:lang w:eastAsia="zh-CN"/>
          <w14:textFill>
            <w14:solidFill>
              <w14:schemeClr w14:val="tx1"/>
            </w14:solidFill>
          </w14:textFill>
        </w:rPr>
        <w:t>环评批复的生产能力为年产30万吨铁矿石，总用地面积300000m</w:t>
      </w:r>
      <w:r>
        <w:rPr>
          <w:rFonts w:hint="eastAsia" w:ascii="Times New Roman" w:hAnsi="Times New Roman"/>
          <w:color w:val="000000" w:themeColor="text1"/>
          <w:sz w:val="24"/>
          <w:szCs w:val="24"/>
          <w:vertAlign w:val="superscript"/>
          <w:lang w:eastAsia="zh-CN"/>
          <w14:textFill>
            <w14:solidFill>
              <w14:schemeClr w14:val="tx1"/>
            </w14:solidFill>
          </w14:textFill>
        </w:rPr>
        <w:t>2</w:t>
      </w:r>
      <w:r>
        <w:rPr>
          <w:rFonts w:hint="eastAsia" w:ascii="Times New Roman" w:hAnsi="Times New Roman"/>
          <w:color w:val="000000" w:themeColor="text1"/>
          <w:sz w:val="24"/>
          <w:szCs w:val="24"/>
          <w:lang w:eastAsia="zh-CN"/>
          <w14:textFill>
            <w14:solidFill>
              <w14:schemeClr w14:val="tx1"/>
            </w14:solidFill>
          </w14:textFill>
        </w:rPr>
        <w:t>，主建筑面积2520m</w:t>
      </w:r>
      <w:r>
        <w:rPr>
          <w:rFonts w:hint="eastAsia" w:ascii="Times New Roman" w:hAnsi="Times New Roman"/>
          <w:color w:val="000000" w:themeColor="text1"/>
          <w:sz w:val="24"/>
          <w:szCs w:val="24"/>
          <w:vertAlign w:val="superscript"/>
          <w:lang w:eastAsia="zh-CN"/>
          <w14:textFill>
            <w14:solidFill>
              <w14:schemeClr w14:val="tx1"/>
            </w14:solidFill>
          </w14:textFill>
        </w:rPr>
        <w:t>2</w:t>
      </w:r>
      <w:r>
        <w:rPr>
          <w:rFonts w:hint="eastAsia" w:ascii="Times New Roman" w:hAnsi="Times New Roman"/>
          <w:color w:val="000000" w:themeColor="text1"/>
          <w:sz w:val="24"/>
          <w:szCs w:val="24"/>
          <w:vertAlign w:val="baseline"/>
          <w:lang w:eastAsia="zh-CN"/>
          <w14:textFill>
            <w14:solidFill>
              <w14:schemeClr w14:val="tx1"/>
            </w14:solidFill>
          </w14:textFill>
        </w:rPr>
        <w:t>，</w:t>
      </w:r>
      <w:r>
        <w:rPr>
          <w:rFonts w:hint="eastAsia" w:ascii="Times New Roman" w:hAnsi="Times New Roman"/>
          <w:color w:val="000000" w:themeColor="text1"/>
          <w:sz w:val="24"/>
          <w:szCs w:val="24"/>
          <w:lang w:eastAsia="zh-CN"/>
          <w14:textFill>
            <w14:solidFill>
              <w14:schemeClr w14:val="tx1"/>
            </w14:solidFill>
          </w14:textFill>
        </w:rPr>
        <w:t>建设内容包括采矿生产工程（开拓、采准切割、通风等）、公用工程以及辅助工程（空压机房、发电机房等）。</w:t>
      </w:r>
      <w:r>
        <w:rPr>
          <w:rFonts w:hint="eastAsia" w:ascii="Times New Roman" w:hAnsi="Times New Roman" w:cs="Times New Roman"/>
          <w:color w:val="000000" w:themeColor="text1"/>
          <w:szCs w:val="24"/>
          <w:highlight w:val="none"/>
          <w14:textFill>
            <w14:solidFill>
              <w14:schemeClr w14:val="tx1"/>
            </w14:solidFill>
          </w14:textFill>
        </w:rPr>
        <w:t>开采方式为地下开采，矿区范围由4个拐点圈定，矿区面积1.0401km</w:t>
      </w:r>
      <w:r>
        <w:rPr>
          <w:rFonts w:ascii="Times New Roman" w:hAnsi="Times New Roman" w:cs="Times New Roman"/>
          <w:color w:val="000000" w:themeColor="text1"/>
          <w:szCs w:val="24"/>
          <w:highlight w:val="none"/>
          <w:vertAlign w:val="superscript"/>
          <w14:textFill>
            <w14:solidFill>
              <w14:schemeClr w14:val="tx1"/>
            </w14:solidFill>
          </w14:textFill>
        </w:rPr>
        <w:t>2</w:t>
      </w:r>
      <w:r>
        <w:rPr>
          <w:rFonts w:hint="eastAsia" w:ascii="Times New Roman" w:hAnsi="Times New Roman" w:cs="Times New Roman"/>
          <w:color w:val="000000" w:themeColor="text1"/>
          <w:szCs w:val="24"/>
          <w:highlight w:val="none"/>
          <w14:textFill>
            <w14:solidFill>
              <w14:schemeClr w14:val="tx1"/>
            </w14:solidFill>
          </w14:textFill>
        </w:rPr>
        <w:t>，开采标高为1240～900m，开采对象主要是矿区内隐伏的9个矿体，包括矿区西部Ⅰ-1、Ⅰ-2、Ⅰ-5、Ⅲ-1、Ⅲ-2、Ⅲ-3号矿体和矿区东部Ⅰ-3、Ⅰ-4和Ⅲ-4号矿体。</w:t>
      </w:r>
    </w:p>
    <w:p w14:paraId="31343CF7">
      <w:pPr>
        <w:pStyle w:val="85"/>
        <w:keepNext w:val="0"/>
        <w:keepLines w:val="0"/>
        <w:pageBreakBefore w:val="0"/>
        <w:kinsoku/>
        <w:wordWrap/>
        <w:overflowPunct w:val="0"/>
        <w:topLinePunct/>
        <w:autoSpaceDE/>
        <w:autoSpaceDN/>
        <w:bidi w:val="0"/>
        <w:adjustRightInd/>
        <w:snapToGrid/>
        <w:spacing w:beforeLines="0" w:afterLines="0" w:line="480" w:lineRule="exact"/>
        <w:jc w:val="both"/>
        <w:textAlignment w:val="auto"/>
        <w:rPr>
          <w:rFonts w:hint="default" w:ascii="Times New Roman" w:hAnsi="Times New Roman"/>
          <w:color w:val="000000" w:themeColor="text1"/>
          <w:sz w:val="24"/>
          <w:szCs w:val="24"/>
          <w:lang w:val="en-US" w:eastAsia="zh-CN"/>
          <w14:textFill>
            <w14:solidFill>
              <w14:schemeClr w14:val="tx1"/>
            </w14:solidFill>
          </w14:textFill>
        </w:rPr>
      </w:pPr>
      <w:r>
        <w:rPr>
          <w:rFonts w:hint="eastAsia" w:ascii="Times New Roman" w:hAnsi="Times New Roman"/>
          <w:color w:val="000000" w:themeColor="text1"/>
          <w:sz w:val="24"/>
          <w:szCs w:val="24"/>
          <w:lang w:eastAsia="zh-CN"/>
          <w14:textFill>
            <w14:solidFill>
              <w14:schemeClr w14:val="tx1"/>
            </w14:solidFill>
          </w14:textFill>
        </w:rPr>
        <w:t>西成矿业M1033铁矿自2001年起开始建设，2001年～2007年矿山完成了部分地面设施及地下巷道等设施的建设工程，并进行了试生产；2008年～2012年，矿山处于停产状态；2013年～2014年，矿山做恢复生产前的技术改造及清理工作，其中，三中段1080m标高和四中段1030m标高作为回风巷道使用，同时作为矿山开拓工程进行了基建建设并作为以后采矿巷道进行采矿；2015年至今，矿山处于停产状态，故年产30万吨铁矿采矿项目</w:t>
      </w:r>
      <w:r>
        <w:rPr>
          <w:rFonts w:hint="eastAsia"/>
          <w:color w:val="000000" w:themeColor="text1"/>
          <w:sz w:val="24"/>
          <w:szCs w:val="24"/>
          <w:lang w:val="en-US" w:eastAsia="zh-CN"/>
          <w14:textFill>
            <w14:solidFill>
              <w14:schemeClr w14:val="tx1"/>
            </w14:solidFill>
          </w14:textFill>
        </w:rPr>
        <w:t>未进行竣工环境保护验收。</w:t>
      </w:r>
    </w:p>
    <w:p w14:paraId="0FEF823C">
      <w:pPr>
        <w:pStyle w:val="7"/>
        <w:keepNext w:val="0"/>
        <w:keepLines w:val="0"/>
        <w:pageBreakBefore w:val="0"/>
        <w:kinsoku/>
        <w:wordWrap/>
        <w:autoSpaceDE/>
        <w:autoSpaceDN/>
        <w:bidi w:val="0"/>
        <w:adjustRightInd/>
        <w:snapToGrid/>
        <w:textAlignment w:val="auto"/>
        <w:rPr>
          <w:rFonts w:hint="eastAsia" w:ascii="Times New Roman" w:hAnsi="Times New Roman"/>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截至</w:t>
      </w:r>
      <w:r>
        <w:rPr>
          <w:rFonts w:hint="eastAsia"/>
          <w:color w:val="000000" w:themeColor="text1"/>
          <w:sz w:val="24"/>
          <w:szCs w:val="24"/>
          <w14:textFill>
            <w14:solidFill>
              <w14:schemeClr w14:val="tx1"/>
            </w14:solidFill>
          </w14:textFill>
        </w:rPr>
        <w:t>目前，</w:t>
      </w:r>
      <w:r>
        <w:rPr>
          <w:rFonts w:hint="eastAsia" w:ascii="Times New Roman" w:hAnsi="Times New Roman"/>
          <w:color w:val="000000" w:themeColor="text1"/>
          <w:sz w:val="24"/>
          <w:szCs w:val="24"/>
          <w:lang w:eastAsia="zh-CN"/>
          <w14:textFill>
            <w14:solidFill>
              <w14:schemeClr w14:val="tx1"/>
            </w14:solidFill>
          </w14:textFill>
        </w:rPr>
        <w:t>西成矿业M1033铁矿共动用矿石量约245.07万吨，其中2007年以前动用矿石量191.32万吨，2013~2014年动用矿石量53.75万吨。矿山现已有1个采空区，位于Ⅰ-1号矿体。2007年以前一中段（1187m标高）2-1线至东部采矿权边界、二中段（1144m标高）2-1线至1-1线之间及00号勘查线至采矿权东部边界已采空，2013年-2014年三中段（1080m标高）00线至01线、四中段（1030m标高）00线以东至01线已采空；采空区平面投影面积4764m</w:t>
      </w:r>
      <w:r>
        <w:rPr>
          <w:rFonts w:hint="eastAsia" w:ascii="Times New Roman" w:hAnsi="Times New Roman"/>
          <w:color w:val="000000" w:themeColor="text1"/>
          <w:sz w:val="24"/>
          <w:szCs w:val="24"/>
          <w:vertAlign w:val="superscript"/>
          <w:lang w:eastAsia="zh-CN"/>
          <w14:textFill>
            <w14:solidFill>
              <w14:schemeClr w14:val="tx1"/>
            </w14:solidFill>
          </w14:textFill>
        </w:rPr>
        <w:t>2</w:t>
      </w:r>
      <w:r>
        <w:rPr>
          <w:rFonts w:hint="eastAsia" w:ascii="Times New Roman" w:hAnsi="Times New Roman"/>
          <w:color w:val="000000" w:themeColor="text1"/>
          <w:sz w:val="24"/>
          <w:szCs w:val="24"/>
          <w:lang w:eastAsia="zh-CN"/>
          <w14:textFill>
            <w14:solidFill>
              <w14:schemeClr w14:val="tx1"/>
            </w14:solidFill>
          </w14:textFill>
        </w:rPr>
        <w:t>。</w:t>
      </w:r>
    </w:p>
    <w:p w14:paraId="1C89EBD9">
      <w:pPr>
        <w:pStyle w:val="85"/>
        <w:overflowPunct w:val="0"/>
        <w:topLinePunct/>
        <w:spacing w:beforeLines="0" w:afterLines="0" w:line="480" w:lineRule="exact"/>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2021年，</w:t>
      </w:r>
      <w:r>
        <w:rPr>
          <w:rFonts w:hint="default" w:ascii="Times New Roman" w:hAnsi="Times New Roman" w:cs="Times New Roman"/>
          <w:color w:val="000000" w:themeColor="text1"/>
          <w:sz w:val="24"/>
          <w:szCs w:val="24"/>
          <w:highlight w:val="none"/>
          <w14:textFill>
            <w14:solidFill>
              <w14:schemeClr w14:val="tx1"/>
            </w14:solidFill>
          </w14:textFill>
        </w:rPr>
        <w:t>建设单位拟将M1033矿采矿生产规模由年产30万吨提升为年产60</w:t>
      </w:r>
      <w:r>
        <w:rPr>
          <w:rFonts w:hint="eastAsia" w:ascii="Times New Roman" w:hAnsi="Times New Roman" w:cs="Times New Roman"/>
          <w:color w:val="000000" w:themeColor="text1"/>
          <w:sz w:val="24"/>
          <w:szCs w:val="24"/>
          <w:highlight w:val="none"/>
          <w:lang w:eastAsia="zh-CN"/>
          <w14:textFill>
            <w14:solidFill>
              <w14:schemeClr w14:val="tx1"/>
            </w14:solidFill>
          </w14:textFill>
        </w:rPr>
        <w:t>万吨，</w:t>
      </w:r>
      <w:r>
        <w:rPr>
          <w:rFonts w:hint="default" w:ascii="Times New Roman" w:hAnsi="Times New Roman" w:cs="Times New Roman"/>
          <w:color w:val="000000" w:themeColor="text1"/>
          <w:sz w:val="24"/>
          <w:szCs w:val="24"/>
          <w:highlight w:val="none"/>
          <w14:textFill>
            <w14:solidFill>
              <w14:schemeClr w14:val="tx1"/>
            </w14:solidFill>
          </w14:textFill>
        </w:rPr>
        <w:t>为了详细查明采矿权内主要矿体的资源储量，西成矿业委托新疆普勘地矿技术有限公司哈密分公司对西成矿业M1033铁矿进行资源储量核实工作，编制完成了《新疆哈密市M1033铁矿资源储量核实报告》，已于2022年经新疆维吾尔自治区资源储量评审中心评审，新疆维吾尔自治区自然资源厅出具《关于〈新疆哈密市M1033铁矿资源储量核实报告〉矿产资源储量评审备案的复函》（新自然资储备字〔2022〕19号）和《〈新疆哈密市M1033铁矿资源储量核实报告〉矿产资源储量评审意见书》（新矿评储字〔2022〕19号）。</w:t>
      </w:r>
    </w:p>
    <w:p w14:paraId="6A0213DC">
      <w:pPr>
        <w:pStyle w:val="85"/>
        <w:overflowPunct w:val="0"/>
        <w:topLinePunct/>
        <w:spacing w:beforeLines="0" w:afterLines="0" w:line="480" w:lineRule="exact"/>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2022年7月，西成矿业委托乌鲁木齐天瑞博源矿业有限公司承担《哈密市西成矿业有限责任公司新疆哈密市M1033铁矿矿产资源开发利用与生态保护修复方案》（以下简称：开发利用方案）的编制工作，并于2023年5月26日通过审查，随后办理了采矿许可证的延续手续。最新延续后的采矿许可证号：C6500002010122120107454（有效期为2023年12月22日至2028年12月22日），采矿许可证列明的生产规模为60万t/a，开采方式为地下开采，矿区范围由4个拐点圈定，矿区面积1.0401k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，开采标高为1240～900m，开采对象主要是Ⅰ-2、Ⅰ-1和Ⅲ号矿体。</w:t>
      </w:r>
    </w:p>
    <w:p w14:paraId="2842B374">
      <w:pPr>
        <w:overflowPunct w:val="0"/>
        <w:topLinePunct/>
        <w:ind w:firstLine="480"/>
        <w:rPr>
          <w:rFonts w:hint="default"/>
          <w:color w:val="000000" w:themeColor="text1"/>
          <w:highlight w:val="none"/>
          <w:lang w:val="en-US"/>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目前，与本项目配套的铁矿采矿工程因发生重大变动，建设单位正在办理哈密市西成矿业有限责任公司M1033矿年产30万吨铁矿采矿建设项目（重大变动）环保手续，与本项目同步开展环境影响评价工作。哈密市西成矿业有限责任公司M1033矿年产30万吨铁矿采矿建设项目（重大变动）建设规模为60万t/a铁矿石，平均品位TFe34.19%，mFe25.36%，块度≤350mm。开采方式为地下开采，竖井开拓方案，采矿方法为无底柱分段崩落法，采矿综合回采率85%，贫化率10%，矿山生产服务年限为13.31a（13年4个月）。待该项目建成后，其采出60万吨/年铁矿</w:t>
      </w:r>
      <w:r>
        <w:rPr>
          <w:rFonts w:hint="eastAsia" w:cs="Times New Roman"/>
          <w:color w:val="000000" w:themeColor="text1"/>
          <w:sz w:val="24"/>
          <w:szCs w:val="24"/>
          <w:highlight w:val="none"/>
          <w:lang w:val="en-US" w:eastAsia="zh-CN"/>
          <w14:textFill>
            <w14:solidFill>
              <w14:schemeClr w14:val="tx1"/>
            </w14:solidFill>
          </w14:textFill>
        </w:rPr>
        <w:t>石作</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为本项目选矿工程的原料，具备依托可行性。</w:t>
      </w:r>
    </w:p>
    <w:p w14:paraId="2EEE9BD6">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8.2志合矿业M1033铁矿</w:t>
      </w:r>
      <w:r>
        <w:rPr>
          <w:rFonts w:hint="eastAsia"/>
          <w:color w:val="000000" w:themeColor="text1"/>
          <w:highlight w:val="none"/>
          <w14:textFill>
            <w14:solidFill>
              <w14:schemeClr w14:val="tx1"/>
            </w14:solidFill>
          </w14:textFill>
        </w:rPr>
        <w:t>基本情况</w:t>
      </w:r>
    </w:p>
    <w:p w14:paraId="23EA36A8">
      <w:pPr>
        <w:overflowPunct w:val="0"/>
        <w:topLinePunct/>
        <w:ind w:firstLine="480"/>
        <w:rPr>
          <w:rFonts w:hint="eastAsia"/>
          <w:color w:val="000000" w:themeColor="text1"/>
          <w:highlight w:val="none"/>
          <w14:textFill>
            <w14:solidFill>
              <w14:schemeClr w14:val="tx1"/>
            </w14:solidFill>
          </w14:textFill>
        </w:rPr>
      </w:pPr>
      <w:r>
        <w:rPr>
          <w:rFonts w:hint="default" w:eastAsia="宋体"/>
          <w:color w:val="000000" w:themeColor="text1"/>
          <w:highlight w:val="none"/>
          <w:lang w:val="en-US" w:eastAsia="zh-CN"/>
          <w14:textFill>
            <w14:solidFill>
              <w14:schemeClr w14:val="tx1"/>
            </w14:solidFill>
          </w14:textFill>
        </w:rPr>
        <w:t>哈密市志合矿业有限责任公司M1033铁矿</w:t>
      </w:r>
      <w:r>
        <w:rPr>
          <w:rFonts w:hint="eastAsia"/>
          <w:color w:val="000000" w:themeColor="text1"/>
          <w:highlight w:val="none"/>
          <w:lang w:val="en-US" w:eastAsia="zh-CN"/>
          <w14:textFill>
            <w14:solidFill>
              <w14:schemeClr w14:val="tx1"/>
            </w14:solidFill>
          </w14:textFill>
        </w:rPr>
        <w:t>（12-14线）位于哈密市东南200km，行政区划属哈密市管辖，其中心点坐标：东经***********，北纬***********。该项目</w:t>
      </w:r>
      <w:r>
        <w:rPr>
          <w:rFonts w:hint="eastAsia"/>
          <w:color w:val="000000" w:themeColor="text1"/>
          <w:highlight w:val="none"/>
          <w14:textFill>
            <w14:solidFill>
              <w14:schemeClr w14:val="tx1"/>
            </w14:solidFill>
          </w14:textFill>
        </w:rPr>
        <w:t>原建设单位为哈密市海通工贸有限责任公司，2003年哈密市海通工贸有限责任公司采用无底柱的浅孔留矿采矿法对I-5、I-6号矿体进行了一定程度的开采，未履行环保手续。该项目环境影响评价文件未经审批即擅自建设、投入运行，违反了《中华人民共和国环境保护法》《中华人民共和国环境影响评价法》《建设项目环境保护管理条例》的有关规定。根据哈密市生态环境局初审意见，该项目于2015年9月15日停工，违法行为行政处罚追诉期限已过。2018年1月，该铁矿被哈密市志合矿业有限责任公司收购。</w:t>
      </w:r>
    </w:p>
    <w:p w14:paraId="5BAB5251">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2018年1月，新疆哈密市M1033铁矿（12-14线）由哈密市志合矿业有限责任公司计划重新恢复矿山生产。根据行业管理要求，矿山停产时间较长，原设计风井在开采位移范围之内无法利用，因此对其需进行技术改造工程</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2018年6月，</w:t>
      </w:r>
      <w:r>
        <w:rPr>
          <w:rFonts w:hint="default" w:eastAsia="宋体"/>
          <w:color w:val="000000" w:themeColor="text1"/>
          <w:highlight w:val="none"/>
          <w:lang w:val="en-US" w:eastAsia="zh-CN"/>
          <w14:textFill>
            <w14:solidFill>
              <w14:schemeClr w14:val="tx1"/>
            </w14:solidFill>
          </w14:textFill>
        </w:rPr>
        <w:t>哈密市志合矿业有限责任公司委托新疆煤炭设计研究院有限责任公司编制《哈密市志合矿业有限责任公司新疆哈密市M1033铁矿（12-14线）地下采矿技改工程的环境影响评价报告书》并于2019年12月17日取得新疆维吾尔自治区生态环境厅对该项目的批复（</w:t>
      </w:r>
      <w:r>
        <w:rPr>
          <w:rFonts w:hint="eastAsia" w:eastAsia="宋体"/>
          <w:color w:val="000000" w:themeColor="text1"/>
          <w:highlight w:val="none"/>
          <w:lang w:val="en-US" w:eastAsia="zh-CN"/>
          <w14:textFill>
            <w14:solidFill>
              <w14:schemeClr w14:val="tx1"/>
            </w14:solidFill>
          </w14:textFill>
        </w:rPr>
        <w:t>文号：</w:t>
      </w:r>
      <w:r>
        <w:rPr>
          <w:rFonts w:hint="default" w:eastAsia="宋体"/>
          <w:color w:val="000000" w:themeColor="text1"/>
          <w:highlight w:val="none"/>
          <w:lang w:val="en-US" w:eastAsia="zh-CN"/>
          <w14:textFill>
            <w14:solidFill>
              <w14:schemeClr w14:val="tx1"/>
            </w14:solidFill>
          </w14:textFill>
        </w:rPr>
        <w:t>新环审〔2019〕328号</w:t>
      </w:r>
      <w:r>
        <w:rPr>
          <w:rFonts w:hint="eastAsia" w:eastAsia="宋体"/>
          <w:color w:val="000000" w:themeColor="text1"/>
          <w:highlight w:val="none"/>
          <w:lang w:val="en-US" w:eastAsia="zh-CN"/>
          <w14:textFill>
            <w14:solidFill>
              <w14:schemeClr w14:val="tx1"/>
            </w14:solidFill>
          </w14:textFill>
        </w:rPr>
        <w:t>，详见附件</w:t>
      </w:r>
      <w:r>
        <w:rPr>
          <w:rFonts w:hint="default" w:eastAsia="宋体"/>
          <w:color w:val="000000" w:themeColor="text1"/>
          <w:highlight w:val="none"/>
          <w:lang w:val="en-US" w:eastAsia="zh-CN"/>
          <w14:textFill>
            <w14:solidFill>
              <w14:schemeClr w14:val="tx1"/>
            </w14:solidFill>
          </w14:textFill>
        </w:rPr>
        <w:t>）。</w:t>
      </w:r>
    </w:p>
    <w:p w14:paraId="15D2CEE4">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2020年，哈密市志合矿业有限责任公司建设新疆哈密市M1033铁矿（12-14线）地下矿技改工程，包括主体工程（井下开拓系统），配套建设废石场、油库、矿区运输道路等、辅助工程（生活区、给水工程、排水工程、环保工程、供热工程、供电工程）等</w:t>
      </w:r>
      <w:r>
        <w:rPr>
          <w:rFonts w:hint="eastAsia"/>
          <w:color w:val="000000" w:themeColor="text1"/>
          <w:highlight w:val="none"/>
          <w:lang w:eastAsia="zh-CN"/>
          <w14:textFill>
            <w14:solidFill>
              <w14:schemeClr w14:val="tx1"/>
            </w14:solidFill>
          </w14:textFill>
        </w:rPr>
        <w:t>。划定矿区面积为0.1107km</w:t>
      </w:r>
      <w:r>
        <w:rPr>
          <w:rFonts w:hint="eastAsia"/>
          <w:color w:val="000000" w:themeColor="text1"/>
          <w:highlight w:val="none"/>
          <w:vertAlign w:val="superscript"/>
          <w:lang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，开采深度+1240m～+800m，矿区内地形平坦，汽车可直通矿区，交通便利主要产品为铁矿石原矿，矿石块度≤350mm，矿区TFe平均品位27.94%。矿山生产能力为15万t/a，服务年限为19.4a。</w:t>
      </w:r>
    </w:p>
    <w:p w14:paraId="67E73DF1">
      <w:pPr>
        <w:overflowPunct w:val="0"/>
        <w:topLinePunct/>
        <w:ind w:firstLine="48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技改工程井下开拓系统主要包括罐笼井延深，箕斗井延深，井底车场（双轨），运输平巷、石门，采切工程，硐室工程；配套建设一座废石场，一座油库，新建1套生活污水和1套矿井水处理设施；新建办公生活区。矿区西侧为罐笼井，东侧为箕斗井，南侧布置废石场和原矿堆场，北侧为办公生活区。</w:t>
      </w:r>
    </w:p>
    <w:p w14:paraId="6F2BEFD3">
      <w:pPr>
        <w:overflowPunct w:val="0"/>
        <w:topLinePunct/>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建设项目于2020年1月开始建设，2021年6月底竣工，2021年7月进入调试阶段开始投入试生产。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2022年5月7日，</w:t>
      </w:r>
      <w:r>
        <w:rPr>
          <w:rFonts w:hint="eastAsia"/>
          <w:color w:val="000000" w:themeColor="text1"/>
          <w:highlight w:val="none"/>
          <w14:textFill>
            <w14:solidFill>
              <w14:schemeClr w14:val="tx1"/>
            </w14:solidFill>
          </w14:textFill>
        </w:rPr>
        <w:t>哈密市志合矿业有限责任公司</w:t>
      </w:r>
      <w:r>
        <w:rPr>
          <w:rFonts w:hint="eastAsia"/>
          <w:color w:val="000000" w:themeColor="text1"/>
          <w:highlight w:val="none"/>
          <w:lang w:val="en-US" w:eastAsia="zh-CN"/>
          <w14:textFill>
            <w14:solidFill>
              <w14:schemeClr w14:val="tx1"/>
            </w14:solidFill>
          </w14:textFill>
        </w:rPr>
        <w:t>完成</w:t>
      </w:r>
      <w:r>
        <w:rPr>
          <w:rFonts w:hint="eastAsia"/>
          <w:color w:val="000000" w:themeColor="text1"/>
          <w:highlight w:val="none"/>
          <w14:textFill>
            <w14:solidFill>
              <w14:schemeClr w14:val="tx1"/>
            </w14:solidFill>
          </w14:textFill>
        </w:rPr>
        <w:t>新疆哈密市M1033铁矿（12-14线）地下矿技改工程</w:t>
      </w:r>
      <w:r>
        <w:rPr>
          <w:rFonts w:hint="eastAsia"/>
          <w:color w:val="000000" w:themeColor="text1"/>
          <w:highlight w:val="none"/>
          <w:lang w:val="en-US" w:eastAsia="zh-CN"/>
          <w14:textFill>
            <w14:solidFill>
              <w14:schemeClr w14:val="tx1"/>
            </w14:solidFill>
          </w14:textFill>
        </w:rPr>
        <w:t>竣工环境保护验收工作，取得竣工环境保护验收意见（详见附件）。</w:t>
      </w:r>
    </w:p>
    <w:p w14:paraId="4D9345F9">
      <w:pPr>
        <w:overflowPunct w:val="0"/>
        <w:topLinePunct/>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目前，</w:t>
      </w:r>
      <w:r>
        <w:rPr>
          <w:rFonts w:hint="default" w:eastAsia="宋体"/>
          <w:color w:val="000000" w:themeColor="text1"/>
          <w:highlight w:val="none"/>
          <w:lang w:val="en-US" w:eastAsia="zh-CN"/>
          <w14:textFill>
            <w14:solidFill>
              <w14:schemeClr w14:val="tx1"/>
            </w14:solidFill>
          </w14:textFill>
        </w:rPr>
        <w:t>哈密市志合矿业有限责任公司</w:t>
      </w:r>
      <w:r>
        <w:rPr>
          <w:rFonts w:hint="eastAsia"/>
          <w:color w:val="000000" w:themeColor="text1"/>
          <w:highlight w:val="none"/>
          <w14:textFill>
            <w14:solidFill>
              <w14:schemeClr w14:val="tx1"/>
            </w14:solidFill>
          </w14:textFill>
        </w:rPr>
        <w:t>新疆哈密市M1033铁矿（12-14线）地下矿技改工程</w:t>
      </w:r>
      <w:r>
        <w:rPr>
          <w:rFonts w:hint="eastAsia"/>
          <w:color w:val="000000" w:themeColor="text1"/>
          <w:highlight w:val="none"/>
          <w:lang w:val="en-US" w:eastAsia="zh-CN"/>
          <w14:textFill>
            <w14:solidFill>
              <w14:schemeClr w14:val="tx1"/>
            </w14:solidFill>
          </w14:textFill>
        </w:rPr>
        <w:t>环保手续齐全，运行正常，自运行之日起</w:t>
      </w:r>
      <w:r>
        <w:rPr>
          <w:color w:val="000000" w:themeColor="text1"/>
          <w:sz w:val="24"/>
          <w14:textFill>
            <w14:solidFill>
              <w14:schemeClr w14:val="tx1"/>
            </w14:solidFill>
          </w14:textFill>
        </w:rPr>
        <w:t>至今无环境违法行为，无应急污染事件及环境信访投诉案件</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未接收到公众的环保投诉问题。</w:t>
      </w:r>
      <w:r>
        <w:rPr>
          <w:rFonts w:hint="default" w:eastAsia="宋体"/>
          <w:color w:val="000000" w:themeColor="text1"/>
          <w:highlight w:val="none"/>
          <w:lang w:val="en-US" w:eastAsia="zh-CN"/>
          <w14:textFill>
            <w14:solidFill>
              <w14:schemeClr w14:val="tx1"/>
            </w14:solidFill>
          </w14:textFill>
        </w:rPr>
        <w:t>哈密市志合矿业有限责任公司</w:t>
      </w:r>
      <w:r>
        <w:rPr>
          <w:rFonts w:hint="eastAsia"/>
          <w:color w:val="000000" w:themeColor="text1"/>
          <w:highlight w:val="none"/>
          <w14:textFill>
            <w14:solidFill>
              <w14:schemeClr w14:val="tx1"/>
            </w14:solidFill>
          </w14:textFill>
        </w:rPr>
        <w:t>新疆哈密市M1033铁矿</w:t>
      </w:r>
      <w:r>
        <w:rPr>
          <w:rFonts w:hint="eastAsia"/>
          <w:color w:val="000000" w:themeColor="text1"/>
          <w:highlight w:val="none"/>
          <w:lang w:val="en-US" w:eastAsia="zh-CN"/>
          <w14:textFill>
            <w14:solidFill>
              <w14:schemeClr w14:val="tx1"/>
            </w14:solidFill>
          </w14:textFill>
        </w:rPr>
        <w:t>目前正在办理扩建相关手续，扩建后采矿规模为年产铁矿石50万吨。</w:t>
      </w:r>
      <w:r>
        <w:rPr>
          <w:rFonts w:hint="eastAsia"/>
          <w:color w:val="000000" w:themeColor="text1"/>
          <w:sz w:val="24"/>
          <w:lang w:val="en-US" w:eastAsia="zh-CN"/>
          <w14:textFill>
            <w14:solidFill>
              <w14:schemeClr w14:val="tx1"/>
            </w14:solidFill>
          </w14:textFill>
        </w:rPr>
        <w:t>2023年12月，哈密市西成矿业有限责任公司与</w:t>
      </w:r>
      <w:r>
        <w:rPr>
          <w:rFonts w:hint="eastAsia"/>
          <w:color w:val="000000" w:themeColor="text1"/>
          <w:highlight w:val="none"/>
          <w14:textFill>
            <w14:solidFill>
              <w14:schemeClr w14:val="tx1"/>
            </w14:solidFill>
          </w14:textFill>
        </w:rPr>
        <w:t>哈密市志合矿业有限责任公司</w:t>
      </w:r>
      <w:r>
        <w:rPr>
          <w:rFonts w:hint="eastAsia"/>
          <w:color w:val="000000" w:themeColor="text1"/>
          <w:highlight w:val="none"/>
          <w:lang w:val="en-US" w:eastAsia="zh-CN"/>
          <w14:textFill>
            <w14:solidFill>
              <w14:schemeClr w14:val="tx1"/>
            </w14:solidFill>
          </w14:textFill>
        </w:rPr>
        <w:t>签订战略合作协议，采购</w:t>
      </w:r>
      <w:r>
        <w:rPr>
          <w:rFonts w:hint="eastAsia"/>
          <w:color w:val="000000" w:themeColor="text1"/>
          <w:highlight w:val="none"/>
          <w14:textFill>
            <w14:solidFill>
              <w14:schemeClr w14:val="tx1"/>
            </w14:solidFill>
          </w14:textFill>
        </w:rPr>
        <w:t>哈密市志合矿业有限责任公司</w:t>
      </w:r>
      <w:r>
        <w:rPr>
          <w:rFonts w:hint="eastAsia"/>
          <w:color w:val="000000" w:themeColor="text1"/>
          <w:highlight w:val="none"/>
          <w:lang w:val="en-US" w:eastAsia="zh-CN"/>
          <w14:textFill>
            <w14:solidFill>
              <w14:schemeClr w14:val="tx1"/>
            </w14:solidFill>
          </w14:textFill>
        </w:rPr>
        <w:t>铁矿石。根据该战略合作协议，志合矿业公司每年向西成矿业公司提供不少于30万吨铁矿石。</w:t>
      </w:r>
      <w:r>
        <w:rPr>
          <w:rFonts w:hint="eastAsia"/>
          <w:color w:val="000000" w:themeColor="text1"/>
          <w:sz w:val="24"/>
          <w:lang w:val="en-US" w:eastAsia="zh-CN"/>
          <w14:textFill>
            <w14:solidFill>
              <w14:schemeClr w14:val="tx1"/>
            </w14:solidFill>
          </w14:textFill>
        </w:rPr>
        <w:t>由此可见，待</w:t>
      </w:r>
      <w:r>
        <w:rPr>
          <w:rFonts w:hint="default" w:eastAsia="宋体"/>
          <w:color w:val="000000" w:themeColor="text1"/>
          <w:highlight w:val="none"/>
          <w:lang w:val="en-US" w:eastAsia="zh-CN"/>
          <w14:textFill>
            <w14:solidFill>
              <w14:schemeClr w14:val="tx1"/>
            </w14:solidFill>
          </w14:textFill>
        </w:rPr>
        <w:t>哈密市志合矿业有限责任公司</w:t>
      </w:r>
      <w:r>
        <w:rPr>
          <w:rFonts w:hint="eastAsia"/>
          <w:color w:val="000000" w:themeColor="text1"/>
          <w:highlight w:val="none"/>
          <w14:textFill>
            <w14:solidFill>
              <w14:schemeClr w14:val="tx1"/>
            </w14:solidFill>
          </w14:textFill>
        </w:rPr>
        <w:t>新疆哈密市M1033铁矿</w:t>
      </w:r>
      <w:r>
        <w:rPr>
          <w:rFonts w:hint="eastAsia"/>
          <w:color w:val="000000" w:themeColor="text1"/>
          <w:highlight w:val="none"/>
          <w:lang w:val="en-US" w:eastAsia="zh-CN"/>
          <w14:textFill>
            <w14:solidFill>
              <w14:schemeClr w14:val="tx1"/>
            </w14:solidFill>
          </w14:textFill>
        </w:rPr>
        <w:t>扩建工程年产50万吨铁矿石投产后，</w:t>
      </w:r>
      <w:r>
        <w:rPr>
          <w:rFonts w:hint="eastAsia"/>
          <w:color w:val="000000" w:themeColor="text1"/>
          <w:sz w:val="24"/>
          <w:lang w:val="en-US" w:eastAsia="zh-CN"/>
          <w14:textFill>
            <w14:solidFill>
              <w14:schemeClr w14:val="tx1"/>
            </w14:solidFill>
          </w14:textFill>
        </w:rPr>
        <w:t>从生产规模、上下游配套、项目运行达标情况、运输条件等方面综合分析，本项目采购</w:t>
      </w:r>
      <w:r>
        <w:rPr>
          <w:rFonts w:hint="default" w:eastAsia="宋体"/>
          <w:color w:val="000000" w:themeColor="text1"/>
          <w:highlight w:val="none"/>
          <w:lang w:val="en-US" w:eastAsia="zh-CN"/>
          <w14:textFill>
            <w14:solidFill>
              <w14:schemeClr w14:val="tx1"/>
            </w14:solidFill>
          </w14:textFill>
        </w:rPr>
        <w:t>哈密市志合矿业有限责任公司</w:t>
      </w:r>
      <w:r>
        <w:rPr>
          <w:rFonts w:hint="eastAsia"/>
          <w:color w:val="000000" w:themeColor="text1"/>
          <w:highlight w:val="none"/>
          <w14:textFill>
            <w14:solidFill>
              <w14:schemeClr w14:val="tx1"/>
            </w14:solidFill>
          </w14:textFill>
        </w:rPr>
        <w:t>新疆哈密市M1033铁矿（12-14线）地下矿技改工程</w:t>
      </w:r>
      <w:r>
        <w:rPr>
          <w:rFonts w:hint="eastAsia"/>
          <w:color w:val="000000" w:themeColor="text1"/>
          <w:highlight w:val="none"/>
          <w:lang w:val="en-US" w:eastAsia="zh-CN"/>
          <w14:textFill>
            <w14:solidFill>
              <w14:schemeClr w14:val="tx1"/>
            </w14:solidFill>
          </w14:textFill>
        </w:rPr>
        <w:t>30万吨/年原矿石生产铁精粉具备依托可行性。</w:t>
      </w:r>
    </w:p>
    <w:p w14:paraId="79BEEFF1">
      <w:pPr>
        <w:pStyle w:val="4"/>
        <w:rPr>
          <w:color w:val="000000" w:themeColor="text1"/>
          <w:highlight w:val="none"/>
          <w14:textFill>
            <w14:solidFill>
              <w14:schemeClr w14:val="tx1"/>
            </w14:solidFill>
          </w14:textFill>
        </w:rPr>
      </w:pPr>
      <w:bookmarkStart w:id="458" w:name="_Toc23929"/>
      <w:bookmarkStart w:id="459" w:name="_Toc6018"/>
      <w:bookmarkStart w:id="460" w:name="_Toc10820"/>
      <w:r>
        <w:rPr>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项目总平面布置</w:t>
      </w:r>
      <w:bookmarkEnd w:id="458"/>
      <w:bookmarkEnd w:id="459"/>
      <w:bookmarkEnd w:id="460"/>
    </w:p>
    <w:p w14:paraId="20C5E037">
      <w:pPr>
        <w:overflowPunct w:val="0"/>
        <w:topLinePunct/>
        <w:ind w:firstLine="48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地表选矿设施分为</w:t>
      </w:r>
      <w:r>
        <w:rPr>
          <w:rFonts w:hint="eastAsia"/>
          <w:color w:val="000000" w:themeColor="text1"/>
          <w:szCs w:val="28"/>
          <w:highlight w:val="none"/>
          <w:lang w:eastAsia="zh-CN"/>
          <w14:textFill>
            <w14:solidFill>
              <w14:schemeClr w14:val="tx1"/>
            </w14:solidFill>
          </w14:textFill>
        </w:rPr>
        <w:t>两</w:t>
      </w:r>
      <w:r>
        <w:rPr>
          <w:rFonts w:hint="eastAsia"/>
          <w:color w:val="000000" w:themeColor="text1"/>
          <w:szCs w:val="28"/>
          <w:highlight w:val="none"/>
          <w14:textFill>
            <w14:solidFill>
              <w14:schemeClr w14:val="tx1"/>
            </w14:solidFill>
          </w14:textFill>
        </w:rPr>
        <w:t>部分，分别为选矿厂、尾矿库及尾矿输送系统。其中</w:t>
      </w:r>
      <w:r>
        <w:rPr>
          <w:rFonts w:hint="eastAsia"/>
          <w:color w:val="000000" w:themeColor="text1"/>
          <w:szCs w:val="28"/>
          <w:highlight w:val="none"/>
          <w:lang w:eastAsia="zh-CN"/>
          <w14:textFill>
            <w14:solidFill>
              <w14:schemeClr w14:val="tx1"/>
            </w14:solidFill>
          </w14:textFill>
        </w:rPr>
        <w:t>改造的</w:t>
      </w:r>
      <w:r>
        <w:rPr>
          <w:rFonts w:hint="eastAsia"/>
          <w:color w:val="000000" w:themeColor="text1"/>
          <w:szCs w:val="28"/>
          <w:highlight w:val="none"/>
          <w14:textFill>
            <w14:solidFill>
              <w14:schemeClr w14:val="tx1"/>
            </w14:solidFill>
          </w14:textFill>
        </w:rPr>
        <w:t>选矿设施布置于现有选矿厂</w:t>
      </w:r>
      <w:r>
        <w:rPr>
          <w:rFonts w:hint="eastAsia"/>
          <w:color w:val="000000" w:themeColor="text1"/>
          <w:szCs w:val="28"/>
          <w:highlight w:val="none"/>
          <w:lang w:eastAsia="zh-CN"/>
          <w14:textFill>
            <w14:solidFill>
              <w14:schemeClr w14:val="tx1"/>
            </w14:solidFill>
          </w14:textFill>
        </w:rPr>
        <w:t>内</w:t>
      </w:r>
      <w:r>
        <w:rPr>
          <w:rFonts w:hint="eastAsia"/>
          <w:color w:val="000000" w:themeColor="text1"/>
          <w:szCs w:val="28"/>
          <w:highlight w:val="none"/>
          <w14:textFill>
            <w14:solidFill>
              <w14:schemeClr w14:val="tx1"/>
            </w14:solidFill>
          </w14:textFill>
        </w:rPr>
        <w:t>；尾矿库位于</w:t>
      </w:r>
      <w:r>
        <w:rPr>
          <w:rFonts w:hint="eastAsia"/>
          <w:color w:val="000000" w:themeColor="text1"/>
          <w:szCs w:val="28"/>
          <w:highlight w:val="none"/>
          <w:lang w:eastAsia="zh-CN"/>
          <w14:textFill>
            <w14:solidFill>
              <w14:schemeClr w14:val="tx1"/>
            </w14:solidFill>
          </w14:textFill>
        </w:rPr>
        <w:t>选矿厂</w:t>
      </w:r>
      <w:r>
        <w:rPr>
          <w:rFonts w:hint="eastAsia"/>
          <w:color w:val="000000" w:themeColor="text1"/>
          <w:szCs w:val="28"/>
          <w:highlight w:val="none"/>
          <w:lang w:val="en-US" w:eastAsia="zh-CN"/>
          <w14:textFill>
            <w14:solidFill>
              <w14:schemeClr w14:val="tx1"/>
            </w14:solidFill>
          </w14:textFill>
        </w:rPr>
        <w:t>西</w:t>
      </w:r>
      <w:r>
        <w:rPr>
          <w:rFonts w:hint="eastAsia"/>
          <w:color w:val="000000" w:themeColor="text1"/>
          <w:szCs w:val="28"/>
          <w:highlight w:val="none"/>
          <w:lang w:eastAsia="zh-CN"/>
          <w14:textFill>
            <w14:solidFill>
              <w14:schemeClr w14:val="tx1"/>
            </w14:solidFill>
          </w14:textFill>
        </w:rPr>
        <w:t>南</w:t>
      </w:r>
      <w:r>
        <w:rPr>
          <w:rFonts w:hint="eastAsia"/>
          <w:color w:val="000000" w:themeColor="text1"/>
          <w:szCs w:val="28"/>
          <w:highlight w:val="none"/>
          <w14:textFill>
            <w14:solidFill>
              <w14:schemeClr w14:val="tx1"/>
            </w14:solidFill>
          </w14:textFill>
        </w:rPr>
        <w:t>侧。</w:t>
      </w:r>
    </w:p>
    <w:p w14:paraId="6D836A0B">
      <w:pPr>
        <w:overflowPunct w:val="0"/>
        <w:topLinePunct/>
        <w:ind w:firstLine="48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本项目选矿厂平面布置见图3</w:t>
      </w:r>
      <w:r>
        <w:rPr>
          <w:color w:val="000000" w:themeColor="text1"/>
          <w:szCs w:val="28"/>
          <w:highlight w:val="none"/>
          <w14:textFill>
            <w14:solidFill>
              <w14:schemeClr w14:val="tx1"/>
            </w14:solidFill>
          </w14:textFill>
        </w:rPr>
        <w:t>.2-</w:t>
      </w:r>
      <w:r>
        <w:rPr>
          <w:rFonts w:hint="eastAsia"/>
          <w:color w:val="000000" w:themeColor="text1"/>
          <w:szCs w:val="28"/>
          <w:highlight w:val="none"/>
          <w:lang w:val="en-US" w:eastAsia="zh-CN"/>
          <w14:textFill>
            <w14:solidFill>
              <w14:schemeClr w14:val="tx1"/>
            </w14:solidFill>
          </w14:textFill>
        </w:rPr>
        <w:t>3</w:t>
      </w:r>
      <w:r>
        <w:rPr>
          <w:rFonts w:hint="eastAsia"/>
          <w:color w:val="000000" w:themeColor="text1"/>
          <w:szCs w:val="28"/>
          <w:highlight w:val="none"/>
          <w14:textFill>
            <w14:solidFill>
              <w14:schemeClr w14:val="tx1"/>
            </w14:solidFill>
          </w14:textFill>
        </w:rPr>
        <w:t>、尾矿库平面布置见图3</w:t>
      </w:r>
      <w:r>
        <w:rPr>
          <w:color w:val="000000" w:themeColor="text1"/>
          <w:szCs w:val="28"/>
          <w:highlight w:val="none"/>
          <w14:textFill>
            <w14:solidFill>
              <w14:schemeClr w14:val="tx1"/>
            </w14:solidFill>
          </w14:textFill>
        </w:rPr>
        <w:t>.2-</w:t>
      </w:r>
      <w:r>
        <w:rPr>
          <w:rFonts w:hint="eastAsia"/>
          <w:color w:val="000000" w:themeColor="text1"/>
          <w:szCs w:val="28"/>
          <w:highlight w:val="none"/>
          <w:lang w:val="en-US" w:eastAsia="zh-CN"/>
          <w14:textFill>
            <w14:solidFill>
              <w14:schemeClr w14:val="tx1"/>
            </w14:solidFill>
          </w14:textFill>
        </w:rPr>
        <w:t>4</w:t>
      </w:r>
      <w:r>
        <w:rPr>
          <w:rFonts w:hint="eastAsia"/>
          <w:color w:val="000000" w:themeColor="text1"/>
          <w:szCs w:val="28"/>
          <w:highlight w:val="none"/>
          <w14:textFill>
            <w14:solidFill>
              <w14:schemeClr w14:val="tx1"/>
            </w14:solidFill>
          </w14:textFill>
        </w:rPr>
        <w:t>。</w:t>
      </w:r>
    </w:p>
    <w:p w14:paraId="259EB7A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（1）选矿厂</w:t>
      </w:r>
    </w:p>
    <w:p w14:paraId="37C847B1">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选矿厂位于矿区西北侧，总占地面积</w:t>
      </w:r>
      <w:r>
        <w:rPr>
          <w:rFonts w:hint="eastAsia"/>
          <w:color w:val="000000" w:themeColor="text1"/>
          <w:highlight w:val="none"/>
          <w:lang w:val="en-US" w:eastAsia="zh-CN"/>
          <w14:textFill>
            <w14:solidFill>
              <w14:schemeClr w14:val="tx1"/>
            </w14:solidFill>
          </w14:textFill>
        </w:rPr>
        <w:t>9hm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主要包括选厂办公室、原矿堆料场及原矿仓、破碎厂房、筛分厂房、磨矿磁选厂房、浓缩脱水厂房、带式输送机通廊、仓库、机修间、电修间、高位回水池、材料备品库、堆矿场等。其中：选厂办公室、主厂房及主要附属设施等建筑结构为混凝土结构，建筑高度3.5</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18</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14:textFill>
            <w14:solidFill>
              <w14:schemeClr w14:val="tx1"/>
            </w14:solidFill>
          </w14:textFill>
        </w:rPr>
        <w:t>；传送带通廊为彩钢结构；地面硬化区域主要为仓库、机修间、电修间、选厂办公室外围</w:t>
      </w:r>
      <w:r>
        <w:rPr>
          <w:rFonts w:hint="eastAsia"/>
          <w:color w:val="000000" w:themeColor="text1"/>
          <w:highlight w:val="none"/>
          <w:lang w:eastAsia="zh-CN"/>
          <w14:textFill>
            <w14:solidFill>
              <w14:schemeClr w14:val="tx1"/>
            </w14:solidFill>
          </w14:textFill>
        </w:rPr>
        <w:t>。</w:t>
      </w:r>
    </w:p>
    <w:p w14:paraId="4AD24FC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项目区当地主导风向为东北风，选矿厂下风向无环境敏感目标，平面布置较合理。</w:t>
      </w:r>
    </w:p>
    <w:p w14:paraId="4A4D2BB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）尾矿库</w:t>
      </w:r>
    </w:p>
    <w:p w14:paraId="53CCB9B8">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尾矿库库址位于</w:t>
      </w:r>
      <w:r>
        <w:rPr>
          <w:rFonts w:hint="eastAsia"/>
          <w:color w:val="000000" w:themeColor="text1"/>
          <w:highlight w:val="none"/>
          <w:lang w:eastAsia="zh-CN"/>
          <w14:textFill>
            <w14:solidFill>
              <w14:schemeClr w14:val="tx1"/>
            </w14:solidFill>
          </w14:textFill>
        </w:rPr>
        <w:t>选矿厂</w:t>
      </w:r>
      <w:r>
        <w:rPr>
          <w:rFonts w:hint="eastAsia"/>
          <w:color w:val="000000" w:themeColor="text1"/>
          <w:highlight w:val="none"/>
          <w:lang w:val="en-US" w:eastAsia="zh-CN"/>
          <w14:textFill>
            <w14:solidFill>
              <w14:schemeClr w14:val="tx1"/>
            </w14:solidFill>
          </w14:textFill>
        </w:rPr>
        <w:t>西</w:t>
      </w:r>
      <w:r>
        <w:rPr>
          <w:rFonts w:hint="eastAsia"/>
          <w:color w:val="000000" w:themeColor="text1"/>
          <w:highlight w:val="none"/>
          <w:lang w:eastAsia="zh-CN"/>
          <w14:textFill>
            <w14:solidFill>
              <w14:schemeClr w14:val="tx1"/>
            </w14:solidFill>
          </w14:textFill>
        </w:rPr>
        <w:t>南侧</w:t>
      </w:r>
      <w:r>
        <w:rPr>
          <w:rFonts w:hint="eastAsia"/>
          <w:color w:val="000000" w:themeColor="text1"/>
          <w:highlight w:val="none"/>
          <w14:textFill>
            <w14:solidFill>
              <w14:schemeClr w14:val="tx1"/>
            </w14:solidFill>
          </w14:textFill>
        </w:rPr>
        <w:t>，库区距离选矿厂生活办公区及选矿厂约1.1km</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库区上游东北侧为矿山现有地下开采系统及矿部办公区，库区距离矿山现有地下开采系统及距离矿部办公区约1.9km</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olor w:val="000000" w:themeColor="text1"/>
          <w:highlight w:val="none"/>
          <w14:textFill>
            <w14:solidFill>
              <w14:schemeClr w14:val="tx1"/>
            </w14:solidFill>
          </w14:textFill>
        </w:rPr>
        <w:t>库区位于工业场地全年主导风向下风向。此库址地势开阔，地势北高南低，尾矿采用干式堆存方式。尾矿坝最终堆积标高为1264m，堆积内边坡坡向库外，平均坡度为1.0%，堆积外边坡为1:3.0，尾矿堆体总坝高为30m。尾矿堆体外坡面每隔5m高度设一道台阶，并在台阶上修建300×400mm纵、横向浆砌石排水沟。尾矿堆体外边界设置明挖梯形断面排水沟，底宽500mm，深600mm，边坡比1：1。本项目尾矿库</w:t>
      </w:r>
      <w:r>
        <w:rPr>
          <w:rFonts w:hint="eastAsia"/>
          <w:color w:val="000000" w:themeColor="text1"/>
          <w:highlight w:val="none"/>
          <w:lang w:eastAsia="zh-CN"/>
          <w14:textFill>
            <w14:solidFill>
              <w14:schemeClr w14:val="tx1"/>
            </w14:solidFill>
          </w14:textFill>
        </w:rPr>
        <w:t>位于</w:t>
      </w:r>
      <w:r>
        <w:rPr>
          <w:rFonts w:hint="eastAsia"/>
          <w:color w:val="000000" w:themeColor="text1"/>
          <w:highlight w:val="none"/>
          <w14:textFill>
            <w14:solidFill>
              <w14:schemeClr w14:val="tx1"/>
            </w14:solidFill>
          </w14:textFill>
        </w:rPr>
        <w:t>选矿厂生活办公区</w:t>
      </w:r>
      <w:r>
        <w:rPr>
          <w:rFonts w:hint="eastAsia"/>
          <w:color w:val="000000" w:themeColor="text1"/>
          <w:highlight w:val="none"/>
          <w:lang w:eastAsia="zh-CN"/>
          <w14:textFill>
            <w14:solidFill>
              <w14:schemeClr w14:val="tx1"/>
            </w14:solidFill>
          </w14:textFill>
        </w:rPr>
        <w:t>下风向</w:t>
      </w:r>
      <w:r>
        <w:rPr>
          <w:rFonts w:hint="eastAsia"/>
          <w:color w:val="000000" w:themeColor="text1"/>
          <w:highlight w:val="none"/>
          <w14:textFill>
            <w14:solidFill>
              <w14:schemeClr w14:val="tx1"/>
            </w14:solidFill>
          </w14:textFill>
        </w:rPr>
        <w:t>，经预测，</w:t>
      </w:r>
      <w:r>
        <w:rPr>
          <w:rFonts w:hint="eastAsia"/>
          <w:color w:val="000000" w:themeColor="text1"/>
          <w:highlight w:val="none"/>
          <w:lang w:val="en-US" w:eastAsia="zh-CN"/>
          <w14:textFill>
            <w14:solidFill>
              <w14:schemeClr w14:val="tx1"/>
            </w14:solidFill>
          </w14:textFill>
        </w:rPr>
        <w:t>采取抑尘措施后，</w:t>
      </w:r>
      <w:r>
        <w:rPr>
          <w:rFonts w:hint="eastAsia"/>
          <w:color w:val="000000" w:themeColor="text1"/>
          <w:highlight w:val="none"/>
          <w14:textFill>
            <w14:solidFill>
              <w14:schemeClr w14:val="tx1"/>
            </w14:solidFill>
          </w14:textFill>
        </w:rPr>
        <w:t>尾矿库扬尘对</w:t>
      </w:r>
      <w:r>
        <w:rPr>
          <w:rFonts w:hint="eastAsia"/>
          <w:color w:val="000000" w:themeColor="text1"/>
          <w:highlight w:val="none"/>
          <w:lang w:eastAsia="zh-CN"/>
          <w14:textFill>
            <w14:solidFill>
              <w14:schemeClr w14:val="tx1"/>
            </w14:solidFill>
          </w14:textFill>
        </w:rPr>
        <w:t>周边</w:t>
      </w:r>
      <w:r>
        <w:rPr>
          <w:rFonts w:hint="eastAsia"/>
          <w:color w:val="000000" w:themeColor="text1"/>
          <w:highlight w:val="none"/>
          <w14:textFill>
            <w14:solidFill>
              <w14:schemeClr w14:val="tx1"/>
            </w14:solidFill>
          </w14:textFill>
        </w:rPr>
        <w:t>影响可接受。尾矿库平面布置较合理。</w:t>
      </w:r>
    </w:p>
    <w:p w14:paraId="14676375">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）生活办公区</w:t>
      </w:r>
    </w:p>
    <w:p w14:paraId="7B6D653B">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办公生活区位于选矿厂南侧界内平坦地带。占地面积约1.16</w:t>
      </w:r>
      <w:r>
        <w:rPr>
          <w:rFonts w:hint="eastAsia"/>
          <w:color w:val="000000" w:themeColor="text1"/>
          <w:highlight w:val="none"/>
          <w:lang w:val="en-US" w:eastAsia="zh-CN"/>
          <w14:textFill>
            <w14:solidFill>
              <w14:schemeClr w14:val="tx1"/>
            </w14:solidFill>
          </w14:textFill>
        </w:rPr>
        <w:t>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，包括办公楼、职工宿舍、食堂、澡堂、厕所等，建筑结构为1层砖混结构以及1层板房，办公生活区地面为水泥硬化，建筑面积约1700</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。生活办公区远离选矿厂，处于选矿厂</w:t>
      </w:r>
      <w:r>
        <w:rPr>
          <w:rFonts w:hint="eastAsia"/>
          <w:color w:val="000000" w:themeColor="text1"/>
          <w:highlight w:val="none"/>
          <w:lang w:eastAsia="zh-CN"/>
          <w14:textFill>
            <w14:solidFill>
              <w14:schemeClr w14:val="tx1"/>
            </w14:solidFill>
          </w14:textFill>
        </w:rPr>
        <w:t>侧风向</w:t>
      </w:r>
      <w:r>
        <w:rPr>
          <w:rFonts w:hint="eastAsia"/>
          <w:color w:val="000000" w:themeColor="text1"/>
          <w:highlight w:val="none"/>
          <w14:textFill>
            <w14:solidFill>
              <w14:schemeClr w14:val="tx1"/>
            </w14:solidFill>
          </w14:textFill>
        </w:rPr>
        <w:t>、尾矿库的</w:t>
      </w:r>
      <w:r>
        <w:rPr>
          <w:rFonts w:hint="eastAsia"/>
          <w:color w:val="000000" w:themeColor="text1"/>
          <w:highlight w:val="none"/>
          <w:lang w:eastAsia="zh-CN"/>
          <w14:textFill>
            <w14:solidFill>
              <w14:schemeClr w14:val="tx1"/>
            </w14:solidFill>
          </w14:textFill>
        </w:rPr>
        <w:t>上风向</w:t>
      </w:r>
      <w:r>
        <w:rPr>
          <w:rFonts w:hint="eastAsia"/>
          <w:color w:val="000000" w:themeColor="text1"/>
          <w:highlight w:val="none"/>
          <w14:textFill>
            <w14:solidFill>
              <w14:schemeClr w14:val="tx1"/>
            </w14:solidFill>
          </w14:textFill>
        </w:rPr>
        <w:t>，不受工业噪声的影响，粉尘在采取严格的治理措施后，生活办公区受大气污染的影响可接受，由此可见，生活办公区总平面布置较合理。</w:t>
      </w:r>
    </w:p>
    <w:p w14:paraId="3FE92565">
      <w:pPr>
        <w:pStyle w:val="4"/>
        <w:rPr>
          <w:color w:val="000000" w:themeColor="text1"/>
          <w:highlight w:val="none"/>
          <w14:textFill>
            <w14:solidFill>
              <w14:schemeClr w14:val="tx1"/>
            </w14:solidFill>
          </w14:textFill>
        </w:rPr>
      </w:pPr>
      <w:bookmarkStart w:id="461" w:name="_Toc17509"/>
      <w:bookmarkStart w:id="462" w:name="_Toc7124"/>
      <w:bookmarkStart w:id="463" w:name="_Toc19004"/>
      <w:r>
        <w:rPr>
          <w:rFonts w:hint="eastAsia"/>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选址合理性分析</w:t>
      </w:r>
      <w:bookmarkEnd w:id="461"/>
      <w:bookmarkEnd w:id="462"/>
      <w:bookmarkEnd w:id="463"/>
    </w:p>
    <w:p w14:paraId="122BCF32">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.1选矿厂选址合理性分析</w:t>
      </w:r>
    </w:p>
    <w:p w14:paraId="3CC75DED">
      <w:pPr>
        <w:overflowPunct w:val="0"/>
        <w:topLinePunct/>
        <w:ind w:firstLine="48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选矿厂</w:t>
      </w:r>
      <w:r>
        <w:rPr>
          <w:color w:val="000000" w:themeColor="text1"/>
          <w:highlight w:val="none"/>
          <w14:textFill>
            <w14:solidFill>
              <w14:schemeClr w14:val="tx1"/>
            </w14:solidFill>
          </w14:textFill>
        </w:rPr>
        <w:t>区域地势平坦，占地性质为</w:t>
      </w:r>
      <w:r>
        <w:rPr>
          <w:rFonts w:hint="eastAsia"/>
          <w:color w:val="000000" w:themeColor="text1"/>
          <w:highlight w:val="none"/>
          <w:lang w:eastAsia="zh-CN"/>
          <w14:textFill>
            <w14:solidFill>
              <w14:schemeClr w14:val="tx1"/>
            </w14:solidFill>
          </w14:textFill>
        </w:rPr>
        <w:t>戈壁荒漠</w:t>
      </w:r>
      <w:r>
        <w:rPr>
          <w:color w:val="000000" w:themeColor="text1"/>
          <w:highlight w:val="none"/>
          <w14:textFill>
            <w14:solidFill>
              <w14:schemeClr w14:val="tx1"/>
            </w14:solidFill>
          </w14:textFill>
        </w:rPr>
        <w:t>，建设条件良好，不占用基本农田，不在自然保护区、世界自然遗产地、风景名胜区、森林公园、地质公园、重要湿地、饮用水水源保护区等重点保护区域内及其它法律法规禁止的区域，选址基本合理。</w:t>
      </w:r>
    </w:p>
    <w:p w14:paraId="7ABB21C2">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尾矿库</w:t>
      </w:r>
      <w:r>
        <w:rPr>
          <w:color w:val="000000" w:themeColor="text1"/>
          <w:highlight w:val="none"/>
          <w14:textFill>
            <w14:solidFill>
              <w14:schemeClr w14:val="tx1"/>
            </w14:solidFill>
          </w14:textFill>
        </w:rPr>
        <w:t>选址</w:t>
      </w:r>
      <w:r>
        <w:rPr>
          <w:rFonts w:hint="eastAsia"/>
          <w:color w:val="000000" w:themeColor="text1"/>
          <w:highlight w:val="none"/>
          <w14:textFill>
            <w14:solidFill>
              <w14:schemeClr w14:val="tx1"/>
            </w14:solidFill>
          </w14:textFill>
        </w:rPr>
        <w:t>合理性分析</w:t>
      </w:r>
    </w:p>
    <w:p w14:paraId="3B27470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比选方案</w:t>
      </w:r>
    </w:p>
    <w:p w14:paraId="55D65A9C">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w:t>
      </w:r>
      <w:r>
        <w:rPr>
          <w:color w:val="000000" w:themeColor="text1"/>
          <w:highlight w:val="none"/>
          <w14:textFill>
            <w14:solidFill>
              <w14:schemeClr w14:val="tx1"/>
            </w14:solidFill>
          </w14:textFill>
        </w:rPr>
        <w:t>《</w:t>
      </w:r>
      <w:bookmarkStart w:id="464" w:name="_Toc16440"/>
      <w:r>
        <w:rPr>
          <w:rFonts w:hint="eastAsia"/>
          <w:color w:val="000000" w:themeColor="text1"/>
          <w:highlight w:val="none"/>
          <w:lang w:eastAsia="zh-CN"/>
          <w14:textFill>
            <w14:solidFill>
              <w14:schemeClr w14:val="tx1"/>
            </w14:solidFill>
          </w14:textFill>
        </w:rPr>
        <w:t>哈密市西成矿业有限责任公司</w:t>
      </w:r>
      <w:bookmarkEnd w:id="464"/>
      <w:r>
        <w:rPr>
          <w:rFonts w:hint="eastAsia"/>
          <w:color w:val="000000" w:themeColor="text1"/>
          <w:highlight w:val="none"/>
          <w:lang w:eastAsia="zh-CN"/>
          <w14:textFill>
            <w14:solidFill>
              <w14:schemeClr w14:val="tx1"/>
            </w14:solidFill>
          </w14:textFill>
        </w:rPr>
        <w:t>M1033铁矿选矿厂尾矿库初步设计</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（以下简称“</w:t>
      </w:r>
      <w:r>
        <w:rPr>
          <w:rFonts w:hint="eastAsia"/>
          <w:color w:val="000000" w:themeColor="text1"/>
          <w:highlight w:val="none"/>
          <w:lang w:eastAsia="zh-CN"/>
          <w14:textFill>
            <w14:solidFill>
              <w14:schemeClr w14:val="tx1"/>
            </w14:solidFill>
          </w14:textFill>
        </w:rPr>
        <w:t>初步设计</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在选矿厂周边有两个库址可供选择</w:t>
      </w:r>
      <w:r>
        <w:rPr>
          <w:rFonts w:hint="eastAsia"/>
          <w:color w:val="000000" w:themeColor="text1"/>
          <w:highlight w:val="none"/>
          <w14:textFill>
            <w14:solidFill>
              <w14:schemeClr w14:val="tx1"/>
            </w14:solidFill>
          </w14:textFill>
        </w:rPr>
        <w:t>，故而建设单位提出2个尾矿库拟选址方案，</w:t>
      </w:r>
      <w:r>
        <w:rPr>
          <w:color w:val="000000" w:themeColor="text1"/>
          <w:highlight w:val="none"/>
          <w14:textFill>
            <w14:solidFill>
              <w14:schemeClr w14:val="tx1"/>
            </w14:solidFill>
          </w14:textFill>
        </w:rPr>
        <w:t>一是位于</w:t>
      </w:r>
      <w:r>
        <w:rPr>
          <w:rFonts w:hint="eastAsia"/>
          <w:color w:val="000000" w:themeColor="text1"/>
          <w:highlight w:val="none"/>
          <w:lang w:eastAsia="zh-CN"/>
          <w14:textFill>
            <w14:solidFill>
              <w14:schemeClr w14:val="tx1"/>
            </w14:solidFill>
          </w14:textFill>
        </w:rPr>
        <w:t>现有</w:t>
      </w:r>
      <w:r>
        <w:rPr>
          <w:color w:val="000000" w:themeColor="text1"/>
          <w:highlight w:val="none"/>
          <w14:textFill>
            <w14:solidFill>
              <w14:schemeClr w14:val="tx1"/>
            </w14:solidFill>
          </w14:textFill>
        </w:rPr>
        <w:t>选矿厂</w:t>
      </w:r>
      <w:r>
        <w:rPr>
          <w:rFonts w:hint="eastAsia"/>
          <w:color w:val="000000" w:themeColor="text1"/>
          <w:highlight w:val="none"/>
          <w14:textFill>
            <w14:solidFill>
              <w14:schemeClr w14:val="tx1"/>
            </w14:solidFill>
          </w14:textFill>
        </w:rPr>
        <w:t>东</w:t>
      </w:r>
      <w:r>
        <w:rPr>
          <w:rFonts w:hint="eastAsia"/>
          <w:color w:val="000000" w:themeColor="text1"/>
          <w:highlight w:val="none"/>
          <w:lang w:eastAsia="zh-CN"/>
          <w14:textFill>
            <w14:solidFill>
              <w14:schemeClr w14:val="tx1"/>
            </w14:solidFill>
          </w14:textFill>
        </w:rPr>
        <w:t>南</w:t>
      </w:r>
      <w:r>
        <w:rPr>
          <w:rFonts w:hint="eastAsia"/>
          <w:color w:val="000000" w:themeColor="text1"/>
          <w:highlight w:val="none"/>
          <w14:textFill>
            <w14:solidFill>
              <w14:schemeClr w14:val="tx1"/>
            </w14:solidFill>
          </w14:textFill>
        </w:rPr>
        <w:t>侧，称为库址一；二是位于现有</w:t>
      </w:r>
      <w:r>
        <w:rPr>
          <w:color w:val="000000" w:themeColor="text1"/>
          <w:highlight w:val="none"/>
          <w14:textFill>
            <w14:solidFill>
              <w14:schemeClr w14:val="tx1"/>
            </w14:solidFill>
          </w14:textFill>
        </w:rPr>
        <w:t>选矿厂</w:t>
      </w:r>
      <w:r>
        <w:rPr>
          <w:rFonts w:hint="eastAsia"/>
          <w:color w:val="000000" w:themeColor="text1"/>
          <w:highlight w:val="none"/>
          <w:lang w:eastAsia="zh-CN"/>
          <w14:textFill>
            <w14:solidFill>
              <w14:schemeClr w14:val="tx1"/>
            </w14:solidFill>
          </w14:textFill>
        </w:rPr>
        <w:t>南</w:t>
      </w:r>
      <w:r>
        <w:rPr>
          <w:color w:val="000000" w:themeColor="text1"/>
          <w:highlight w:val="none"/>
          <w14:textFill>
            <w14:solidFill>
              <w14:schemeClr w14:val="tx1"/>
            </w14:solidFill>
          </w14:textFill>
        </w:rPr>
        <w:t>侧，称为库址二</w:t>
      </w:r>
      <w:r>
        <w:rPr>
          <w:rFonts w:hint="eastAsia"/>
          <w:color w:val="000000" w:themeColor="text1"/>
          <w:highlight w:val="none"/>
          <w14:textFill>
            <w14:solidFill>
              <w14:schemeClr w14:val="tx1"/>
            </w14:solidFill>
          </w14:textFill>
        </w:rPr>
        <w:t>。</w:t>
      </w:r>
    </w:p>
    <w:p w14:paraId="53AE208A">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eastAsia"/>
          <w:color w:val="000000" w:themeColor="text1"/>
          <w:highlight w:val="none"/>
          <w14:textFill>
            <w14:solidFill>
              <w14:schemeClr w14:val="tx1"/>
            </w14:solidFill>
          </w14:textFill>
        </w:rPr>
        <w:t>尾矿库</w:t>
      </w:r>
      <w:r>
        <w:rPr>
          <w:color w:val="000000" w:themeColor="text1"/>
          <w:highlight w:val="none"/>
          <w14:textFill>
            <w14:solidFill>
              <w14:schemeClr w14:val="tx1"/>
            </w14:solidFill>
          </w14:textFill>
        </w:rPr>
        <w:t>选址方案一</w:t>
      </w:r>
      <w:r>
        <w:rPr>
          <w:rFonts w:hint="eastAsia"/>
          <w:color w:val="000000" w:themeColor="text1"/>
          <w:highlight w:val="none"/>
          <w14:textFill>
            <w14:solidFill>
              <w14:schemeClr w14:val="tx1"/>
            </w14:solidFill>
          </w14:textFill>
        </w:rPr>
        <w:t>（库址一）</w:t>
      </w:r>
      <w:r>
        <w:rPr>
          <w:rFonts w:hint="eastAsia"/>
          <w:color w:val="000000" w:themeColor="text1"/>
          <w:highlight w:val="none"/>
          <w:lang w:eastAsia="zh-CN"/>
          <w14:textFill>
            <w14:solidFill>
              <w14:schemeClr w14:val="tx1"/>
            </w14:solidFill>
          </w14:textFill>
        </w:rPr>
        <w:t>：</w:t>
      </w:r>
    </w:p>
    <w:p w14:paraId="1003132A">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库址一</w:t>
      </w:r>
      <w:r>
        <w:rPr>
          <w:color w:val="000000" w:themeColor="text1"/>
          <w:highlight w:val="none"/>
          <w14:textFill>
            <w14:solidFill>
              <w14:schemeClr w14:val="tx1"/>
            </w14:solidFill>
          </w14:textFill>
        </w:rPr>
        <w:t>位于现有选矿厂</w:t>
      </w:r>
      <w:r>
        <w:rPr>
          <w:rFonts w:hint="eastAsia"/>
          <w:color w:val="000000" w:themeColor="text1"/>
          <w:highlight w:val="none"/>
          <w:lang w:eastAsia="zh-CN"/>
          <w14:textFill>
            <w14:solidFill>
              <w14:schemeClr w14:val="tx1"/>
            </w14:solidFill>
          </w14:textFill>
        </w:rPr>
        <w:t>东南</w:t>
      </w:r>
      <w:r>
        <w:rPr>
          <w:color w:val="000000" w:themeColor="text1"/>
          <w:highlight w:val="none"/>
          <w14:textFill>
            <w14:solidFill>
              <w14:schemeClr w14:val="tx1"/>
            </w14:solidFill>
          </w14:textFill>
        </w:rPr>
        <w:t>侧</w:t>
      </w:r>
      <w:r>
        <w:rPr>
          <w:rFonts w:hint="eastAsia"/>
          <w:color w:val="000000" w:themeColor="text1"/>
          <w:highlight w:val="none"/>
          <w:lang w:val="en-US" w:eastAsia="zh-CN"/>
          <w14:textFill>
            <w14:solidFill>
              <w14:schemeClr w14:val="tx1"/>
            </w14:solidFill>
          </w14:textFill>
        </w:rPr>
        <w:t>0.6km</w:t>
      </w:r>
      <w:r>
        <w:rPr>
          <w:color w:val="000000" w:themeColor="text1"/>
          <w:highlight w:val="none"/>
          <w14:textFill>
            <w14:solidFill>
              <w14:schemeClr w14:val="tx1"/>
            </w14:solidFill>
          </w14:textFill>
        </w:rPr>
        <w:t>处，海拔</w:t>
      </w:r>
      <w:r>
        <w:rPr>
          <w:rFonts w:hint="eastAsia"/>
          <w:color w:val="000000" w:themeColor="text1"/>
          <w:highlight w:val="none"/>
          <w:lang w:val="en-US" w:eastAsia="zh-CN"/>
          <w14:textFill>
            <w14:solidFill>
              <w14:schemeClr w14:val="tx1"/>
            </w14:solidFill>
          </w14:textFill>
        </w:rPr>
        <w:t>1168</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1172</w:t>
      </w:r>
      <w:r>
        <w:rPr>
          <w:color w:val="000000" w:themeColor="text1"/>
          <w:highlight w:val="none"/>
          <w14:textFill>
            <w14:solidFill>
              <w14:schemeClr w14:val="tx1"/>
            </w14:solidFill>
          </w14:textFill>
        </w:rPr>
        <w:t>m</w:t>
      </w:r>
      <w:r>
        <w:rPr>
          <w:rFonts w:hint="eastAsia"/>
          <w:color w:val="000000" w:themeColor="text1"/>
          <w:highlight w:val="none"/>
          <w:lang w:eastAsia="zh-CN"/>
          <w14:textFill>
            <w14:solidFill>
              <w14:schemeClr w14:val="tx1"/>
            </w14:solidFill>
          </w14:textFill>
        </w:rPr>
        <w:t>，周边略有丘陵起伏</w:t>
      </w:r>
      <w:r>
        <w:rPr>
          <w:color w:val="000000" w:themeColor="text1"/>
          <w:highlight w:val="none"/>
          <w14:textFill>
            <w14:solidFill>
              <w14:schemeClr w14:val="tx1"/>
            </w14:solidFill>
          </w14:textFill>
        </w:rPr>
        <w:t>，属于</w:t>
      </w:r>
      <w:r>
        <w:rPr>
          <w:rFonts w:hint="eastAsia"/>
          <w:color w:val="000000" w:themeColor="text1"/>
          <w:highlight w:val="none"/>
          <w:lang w:eastAsia="zh-CN"/>
          <w14:textFill>
            <w14:solidFill>
              <w14:schemeClr w14:val="tx1"/>
            </w14:solidFill>
          </w14:textFill>
        </w:rPr>
        <w:t>平地</w:t>
      </w:r>
      <w:r>
        <w:rPr>
          <w:color w:val="000000" w:themeColor="text1"/>
          <w:highlight w:val="none"/>
          <w14:textFill>
            <w14:solidFill>
              <w14:schemeClr w14:val="tx1"/>
            </w14:solidFill>
          </w14:textFill>
        </w:rPr>
        <w:t>型尾矿库，区域地形呈南低北高，占地面积</w:t>
      </w:r>
      <w:r>
        <w:rPr>
          <w:rFonts w:hint="eastAsia"/>
          <w:color w:val="000000" w:themeColor="text1"/>
          <w:highlight w:val="none"/>
          <w:lang w:val="en-US" w:eastAsia="zh-CN"/>
          <w14:textFill>
            <w14:solidFill>
              <w14:schemeClr w14:val="tx1"/>
            </w14:solidFill>
          </w14:textFill>
        </w:rPr>
        <w:t>44.18</w:t>
      </w:r>
      <w:r>
        <w:rPr>
          <w:rFonts w:hint="eastAsia"/>
          <w:color w:val="000000" w:themeColor="text1"/>
          <w:highlight w:val="none"/>
          <w14:textFill>
            <w14:solidFill>
              <w14:schemeClr w14:val="tx1"/>
            </w14:solidFill>
          </w14:textFill>
        </w:rPr>
        <w:t>hm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，占地性质为</w:t>
      </w:r>
      <w:r>
        <w:rPr>
          <w:rFonts w:hint="eastAsia"/>
          <w:color w:val="000000" w:themeColor="text1"/>
          <w:highlight w:val="none"/>
          <w:lang w:val="en-US" w:eastAsia="zh-CN"/>
          <w14:textFill>
            <w14:solidFill>
              <w14:schemeClr w14:val="tx1"/>
            </w14:solidFill>
          </w14:textFill>
        </w:rPr>
        <w:t>戈壁</w:t>
      </w:r>
      <w:r>
        <w:rPr>
          <w:rFonts w:hint="eastAsia"/>
          <w:color w:val="000000" w:themeColor="text1"/>
          <w:highlight w:val="none"/>
          <w:lang w:eastAsia="zh-CN"/>
          <w14:textFill>
            <w14:solidFill>
              <w14:schemeClr w14:val="tx1"/>
            </w14:solidFill>
          </w14:textFill>
        </w:rPr>
        <w:t>荒漠</w:t>
      </w:r>
      <w:r>
        <w:rPr>
          <w:color w:val="000000" w:themeColor="text1"/>
          <w:highlight w:val="none"/>
          <w14:textFill>
            <w14:solidFill>
              <w14:schemeClr w14:val="tx1"/>
            </w14:solidFill>
          </w14:textFill>
        </w:rPr>
        <w:t>，不占用基本农田，</w:t>
      </w:r>
      <w:r>
        <w:rPr>
          <w:rFonts w:hint="eastAsia"/>
          <w:color w:val="000000" w:themeColor="text1"/>
          <w:highlight w:val="none"/>
          <w14:textFill>
            <w14:solidFill>
              <w14:schemeClr w14:val="tx1"/>
            </w14:solidFill>
          </w14:textFill>
        </w:rPr>
        <w:t>地处选矿厂</w:t>
      </w:r>
      <w:r>
        <w:rPr>
          <w:rFonts w:hint="eastAsia"/>
          <w:color w:val="000000" w:themeColor="text1"/>
          <w:highlight w:val="none"/>
          <w:lang w:eastAsia="zh-CN"/>
          <w14:textFill>
            <w14:solidFill>
              <w14:schemeClr w14:val="tx1"/>
            </w14:solidFill>
          </w14:textFill>
        </w:rPr>
        <w:t>下</w:t>
      </w:r>
      <w:r>
        <w:rPr>
          <w:rFonts w:hint="eastAsia"/>
          <w:color w:val="000000" w:themeColor="text1"/>
          <w:highlight w:val="none"/>
          <w14:textFill>
            <w14:solidFill>
              <w14:schemeClr w14:val="tx1"/>
            </w14:solidFill>
          </w14:textFill>
        </w:rPr>
        <w:t>游</w:t>
      </w:r>
      <w:r>
        <w:rPr>
          <w:color w:val="000000" w:themeColor="text1"/>
          <w:highlight w:val="none"/>
          <w14:textFill>
            <w14:solidFill>
              <w14:schemeClr w14:val="tx1"/>
            </w14:solidFill>
          </w14:textFill>
        </w:rPr>
        <w:t>，不在大型水源地和居民区的上游，尾矿库的建设不存在拆迁，库区域无压覆矿产问题。</w:t>
      </w:r>
    </w:p>
    <w:p w14:paraId="2D461511">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eastAsia"/>
          <w:color w:val="000000" w:themeColor="text1"/>
          <w:highlight w:val="none"/>
          <w14:textFill>
            <w14:solidFill>
              <w14:schemeClr w14:val="tx1"/>
            </w14:solidFill>
          </w14:textFill>
        </w:rPr>
        <w:t>尾矿库</w:t>
      </w:r>
      <w:r>
        <w:rPr>
          <w:color w:val="000000" w:themeColor="text1"/>
          <w:highlight w:val="none"/>
          <w14:textFill>
            <w14:solidFill>
              <w14:schemeClr w14:val="tx1"/>
            </w14:solidFill>
          </w14:textFill>
        </w:rPr>
        <w:t>选址方案</w:t>
      </w:r>
      <w:r>
        <w:rPr>
          <w:rFonts w:hint="eastAsia"/>
          <w:color w:val="000000" w:themeColor="text1"/>
          <w:highlight w:val="none"/>
          <w14:textFill>
            <w14:solidFill>
              <w14:schemeClr w14:val="tx1"/>
            </w14:solidFill>
          </w14:textFill>
        </w:rPr>
        <w:t>二（库址</w:t>
      </w:r>
      <w:r>
        <w:rPr>
          <w:color w:val="000000" w:themeColor="text1"/>
          <w:highlight w:val="none"/>
          <w14:textFill>
            <w14:solidFill>
              <w14:schemeClr w14:val="tx1"/>
            </w14:solidFill>
          </w14:textFill>
        </w:rPr>
        <w:t>二</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14:paraId="768403BC">
      <w:pPr>
        <w:overflowPunct w:val="0"/>
        <w:topLinePunct/>
        <w:ind w:firstLine="480"/>
        <w:rPr>
          <w:color w:val="000000" w:themeColor="text1"/>
          <w:szCs w:val="28"/>
          <w:highlight w:val="none"/>
          <w14:textFill>
            <w14:solidFill>
              <w14:schemeClr w14:val="tx1"/>
            </w14:solidFill>
          </w14:textFill>
        </w:rPr>
      </w:pPr>
      <w:r>
        <w:rPr>
          <w:rFonts w:hint="eastAsia"/>
          <w:color w:val="000000" w:themeColor="text1"/>
          <w:highlight w:val="none"/>
          <w14:textFill>
            <w14:solidFill>
              <w14:schemeClr w14:val="tx1"/>
            </w14:solidFill>
          </w14:textFill>
        </w:rPr>
        <w:t>库址</w:t>
      </w:r>
      <w:r>
        <w:rPr>
          <w:color w:val="000000" w:themeColor="text1"/>
          <w:highlight w:val="none"/>
          <w14:textFill>
            <w14:solidFill>
              <w14:schemeClr w14:val="tx1"/>
            </w14:solidFill>
          </w14:textFill>
        </w:rPr>
        <w:t>二位于现有选厂</w:t>
      </w:r>
      <w:r>
        <w:rPr>
          <w:rFonts w:hint="eastAsia"/>
          <w:color w:val="000000" w:themeColor="text1"/>
          <w:highlight w:val="none"/>
          <w:lang w:val="en-US" w:eastAsia="zh-CN"/>
          <w14:textFill>
            <w14:solidFill>
              <w14:schemeClr w14:val="tx1"/>
            </w14:solidFill>
          </w14:textFill>
        </w:rPr>
        <w:t>西</w:t>
      </w:r>
      <w:r>
        <w:rPr>
          <w:rFonts w:hint="eastAsia"/>
          <w:color w:val="000000" w:themeColor="text1"/>
          <w:highlight w:val="none"/>
          <w:lang w:eastAsia="zh-CN"/>
          <w14:textFill>
            <w14:solidFill>
              <w14:schemeClr w14:val="tx1"/>
            </w14:solidFill>
          </w14:textFill>
        </w:rPr>
        <w:t>南</w:t>
      </w:r>
      <w:r>
        <w:rPr>
          <w:color w:val="000000" w:themeColor="text1"/>
          <w:highlight w:val="none"/>
          <w14:textFill>
            <w14:solidFill>
              <w14:schemeClr w14:val="tx1"/>
            </w14:solidFill>
          </w14:textFill>
        </w:rPr>
        <w:t>侧</w:t>
      </w:r>
      <w:r>
        <w:rPr>
          <w:rFonts w:hint="eastAsia"/>
          <w:color w:val="000000" w:themeColor="text1"/>
          <w:highlight w:val="none"/>
          <w:lang w:val="en-US" w:eastAsia="zh-CN"/>
          <w14:textFill>
            <w14:solidFill>
              <w14:schemeClr w14:val="tx1"/>
            </w14:solidFill>
          </w14:textFill>
        </w:rPr>
        <w:t>1.1km</w:t>
      </w:r>
      <w:r>
        <w:rPr>
          <w:color w:val="000000" w:themeColor="text1"/>
          <w:highlight w:val="none"/>
          <w14:textFill>
            <w14:solidFill>
              <w14:schemeClr w14:val="tx1"/>
            </w14:solidFill>
          </w14:textFill>
        </w:rPr>
        <w:t>处的</w:t>
      </w:r>
      <w:r>
        <w:rPr>
          <w:rFonts w:hint="eastAsia"/>
          <w:color w:val="000000" w:themeColor="text1"/>
          <w:highlight w:val="none"/>
          <w:lang w:eastAsia="zh-CN"/>
          <w14:textFill>
            <w14:solidFill>
              <w14:schemeClr w14:val="tx1"/>
            </w14:solidFill>
          </w14:textFill>
        </w:rPr>
        <w:t>平地</w:t>
      </w:r>
      <w:r>
        <w:rPr>
          <w:color w:val="000000" w:themeColor="text1"/>
          <w:highlight w:val="none"/>
          <w14:textFill>
            <w14:solidFill>
              <w14:schemeClr w14:val="tx1"/>
            </w14:solidFill>
          </w14:textFill>
        </w:rPr>
        <w:t>内，海拔</w:t>
      </w:r>
      <w:r>
        <w:rPr>
          <w:rFonts w:hint="eastAsia"/>
          <w:color w:val="000000" w:themeColor="text1"/>
          <w:highlight w:val="none"/>
          <w14:textFill>
            <w14:solidFill>
              <w14:schemeClr w14:val="tx1"/>
            </w14:solidFill>
          </w14:textFill>
        </w:rPr>
        <w:t>1230.9～1245.1m</w:t>
      </w:r>
      <w:r>
        <w:rPr>
          <w:color w:val="000000" w:themeColor="text1"/>
          <w:highlight w:val="none"/>
          <w14:textFill>
            <w14:solidFill>
              <w14:schemeClr w14:val="tx1"/>
            </w14:solidFill>
          </w14:textFill>
        </w:rPr>
        <w:t>，属于</w:t>
      </w:r>
      <w:r>
        <w:rPr>
          <w:rFonts w:hint="eastAsia"/>
          <w:color w:val="000000" w:themeColor="text1"/>
          <w:highlight w:val="none"/>
          <w:lang w:eastAsia="zh-CN"/>
          <w14:textFill>
            <w14:solidFill>
              <w14:schemeClr w14:val="tx1"/>
            </w14:solidFill>
          </w14:textFill>
        </w:rPr>
        <w:t>平地</w:t>
      </w:r>
      <w:r>
        <w:rPr>
          <w:color w:val="000000" w:themeColor="text1"/>
          <w:highlight w:val="none"/>
          <w14:textFill>
            <w14:solidFill>
              <w14:schemeClr w14:val="tx1"/>
            </w14:solidFill>
          </w14:textFill>
        </w:rPr>
        <w:t>型尾矿库，地形呈</w:t>
      </w:r>
      <w:r>
        <w:rPr>
          <w:rFonts w:hint="eastAsia"/>
          <w:color w:val="000000" w:themeColor="text1"/>
          <w:highlight w:val="none"/>
          <w:lang w:eastAsia="zh-CN"/>
          <w14:textFill>
            <w14:solidFill>
              <w14:schemeClr w14:val="tx1"/>
            </w14:solidFill>
          </w14:textFill>
        </w:rPr>
        <w:t>东</w:t>
      </w:r>
      <w:r>
        <w:rPr>
          <w:rFonts w:hint="eastAsia"/>
          <w:color w:val="000000" w:themeColor="text1"/>
          <w:highlight w:val="none"/>
          <w14:textFill>
            <w14:solidFill>
              <w14:schemeClr w14:val="tx1"/>
            </w14:solidFill>
          </w14:textFill>
        </w:rPr>
        <w:t>高</w:t>
      </w:r>
      <w:r>
        <w:rPr>
          <w:rFonts w:hint="eastAsia"/>
          <w:color w:val="000000" w:themeColor="text1"/>
          <w:highlight w:val="none"/>
          <w:lang w:eastAsia="zh-CN"/>
          <w14:textFill>
            <w14:solidFill>
              <w14:schemeClr w14:val="tx1"/>
            </w14:solidFill>
          </w14:textFill>
        </w:rPr>
        <w:t>西</w:t>
      </w:r>
      <w:r>
        <w:rPr>
          <w:rFonts w:hint="eastAsia"/>
          <w:color w:val="000000" w:themeColor="text1"/>
          <w:highlight w:val="none"/>
          <w14:textFill>
            <w14:solidFill>
              <w14:schemeClr w14:val="tx1"/>
            </w14:solidFill>
          </w14:textFill>
        </w:rPr>
        <w:t>低、北高南低</w:t>
      </w:r>
      <w:r>
        <w:rPr>
          <w:color w:val="000000" w:themeColor="text1"/>
          <w:highlight w:val="none"/>
          <w14:textFill>
            <w14:solidFill>
              <w14:schemeClr w14:val="tx1"/>
            </w14:solidFill>
          </w14:textFill>
        </w:rPr>
        <w:t>，占地面积</w:t>
      </w:r>
      <w:r>
        <w:rPr>
          <w:rFonts w:hint="eastAsia"/>
          <w:color w:val="000000" w:themeColor="text1"/>
          <w:highlight w:val="none"/>
          <w:lang w:val="en-US" w:eastAsia="zh-CN"/>
          <w14:textFill>
            <w14:solidFill>
              <w14:schemeClr w14:val="tx1"/>
            </w14:solidFill>
          </w14:textFill>
        </w:rPr>
        <w:t>42.96</w:t>
      </w:r>
      <w:r>
        <w:rPr>
          <w:rFonts w:hint="eastAsia"/>
          <w:color w:val="000000" w:themeColor="text1"/>
          <w:highlight w:val="none"/>
          <w14:textFill>
            <w14:solidFill>
              <w14:schemeClr w14:val="tx1"/>
            </w14:solidFill>
          </w14:textFill>
        </w:rPr>
        <w:t>h</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，占地性质为</w:t>
      </w:r>
      <w:r>
        <w:rPr>
          <w:rFonts w:hint="eastAsia"/>
          <w:color w:val="000000" w:themeColor="text1"/>
          <w:highlight w:val="none"/>
          <w:lang w:eastAsia="zh-CN"/>
          <w14:textFill>
            <w14:solidFill>
              <w14:schemeClr w14:val="tx1"/>
            </w14:solidFill>
          </w14:textFill>
        </w:rPr>
        <w:t>戈壁荒漠</w:t>
      </w:r>
      <w:r>
        <w:rPr>
          <w:color w:val="000000" w:themeColor="text1"/>
          <w:highlight w:val="none"/>
          <w14:textFill>
            <w14:solidFill>
              <w14:schemeClr w14:val="tx1"/>
            </w14:solidFill>
          </w14:textFill>
        </w:rPr>
        <w:t>，不占用基本农田，不在工业企业、大型水源地、水产基地和居民区的上游，尾矿库的建设不存在拆迁，库区域无压覆矿产问题。</w:t>
      </w:r>
    </w:p>
    <w:p w14:paraId="091428BF">
      <w:pPr>
        <w:ind w:firstLine="48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尾矿库方案比选情况见表3.2-</w:t>
      </w:r>
      <w:r>
        <w:rPr>
          <w:rFonts w:hint="eastAsia"/>
          <w:color w:val="000000" w:themeColor="text1"/>
          <w:szCs w:val="28"/>
          <w:highlight w:val="none"/>
          <w:lang w:val="en-US" w:eastAsia="zh-CN"/>
          <w14:textFill>
            <w14:solidFill>
              <w14:schemeClr w14:val="tx1"/>
            </w14:solidFill>
          </w14:textFill>
        </w:rPr>
        <w:t>7</w:t>
      </w:r>
      <w:r>
        <w:rPr>
          <w:rFonts w:hint="eastAsia"/>
          <w:color w:val="000000" w:themeColor="text1"/>
          <w:szCs w:val="28"/>
          <w:highlight w:val="none"/>
          <w14:textFill>
            <w14:solidFill>
              <w14:schemeClr w14:val="tx1"/>
            </w14:solidFill>
          </w14:textFill>
        </w:rPr>
        <w:t>。</w:t>
      </w:r>
    </w:p>
    <w:p w14:paraId="0BF88E73">
      <w:pPr>
        <w:ind w:firstLine="0" w:firstLineChars="0"/>
        <w:jc w:val="center"/>
        <w:rPr>
          <w:b/>
          <w:bCs/>
          <w:color w:val="000000" w:themeColor="text1"/>
          <w:szCs w:val="28"/>
          <w:highlight w:val="none"/>
          <w14:textFill>
            <w14:solidFill>
              <w14:schemeClr w14:val="tx1"/>
            </w14:solidFill>
          </w14:textFill>
        </w:rPr>
      </w:pPr>
      <w:r>
        <w:rPr>
          <w:rFonts w:hint="eastAsia"/>
          <w:b/>
          <w:bCs/>
          <w:color w:val="000000" w:themeColor="text1"/>
          <w:szCs w:val="28"/>
          <w:highlight w:val="none"/>
          <w14:textFill>
            <w14:solidFill>
              <w14:schemeClr w14:val="tx1"/>
            </w14:solidFill>
          </w14:textFill>
        </w:rPr>
        <w:t>表3.2-</w:t>
      </w:r>
      <w:r>
        <w:rPr>
          <w:rFonts w:hint="eastAsia"/>
          <w:b/>
          <w:bCs/>
          <w:color w:val="000000" w:themeColor="text1"/>
          <w:szCs w:val="28"/>
          <w:highlight w:val="none"/>
          <w:lang w:val="en-US" w:eastAsia="zh-CN"/>
          <w14:textFill>
            <w14:solidFill>
              <w14:schemeClr w14:val="tx1"/>
            </w14:solidFill>
          </w14:textFill>
        </w:rPr>
        <w:t>7</w:t>
      </w:r>
      <w:r>
        <w:rPr>
          <w:rFonts w:hint="eastAsia"/>
          <w:b/>
          <w:bCs/>
          <w:color w:val="000000" w:themeColor="text1"/>
          <w:szCs w:val="28"/>
          <w:highlight w:val="none"/>
          <w14:textFill>
            <w14:solidFill>
              <w14:schemeClr w14:val="tx1"/>
            </w14:solidFill>
          </w14:textFill>
        </w:rPr>
        <w:t xml:space="preserve">    </w:t>
      </w:r>
      <w:r>
        <w:rPr>
          <w:b/>
          <w:bCs/>
          <w:color w:val="000000" w:themeColor="text1"/>
          <w:kern w:val="0"/>
          <w:highlight w:val="none"/>
          <w14:textFill>
            <w14:solidFill>
              <w14:schemeClr w14:val="tx1"/>
            </w14:solidFill>
          </w14:textFill>
        </w:rPr>
        <w:t>尾矿库方案比较表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916"/>
        <w:gridCol w:w="3487"/>
        <w:gridCol w:w="3683"/>
      </w:tblGrid>
      <w:tr w14:paraId="36E0A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240" w:type="pct"/>
            <w:vMerge w:val="restart"/>
            <w:vAlign w:val="center"/>
          </w:tcPr>
          <w:p w14:paraId="54246A71">
            <w:pPr>
              <w:adjustRightInd w:val="0"/>
              <w:snapToGrid w:val="0"/>
              <w:spacing w:line="360" w:lineRule="exact"/>
              <w:ind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序号</w:t>
            </w:r>
          </w:p>
        </w:tc>
        <w:tc>
          <w:tcPr>
            <w:tcW w:w="542" w:type="pct"/>
            <w:vMerge w:val="restart"/>
            <w:vAlign w:val="center"/>
          </w:tcPr>
          <w:p w14:paraId="3E1B1BDC">
            <w:pPr>
              <w:adjustRightInd w:val="0"/>
              <w:snapToGrid w:val="0"/>
              <w:spacing w:line="360" w:lineRule="exact"/>
              <w:ind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项目</w:t>
            </w:r>
          </w:p>
        </w:tc>
        <w:tc>
          <w:tcPr>
            <w:tcW w:w="4217" w:type="pct"/>
            <w:gridSpan w:val="2"/>
            <w:vAlign w:val="center"/>
          </w:tcPr>
          <w:p w14:paraId="166BFC2B">
            <w:pPr>
              <w:adjustRightInd w:val="0"/>
              <w:snapToGrid w:val="0"/>
              <w:spacing w:line="360" w:lineRule="exact"/>
              <w:ind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库址</w:t>
            </w:r>
          </w:p>
        </w:tc>
      </w:tr>
      <w:tr w14:paraId="44288D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240" w:type="pct"/>
            <w:vMerge w:val="continue"/>
            <w:vAlign w:val="center"/>
          </w:tcPr>
          <w:p w14:paraId="7B8BB577">
            <w:pPr>
              <w:adjustRightInd w:val="0"/>
              <w:snapToGrid w:val="0"/>
              <w:spacing w:line="360" w:lineRule="exact"/>
              <w:ind w:firstLine="0" w:firstLineChars="0"/>
              <w:jc w:val="center"/>
              <w:rPr>
                <w:b/>
                <w:color w:val="000000" w:themeColor="text1"/>
                <w:sz w:val="21"/>
                <w:szCs w:val="21"/>
                <w:highlight w:val="none"/>
                <w14:textFill>
                  <w14:solidFill>
                    <w14:schemeClr w14:val="tx1"/>
                  </w14:solidFill>
                </w14:textFill>
              </w:rPr>
            </w:pPr>
          </w:p>
        </w:tc>
        <w:tc>
          <w:tcPr>
            <w:tcW w:w="542" w:type="pct"/>
            <w:vMerge w:val="continue"/>
            <w:vAlign w:val="center"/>
          </w:tcPr>
          <w:p w14:paraId="0D7D04E2">
            <w:pPr>
              <w:adjustRightInd w:val="0"/>
              <w:snapToGrid w:val="0"/>
              <w:spacing w:line="360" w:lineRule="exact"/>
              <w:ind w:firstLine="0" w:firstLineChars="0"/>
              <w:jc w:val="center"/>
              <w:rPr>
                <w:b/>
                <w:color w:val="000000" w:themeColor="text1"/>
                <w:sz w:val="21"/>
                <w:szCs w:val="21"/>
                <w:highlight w:val="none"/>
                <w14:textFill>
                  <w14:solidFill>
                    <w14:schemeClr w14:val="tx1"/>
                  </w14:solidFill>
                </w14:textFill>
              </w:rPr>
            </w:pPr>
          </w:p>
        </w:tc>
        <w:tc>
          <w:tcPr>
            <w:tcW w:w="2051" w:type="pct"/>
            <w:vAlign w:val="center"/>
          </w:tcPr>
          <w:p w14:paraId="272AE732">
            <w:pPr>
              <w:adjustRightInd w:val="0"/>
              <w:snapToGrid w:val="0"/>
              <w:spacing w:line="360" w:lineRule="exact"/>
              <w:ind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方案</w:t>
            </w:r>
            <w:r>
              <w:rPr>
                <w:rFonts w:hint="eastAsia"/>
                <w:b/>
                <w:color w:val="000000" w:themeColor="text1"/>
                <w:sz w:val="21"/>
                <w:szCs w:val="21"/>
                <w:highlight w:val="none"/>
                <w14:textFill>
                  <w14:solidFill>
                    <w14:schemeClr w14:val="tx1"/>
                  </w14:solidFill>
                </w14:textFill>
              </w:rPr>
              <w:t>一</w:t>
            </w:r>
          </w:p>
        </w:tc>
        <w:tc>
          <w:tcPr>
            <w:tcW w:w="2165" w:type="pct"/>
            <w:vAlign w:val="center"/>
          </w:tcPr>
          <w:p w14:paraId="129C7CF9">
            <w:pPr>
              <w:adjustRightInd w:val="0"/>
              <w:snapToGrid w:val="0"/>
              <w:spacing w:line="360" w:lineRule="exact"/>
              <w:ind w:firstLine="0" w:firstLineChars="0"/>
              <w:jc w:val="center"/>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方案</w:t>
            </w:r>
            <w:r>
              <w:rPr>
                <w:rFonts w:hint="eastAsia"/>
                <w:b/>
                <w:color w:val="000000" w:themeColor="text1"/>
                <w:sz w:val="21"/>
                <w:szCs w:val="21"/>
                <w:highlight w:val="none"/>
                <w14:textFill>
                  <w14:solidFill>
                    <w14:schemeClr w14:val="tx1"/>
                  </w14:solidFill>
                </w14:textFill>
              </w:rPr>
              <w:t>二</w:t>
            </w:r>
          </w:p>
        </w:tc>
      </w:tr>
      <w:tr w14:paraId="6C7181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0" w:type="pct"/>
            <w:vAlign w:val="center"/>
          </w:tcPr>
          <w:p w14:paraId="1C5409FC">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542" w:type="pct"/>
            <w:vAlign w:val="center"/>
          </w:tcPr>
          <w:p w14:paraId="32A12D46">
            <w:pPr>
              <w:keepNext w:val="0"/>
              <w:keepLines w:val="0"/>
              <w:pageBreakBefore w:val="0"/>
              <w:widowControl w:val="0"/>
              <w:kinsoku/>
              <w:wordWrap/>
              <w:overflowPunct/>
              <w:topLinePunct w:val="0"/>
              <w:autoSpaceDE/>
              <w:autoSpaceDN/>
              <w:bidi w:val="0"/>
              <w:adjustRightInd w:val="0"/>
              <w:snapToGrid w:val="0"/>
              <w:spacing w:line="360" w:lineRule="exact"/>
              <w:ind w:left="-72" w:leftChars="-30" w:right="-72" w:rightChars="-3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w:t>
            </w:r>
            <w:r>
              <w:rPr>
                <w:rFonts w:hint="eastAsia"/>
                <w:color w:val="000000" w:themeColor="text1"/>
                <w:sz w:val="21"/>
                <w:szCs w:val="21"/>
                <w:highlight w:val="none"/>
                <w14:textFill>
                  <w14:solidFill>
                    <w14:schemeClr w14:val="tx1"/>
                  </w14:solidFill>
                </w14:textFill>
              </w:rPr>
              <w:t>敏感性</w:t>
            </w:r>
          </w:p>
        </w:tc>
        <w:tc>
          <w:tcPr>
            <w:tcW w:w="2051" w:type="pct"/>
            <w:vAlign w:val="center"/>
          </w:tcPr>
          <w:p w14:paraId="2037473B">
            <w:pPr>
              <w:adjustRightInd w:val="0"/>
              <w:snapToGrid w:val="0"/>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eastAsia="zh-CN"/>
                <w14:textFill>
                  <w14:solidFill>
                    <w14:schemeClr w14:val="tx1"/>
                  </w14:solidFill>
                </w14:textFill>
              </w:rPr>
              <w:t>土地利用类型为裸岩石砾地，用地性质为未利用地，占地范围不涉及生态、水环境保护目标，符合相关法律法规要求。</w:t>
            </w:r>
          </w:p>
          <w:p w14:paraId="551B3D99">
            <w:pPr>
              <w:adjustRightInd w:val="0"/>
              <w:snapToGrid w:val="0"/>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选址周围10km范围内无居民区</w:t>
            </w:r>
            <w:r>
              <w:rPr>
                <w:rFonts w:hint="eastAsia"/>
                <w:color w:val="000000" w:themeColor="text1"/>
                <w:sz w:val="21"/>
                <w:szCs w:val="21"/>
                <w:highlight w:val="none"/>
                <w14:textFill>
                  <w14:solidFill>
                    <w14:schemeClr w14:val="tx1"/>
                  </w14:solidFill>
                </w14:textFill>
              </w:rPr>
              <w:t>。</w:t>
            </w:r>
          </w:p>
        </w:tc>
        <w:tc>
          <w:tcPr>
            <w:tcW w:w="2165" w:type="pct"/>
            <w:vAlign w:val="center"/>
          </w:tcPr>
          <w:p w14:paraId="7C5E928B">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eastAsia="zh-CN"/>
                <w14:textFill>
                  <w14:solidFill>
                    <w14:schemeClr w14:val="tx1"/>
                  </w14:solidFill>
                </w14:textFill>
              </w:rPr>
              <w:t>土地利用类型为裸岩石砾地，用地性质为未利用地，占地范围不涉及生态、水环境保护目标，符合相关法律法规要求。</w:t>
            </w:r>
          </w:p>
          <w:p w14:paraId="31D8B216">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r>
              <w:rPr>
                <w:rFonts w:hint="eastAsia"/>
                <w:color w:val="000000" w:themeColor="text1"/>
                <w:sz w:val="21"/>
                <w:szCs w:val="21"/>
                <w:highlight w:val="none"/>
                <w:lang w:eastAsia="zh-CN"/>
                <w14:textFill>
                  <w14:solidFill>
                    <w14:schemeClr w14:val="tx1"/>
                  </w14:solidFill>
                </w14:textFill>
              </w:rPr>
              <w:t>选址周围10km范围内无居民区</w:t>
            </w:r>
            <w:r>
              <w:rPr>
                <w:rFonts w:hint="eastAsia"/>
                <w:color w:val="000000" w:themeColor="text1"/>
                <w:sz w:val="21"/>
                <w:szCs w:val="21"/>
                <w:highlight w:val="none"/>
                <w14:textFill>
                  <w14:solidFill>
                    <w14:schemeClr w14:val="tx1"/>
                  </w14:solidFill>
                </w14:textFill>
              </w:rPr>
              <w:t>。</w:t>
            </w:r>
          </w:p>
        </w:tc>
      </w:tr>
      <w:tr w14:paraId="2BF476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0" w:type="pct"/>
            <w:vAlign w:val="center"/>
          </w:tcPr>
          <w:p w14:paraId="2CFF315C">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542" w:type="pct"/>
            <w:vAlign w:val="center"/>
          </w:tcPr>
          <w:p w14:paraId="5F02B02A">
            <w:pPr>
              <w:keepNext w:val="0"/>
              <w:keepLines w:val="0"/>
              <w:pageBreakBefore w:val="0"/>
              <w:widowControl w:val="0"/>
              <w:kinsoku/>
              <w:wordWrap/>
              <w:overflowPunct/>
              <w:topLinePunct w:val="0"/>
              <w:autoSpaceDE/>
              <w:autoSpaceDN/>
              <w:bidi w:val="0"/>
              <w:adjustRightInd w:val="0"/>
              <w:snapToGrid w:val="0"/>
              <w:spacing w:line="360" w:lineRule="exact"/>
              <w:ind w:left="-72" w:leftChars="-30" w:right="-72" w:rightChars="-3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对周围环境的影响</w:t>
            </w:r>
          </w:p>
        </w:tc>
        <w:tc>
          <w:tcPr>
            <w:tcW w:w="2051" w:type="pct"/>
            <w:vAlign w:val="center"/>
          </w:tcPr>
          <w:p w14:paraId="44347CCD">
            <w:pPr>
              <w:adjustRightInd w:val="0"/>
              <w:snapToGrid w:val="0"/>
              <w:spacing w:line="360" w:lineRule="exact"/>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、若库区发生洪水，洪水沿冲沟流至尾矿库以</w:t>
            </w:r>
            <w:r>
              <w:rPr>
                <w:rFonts w:hint="eastAsia"/>
                <w:color w:val="000000" w:themeColor="text1"/>
                <w:sz w:val="21"/>
                <w:szCs w:val="21"/>
                <w:highlight w:val="none"/>
                <w:lang w:eastAsia="zh-CN"/>
                <w14:textFill>
                  <w14:solidFill>
                    <w14:schemeClr w14:val="tx1"/>
                  </w14:solidFill>
                </w14:textFill>
              </w:rPr>
              <w:t>西和南</w:t>
            </w:r>
            <w:r>
              <w:rPr>
                <w:rFonts w:hint="eastAsia"/>
                <w:color w:val="000000" w:themeColor="text1"/>
                <w:sz w:val="21"/>
                <w:szCs w:val="21"/>
                <w:highlight w:val="none"/>
                <w14:textFill>
                  <w14:solidFill>
                    <w14:schemeClr w14:val="tx1"/>
                  </w14:solidFill>
                </w14:textFill>
              </w:rPr>
              <w:t>方向，在尾矿库设有防洪、事故池的前提下，对</w:t>
            </w:r>
            <w:r>
              <w:rPr>
                <w:rFonts w:hint="eastAsia"/>
                <w:color w:val="000000" w:themeColor="text1"/>
                <w:sz w:val="21"/>
                <w:szCs w:val="21"/>
                <w:highlight w:val="none"/>
                <w:lang w:eastAsia="zh-CN"/>
                <w14:textFill>
                  <w14:solidFill>
                    <w14:schemeClr w14:val="tx1"/>
                  </w14:solidFill>
                </w14:textFill>
              </w:rPr>
              <w:t>地下水</w:t>
            </w:r>
            <w:r>
              <w:rPr>
                <w:rFonts w:hint="eastAsia"/>
                <w:color w:val="000000" w:themeColor="text1"/>
                <w:sz w:val="21"/>
                <w:szCs w:val="21"/>
                <w:highlight w:val="none"/>
                <w14:textFill>
                  <w14:solidFill>
                    <w14:schemeClr w14:val="tx1"/>
                  </w14:solidFill>
                </w14:textFill>
              </w:rPr>
              <w:t>水质影响可接受。</w:t>
            </w:r>
          </w:p>
          <w:p w14:paraId="73E906BE">
            <w:pPr>
              <w:adjustRightInd w:val="0"/>
              <w:snapToGrid w:val="0"/>
              <w:spacing w:line="360" w:lineRule="exact"/>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、库区占地面积相对</w:t>
            </w:r>
            <w:r>
              <w:rPr>
                <w:rFonts w:hint="eastAsia"/>
                <w:color w:val="000000" w:themeColor="text1"/>
                <w:sz w:val="21"/>
                <w:szCs w:val="21"/>
                <w:highlight w:val="none"/>
                <w:lang w:val="en-US" w:eastAsia="zh-CN"/>
                <w14:textFill>
                  <w14:solidFill>
                    <w14:schemeClr w14:val="tx1"/>
                  </w14:solidFill>
                </w14:textFill>
              </w:rPr>
              <w:t>方案二</w:t>
            </w:r>
            <w:r>
              <w:rPr>
                <w:rFonts w:hint="eastAsia"/>
                <w:color w:val="000000" w:themeColor="text1"/>
                <w:sz w:val="21"/>
                <w:szCs w:val="21"/>
                <w:highlight w:val="none"/>
                <w14:textFill>
                  <w14:solidFill>
                    <w14:schemeClr w14:val="tx1"/>
                  </w14:solidFill>
                </w14:textFill>
              </w:rPr>
              <w:t>较大，对生态环境的影响相对较大。</w:t>
            </w:r>
          </w:p>
        </w:tc>
        <w:tc>
          <w:tcPr>
            <w:tcW w:w="2165" w:type="pct"/>
            <w:vAlign w:val="center"/>
          </w:tcPr>
          <w:p w14:paraId="41CF2E4E">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、若库区发生洪水，洪水沿冲沟流至尾矿库以</w:t>
            </w:r>
            <w:r>
              <w:rPr>
                <w:rFonts w:hint="eastAsia"/>
                <w:color w:val="000000" w:themeColor="text1"/>
                <w:sz w:val="21"/>
                <w:szCs w:val="21"/>
                <w:highlight w:val="none"/>
                <w:lang w:eastAsia="zh-CN"/>
                <w14:textFill>
                  <w14:solidFill>
                    <w14:schemeClr w14:val="tx1"/>
                  </w14:solidFill>
                </w14:textFill>
              </w:rPr>
              <w:t>南</w:t>
            </w:r>
            <w:r>
              <w:rPr>
                <w:rFonts w:hint="eastAsia"/>
                <w:color w:val="000000" w:themeColor="text1"/>
                <w:sz w:val="21"/>
                <w:szCs w:val="21"/>
                <w:highlight w:val="none"/>
                <w14:textFill>
                  <w14:solidFill>
                    <w14:schemeClr w14:val="tx1"/>
                  </w14:solidFill>
                </w14:textFill>
              </w:rPr>
              <w:t>方向，且尾矿库设有防洪设施，对</w:t>
            </w:r>
            <w:r>
              <w:rPr>
                <w:rFonts w:hint="eastAsia"/>
                <w:color w:val="000000" w:themeColor="text1"/>
                <w:sz w:val="21"/>
                <w:szCs w:val="21"/>
                <w:highlight w:val="none"/>
                <w:lang w:eastAsia="zh-CN"/>
                <w14:textFill>
                  <w14:solidFill>
                    <w14:schemeClr w14:val="tx1"/>
                  </w14:solidFill>
                </w14:textFill>
              </w:rPr>
              <w:t>地下水</w:t>
            </w:r>
            <w:r>
              <w:rPr>
                <w:rFonts w:hint="eastAsia"/>
                <w:color w:val="000000" w:themeColor="text1"/>
                <w:sz w:val="21"/>
                <w:szCs w:val="21"/>
                <w:highlight w:val="none"/>
                <w14:textFill>
                  <w14:solidFill>
                    <w14:schemeClr w14:val="tx1"/>
                  </w14:solidFill>
                </w14:textFill>
              </w:rPr>
              <w:t>水质影响可接受。</w:t>
            </w:r>
          </w:p>
          <w:p w14:paraId="709692B0">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、库区占地面积相对</w:t>
            </w:r>
            <w:r>
              <w:rPr>
                <w:rFonts w:hint="eastAsia"/>
                <w:color w:val="000000" w:themeColor="text1"/>
                <w:sz w:val="21"/>
                <w:szCs w:val="21"/>
                <w:highlight w:val="none"/>
                <w:lang w:val="en-US" w:eastAsia="zh-CN"/>
                <w14:textFill>
                  <w14:solidFill>
                    <w14:schemeClr w14:val="tx1"/>
                  </w14:solidFill>
                </w14:textFill>
              </w:rPr>
              <w:t>方案一</w:t>
            </w:r>
            <w:r>
              <w:rPr>
                <w:rFonts w:hint="eastAsia"/>
                <w:color w:val="000000" w:themeColor="text1"/>
                <w:sz w:val="21"/>
                <w:szCs w:val="21"/>
                <w:highlight w:val="none"/>
                <w14:textFill>
                  <w14:solidFill>
                    <w14:schemeClr w14:val="tx1"/>
                  </w14:solidFill>
                </w14:textFill>
              </w:rPr>
              <w:t>较</w:t>
            </w:r>
            <w:r>
              <w:rPr>
                <w:rFonts w:hint="eastAsia"/>
                <w:color w:val="000000" w:themeColor="text1"/>
                <w:sz w:val="21"/>
                <w:szCs w:val="21"/>
                <w:highlight w:val="none"/>
                <w:lang w:eastAsia="zh-CN"/>
                <w14:textFill>
                  <w14:solidFill>
                    <w14:schemeClr w14:val="tx1"/>
                  </w14:solidFill>
                </w14:textFill>
              </w:rPr>
              <w:t>小</w:t>
            </w:r>
            <w:r>
              <w:rPr>
                <w:rFonts w:hint="eastAsia"/>
                <w:color w:val="000000" w:themeColor="text1"/>
                <w:sz w:val="21"/>
                <w:szCs w:val="21"/>
                <w:highlight w:val="none"/>
                <w14:textFill>
                  <w14:solidFill>
                    <w14:schemeClr w14:val="tx1"/>
                  </w14:solidFill>
                </w14:textFill>
              </w:rPr>
              <w:t>，对生态环境的影响相对较小。</w:t>
            </w:r>
          </w:p>
        </w:tc>
      </w:tr>
      <w:tr w14:paraId="20A390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0" w:type="pct"/>
            <w:vAlign w:val="center"/>
          </w:tcPr>
          <w:p w14:paraId="1F3CC83D">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542" w:type="pct"/>
            <w:vAlign w:val="center"/>
          </w:tcPr>
          <w:p w14:paraId="05245D29">
            <w:pPr>
              <w:keepNext w:val="0"/>
              <w:keepLines w:val="0"/>
              <w:pageBreakBefore w:val="0"/>
              <w:widowControl w:val="0"/>
              <w:kinsoku/>
              <w:wordWrap/>
              <w:overflowPunct/>
              <w:topLinePunct w:val="0"/>
              <w:autoSpaceDE/>
              <w:autoSpaceDN/>
              <w:bidi w:val="0"/>
              <w:adjustRightInd w:val="0"/>
              <w:snapToGrid w:val="0"/>
              <w:spacing w:line="360" w:lineRule="exact"/>
              <w:ind w:left="-72" w:leftChars="-30" w:right="-72" w:rightChars="-3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工程占地</w:t>
            </w:r>
          </w:p>
        </w:tc>
        <w:tc>
          <w:tcPr>
            <w:tcW w:w="2051" w:type="pct"/>
            <w:vAlign w:val="center"/>
          </w:tcPr>
          <w:p w14:paraId="354597DE">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占地</w:t>
            </w:r>
            <w:r>
              <w:rPr>
                <w:rFonts w:hint="eastAsia"/>
                <w:color w:val="000000" w:themeColor="text1"/>
                <w:sz w:val="21"/>
                <w:szCs w:val="21"/>
                <w:highlight w:val="none"/>
                <w14:textFill>
                  <w14:solidFill>
                    <w14:schemeClr w14:val="tx1"/>
                  </w14:solidFill>
                </w14:textFill>
              </w:rPr>
              <w:t>面积</w:t>
            </w:r>
            <w:r>
              <w:rPr>
                <w:rFonts w:hint="eastAsia"/>
                <w:color w:val="000000" w:themeColor="text1"/>
                <w:sz w:val="21"/>
                <w:szCs w:val="21"/>
                <w:highlight w:val="none"/>
                <w:lang w:val="en-US" w:eastAsia="zh-CN"/>
                <w14:textFill>
                  <w14:solidFill>
                    <w14:schemeClr w14:val="tx1"/>
                  </w14:solidFill>
                </w14:textFill>
              </w:rPr>
              <w:t>44.18</w:t>
            </w:r>
            <w:r>
              <w:rPr>
                <w:rFonts w:hint="eastAsia"/>
                <w:color w:val="000000" w:themeColor="text1"/>
                <w:sz w:val="21"/>
                <w:szCs w:val="21"/>
                <w:highlight w:val="none"/>
                <w14:textFill>
                  <w14:solidFill>
                    <w14:schemeClr w14:val="tx1"/>
                  </w14:solidFill>
                </w14:textFill>
              </w:rPr>
              <w:t>hm</w:t>
            </w:r>
            <w:r>
              <w:rPr>
                <w:color w:val="000000" w:themeColor="text1"/>
                <w:sz w:val="21"/>
                <w:szCs w:val="21"/>
                <w:highlight w:val="none"/>
                <w:vertAlign w:val="super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，占地</w:t>
            </w:r>
            <w:r>
              <w:rPr>
                <w:color w:val="000000" w:themeColor="text1"/>
                <w:sz w:val="21"/>
                <w:szCs w:val="21"/>
                <w:highlight w:val="none"/>
                <w14:textFill>
                  <w14:solidFill>
                    <w14:schemeClr w14:val="tx1"/>
                  </w14:solidFill>
                </w14:textFill>
              </w:rPr>
              <w:t>范围大</w:t>
            </w:r>
            <w:r>
              <w:rPr>
                <w:rFonts w:hint="eastAsia"/>
                <w:color w:val="000000" w:themeColor="text1"/>
                <w:sz w:val="21"/>
                <w:szCs w:val="21"/>
                <w:highlight w:val="none"/>
                <w14:textFill>
                  <w14:solidFill>
                    <w14:schemeClr w14:val="tx1"/>
                  </w14:solidFill>
                </w14:textFill>
              </w:rPr>
              <w:t>；</w:t>
            </w:r>
          </w:p>
          <w:p w14:paraId="7AD47386">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选厂至尾矿库道路需新建</w:t>
            </w:r>
            <w:r>
              <w:rPr>
                <w:rFonts w:hint="eastAsia"/>
                <w:color w:val="000000" w:themeColor="text1"/>
                <w:sz w:val="21"/>
                <w:szCs w:val="21"/>
                <w:highlight w:val="none"/>
                <w:lang w:eastAsia="zh-CN"/>
                <w14:textFill>
                  <w14:solidFill>
                    <w14:schemeClr w14:val="tx1"/>
                  </w14:solidFill>
                </w14:textFill>
              </w:rPr>
              <w:t>，距离</w:t>
            </w:r>
            <w:r>
              <w:rPr>
                <w:rFonts w:hint="eastAsia"/>
                <w:color w:val="000000" w:themeColor="text1"/>
                <w:sz w:val="21"/>
                <w:szCs w:val="21"/>
                <w:highlight w:val="none"/>
                <w:lang w:val="en-US" w:eastAsia="zh-CN"/>
                <w14:textFill>
                  <w14:solidFill>
                    <w14:schemeClr w14:val="tx1"/>
                  </w14:solidFill>
                </w14:textFill>
              </w:rPr>
              <w:t>600m</w:t>
            </w:r>
            <w:r>
              <w:rPr>
                <w:rFonts w:hint="eastAsia"/>
                <w:color w:val="000000" w:themeColor="text1"/>
                <w:sz w:val="21"/>
                <w:szCs w:val="21"/>
                <w:highlight w:val="none"/>
                <w14:textFill>
                  <w14:solidFill>
                    <w14:schemeClr w14:val="tx1"/>
                  </w14:solidFill>
                </w14:textFill>
              </w:rPr>
              <w:t>。</w:t>
            </w:r>
          </w:p>
        </w:tc>
        <w:tc>
          <w:tcPr>
            <w:tcW w:w="2165" w:type="pct"/>
            <w:vAlign w:val="center"/>
          </w:tcPr>
          <w:p w14:paraId="24B9F92F">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占地面积</w:t>
            </w:r>
            <w:r>
              <w:rPr>
                <w:rFonts w:hint="eastAsia"/>
                <w:color w:val="000000" w:themeColor="text1"/>
                <w:sz w:val="21"/>
                <w:szCs w:val="21"/>
                <w:highlight w:val="none"/>
                <w:lang w:val="en-US" w:eastAsia="zh-CN"/>
                <w14:textFill>
                  <w14:solidFill>
                    <w14:schemeClr w14:val="tx1"/>
                  </w14:solidFill>
                </w14:textFill>
              </w:rPr>
              <w:t>42.96</w:t>
            </w:r>
            <w:r>
              <w:rPr>
                <w:rFonts w:hint="eastAsia"/>
                <w:color w:val="000000" w:themeColor="text1"/>
                <w:sz w:val="21"/>
                <w:szCs w:val="21"/>
                <w:highlight w:val="none"/>
                <w14:textFill>
                  <w14:solidFill>
                    <w14:schemeClr w14:val="tx1"/>
                  </w14:solidFill>
                </w14:textFill>
              </w:rPr>
              <w:t>hm</w:t>
            </w:r>
            <w:r>
              <w:rPr>
                <w:rFonts w:hint="eastAsia"/>
                <w:color w:val="000000" w:themeColor="text1"/>
                <w:sz w:val="21"/>
                <w:szCs w:val="21"/>
                <w:highlight w:val="none"/>
                <w:vertAlign w:val="super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，占地范围相对较小；选厂至尾矿库道路</w:t>
            </w:r>
            <w:r>
              <w:rPr>
                <w:color w:val="000000" w:themeColor="text1"/>
                <w:sz w:val="21"/>
                <w:szCs w:val="21"/>
                <w:highlight w:val="none"/>
                <w14:textFill>
                  <w14:solidFill>
                    <w14:schemeClr w14:val="tx1"/>
                  </w14:solidFill>
                </w14:textFill>
              </w:rPr>
              <w:t>运输道路可部分利用</w:t>
            </w:r>
            <w:r>
              <w:rPr>
                <w:rFonts w:hint="eastAsia"/>
                <w:color w:val="000000" w:themeColor="text1"/>
                <w:sz w:val="21"/>
                <w:szCs w:val="21"/>
                <w:highlight w:val="none"/>
                <w14:textFill>
                  <w14:solidFill>
                    <w14:schemeClr w14:val="tx1"/>
                  </w14:solidFill>
                </w14:textFill>
              </w:rPr>
              <w:t>，可减少道路占地。</w:t>
            </w:r>
          </w:p>
        </w:tc>
      </w:tr>
      <w:tr w14:paraId="678A73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0" w:type="pct"/>
            <w:vAlign w:val="center"/>
          </w:tcPr>
          <w:p w14:paraId="79EAB30A">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542" w:type="pct"/>
            <w:vAlign w:val="center"/>
          </w:tcPr>
          <w:p w14:paraId="2E051336">
            <w:pPr>
              <w:keepNext w:val="0"/>
              <w:keepLines w:val="0"/>
              <w:pageBreakBefore w:val="0"/>
              <w:widowControl w:val="0"/>
              <w:kinsoku/>
              <w:wordWrap/>
              <w:overflowPunct/>
              <w:topLinePunct w:val="0"/>
              <w:autoSpaceDE/>
              <w:autoSpaceDN/>
              <w:bidi w:val="0"/>
              <w:adjustRightInd w:val="0"/>
              <w:snapToGrid w:val="0"/>
              <w:spacing w:line="360" w:lineRule="exact"/>
              <w:ind w:left="-72" w:leftChars="-30" w:right="-72" w:rightChars="-3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地质状况</w:t>
            </w:r>
          </w:p>
        </w:tc>
        <w:tc>
          <w:tcPr>
            <w:tcW w:w="2051" w:type="pct"/>
            <w:vAlign w:val="center"/>
          </w:tcPr>
          <w:p w14:paraId="0AE2163D">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根据现有工程资料，建设场地适宜性评估分级为适宜</w:t>
            </w:r>
          </w:p>
        </w:tc>
        <w:tc>
          <w:tcPr>
            <w:tcW w:w="2165" w:type="pct"/>
            <w:vAlign w:val="center"/>
          </w:tcPr>
          <w:p w14:paraId="4C0E1FC0">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根据现有工程资料，建设场地适宜性评估分级为适宜。</w:t>
            </w:r>
          </w:p>
        </w:tc>
      </w:tr>
      <w:tr w14:paraId="3C3C8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0" w:type="pct"/>
            <w:vAlign w:val="center"/>
          </w:tcPr>
          <w:p w14:paraId="74E7A03F">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c>
          <w:tcPr>
            <w:tcW w:w="542" w:type="pct"/>
            <w:vAlign w:val="center"/>
          </w:tcPr>
          <w:p w14:paraId="3EFC7DF7">
            <w:pPr>
              <w:keepNext w:val="0"/>
              <w:keepLines w:val="0"/>
              <w:pageBreakBefore w:val="0"/>
              <w:widowControl w:val="0"/>
              <w:kinsoku/>
              <w:wordWrap/>
              <w:overflowPunct/>
              <w:topLinePunct w:val="0"/>
              <w:autoSpaceDE/>
              <w:autoSpaceDN/>
              <w:bidi w:val="0"/>
              <w:adjustRightInd w:val="0"/>
              <w:snapToGrid w:val="0"/>
              <w:spacing w:line="360" w:lineRule="exact"/>
              <w:ind w:left="-72" w:leftChars="-30" w:right="-72" w:rightChars="-3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能耗</w:t>
            </w:r>
          </w:p>
        </w:tc>
        <w:tc>
          <w:tcPr>
            <w:tcW w:w="2051" w:type="pct"/>
            <w:vAlign w:val="center"/>
          </w:tcPr>
          <w:p w14:paraId="087809BF">
            <w:pPr>
              <w:adjustRightInd w:val="0"/>
              <w:snapToGrid w:val="0"/>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采取设计尾矿采用带式输送机与汽车联合运输，距离较远</w:t>
            </w:r>
          </w:p>
        </w:tc>
        <w:tc>
          <w:tcPr>
            <w:tcW w:w="2165" w:type="pct"/>
            <w:vAlign w:val="center"/>
          </w:tcPr>
          <w:p w14:paraId="52CB77DD">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采取设计尾矿采用带式输送机与汽车联合运输，距离较近</w:t>
            </w:r>
          </w:p>
        </w:tc>
      </w:tr>
      <w:tr w14:paraId="1D872F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0" w:type="pct"/>
            <w:vAlign w:val="center"/>
          </w:tcPr>
          <w:p w14:paraId="14F267D5">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w:t>
            </w:r>
          </w:p>
        </w:tc>
        <w:tc>
          <w:tcPr>
            <w:tcW w:w="542" w:type="pct"/>
            <w:vAlign w:val="center"/>
          </w:tcPr>
          <w:p w14:paraId="55ECFEC2">
            <w:pPr>
              <w:keepNext w:val="0"/>
              <w:keepLines w:val="0"/>
              <w:pageBreakBefore w:val="0"/>
              <w:widowControl w:val="0"/>
              <w:kinsoku/>
              <w:wordWrap/>
              <w:overflowPunct/>
              <w:topLinePunct w:val="0"/>
              <w:autoSpaceDE/>
              <w:autoSpaceDN/>
              <w:bidi w:val="0"/>
              <w:adjustRightInd w:val="0"/>
              <w:snapToGrid w:val="0"/>
              <w:spacing w:line="360" w:lineRule="exact"/>
              <w:ind w:left="-72" w:leftChars="-30" w:right="-72" w:rightChars="-3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地形地貌</w:t>
            </w:r>
          </w:p>
        </w:tc>
        <w:tc>
          <w:tcPr>
            <w:tcW w:w="2051" w:type="pct"/>
            <w:vAlign w:val="center"/>
          </w:tcPr>
          <w:p w14:paraId="41F382F9">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海拔</w:t>
            </w:r>
            <w:r>
              <w:rPr>
                <w:rFonts w:hint="eastAsia"/>
                <w:color w:val="000000" w:themeColor="text1"/>
                <w:sz w:val="21"/>
                <w:szCs w:val="21"/>
                <w:highlight w:val="none"/>
                <w:lang w:val="en-US" w:eastAsia="zh-CN"/>
                <w14:textFill>
                  <w14:solidFill>
                    <w14:schemeClr w14:val="tx1"/>
                  </w14:solidFill>
                </w14:textFill>
              </w:rPr>
              <w:t>1168</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1172</w:t>
            </w:r>
            <w:r>
              <w:rPr>
                <w:color w:val="000000" w:themeColor="text1"/>
                <w:sz w:val="21"/>
                <w:szCs w:val="21"/>
                <w:highlight w:val="none"/>
                <w14:textFill>
                  <w14:solidFill>
                    <w14:schemeClr w14:val="tx1"/>
                  </w14:solidFill>
                </w14:textFill>
              </w:rPr>
              <w:t>m</w:t>
            </w:r>
            <w:r>
              <w:rPr>
                <w:rFonts w:hint="eastAsia"/>
                <w:color w:val="000000" w:themeColor="text1"/>
                <w:sz w:val="21"/>
                <w:szCs w:val="21"/>
                <w:highlight w:val="none"/>
                <w:lang w:eastAsia="zh-CN"/>
                <w14:textFill>
                  <w14:solidFill>
                    <w14:schemeClr w14:val="tx1"/>
                  </w14:solidFill>
                </w14:textFill>
              </w:rPr>
              <w:t>，周边略有丘陵起伏</w:t>
            </w:r>
            <w:r>
              <w:rPr>
                <w:color w:val="000000" w:themeColor="text1"/>
                <w:sz w:val="21"/>
                <w:szCs w:val="21"/>
                <w:highlight w:val="none"/>
                <w14:textFill>
                  <w14:solidFill>
                    <w14:schemeClr w14:val="tx1"/>
                  </w14:solidFill>
                </w14:textFill>
              </w:rPr>
              <w:t>，属于</w:t>
            </w:r>
            <w:r>
              <w:rPr>
                <w:rFonts w:hint="eastAsia"/>
                <w:color w:val="000000" w:themeColor="text1"/>
                <w:sz w:val="21"/>
                <w:szCs w:val="21"/>
                <w:highlight w:val="none"/>
                <w:lang w:eastAsia="zh-CN"/>
                <w14:textFill>
                  <w14:solidFill>
                    <w14:schemeClr w14:val="tx1"/>
                  </w14:solidFill>
                </w14:textFill>
              </w:rPr>
              <w:t>平地</w:t>
            </w:r>
            <w:r>
              <w:rPr>
                <w:color w:val="000000" w:themeColor="text1"/>
                <w:sz w:val="21"/>
                <w:szCs w:val="21"/>
                <w:highlight w:val="none"/>
                <w14:textFill>
                  <w14:solidFill>
                    <w14:schemeClr w14:val="tx1"/>
                  </w14:solidFill>
                </w14:textFill>
              </w:rPr>
              <w:t>型尾矿库，区域地形呈南低北高</w:t>
            </w:r>
          </w:p>
        </w:tc>
        <w:tc>
          <w:tcPr>
            <w:tcW w:w="2165" w:type="pct"/>
            <w:vAlign w:val="center"/>
          </w:tcPr>
          <w:p w14:paraId="344F7829">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海拔</w:t>
            </w:r>
            <w:r>
              <w:rPr>
                <w:rFonts w:hint="eastAsia"/>
                <w:color w:val="000000" w:themeColor="text1"/>
                <w:sz w:val="21"/>
                <w:szCs w:val="21"/>
                <w:highlight w:val="none"/>
                <w14:textFill>
                  <w14:solidFill>
                    <w14:schemeClr w14:val="tx1"/>
                  </w14:solidFill>
                </w14:textFill>
              </w:rPr>
              <w:t>1230.9～1245.1m</w:t>
            </w:r>
            <w:r>
              <w:rPr>
                <w:color w:val="000000" w:themeColor="text1"/>
                <w:sz w:val="21"/>
                <w:szCs w:val="21"/>
                <w:highlight w:val="none"/>
                <w14:textFill>
                  <w14:solidFill>
                    <w14:schemeClr w14:val="tx1"/>
                  </w14:solidFill>
                </w14:textFill>
              </w:rPr>
              <w:t>，属于</w:t>
            </w:r>
            <w:r>
              <w:rPr>
                <w:rFonts w:hint="eastAsia"/>
                <w:color w:val="000000" w:themeColor="text1"/>
                <w:sz w:val="21"/>
                <w:szCs w:val="21"/>
                <w:highlight w:val="none"/>
                <w:lang w:eastAsia="zh-CN"/>
                <w14:textFill>
                  <w14:solidFill>
                    <w14:schemeClr w14:val="tx1"/>
                  </w14:solidFill>
                </w14:textFill>
              </w:rPr>
              <w:t>平地</w:t>
            </w:r>
            <w:r>
              <w:rPr>
                <w:color w:val="000000" w:themeColor="text1"/>
                <w:sz w:val="21"/>
                <w:szCs w:val="21"/>
                <w:highlight w:val="none"/>
                <w14:textFill>
                  <w14:solidFill>
                    <w14:schemeClr w14:val="tx1"/>
                  </w14:solidFill>
                </w14:textFill>
              </w:rPr>
              <w:t>型尾矿库，地形呈</w:t>
            </w:r>
            <w:r>
              <w:rPr>
                <w:rFonts w:hint="eastAsia"/>
                <w:color w:val="000000" w:themeColor="text1"/>
                <w:sz w:val="21"/>
                <w:szCs w:val="21"/>
                <w:highlight w:val="none"/>
                <w:lang w:eastAsia="zh-CN"/>
                <w14:textFill>
                  <w14:solidFill>
                    <w14:schemeClr w14:val="tx1"/>
                  </w14:solidFill>
                </w14:textFill>
              </w:rPr>
              <w:t>东</w:t>
            </w:r>
            <w:r>
              <w:rPr>
                <w:rFonts w:hint="eastAsia"/>
                <w:color w:val="000000" w:themeColor="text1"/>
                <w:sz w:val="21"/>
                <w:szCs w:val="21"/>
                <w:highlight w:val="none"/>
                <w14:textFill>
                  <w14:solidFill>
                    <w14:schemeClr w14:val="tx1"/>
                  </w14:solidFill>
                </w14:textFill>
              </w:rPr>
              <w:t>高</w:t>
            </w:r>
            <w:r>
              <w:rPr>
                <w:rFonts w:hint="eastAsia"/>
                <w:color w:val="000000" w:themeColor="text1"/>
                <w:sz w:val="21"/>
                <w:szCs w:val="21"/>
                <w:highlight w:val="none"/>
                <w:lang w:eastAsia="zh-CN"/>
                <w14:textFill>
                  <w14:solidFill>
                    <w14:schemeClr w14:val="tx1"/>
                  </w14:solidFill>
                </w14:textFill>
              </w:rPr>
              <w:t>西</w:t>
            </w:r>
            <w:r>
              <w:rPr>
                <w:rFonts w:hint="eastAsia"/>
                <w:color w:val="000000" w:themeColor="text1"/>
                <w:sz w:val="21"/>
                <w:szCs w:val="21"/>
                <w:highlight w:val="none"/>
                <w14:textFill>
                  <w14:solidFill>
                    <w14:schemeClr w14:val="tx1"/>
                  </w14:solidFill>
                </w14:textFill>
              </w:rPr>
              <w:t>低、北高南低</w:t>
            </w:r>
          </w:p>
        </w:tc>
      </w:tr>
      <w:tr w14:paraId="5C1D1B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0" w:type="pct"/>
            <w:vAlign w:val="center"/>
          </w:tcPr>
          <w:p w14:paraId="0B14ACA3">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542" w:type="pct"/>
            <w:vAlign w:val="center"/>
          </w:tcPr>
          <w:p w14:paraId="2F0B0EBA">
            <w:pPr>
              <w:keepNext w:val="0"/>
              <w:keepLines w:val="0"/>
              <w:pageBreakBefore w:val="0"/>
              <w:widowControl w:val="0"/>
              <w:kinsoku/>
              <w:wordWrap/>
              <w:overflowPunct/>
              <w:topLinePunct w:val="0"/>
              <w:autoSpaceDE/>
              <w:autoSpaceDN/>
              <w:bidi w:val="0"/>
              <w:adjustRightInd w:val="0"/>
              <w:snapToGrid w:val="0"/>
              <w:spacing w:line="360" w:lineRule="exact"/>
              <w:ind w:left="-72" w:leftChars="-30" w:right="-72" w:rightChars="-3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环境风险</w:t>
            </w:r>
          </w:p>
        </w:tc>
        <w:tc>
          <w:tcPr>
            <w:tcW w:w="2051" w:type="pct"/>
            <w:vAlign w:val="center"/>
          </w:tcPr>
          <w:p w14:paraId="0CCD7C0F">
            <w:pPr>
              <w:numPr>
                <w:ilvl w:val="0"/>
                <w:numId w:val="0"/>
              </w:numPr>
              <w:adjustRightInd w:val="0"/>
              <w:snapToGrid w:val="0"/>
              <w:spacing w:line="360" w:lineRule="exact"/>
              <w:rPr>
                <w:color w:val="000000" w:themeColor="text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地处选矿厂</w:t>
            </w:r>
            <w:r>
              <w:rPr>
                <w:rFonts w:hint="eastAsia"/>
                <w:color w:val="000000" w:themeColor="text1"/>
                <w:sz w:val="21"/>
                <w:szCs w:val="21"/>
                <w:highlight w:val="none"/>
                <w:lang w:eastAsia="zh-CN"/>
                <w14:textFill>
                  <w14:solidFill>
                    <w14:schemeClr w14:val="tx1"/>
                  </w14:solidFill>
                </w14:textFill>
              </w:rPr>
              <w:t>东南</w:t>
            </w:r>
            <w:r>
              <w:rPr>
                <w:rFonts w:hint="eastAsia"/>
                <w:color w:val="000000" w:themeColor="text1"/>
                <w:sz w:val="21"/>
                <w:szCs w:val="21"/>
                <w:highlight w:val="none"/>
                <w14:textFill>
                  <w14:solidFill>
                    <w14:schemeClr w14:val="tx1"/>
                  </w14:solidFill>
                </w14:textFill>
              </w:rPr>
              <w:t>侧</w:t>
            </w:r>
            <w:r>
              <w:rPr>
                <w:rFonts w:hint="eastAsia"/>
                <w:color w:val="000000" w:themeColor="text1"/>
                <w:sz w:val="21"/>
                <w:szCs w:val="21"/>
                <w:highlight w:val="none"/>
                <w:lang w:val="en-US" w:eastAsia="zh-CN"/>
                <w14:textFill>
                  <w14:solidFill>
                    <w14:schemeClr w14:val="tx1"/>
                  </w14:solidFill>
                </w14:textFill>
              </w:rPr>
              <w:t>0.6</w:t>
            </w:r>
            <w:r>
              <w:rPr>
                <w:rFonts w:hint="eastAsia"/>
                <w:color w:val="000000" w:themeColor="text1"/>
                <w:sz w:val="21"/>
                <w:szCs w:val="21"/>
                <w:highlight w:val="none"/>
                <w14:textFill>
                  <w14:solidFill>
                    <w14:schemeClr w14:val="tx1"/>
                  </w14:solidFill>
                </w14:textFill>
              </w:rPr>
              <w:t>km处，尾矿库下游无工业企业、大型居民区等。</w:t>
            </w:r>
          </w:p>
        </w:tc>
        <w:tc>
          <w:tcPr>
            <w:tcW w:w="2165" w:type="pct"/>
            <w:vAlign w:val="center"/>
          </w:tcPr>
          <w:p w14:paraId="1474FA09">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地处选矿厂</w:t>
            </w:r>
            <w:r>
              <w:rPr>
                <w:rFonts w:hint="eastAsia"/>
                <w:color w:val="000000" w:themeColor="text1"/>
                <w:sz w:val="21"/>
                <w:szCs w:val="21"/>
                <w:highlight w:val="none"/>
                <w:lang w:val="en-US" w:eastAsia="zh-CN"/>
                <w14:textFill>
                  <w14:solidFill>
                    <w14:schemeClr w14:val="tx1"/>
                  </w14:solidFill>
                </w14:textFill>
              </w:rPr>
              <w:t>西南侧1.1km处</w:t>
            </w:r>
            <w:r>
              <w:rPr>
                <w:rFonts w:hint="eastAsia"/>
                <w:color w:val="000000" w:themeColor="text1"/>
                <w:sz w:val="21"/>
                <w:szCs w:val="21"/>
                <w:highlight w:val="none"/>
                <w14:textFill>
                  <w14:solidFill>
                    <w14:schemeClr w14:val="tx1"/>
                  </w14:solidFill>
                </w14:textFill>
              </w:rPr>
              <w:t>，尾矿库下游无工业企业、大型居民区等。</w:t>
            </w:r>
          </w:p>
        </w:tc>
      </w:tr>
      <w:tr w14:paraId="496BB6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40" w:type="pct"/>
            <w:vAlign w:val="center"/>
          </w:tcPr>
          <w:p w14:paraId="2B1B4494">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p>
        </w:tc>
        <w:tc>
          <w:tcPr>
            <w:tcW w:w="542" w:type="pct"/>
            <w:vAlign w:val="center"/>
          </w:tcPr>
          <w:p w14:paraId="34728A4D">
            <w:pPr>
              <w:keepNext w:val="0"/>
              <w:keepLines w:val="0"/>
              <w:pageBreakBefore w:val="0"/>
              <w:widowControl w:val="0"/>
              <w:kinsoku/>
              <w:wordWrap/>
              <w:overflowPunct/>
              <w:topLinePunct w:val="0"/>
              <w:autoSpaceDE/>
              <w:autoSpaceDN/>
              <w:bidi w:val="0"/>
              <w:adjustRightInd w:val="0"/>
              <w:snapToGrid w:val="0"/>
              <w:spacing w:line="360" w:lineRule="exact"/>
              <w:ind w:left="-72" w:leftChars="-30" w:right="-72" w:rightChars="-30" w:firstLine="0" w:firstLineChars="0"/>
              <w:jc w:val="center"/>
              <w:textAlignment w:val="auto"/>
              <w:rPr>
                <w:b/>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推荐方案</w:t>
            </w:r>
          </w:p>
        </w:tc>
        <w:tc>
          <w:tcPr>
            <w:tcW w:w="2051" w:type="pct"/>
            <w:vAlign w:val="center"/>
          </w:tcPr>
          <w:p w14:paraId="3BE53496">
            <w:pPr>
              <w:adjustRightInd w:val="0"/>
              <w:snapToGrid w:val="0"/>
              <w:spacing w:line="360" w:lineRule="exact"/>
              <w:ind w:firstLine="0" w:firstLineChars="0"/>
              <w:jc w:val="center"/>
              <w:rPr>
                <w:b/>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不推荐</w:t>
            </w:r>
          </w:p>
        </w:tc>
        <w:tc>
          <w:tcPr>
            <w:tcW w:w="2165" w:type="pct"/>
            <w:vAlign w:val="center"/>
          </w:tcPr>
          <w:p w14:paraId="749B4738">
            <w:pPr>
              <w:adjustRightInd w:val="0"/>
              <w:snapToGrid w:val="0"/>
              <w:spacing w:line="360" w:lineRule="exact"/>
              <w:ind w:firstLine="0" w:firstLineChars="0"/>
              <w:jc w:val="center"/>
              <w:rPr>
                <w:b/>
                <w:color w:val="000000" w:themeColor="text1"/>
                <w:sz w:val="21"/>
                <w:szCs w:val="21"/>
                <w:highlight w:val="none"/>
                <w14:textFill>
                  <w14:solidFill>
                    <w14:schemeClr w14:val="tx1"/>
                  </w14:solidFill>
                </w14:textFill>
              </w:rPr>
            </w:pPr>
            <w:r>
              <w:rPr>
                <w:b w:val="0"/>
                <w:bCs/>
                <w:color w:val="000000" w:themeColor="text1"/>
                <w:sz w:val="21"/>
                <w:szCs w:val="21"/>
                <w:highlight w:val="none"/>
                <w14:textFill>
                  <w14:solidFill>
                    <w14:schemeClr w14:val="tx1"/>
                  </w14:solidFill>
                </w14:textFill>
              </w:rPr>
              <w:t>推荐</w:t>
            </w:r>
          </w:p>
        </w:tc>
      </w:tr>
    </w:tbl>
    <w:p w14:paraId="4DF8775E">
      <w:pPr>
        <w:overflowPunct w:val="0"/>
        <w:topLinePunct/>
        <w:ind w:firstLine="480"/>
        <w:outlineLvl w:val="9"/>
        <w:rPr>
          <w:color w:val="000000" w:themeColor="text1"/>
          <w:kern w:val="0"/>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通过</w:t>
      </w:r>
      <w:r>
        <w:rPr>
          <w:rFonts w:hint="eastAsia"/>
          <w:color w:val="000000" w:themeColor="text1"/>
          <w:szCs w:val="28"/>
          <w:highlight w:val="none"/>
          <w:lang w:eastAsia="zh-CN"/>
          <w14:textFill>
            <w14:solidFill>
              <w14:schemeClr w14:val="tx1"/>
            </w14:solidFill>
          </w14:textFill>
        </w:rPr>
        <w:t>上</w:t>
      </w:r>
      <w:r>
        <w:rPr>
          <w:rFonts w:hint="eastAsia"/>
          <w:color w:val="000000" w:themeColor="text1"/>
          <w:szCs w:val="28"/>
          <w:highlight w:val="none"/>
          <w14:textFill>
            <w14:solidFill>
              <w14:schemeClr w14:val="tx1"/>
            </w14:solidFill>
          </w14:textFill>
        </w:rPr>
        <w:t>表分析可知，</w:t>
      </w:r>
      <w:r>
        <w:rPr>
          <w:color w:val="000000" w:themeColor="text1"/>
          <w:highlight w:val="none"/>
          <w14:textFill>
            <w14:solidFill>
              <w14:schemeClr w14:val="tx1"/>
            </w14:solidFill>
          </w14:textFill>
        </w:rPr>
        <w:t>方案</w:t>
      </w:r>
      <w:r>
        <w:rPr>
          <w:rFonts w:hint="eastAsia"/>
          <w:color w:val="000000" w:themeColor="text1"/>
          <w:highlight w:val="none"/>
          <w14:textFill>
            <w14:solidFill>
              <w14:schemeClr w14:val="tx1"/>
            </w14:solidFill>
          </w14:textFill>
        </w:rPr>
        <w:t>二地处</w:t>
      </w:r>
      <w:r>
        <w:rPr>
          <w:rFonts w:hint="eastAsia"/>
          <w:color w:val="000000" w:themeColor="text1"/>
          <w:highlight w:val="none"/>
          <w:lang w:eastAsia="zh-CN"/>
          <w14:textFill>
            <w14:solidFill>
              <w14:schemeClr w14:val="tx1"/>
            </w14:solidFill>
          </w14:textFill>
        </w:rPr>
        <w:t>平地</w:t>
      </w:r>
      <w:r>
        <w:rPr>
          <w:color w:val="000000" w:themeColor="text1"/>
          <w:highlight w:val="none"/>
          <w14:textFill>
            <w14:solidFill>
              <w14:schemeClr w14:val="tx1"/>
            </w14:solidFill>
          </w14:textFill>
        </w:rPr>
        <w:t>，通过对库区防渗后，正常工况下对</w:t>
      </w:r>
      <w:r>
        <w:rPr>
          <w:rFonts w:hint="eastAsia"/>
          <w:color w:val="000000" w:themeColor="text1"/>
          <w:highlight w:val="none"/>
          <w:lang w:eastAsia="zh-CN"/>
          <w14:textFill>
            <w14:solidFill>
              <w14:schemeClr w14:val="tx1"/>
            </w14:solidFill>
          </w14:textFill>
        </w:rPr>
        <w:t>环境</w:t>
      </w:r>
      <w:r>
        <w:rPr>
          <w:rFonts w:hint="eastAsia"/>
          <w:color w:val="000000" w:themeColor="text1"/>
          <w:highlight w:val="none"/>
          <w14:textFill>
            <w14:solidFill>
              <w14:schemeClr w14:val="tx1"/>
            </w14:solidFill>
          </w14:textFill>
        </w:rPr>
        <w:t>影响较小。</w:t>
      </w:r>
      <w:r>
        <w:rPr>
          <w:color w:val="000000" w:themeColor="text1"/>
          <w:highlight w:val="none"/>
          <w14:textFill>
            <w14:solidFill>
              <w14:schemeClr w14:val="tx1"/>
            </w14:solidFill>
          </w14:textFill>
        </w:rPr>
        <w:t>方案</w:t>
      </w:r>
      <w:r>
        <w:rPr>
          <w:rFonts w:hint="eastAsia"/>
          <w:color w:val="000000" w:themeColor="text1"/>
          <w:highlight w:val="none"/>
          <w14:textFill>
            <w14:solidFill>
              <w14:schemeClr w14:val="tx1"/>
            </w14:solidFill>
          </w14:textFill>
        </w:rPr>
        <w:t>一</w:t>
      </w:r>
      <w:r>
        <w:rPr>
          <w:color w:val="000000" w:themeColor="text1"/>
          <w:highlight w:val="none"/>
          <w14:textFill>
            <w14:solidFill>
              <w14:schemeClr w14:val="tx1"/>
            </w14:solidFill>
          </w14:textFill>
        </w:rPr>
        <w:t>占地范围大</w:t>
      </w:r>
      <w:r>
        <w:rPr>
          <w:rFonts w:hint="eastAsia"/>
          <w:color w:val="000000" w:themeColor="text1"/>
          <w:highlight w:val="none"/>
          <w14:textFill>
            <w14:solidFill>
              <w14:schemeClr w14:val="tx1"/>
            </w14:solidFill>
          </w14:textFill>
        </w:rPr>
        <w:t>，从</w:t>
      </w:r>
      <w:r>
        <w:rPr>
          <w:rFonts w:hint="eastAsia"/>
          <w:color w:val="000000" w:themeColor="text1"/>
          <w:highlight w:val="none"/>
          <w:lang w:val="en-US" w:eastAsia="zh-CN"/>
          <w14:textFill>
            <w14:solidFill>
              <w14:schemeClr w14:val="tx1"/>
            </w14:solidFill>
          </w14:textFill>
        </w:rPr>
        <w:t>生态</w:t>
      </w:r>
      <w:r>
        <w:rPr>
          <w:rFonts w:hint="eastAsia"/>
          <w:color w:val="000000" w:themeColor="text1"/>
          <w:highlight w:val="none"/>
          <w14:textFill>
            <w14:solidFill>
              <w14:schemeClr w14:val="tx1"/>
            </w14:solidFill>
          </w14:textFill>
        </w:rPr>
        <w:t>环境保护的角度分析对比，库址二</w:t>
      </w:r>
      <w:r>
        <w:rPr>
          <w:color w:val="000000" w:themeColor="text1"/>
          <w:kern w:val="0"/>
          <w:highlight w:val="none"/>
          <w14:textFill>
            <w14:solidFill>
              <w14:schemeClr w14:val="tx1"/>
            </w14:solidFill>
          </w14:textFill>
        </w:rPr>
        <w:t>选址</w:t>
      </w:r>
      <w:r>
        <w:rPr>
          <w:rFonts w:hint="eastAsia"/>
          <w:color w:val="000000" w:themeColor="text1"/>
          <w:kern w:val="0"/>
          <w:highlight w:val="none"/>
          <w:lang w:val="en-US" w:eastAsia="zh-CN"/>
          <w14:textFill>
            <w14:solidFill>
              <w14:schemeClr w14:val="tx1"/>
            </w14:solidFill>
          </w14:textFill>
        </w:rPr>
        <w:t>更</w:t>
      </w:r>
      <w:r>
        <w:rPr>
          <w:rFonts w:hint="eastAsia"/>
          <w:color w:val="000000" w:themeColor="text1"/>
          <w:kern w:val="0"/>
          <w:highlight w:val="none"/>
          <w14:textFill>
            <w14:solidFill>
              <w14:schemeClr w14:val="tx1"/>
            </w14:solidFill>
          </w14:textFill>
        </w:rPr>
        <w:t>合理</w:t>
      </w:r>
      <w:r>
        <w:rPr>
          <w:color w:val="000000" w:themeColor="text1"/>
          <w:kern w:val="0"/>
          <w:highlight w:val="none"/>
          <w14:textFill>
            <w14:solidFill>
              <w14:schemeClr w14:val="tx1"/>
            </w14:solidFill>
          </w14:textFill>
        </w:rPr>
        <w:t>。</w:t>
      </w:r>
    </w:p>
    <w:p w14:paraId="77697A3F">
      <w:pPr>
        <w:overflowPunct w:val="0"/>
        <w:topLinePunct/>
        <w:ind w:firstLine="480"/>
        <w:outlineLvl w:val="9"/>
        <w:rPr>
          <w:rFonts w:hint="eastAsia"/>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尾矿库选址方案区域位置图见图3.2-</w:t>
      </w:r>
      <w:r>
        <w:rPr>
          <w:rFonts w:hint="eastAsia"/>
          <w:color w:val="000000" w:themeColor="text1"/>
          <w:szCs w:val="28"/>
          <w:highlight w:val="none"/>
          <w:lang w:val="en-US" w:eastAsia="zh-CN"/>
          <w14:textFill>
            <w14:solidFill>
              <w14:schemeClr w14:val="tx1"/>
            </w14:solidFill>
          </w14:textFill>
        </w:rPr>
        <w:t>5</w:t>
      </w:r>
      <w:r>
        <w:rPr>
          <w:rFonts w:hint="eastAsia"/>
          <w:color w:val="000000" w:themeColor="text1"/>
          <w:szCs w:val="28"/>
          <w:highlight w:val="none"/>
          <w14:textFill>
            <w14:solidFill>
              <w14:schemeClr w14:val="tx1"/>
            </w14:solidFill>
          </w14:textFill>
        </w:rPr>
        <w:t>。</w:t>
      </w:r>
    </w:p>
    <w:p w14:paraId="034D9D4A">
      <w:pPr>
        <w:overflowPunct w:val="0"/>
        <w:topLinePunct/>
        <w:ind w:firstLine="480"/>
        <w:outlineLvl w:val="9"/>
        <w:rPr>
          <w:rFonts w:hint="eastAsia" w:ascii="Times New Roman" w:hAnsi="Times New Roman" w:eastAsia="宋体" w:cs="Times New Roman"/>
          <w:color w:val="000000" w:themeColor="text1"/>
          <w:szCs w:val="28"/>
          <w:highlight w:val="none"/>
          <w:lang w:eastAsia="zh-CN"/>
          <w14:textFill>
            <w14:solidFill>
              <w14:schemeClr w14:val="tx1"/>
            </w14:solidFill>
          </w14:textFill>
        </w:rPr>
      </w:pPr>
    </w:p>
    <w:p w14:paraId="1B930770">
      <w:pPr>
        <w:overflowPunct w:val="0"/>
        <w:topLinePunct/>
        <w:ind w:firstLine="480"/>
        <w:outlineLvl w:val="9"/>
        <w:rPr>
          <w:rFonts w:hint="eastAsia" w:ascii="Times New Roman" w:hAnsi="Times New Roman" w:eastAsia="宋体" w:cs="Times New Roman"/>
          <w:color w:val="000000" w:themeColor="text1"/>
          <w:szCs w:val="28"/>
          <w:highlight w:val="none"/>
          <w:lang w:eastAsia="zh-CN"/>
          <w14:textFill>
            <w14:solidFill>
              <w14:schemeClr w14:val="tx1"/>
            </w14:solidFill>
          </w14:textFill>
        </w:rPr>
      </w:pPr>
    </w:p>
    <w:p w14:paraId="142A1FEB">
      <w:pPr>
        <w:overflowPunct w:val="0"/>
        <w:topLinePunct/>
        <w:ind w:firstLine="480"/>
        <w:outlineLvl w:val="9"/>
        <w:rPr>
          <w:rFonts w:hint="eastAsia" w:ascii="Times New Roman" w:hAnsi="Times New Roman" w:eastAsia="宋体" w:cs="Times New Roman"/>
          <w:color w:val="000000" w:themeColor="text1"/>
          <w:szCs w:val="28"/>
          <w:highlight w:val="none"/>
          <w:lang w:eastAsia="zh-CN"/>
          <w14:textFill>
            <w14:solidFill>
              <w14:schemeClr w14:val="tx1"/>
            </w14:solidFill>
          </w14:textFill>
        </w:rPr>
      </w:pPr>
    </w:p>
    <w:p w14:paraId="0BB26F88">
      <w:pPr>
        <w:overflowPunct w:val="0"/>
        <w:topLinePunct/>
        <w:ind w:firstLine="480"/>
        <w:outlineLvl w:val="9"/>
        <w:rPr>
          <w:rFonts w:hint="eastAsia" w:ascii="Times New Roman" w:hAnsi="Times New Roman" w:eastAsia="宋体" w:cs="Times New Roman"/>
          <w:color w:val="000000" w:themeColor="text1"/>
          <w:szCs w:val="28"/>
          <w:highlight w:val="none"/>
          <w:lang w:eastAsia="zh-CN"/>
          <w14:textFill>
            <w14:solidFill>
              <w14:schemeClr w14:val="tx1"/>
            </w14:solidFill>
          </w14:textFill>
        </w:rPr>
      </w:pPr>
    </w:p>
    <w:p w14:paraId="3E7C4DDC">
      <w:pPr>
        <w:overflowPunct w:val="0"/>
        <w:topLinePunct/>
        <w:ind w:firstLine="480"/>
        <w:outlineLvl w:val="9"/>
        <w:rPr>
          <w:rFonts w:hint="eastAsia" w:ascii="Times New Roman" w:hAnsi="Times New Roman" w:eastAsia="宋体" w:cs="Times New Roman"/>
          <w:color w:val="000000" w:themeColor="text1"/>
          <w:szCs w:val="28"/>
          <w:highlight w:val="none"/>
          <w:lang w:eastAsia="zh-CN"/>
          <w14:textFill>
            <w14:solidFill>
              <w14:schemeClr w14:val="tx1"/>
            </w14:solidFill>
          </w14:textFill>
        </w:rPr>
      </w:pPr>
    </w:p>
    <w:p w14:paraId="36D85CCB">
      <w:pPr>
        <w:overflowPunct w:val="0"/>
        <w:topLinePunct/>
        <w:ind w:firstLine="480"/>
        <w:outlineLvl w:val="9"/>
        <w:rPr>
          <w:rFonts w:hint="eastAsia" w:ascii="Times New Roman" w:hAnsi="Times New Roman" w:eastAsia="宋体" w:cs="Times New Roman"/>
          <w:color w:val="000000" w:themeColor="text1"/>
          <w:szCs w:val="28"/>
          <w:highlight w:val="none"/>
          <w:lang w:eastAsia="zh-CN"/>
          <w14:textFill>
            <w14:solidFill>
              <w14:schemeClr w14:val="tx1"/>
            </w14:solidFill>
          </w14:textFill>
        </w:rPr>
      </w:pPr>
    </w:p>
    <w:p w14:paraId="46AD4CBA">
      <w:pPr>
        <w:overflowPunct w:val="0"/>
        <w:topLinePunct/>
        <w:ind w:firstLine="480"/>
        <w:outlineLvl w:val="9"/>
        <w:rPr>
          <w:rFonts w:hint="eastAsia" w:ascii="Times New Roman" w:hAnsi="Times New Roman" w:eastAsia="宋体" w:cs="Times New Roman"/>
          <w:color w:val="000000" w:themeColor="text1"/>
          <w:szCs w:val="28"/>
          <w:highlight w:val="none"/>
          <w:lang w:eastAsia="zh-CN"/>
          <w14:textFill>
            <w14:solidFill>
              <w14:schemeClr w14:val="tx1"/>
            </w14:solidFill>
          </w14:textFill>
        </w:rPr>
      </w:pPr>
    </w:p>
    <w:p w14:paraId="16F9073D">
      <w:pPr>
        <w:overflowPunct w:val="0"/>
        <w:topLinePunct/>
        <w:ind w:firstLine="480"/>
        <w:outlineLvl w:val="9"/>
        <w:rPr>
          <w:rFonts w:hint="eastAsia" w:ascii="Times New Roman" w:hAnsi="Times New Roman" w:eastAsia="宋体" w:cs="Times New Roman"/>
          <w:color w:val="000000" w:themeColor="text1"/>
          <w:szCs w:val="28"/>
          <w:highlight w:val="none"/>
          <w:lang w:eastAsia="zh-CN"/>
          <w14:textFill>
            <w14:solidFill>
              <w14:schemeClr w14:val="tx1"/>
            </w14:solidFill>
          </w14:textFill>
        </w:rPr>
      </w:pPr>
    </w:p>
    <w:p w14:paraId="711C32E1">
      <w:pPr>
        <w:overflowPunct w:val="0"/>
        <w:topLinePunct/>
        <w:ind w:firstLine="480"/>
        <w:outlineLvl w:val="9"/>
        <w:rPr>
          <w:rFonts w:hint="eastAsia" w:ascii="Times New Roman" w:hAnsi="Times New Roman" w:eastAsia="宋体" w:cs="Times New Roman"/>
          <w:color w:val="000000" w:themeColor="text1"/>
          <w:szCs w:val="28"/>
          <w:highlight w:val="none"/>
          <w:lang w:eastAsia="zh-CN"/>
          <w14:textFill>
            <w14:solidFill>
              <w14:schemeClr w14:val="tx1"/>
            </w14:solidFill>
          </w14:textFill>
        </w:rPr>
      </w:pPr>
    </w:p>
    <w:p w14:paraId="57A67085">
      <w:pPr>
        <w:overflowPunct w:val="0"/>
        <w:topLinePunct/>
        <w:ind w:firstLine="480"/>
        <w:outlineLvl w:val="9"/>
        <w:rPr>
          <w:rFonts w:hint="eastAsia" w:ascii="Times New Roman" w:hAnsi="Times New Roman" w:eastAsia="宋体" w:cs="Times New Roman"/>
          <w:color w:val="000000" w:themeColor="text1"/>
          <w:szCs w:val="28"/>
          <w:highlight w:val="none"/>
          <w:lang w:eastAsia="zh-CN"/>
          <w14:textFill>
            <w14:solidFill>
              <w14:schemeClr w14:val="tx1"/>
            </w14:solidFill>
          </w14:textFill>
        </w:rPr>
      </w:pPr>
    </w:p>
    <w:p w14:paraId="15953AD3">
      <w:pPr>
        <w:overflowPunct w:val="0"/>
        <w:topLinePunct/>
        <w:ind w:firstLine="480"/>
        <w:outlineLvl w:val="9"/>
        <w:rPr>
          <w:rFonts w:hint="eastAsia" w:ascii="Times New Roman" w:hAnsi="Times New Roman" w:eastAsia="宋体" w:cs="Times New Roman"/>
          <w:color w:val="000000" w:themeColor="text1"/>
          <w:szCs w:val="28"/>
          <w:highlight w:val="none"/>
          <w:lang w:eastAsia="zh-CN"/>
          <w14:textFill>
            <w14:solidFill>
              <w14:schemeClr w14:val="tx1"/>
            </w14:solidFill>
          </w14:textFill>
        </w:rPr>
      </w:pPr>
    </w:p>
    <w:p w14:paraId="1248C84D">
      <w:pPr>
        <w:ind w:firstLine="0" w:firstLineChars="0"/>
        <w:jc w:val="center"/>
        <w:rPr>
          <w:b/>
          <w:bCs/>
          <w:color w:val="000000" w:themeColor="text1"/>
          <w:szCs w:val="28"/>
          <w:highlight w:val="none"/>
          <w14:textFill>
            <w14:solidFill>
              <w14:schemeClr w14:val="tx1"/>
            </w14:solidFill>
          </w14:textFill>
        </w:rPr>
      </w:pPr>
      <w:r>
        <w:rPr>
          <w:rFonts w:hint="eastAsia"/>
          <w:b/>
          <w:bCs/>
          <w:color w:val="000000" w:themeColor="text1"/>
          <w:szCs w:val="28"/>
          <w:highlight w:val="none"/>
          <w14:textFill>
            <w14:solidFill>
              <w14:schemeClr w14:val="tx1"/>
            </w14:solidFill>
          </w14:textFill>
        </w:rPr>
        <w:t>图3.2-</w:t>
      </w:r>
      <w:r>
        <w:rPr>
          <w:rFonts w:hint="eastAsia"/>
          <w:b/>
          <w:bCs/>
          <w:color w:val="000000" w:themeColor="text1"/>
          <w:szCs w:val="28"/>
          <w:highlight w:val="none"/>
          <w:lang w:val="en-US" w:eastAsia="zh-CN"/>
          <w14:textFill>
            <w14:solidFill>
              <w14:schemeClr w14:val="tx1"/>
            </w14:solidFill>
          </w14:textFill>
        </w:rPr>
        <w:t>5</w:t>
      </w:r>
      <w:r>
        <w:rPr>
          <w:rFonts w:hint="eastAsia"/>
          <w:b/>
          <w:bCs/>
          <w:color w:val="000000" w:themeColor="text1"/>
          <w:szCs w:val="28"/>
          <w:highlight w:val="none"/>
          <w14:textFill>
            <w14:solidFill>
              <w14:schemeClr w14:val="tx1"/>
            </w14:solidFill>
          </w14:textFill>
        </w:rPr>
        <w:t xml:space="preserve">    尾矿库选址方案区域位置图</w:t>
      </w:r>
    </w:p>
    <w:p w14:paraId="27C8550B">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选址合理性分析</w:t>
      </w:r>
    </w:p>
    <w:p w14:paraId="1E19C89A">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按照库区选址的基本要求，从工程选址区域的工程地质、水文地质状况、区域地形地貌、气候气象因素、周围环境敏感目标分布等环境条件结合《尾矿设施设计规范》（GB50863-2013）、《尾矿库安全规程》（GB39496-2020）判断尾矿库</w:t>
      </w:r>
      <w:r>
        <w:rPr>
          <w:rFonts w:hint="eastAsia"/>
          <w:color w:val="000000" w:themeColor="text1"/>
          <w:highlight w:val="none"/>
          <w:lang w:val="en-US" w:eastAsia="zh-CN"/>
          <w14:textFill>
            <w14:solidFill>
              <w14:schemeClr w14:val="tx1"/>
            </w14:solidFill>
          </w14:textFill>
        </w:rPr>
        <w:t>库址二</w:t>
      </w:r>
      <w:r>
        <w:rPr>
          <w:rFonts w:hint="eastAsia"/>
          <w:color w:val="000000" w:themeColor="text1"/>
          <w:highlight w:val="none"/>
          <w14:textFill>
            <w14:solidFill>
              <w14:schemeClr w14:val="tx1"/>
            </w14:solidFill>
          </w14:textFill>
        </w:rPr>
        <w:t>拟选场址合理性，详见表</w:t>
      </w:r>
      <w:r>
        <w:rPr>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w:t>
      </w:r>
    </w:p>
    <w:p w14:paraId="4641ED3B">
      <w:pPr>
        <w:overflowPunct w:val="0"/>
        <w:topLinePunct/>
        <w:ind w:firstLine="0" w:firstLineChars="0"/>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表</w:t>
      </w:r>
      <w:r>
        <w:rPr>
          <w:b/>
          <w:color w:val="000000" w:themeColor="text1"/>
          <w:highlight w:val="none"/>
          <w14:textFill>
            <w14:solidFill>
              <w14:schemeClr w14:val="tx1"/>
            </w14:solidFill>
          </w14:textFill>
        </w:rPr>
        <w:t>3.2-</w:t>
      </w:r>
      <w:r>
        <w:rPr>
          <w:rFonts w:hint="eastAsia"/>
          <w:b/>
          <w:color w:val="000000" w:themeColor="text1"/>
          <w:highlight w:val="none"/>
          <w:lang w:val="en-US" w:eastAsia="zh-CN"/>
          <w14:textFill>
            <w14:solidFill>
              <w14:schemeClr w14:val="tx1"/>
            </w14:solidFill>
          </w14:textFill>
        </w:rPr>
        <w:t>8</w:t>
      </w:r>
      <w:r>
        <w:rPr>
          <w:b/>
          <w:color w:val="000000" w:themeColor="text1"/>
          <w:highlight w:val="none"/>
          <w14:textFill>
            <w14:solidFill>
              <w14:schemeClr w14:val="tx1"/>
            </w14:solidFill>
          </w14:textFill>
        </w:rPr>
        <w:t xml:space="preserve">    </w:t>
      </w:r>
      <w:r>
        <w:rPr>
          <w:rFonts w:hint="eastAsia" w:ascii="宋体" w:hAnsi="等线" w:cs="宋体"/>
          <w:b/>
          <w:color w:val="000000" w:themeColor="text1"/>
          <w:kern w:val="0"/>
          <w:highlight w:val="none"/>
          <w14:textFill>
            <w14:solidFill>
              <w14:schemeClr w14:val="tx1"/>
            </w14:solidFill>
          </w14:textFill>
        </w:rPr>
        <w:t>尾矿库选址合理性分析一览表</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5"/>
        <w:gridCol w:w="2078"/>
        <w:gridCol w:w="2022"/>
        <w:gridCol w:w="2154"/>
        <w:gridCol w:w="1787"/>
      </w:tblGrid>
      <w:tr w14:paraId="1D54DD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92" w:type="dxa"/>
            <w:vAlign w:val="center"/>
          </w:tcPr>
          <w:p w14:paraId="06A953DD">
            <w:pPr>
              <w:overflowPunct w:val="0"/>
              <w:topLinePunct/>
              <w:spacing w:line="360" w:lineRule="exact"/>
              <w:ind w:firstLine="0" w:firstLineChars="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序号</w:t>
            </w:r>
          </w:p>
        </w:tc>
        <w:tc>
          <w:tcPr>
            <w:tcW w:w="2162" w:type="dxa"/>
            <w:vAlign w:val="center"/>
          </w:tcPr>
          <w:p w14:paraId="3FC75D2D">
            <w:pPr>
              <w:overflowPunct w:val="0"/>
              <w:topLinePunct/>
              <w:spacing w:line="360" w:lineRule="exact"/>
              <w:ind w:firstLine="0" w:firstLineChars="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《尾矿设施设计规范》（GB50863-2013）</w:t>
            </w:r>
          </w:p>
        </w:tc>
        <w:tc>
          <w:tcPr>
            <w:tcW w:w="2085" w:type="dxa"/>
            <w:vAlign w:val="center"/>
          </w:tcPr>
          <w:p w14:paraId="08CD0B4E">
            <w:pPr>
              <w:overflowPunct w:val="0"/>
              <w:topLinePunct/>
              <w:spacing w:line="360" w:lineRule="exact"/>
              <w:ind w:firstLine="0" w:firstLineChars="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《尾矿库安全规程》（GB39496-2020）</w:t>
            </w:r>
          </w:p>
        </w:tc>
        <w:tc>
          <w:tcPr>
            <w:tcW w:w="2266" w:type="dxa"/>
            <w:vAlign w:val="center"/>
          </w:tcPr>
          <w:p w14:paraId="630C124A">
            <w:pPr>
              <w:overflowPunct w:val="0"/>
              <w:topLinePunct/>
              <w:spacing w:line="360" w:lineRule="exact"/>
              <w:ind w:firstLine="0" w:firstLineChars="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《一般工业固体废物贮存和填埋污染控制标准》（GB18599-2020）</w:t>
            </w:r>
          </w:p>
        </w:tc>
        <w:tc>
          <w:tcPr>
            <w:tcW w:w="2169" w:type="dxa"/>
            <w:vAlign w:val="center"/>
          </w:tcPr>
          <w:p w14:paraId="51F7CE79">
            <w:pPr>
              <w:overflowPunct w:val="0"/>
              <w:topLinePunct/>
              <w:spacing w:line="360" w:lineRule="exact"/>
              <w:ind w:firstLine="0" w:firstLineChars="0"/>
              <w:jc w:val="center"/>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拟选场址（库址二）</w:t>
            </w:r>
          </w:p>
        </w:tc>
      </w:tr>
      <w:tr w14:paraId="5E4B35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0516D3D3">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162" w:type="dxa"/>
            <w:vAlign w:val="center"/>
          </w:tcPr>
          <w:p w14:paraId="24B28627">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不宜位于工矿企业、大型水源地、水产基地和大型居民区上游。</w:t>
            </w:r>
          </w:p>
        </w:tc>
        <w:tc>
          <w:tcPr>
            <w:tcW w:w="2085" w:type="dxa"/>
            <w:vAlign w:val="center"/>
          </w:tcPr>
          <w:p w14:paraId="699601ED">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不宜位于工矿企业、大型水源地、水产基地和大型居民区上游。</w:t>
            </w:r>
          </w:p>
        </w:tc>
        <w:tc>
          <w:tcPr>
            <w:tcW w:w="2266" w:type="dxa"/>
            <w:vAlign w:val="center"/>
          </w:tcPr>
          <w:p w14:paraId="0F9460B9">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169" w:type="dxa"/>
            <w:vAlign w:val="center"/>
          </w:tcPr>
          <w:p w14:paraId="48AD885F">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拟选场址位于选厂</w:t>
            </w:r>
            <w:r>
              <w:rPr>
                <w:rFonts w:hint="eastAsia"/>
                <w:color w:val="000000" w:themeColor="text1"/>
                <w:sz w:val="21"/>
                <w:szCs w:val="21"/>
                <w:highlight w:val="none"/>
                <w:lang w:val="en-US" w:eastAsia="zh-CN"/>
                <w14:textFill>
                  <w14:solidFill>
                    <w14:schemeClr w14:val="tx1"/>
                  </w14:solidFill>
                </w14:textFill>
              </w:rPr>
              <w:t>西</w:t>
            </w:r>
            <w:r>
              <w:rPr>
                <w:rFonts w:hint="eastAsia"/>
                <w:color w:val="000000" w:themeColor="text1"/>
                <w:sz w:val="21"/>
                <w:szCs w:val="21"/>
                <w:highlight w:val="none"/>
                <w:lang w:eastAsia="zh-CN"/>
                <w14:textFill>
                  <w14:solidFill>
                    <w14:schemeClr w14:val="tx1"/>
                  </w14:solidFill>
                </w14:textFill>
              </w:rPr>
              <w:t>南</w:t>
            </w:r>
            <w:r>
              <w:rPr>
                <w:rFonts w:hint="eastAsia"/>
                <w:color w:val="000000" w:themeColor="text1"/>
                <w:sz w:val="21"/>
                <w:szCs w:val="21"/>
                <w:highlight w:val="none"/>
                <w14:textFill>
                  <w14:solidFill>
                    <w14:schemeClr w14:val="tx1"/>
                  </w14:solidFill>
                </w14:textFill>
              </w:rPr>
              <w:t>侧</w:t>
            </w:r>
            <w:r>
              <w:rPr>
                <w:rFonts w:hint="eastAsia"/>
                <w:color w:val="000000" w:themeColor="text1"/>
                <w:sz w:val="21"/>
                <w:szCs w:val="21"/>
                <w:highlight w:val="none"/>
                <w:lang w:val="en-US" w:eastAsia="zh-CN"/>
                <w14:textFill>
                  <w14:solidFill>
                    <w14:schemeClr w14:val="tx1"/>
                  </w14:solidFill>
                </w14:textFill>
              </w:rPr>
              <w:t>1.1k</w:t>
            </w:r>
            <w:r>
              <w:rPr>
                <w:rFonts w:hint="eastAsia"/>
                <w:color w:val="000000" w:themeColor="text1"/>
                <w:sz w:val="21"/>
                <w:szCs w:val="21"/>
                <w:highlight w:val="none"/>
                <w14:textFill>
                  <w14:solidFill>
                    <w14:schemeClr w14:val="tx1"/>
                  </w14:solidFill>
                </w14:textFill>
              </w:rPr>
              <w:t>m处，未设在工矿企业、大型水源地、水产基地和大型居民区上游。</w:t>
            </w:r>
          </w:p>
        </w:tc>
      </w:tr>
      <w:tr w14:paraId="658725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5414FE26">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162" w:type="dxa"/>
            <w:vAlign w:val="center"/>
          </w:tcPr>
          <w:p w14:paraId="6C623360">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不应位于全国和省重点保护名胜古迹上游。</w:t>
            </w:r>
          </w:p>
        </w:tc>
        <w:tc>
          <w:tcPr>
            <w:tcW w:w="2085" w:type="dxa"/>
            <w:vAlign w:val="center"/>
          </w:tcPr>
          <w:p w14:paraId="4F168946">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不应位于全国和省重点保护名胜古迹的上游。</w:t>
            </w:r>
          </w:p>
        </w:tc>
        <w:tc>
          <w:tcPr>
            <w:tcW w:w="2266" w:type="dxa"/>
            <w:vAlign w:val="center"/>
          </w:tcPr>
          <w:p w14:paraId="20FCB43D">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贮存场、填埋场不得选在生态保护红线区域、永久基本农田集中区域和其他需要特别保护的区域内。</w:t>
            </w:r>
          </w:p>
        </w:tc>
        <w:tc>
          <w:tcPr>
            <w:tcW w:w="2169" w:type="dxa"/>
            <w:vAlign w:val="center"/>
          </w:tcPr>
          <w:p w14:paraId="16BD7080">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不位于全国和省重点保护名胜古迹上游，不在生态保护红线内。</w:t>
            </w:r>
          </w:p>
        </w:tc>
      </w:tr>
      <w:tr w14:paraId="056B4E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77A41642">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2162" w:type="dxa"/>
            <w:vAlign w:val="center"/>
          </w:tcPr>
          <w:p w14:paraId="7712C22C">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工程、水文地质条件好。</w:t>
            </w:r>
          </w:p>
        </w:tc>
        <w:tc>
          <w:tcPr>
            <w:tcW w:w="2085" w:type="dxa"/>
            <w:vAlign w:val="center"/>
          </w:tcPr>
          <w:p w14:paraId="53886BBC">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应避开地质构造复杂、不良地质现象严重区域。</w:t>
            </w:r>
          </w:p>
        </w:tc>
        <w:tc>
          <w:tcPr>
            <w:tcW w:w="2266" w:type="dxa"/>
            <w:vAlign w:val="center"/>
          </w:tcPr>
          <w:p w14:paraId="09B7FE0D">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贮存场、填埋场应避开活动断层、溶洞区、天然滑坡或泥石流影响区以及湿地等区域。</w:t>
            </w:r>
          </w:p>
        </w:tc>
        <w:tc>
          <w:tcPr>
            <w:tcW w:w="2169" w:type="dxa"/>
            <w:vAlign w:val="center"/>
          </w:tcPr>
          <w:p w14:paraId="61DAB9FF">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项目区无滑坡、崩塌、泥石流、溶洞等不良地质现象存在。根据现有工程资料，建设场地适宜性评估分级为适宜。</w:t>
            </w:r>
          </w:p>
        </w:tc>
      </w:tr>
      <w:tr w14:paraId="75C71E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260C5BA9">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2162" w:type="dxa"/>
            <w:vAlign w:val="center"/>
          </w:tcPr>
          <w:p w14:paraId="07A91CAE">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不宜位于有开采价值的矿床上面。</w:t>
            </w:r>
          </w:p>
        </w:tc>
        <w:tc>
          <w:tcPr>
            <w:tcW w:w="2085" w:type="dxa"/>
            <w:vAlign w:val="center"/>
          </w:tcPr>
          <w:p w14:paraId="755078E0">
            <w:pPr>
              <w:autoSpaceDE w:val="0"/>
              <w:autoSpaceDN w:val="0"/>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不宜位于有开采价值的矿床上面。</w:t>
            </w:r>
          </w:p>
        </w:tc>
        <w:tc>
          <w:tcPr>
            <w:tcW w:w="2266" w:type="dxa"/>
            <w:vAlign w:val="center"/>
          </w:tcPr>
          <w:p w14:paraId="455E6060">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2169" w:type="dxa"/>
            <w:vAlign w:val="center"/>
          </w:tcPr>
          <w:p w14:paraId="72AC02D3">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项目区无压覆矿。</w:t>
            </w:r>
          </w:p>
        </w:tc>
      </w:tr>
      <w:tr w14:paraId="6306BA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341297CF">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c>
          <w:tcPr>
            <w:tcW w:w="2162" w:type="dxa"/>
            <w:vAlign w:val="center"/>
          </w:tcPr>
          <w:p w14:paraId="6F477DA7">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汇水面积小，有足够的库容和初、终期库长。</w:t>
            </w:r>
          </w:p>
        </w:tc>
        <w:tc>
          <w:tcPr>
            <w:tcW w:w="2085" w:type="dxa"/>
            <w:vAlign w:val="center"/>
          </w:tcPr>
          <w:p w14:paraId="79653A88">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汇水面积小，有足够的库容和初、终期库长。</w:t>
            </w:r>
          </w:p>
        </w:tc>
        <w:tc>
          <w:tcPr>
            <w:tcW w:w="2266" w:type="dxa"/>
            <w:vAlign w:val="center"/>
          </w:tcPr>
          <w:p w14:paraId="48504611">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169" w:type="dxa"/>
            <w:vAlign w:val="center"/>
          </w:tcPr>
          <w:p w14:paraId="1335CD7E">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汇水面积不大，库容能满足选矿厂尾矿排放量。</w:t>
            </w:r>
          </w:p>
        </w:tc>
      </w:tr>
      <w:tr w14:paraId="0491EA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63399014">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w:t>
            </w:r>
          </w:p>
        </w:tc>
        <w:tc>
          <w:tcPr>
            <w:tcW w:w="2162" w:type="dxa"/>
            <w:vAlign w:val="center"/>
          </w:tcPr>
          <w:p w14:paraId="49A5A517">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不宜位于大居民区及厂区最大频率风向的上风侧。</w:t>
            </w:r>
          </w:p>
        </w:tc>
        <w:tc>
          <w:tcPr>
            <w:tcW w:w="2085" w:type="dxa"/>
            <w:vAlign w:val="center"/>
          </w:tcPr>
          <w:p w14:paraId="6F4E56B6">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266" w:type="dxa"/>
            <w:vAlign w:val="center"/>
          </w:tcPr>
          <w:p w14:paraId="23B0C978">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169" w:type="dxa"/>
            <w:vAlign w:val="center"/>
          </w:tcPr>
          <w:p w14:paraId="1646D134">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项目区周边1km范围内无大型居民区；尾矿库位于办公生活区主导风向的</w:t>
            </w:r>
            <w:r>
              <w:rPr>
                <w:rFonts w:hint="eastAsia"/>
                <w:color w:val="000000" w:themeColor="text1"/>
                <w:sz w:val="21"/>
                <w:szCs w:val="21"/>
                <w:highlight w:val="none"/>
                <w:lang w:eastAsia="zh-CN"/>
                <w14:textFill>
                  <w14:solidFill>
                    <w14:schemeClr w14:val="tx1"/>
                  </w14:solidFill>
                </w14:textFill>
              </w:rPr>
              <w:t>下</w:t>
            </w:r>
            <w:r>
              <w:rPr>
                <w:rFonts w:hint="eastAsia"/>
                <w:color w:val="000000" w:themeColor="text1"/>
                <w:sz w:val="21"/>
                <w:szCs w:val="21"/>
                <w:highlight w:val="none"/>
                <w14:textFill>
                  <w14:solidFill>
                    <w14:schemeClr w14:val="tx1"/>
                  </w14:solidFill>
                </w14:textFill>
              </w:rPr>
              <w:t>风向。</w:t>
            </w:r>
          </w:p>
        </w:tc>
      </w:tr>
      <w:tr w14:paraId="062AA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02033957">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w:t>
            </w:r>
          </w:p>
        </w:tc>
        <w:tc>
          <w:tcPr>
            <w:tcW w:w="2162" w:type="dxa"/>
            <w:vAlign w:val="center"/>
          </w:tcPr>
          <w:p w14:paraId="5F88C7A9">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筑坝工程最小，生产管理方便。</w:t>
            </w:r>
          </w:p>
        </w:tc>
        <w:tc>
          <w:tcPr>
            <w:tcW w:w="2085" w:type="dxa"/>
            <w:vAlign w:val="center"/>
          </w:tcPr>
          <w:p w14:paraId="0033BE9E">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266" w:type="dxa"/>
            <w:vAlign w:val="center"/>
          </w:tcPr>
          <w:p w14:paraId="1F5C3D36">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169" w:type="dxa"/>
            <w:vAlign w:val="center"/>
          </w:tcPr>
          <w:p w14:paraId="18C5363D">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筑坝工程量小，距离选厂较近，生产管理较为方便。</w:t>
            </w:r>
          </w:p>
        </w:tc>
      </w:tr>
      <w:tr w14:paraId="63FD0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7B33C576">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w:t>
            </w:r>
          </w:p>
        </w:tc>
        <w:tc>
          <w:tcPr>
            <w:tcW w:w="2162" w:type="dxa"/>
            <w:vAlign w:val="center"/>
          </w:tcPr>
          <w:p w14:paraId="101CE83F">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不迁或少迁村庄。</w:t>
            </w:r>
          </w:p>
        </w:tc>
        <w:tc>
          <w:tcPr>
            <w:tcW w:w="2085" w:type="dxa"/>
            <w:vAlign w:val="center"/>
          </w:tcPr>
          <w:p w14:paraId="75B6D49A">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266" w:type="dxa"/>
            <w:vAlign w:val="center"/>
          </w:tcPr>
          <w:p w14:paraId="46E5CE3F">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169" w:type="dxa"/>
            <w:vAlign w:val="center"/>
          </w:tcPr>
          <w:p w14:paraId="3668E507">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不涉及村庄拆迁。</w:t>
            </w:r>
          </w:p>
        </w:tc>
      </w:tr>
      <w:tr w14:paraId="1EBEFF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393C25F5">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w:t>
            </w:r>
          </w:p>
        </w:tc>
        <w:tc>
          <w:tcPr>
            <w:tcW w:w="2162" w:type="dxa"/>
            <w:vAlign w:val="center"/>
          </w:tcPr>
          <w:p w14:paraId="0D0EBC1A">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尾矿输送距离短，能自流或扬尘小。</w:t>
            </w:r>
          </w:p>
        </w:tc>
        <w:tc>
          <w:tcPr>
            <w:tcW w:w="2085" w:type="dxa"/>
            <w:vAlign w:val="center"/>
          </w:tcPr>
          <w:p w14:paraId="64E71B5F">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266" w:type="dxa"/>
            <w:vAlign w:val="center"/>
          </w:tcPr>
          <w:p w14:paraId="13452B52">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169" w:type="dxa"/>
            <w:vAlign w:val="center"/>
          </w:tcPr>
          <w:p w14:paraId="172EE69B">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尾矿输送距离</w:t>
            </w:r>
            <w:r>
              <w:rPr>
                <w:rFonts w:hint="eastAsia"/>
                <w:color w:val="000000" w:themeColor="text1"/>
                <w:sz w:val="21"/>
                <w:szCs w:val="21"/>
                <w:highlight w:val="none"/>
                <w:lang w:eastAsia="zh-CN"/>
                <w14:textFill>
                  <w14:solidFill>
                    <w14:schemeClr w14:val="tx1"/>
                  </w14:solidFill>
                </w14:textFill>
              </w:rPr>
              <w:t>短</w:t>
            </w:r>
            <w:r>
              <w:rPr>
                <w:rFonts w:hint="eastAsia"/>
                <w:color w:val="000000" w:themeColor="text1"/>
                <w:sz w:val="21"/>
                <w:szCs w:val="21"/>
                <w:highlight w:val="none"/>
                <w14:textFill>
                  <w14:solidFill>
                    <w14:schemeClr w14:val="tx1"/>
                  </w14:solidFill>
                </w14:textFill>
              </w:rPr>
              <w:t>。</w:t>
            </w:r>
          </w:p>
        </w:tc>
      </w:tr>
      <w:tr w14:paraId="09FD5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2" w:type="dxa"/>
            <w:vAlign w:val="center"/>
          </w:tcPr>
          <w:p w14:paraId="75BC8297">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color w:val="000000" w:themeColor="text1"/>
                <w:sz w:val="21"/>
                <w:szCs w:val="21"/>
                <w:highlight w:val="none"/>
                <w14:textFill>
                  <w14:solidFill>
                    <w14:schemeClr w14:val="tx1"/>
                  </w14:solidFill>
                </w14:textFill>
              </w:rPr>
              <w:t>0</w:t>
            </w:r>
          </w:p>
        </w:tc>
        <w:tc>
          <w:tcPr>
            <w:tcW w:w="2162" w:type="dxa"/>
            <w:vAlign w:val="center"/>
          </w:tcPr>
          <w:p w14:paraId="464E929D">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085" w:type="dxa"/>
            <w:vAlign w:val="center"/>
          </w:tcPr>
          <w:p w14:paraId="4D13C5A2">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266" w:type="dxa"/>
            <w:vAlign w:val="center"/>
          </w:tcPr>
          <w:p w14:paraId="741C30E7">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贮存场、填埋场不得选在江河、湖泊、运河、渠道、水库最高水位线以下的滩地和岸坡，以及国家和地方长远规划中的水库等人工蓄水设施的淹没区和保护区之内。</w:t>
            </w:r>
          </w:p>
        </w:tc>
        <w:tc>
          <w:tcPr>
            <w:tcW w:w="2169" w:type="dxa"/>
            <w:vAlign w:val="center"/>
          </w:tcPr>
          <w:p w14:paraId="56B4C02E">
            <w:pPr>
              <w:overflowPunct w:val="0"/>
              <w:topLinePunct/>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w:t>
            </w:r>
            <w:r>
              <w:rPr>
                <w:rFonts w:hint="eastAsia"/>
                <w:color w:val="000000" w:themeColor="text1"/>
                <w:sz w:val="21"/>
                <w:szCs w:val="21"/>
                <w:highlight w:val="none"/>
                <w:lang w:eastAsia="zh-CN"/>
                <w14:textFill>
                  <w14:solidFill>
                    <w14:schemeClr w14:val="tx1"/>
                  </w14:solidFill>
                </w14:textFill>
              </w:rPr>
              <w:t>周边无</w:t>
            </w:r>
            <w:r>
              <w:rPr>
                <w:rFonts w:hint="eastAsia"/>
                <w:color w:val="000000" w:themeColor="text1"/>
                <w:sz w:val="21"/>
                <w:szCs w:val="21"/>
                <w:highlight w:val="none"/>
                <w14:textFill>
                  <w14:solidFill>
                    <w14:schemeClr w14:val="tx1"/>
                  </w14:solidFill>
                </w14:textFill>
              </w:rPr>
              <w:t>江河、湖泊、运河、渠道、水库。</w:t>
            </w:r>
          </w:p>
        </w:tc>
      </w:tr>
    </w:tbl>
    <w:p w14:paraId="3A9A29AB">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由上述分析可以看出，</w:t>
      </w:r>
      <w:r>
        <w:rPr>
          <w:rFonts w:hint="eastAsia"/>
          <w:color w:val="000000" w:themeColor="text1"/>
          <w:highlight w:val="none"/>
          <w:lang w:eastAsia="zh-CN"/>
          <w14:textFill>
            <w14:solidFill>
              <w14:schemeClr w14:val="tx1"/>
            </w14:solidFill>
          </w14:textFill>
        </w:rPr>
        <w:t>本项目</w:t>
      </w:r>
      <w:r>
        <w:rPr>
          <w:rFonts w:hint="eastAsia"/>
          <w:color w:val="000000" w:themeColor="text1"/>
          <w:highlight w:val="none"/>
          <w14:textFill>
            <w14:solidFill>
              <w14:schemeClr w14:val="tx1"/>
            </w14:solidFill>
          </w14:textFill>
        </w:rPr>
        <w:t>尾矿库选址符合相关规范、标准的要求，选址合理。</w:t>
      </w:r>
    </w:p>
    <w:p w14:paraId="2C892D65">
      <w:pPr>
        <w:pStyle w:val="3"/>
        <w:spacing w:line="560" w:lineRule="atLeast"/>
        <w:rPr>
          <w:color w:val="000000" w:themeColor="text1"/>
          <w:highlight w:val="none"/>
          <w14:textFill>
            <w14:solidFill>
              <w14:schemeClr w14:val="tx1"/>
            </w14:solidFill>
          </w14:textFill>
        </w:rPr>
      </w:pPr>
      <w:bookmarkStart w:id="465" w:name="_Toc13594"/>
      <w:bookmarkStart w:id="466" w:name="_Toc13790"/>
      <w:bookmarkStart w:id="467" w:name="_Toc25769"/>
      <w:bookmarkStart w:id="468" w:name="_Toc107414655"/>
      <w:bookmarkStart w:id="469" w:name="_Toc14202"/>
      <w:bookmarkStart w:id="470" w:name="_Toc18572"/>
      <w:bookmarkStart w:id="471" w:name="_Toc107413888"/>
      <w:r>
        <w:rPr>
          <w:rFonts w:hint="eastAsia"/>
          <w:color w:val="000000" w:themeColor="text1"/>
          <w:highlight w:val="none"/>
          <w14:textFill>
            <w14:solidFill>
              <w14:schemeClr w14:val="tx1"/>
            </w14:solidFill>
          </w14:textFill>
        </w:rPr>
        <w:t>3.3工程分析</w:t>
      </w:r>
      <w:bookmarkEnd w:id="465"/>
      <w:bookmarkEnd w:id="466"/>
      <w:bookmarkEnd w:id="467"/>
      <w:bookmarkEnd w:id="468"/>
      <w:bookmarkEnd w:id="469"/>
      <w:bookmarkEnd w:id="470"/>
      <w:bookmarkEnd w:id="471"/>
    </w:p>
    <w:p w14:paraId="1970099C">
      <w:pPr>
        <w:pStyle w:val="4"/>
        <w:rPr>
          <w:color w:val="000000" w:themeColor="text1"/>
          <w:highlight w:val="none"/>
          <w14:textFill>
            <w14:solidFill>
              <w14:schemeClr w14:val="tx1"/>
            </w14:solidFill>
          </w14:textFill>
        </w:rPr>
      </w:pPr>
      <w:bookmarkStart w:id="472" w:name="_Toc18585"/>
      <w:bookmarkStart w:id="473" w:name="_Toc3942"/>
      <w:bookmarkStart w:id="474" w:name="_Toc31159"/>
      <w:bookmarkStart w:id="475" w:name="_Toc6523"/>
      <w:bookmarkStart w:id="476" w:name="_Toc3646"/>
      <w:bookmarkStart w:id="477" w:name="_Toc26227"/>
      <w:bookmarkStart w:id="478" w:name="_Toc12441"/>
      <w:bookmarkStart w:id="479" w:name="_Toc25255"/>
      <w:bookmarkStart w:id="480" w:name="_Toc31055"/>
      <w:r>
        <w:rPr>
          <w:color w:val="000000" w:themeColor="text1"/>
          <w:highlight w:val="none"/>
          <w14:textFill>
            <w14:solidFill>
              <w14:schemeClr w14:val="tx1"/>
            </w14:solidFill>
          </w14:textFill>
        </w:rPr>
        <w:t>3.3.1工艺流程</w:t>
      </w:r>
      <w:bookmarkEnd w:id="472"/>
      <w:bookmarkEnd w:id="473"/>
      <w:bookmarkEnd w:id="474"/>
      <w:bookmarkEnd w:id="475"/>
      <w:bookmarkEnd w:id="476"/>
      <w:bookmarkEnd w:id="477"/>
      <w:bookmarkEnd w:id="478"/>
      <w:bookmarkEnd w:id="479"/>
      <w:bookmarkEnd w:id="480"/>
    </w:p>
    <w:p w14:paraId="20F38903">
      <w:pPr>
        <w:pStyle w:val="56"/>
        <w:overflowPunct w:val="0"/>
        <w:topLinePunct/>
        <w:spacing w:line="480" w:lineRule="exact"/>
        <w:ind w:firstLine="480"/>
        <w:rPr>
          <w:rFonts w:cs="Times New Roman"/>
          <w:color w:val="000000" w:themeColor="text1"/>
          <w:sz w:val="24"/>
          <w:highlight w:val="none"/>
          <w14:textFill>
            <w14:solidFill>
              <w14:schemeClr w14:val="tx1"/>
            </w14:solidFill>
          </w14:textFill>
        </w:rPr>
      </w:pPr>
      <w:r>
        <w:rPr>
          <w:rFonts w:cs="Times New Roman"/>
          <w:color w:val="000000" w:themeColor="text1"/>
          <w:sz w:val="24"/>
          <w:highlight w:val="none"/>
          <w14:textFill>
            <w14:solidFill>
              <w14:schemeClr w14:val="tx1"/>
            </w14:solidFill>
          </w14:textFill>
        </w:rPr>
        <w:t>本项目</w:t>
      </w:r>
      <w:r>
        <w:rPr>
          <w:rFonts w:hint="eastAsia" w:cs="Times New Roman"/>
          <w:color w:val="000000" w:themeColor="text1"/>
          <w:sz w:val="24"/>
          <w:highlight w:val="none"/>
          <w14:textFill>
            <w14:solidFill>
              <w14:schemeClr w14:val="tx1"/>
            </w14:solidFill>
          </w14:textFill>
        </w:rPr>
        <w:t>原料</w:t>
      </w:r>
      <w:r>
        <w:rPr>
          <w:rFonts w:cs="Times New Roman"/>
          <w:color w:val="000000" w:themeColor="text1"/>
          <w:sz w:val="24"/>
          <w:highlight w:val="none"/>
          <w14:textFill>
            <w14:solidFill>
              <w14:schemeClr w14:val="tx1"/>
            </w14:solidFill>
          </w14:textFill>
        </w:rPr>
        <w:t>铁矿石</w:t>
      </w:r>
      <w:r>
        <w:rPr>
          <w:rFonts w:hint="eastAsia" w:cs="Times New Roman"/>
          <w:color w:val="000000" w:themeColor="text1"/>
          <w:sz w:val="24"/>
          <w:highlight w:val="none"/>
          <w14:textFill>
            <w14:solidFill>
              <w14:schemeClr w14:val="tx1"/>
            </w14:solidFill>
          </w14:textFill>
        </w:rPr>
        <w:t>来自M1033铁矿采矿工程经</w:t>
      </w:r>
      <w:r>
        <w:rPr>
          <w:rFonts w:hint="eastAsia" w:cs="Times New Roman"/>
          <w:color w:val="000000" w:themeColor="text1"/>
          <w:sz w:val="24"/>
          <w:highlight w:val="none"/>
          <w:lang w:eastAsia="zh-CN"/>
          <w14:textFill>
            <w14:solidFill>
              <w14:schemeClr w14:val="tx1"/>
            </w14:solidFill>
          </w14:textFill>
        </w:rPr>
        <w:t>粗破</w:t>
      </w:r>
      <w:r>
        <w:rPr>
          <w:rFonts w:hint="eastAsia" w:cs="Times New Roman"/>
          <w:color w:val="000000" w:themeColor="text1"/>
          <w:sz w:val="24"/>
          <w:highlight w:val="none"/>
          <w14:textFill>
            <w14:solidFill>
              <w14:schemeClr w14:val="tx1"/>
            </w14:solidFill>
          </w14:textFill>
        </w:rPr>
        <w:t>后的矿石</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由于年产30万吨铁精粉需要铁矿石90万吨/年，西成矿业</w:t>
      </w:r>
      <w:r>
        <w:rPr>
          <w:rFonts w:hint="eastAsia" w:cs="Times New Roman"/>
          <w:color w:val="000000" w:themeColor="text1"/>
          <w:sz w:val="24"/>
          <w:highlight w:val="none"/>
          <w14:textFill>
            <w14:solidFill>
              <w14:schemeClr w14:val="tx1"/>
            </w14:solidFill>
          </w14:textFill>
        </w:rPr>
        <w:t>M1033铁矿</w:t>
      </w:r>
      <w:r>
        <w:rPr>
          <w:rFonts w:hint="eastAsia" w:cs="Times New Roman"/>
          <w:color w:val="000000" w:themeColor="text1"/>
          <w:sz w:val="24"/>
          <w:highlight w:val="none"/>
          <w:lang w:val="en-US" w:eastAsia="zh-CN"/>
          <w14:textFill>
            <w14:solidFill>
              <w14:schemeClr w14:val="tx1"/>
            </w14:solidFill>
          </w14:textFill>
        </w:rPr>
        <w:t>采矿规模为60万吨/年，不足部分约30万吨/年铁矿石采购自哈密市志合矿业有限责任公司新疆哈密市M1033铁矿（12-14线）</w:t>
      </w:r>
      <w:r>
        <w:rPr>
          <w:rFonts w:hint="eastAsia" w:cs="Times New Roman"/>
          <w:color w:val="000000" w:themeColor="text1"/>
          <w:sz w:val="24"/>
          <w:highlight w:val="none"/>
          <w14:textFill>
            <w14:solidFill>
              <w14:schemeClr w14:val="tx1"/>
            </w14:solidFill>
          </w14:textFill>
        </w:rPr>
        <w:t>。</w:t>
      </w:r>
    </w:p>
    <w:p w14:paraId="4961B8E8">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3.3.1.1</w:t>
      </w:r>
      <w:r>
        <w:rPr>
          <w:rFonts w:hint="eastAsia"/>
          <w:color w:val="000000" w:themeColor="text1"/>
          <w:highlight w:val="none"/>
          <w:lang w:eastAsia="zh-CN"/>
          <w14:textFill>
            <w14:solidFill>
              <w14:schemeClr w14:val="tx1"/>
            </w14:solidFill>
          </w14:textFill>
        </w:rPr>
        <w:t>破碎</w:t>
      </w:r>
      <w:r>
        <w:rPr>
          <w:rFonts w:hint="eastAsia"/>
          <w:color w:val="000000" w:themeColor="text1"/>
          <w:highlight w:val="none"/>
          <w14:textFill>
            <w14:solidFill>
              <w14:schemeClr w14:val="tx1"/>
            </w14:solidFill>
          </w14:textFill>
        </w:rPr>
        <w:t>工艺流程</w:t>
      </w:r>
    </w:p>
    <w:p w14:paraId="23630888">
      <w:pPr>
        <w:pStyle w:val="56"/>
        <w:overflowPunct w:val="0"/>
        <w:topLinePunct/>
        <w:spacing w:line="480" w:lineRule="exact"/>
        <w:ind w:firstLine="480"/>
        <w:rPr>
          <w:rFonts w:hint="eastAsia" w:eastAsia="宋体" w:cs="Times New Roman"/>
          <w:color w:val="000000" w:themeColor="text1"/>
          <w:sz w:val="24"/>
          <w:highlight w:val="none"/>
          <w:lang w:eastAsia="zh-CN"/>
          <w14:textFill>
            <w14:solidFill>
              <w14:schemeClr w14:val="tx1"/>
            </w14:solidFill>
          </w14:textFill>
        </w:rPr>
      </w:pPr>
      <w:r>
        <w:rPr>
          <w:rFonts w:hint="eastAsia" w:cs="Times New Roman"/>
          <w:color w:val="000000" w:themeColor="text1"/>
          <w:sz w:val="24"/>
          <w:highlight w:val="none"/>
          <w14:textFill>
            <w14:solidFill>
              <w14:schemeClr w14:val="tx1"/>
            </w14:solidFill>
          </w14:textFill>
        </w:rPr>
        <w:t>井下采出的原矿卸入原矿仓后，通过振动放矿机将原矿给入颚式破碎机进行粗碎，粗碎后产品最大块度为150mm，经1#胶带运输机运输后给入颚式破碎机进行中碎，中碎产品经2#胶带运输机运输后给入圆振动筛进行筛分，筛下-12mm合格产品经4#胶带运输机运输后进入粉矿仓待磨，筛上+12mm矿石经3#胶带运输机运输后给入短头圆锥破碎机进行细碎，细碎后矿石经与粗碎产品合并后经2#胶带运输机运输后返回振动筛进行筛分，形成三段一闭路破碎筛分流程。细碎产品经干式磁滑轮预先抛尾，</w:t>
      </w:r>
      <w:r>
        <w:rPr>
          <w:rFonts w:hint="default" w:ascii="Times New Roman" w:hAnsi="Times New Roman" w:cs="Times New Roman"/>
          <w:color w:val="000000" w:themeColor="text1"/>
          <w:sz w:val="24"/>
          <w:szCs w:val="24"/>
          <w:lang w:val="en-US" w:eastAsia="zh-CN"/>
          <w14:textFill>
            <w14:solidFill>
              <w14:schemeClr w14:val="tx1"/>
            </w14:solidFill>
          </w14:textFill>
        </w:rPr>
        <w:t>将</w:t>
      </w:r>
      <w:r>
        <w:rPr>
          <w:rFonts w:hint="eastAsia" w:cs="Times New Roman"/>
          <w:color w:val="000000" w:themeColor="text1"/>
          <w:sz w:val="24"/>
          <w:highlight w:val="none"/>
          <w14:textFill>
            <w14:solidFill>
              <w14:schemeClr w14:val="tx1"/>
            </w14:solidFill>
          </w14:textFill>
        </w:rPr>
        <w:t>细碎</w:t>
      </w:r>
      <w:r>
        <w:rPr>
          <w:rFonts w:hint="eastAsia" w:ascii="Times New Roman" w:hAnsi="Times New Roman" w:cs="Times New Roman"/>
          <w:color w:val="000000" w:themeColor="text1"/>
          <w:sz w:val="24"/>
          <w:szCs w:val="24"/>
          <w:lang w:val="en-US" w:eastAsia="zh-CN"/>
          <w14:textFill>
            <w14:solidFill>
              <w14:schemeClr w14:val="tx1"/>
            </w14:solidFill>
          </w14:textFill>
        </w:rPr>
        <w:t>产品</w:t>
      </w:r>
      <w:r>
        <w:rPr>
          <w:rFonts w:hint="default" w:ascii="Times New Roman" w:hAnsi="Times New Roman" w:cs="Times New Roman"/>
          <w:color w:val="000000" w:themeColor="text1"/>
          <w:sz w:val="24"/>
          <w:szCs w:val="24"/>
          <w:lang w:val="en-US" w:eastAsia="zh-CN"/>
          <w14:textFill>
            <w14:solidFill>
              <w14:schemeClr w14:val="tx1"/>
            </w14:solidFill>
          </w14:textFill>
        </w:rPr>
        <w:t>破碎至</w:t>
      </w:r>
      <w:r>
        <w:rPr>
          <w:rFonts w:hint="eastAsia" w:ascii="Times New Roman" w:hAnsi="Times New Roman" w:cs="Times New Roman"/>
          <w:color w:val="000000" w:themeColor="text1"/>
          <w:sz w:val="24"/>
          <w:szCs w:val="24"/>
          <w:lang w:val="en-US" w:eastAsia="zh-CN"/>
          <w14:textFill>
            <w14:solidFill>
              <w14:schemeClr w14:val="tx1"/>
            </w14:solidFill>
          </w14:textFill>
        </w:rPr>
        <w:t>粒度</w:t>
      </w:r>
      <w:r>
        <w:rPr>
          <w:rFonts w:hint="default"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mm</w:t>
      </w:r>
      <w:r>
        <w:rPr>
          <w:rFonts w:hint="default" w:ascii="Times New Roman" w:hAnsi="Times New Roman" w:cs="Times New Roman"/>
          <w:color w:val="000000" w:themeColor="text1"/>
          <w:sz w:val="24"/>
          <w:szCs w:val="24"/>
          <w:lang w:val="en-US" w:eastAsia="zh-CN"/>
          <w14:textFill>
            <w14:solidFill>
              <w14:schemeClr w14:val="tx1"/>
            </w14:solidFill>
          </w14:textFill>
        </w:rPr>
        <w:t>左右，得到</w:t>
      </w:r>
      <w:r>
        <w:rPr>
          <w:rFonts w:hint="eastAsia" w:ascii="Times New Roman" w:hAnsi="Times New Roman" w:cs="Times New Roman"/>
          <w:color w:val="000000" w:themeColor="text1"/>
          <w:sz w:val="24"/>
          <w:szCs w:val="24"/>
          <w:lang w:val="en-US" w:eastAsia="zh-CN"/>
          <w14:textFill>
            <w14:solidFill>
              <w14:schemeClr w14:val="tx1"/>
            </w14:solidFill>
          </w14:textFill>
        </w:rPr>
        <w:t>粗精矿，</w:t>
      </w:r>
      <w:r>
        <w:rPr>
          <w:rFonts w:hint="eastAsia" w:cs="Times New Roman"/>
          <w:color w:val="000000" w:themeColor="text1"/>
          <w:sz w:val="24"/>
          <w:highlight w:val="none"/>
          <w14:textFill>
            <w14:solidFill>
              <w14:schemeClr w14:val="tx1"/>
            </w14:solidFill>
          </w14:textFill>
        </w:rPr>
        <w:t>预先抛废后</w:t>
      </w:r>
      <w:r>
        <w:rPr>
          <w:rFonts w:hint="eastAsia" w:cs="Times New Roman"/>
          <w:color w:val="000000" w:themeColor="text1"/>
          <w:sz w:val="24"/>
          <w:highlight w:val="none"/>
          <w:lang w:eastAsia="zh-CN"/>
          <w14:textFill>
            <w14:solidFill>
              <w14:schemeClr w14:val="tx1"/>
            </w14:solidFill>
          </w14:textFill>
        </w:rPr>
        <w:t>的</w:t>
      </w:r>
      <w:r>
        <w:rPr>
          <w:rFonts w:hint="eastAsia" w:cs="Times New Roman"/>
          <w:color w:val="000000" w:themeColor="text1"/>
          <w:sz w:val="24"/>
          <w:highlight w:val="none"/>
          <w:lang w:val="en-US" w:eastAsia="zh-CN"/>
          <w14:textFill>
            <w14:solidFill>
              <w14:schemeClr w14:val="tx1"/>
            </w14:solidFill>
          </w14:textFill>
        </w:rPr>
        <w:t>粗精矿</w:t>
      </w:r>
      <w:r>
        <w:rPr>
          <w:rFonts w:hint="eastAsia" w:cs="Times New Roman"/>
          <w:color w:val="000000" w:themeColor="text1"/>
          <w:sz w:val="24"/>
          <w:highlight w:val="none"/>
          <w14:textFill>
            <w14:solidFill>
              <w14:schemeClr w14:val="tx1"/>
            </w14:solidFill>
          </w14:textFill>
        </w:rPr>
        <w:t>给入粉矿仓待磨。</w:t>
      </w:r>
      <w:r>
        <w:rPr>
          <w:rFonts w:hint="eastAsia" w:cs="Times New Roman"/>
          <w:color w:val="000000" w:themeColor="text1"/>
          <w:sz w:val="24"/>
          <w:highlight w:val="none"/>
          <w:lang w:val="en-US" w:eastAsia="zh-CN"/>
          <w14:textFill>
            <w14:solidFill>
              <w14:schemeClr w14:val="tx1"/>
            </w14:solidFill>
          </w14:textFill>
        </w:rPr>
        <w:t>产生的抛尾废石</w:t>
      </w:r>
      <w:r>
        <w:rPr>
          <w:rFonts w:hint="eastAsia" w:cs="Times New Roman"/>
          <w:color w:val="000000" w:themeColor="text1"/>
          <w:sz w:val="24"/>
          <w:highlight w:val="none"/>
          <w14:textFill>
            <w14:solidFill>
              <w14:schemeClr w14:val="tx1"/>
            </w14:solidFill>
          </w14:textFill>
        </w:rPr>
        <w:t>运至采矿区废石堆场堆放</w:t>
      </w:r>
      <w:r>
        <w:rPr>
          <w:rFonts w:hint="eastAsia" w:cs="Times New Roman"/>
          <w:color w:val="000000" w:themeColor="text1"/>
          <w:sz w:val="24"/>
          <w:highlight w:val="none"/>
          <w:lang w:eastAsia="zh-CN"/>
          <w14:textFill>
            <w14:solidFill>
              <w14:schemeClr w14:val="tx1"/>
            </w14:solidFill>
          </w14:textFill>
        </w:rPr>
        <w:t>。</w:t>
      </w:r>
    </w:p>
    <w:p w14:paraId="5899192C">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3.3.1.2磨矿选别工艺流程</w:t>
      </w:r>
    </w:p>
    <w:p w14:paraId="7F9DC964">
      <w:pPr>
        <w:pStyle w:val="56"/>
        <w:overflowPunct w:val="0"/>
        <w:topLinePunct/>
        <w:spacing w:line="480" w:lineRule="exact"/>
        <w:ind w:firstLine="480"/>
        <w:rPr>
          <w:rFonts w:hint="eastAsia" w:eastAsia="宋体" w:cs="Times New Roman"/>
          <w:color w:val="000000" w:themeColor="text1"/>
          <w:sz w:val="24"/>
          <w:highlight w:val="none"/>
          <w:lang w:eastAsia="zh-CN"/>
          <w14:textFill>
            <w14:solidFill>
              <w14:schemeClr w14:val="tx1"/>
            </w14:solidFill>
          </w14:textFill>
        </w:rPr>
      </w:pPr>
      <w:r>
        <w:rPr>
          <w:rFonts w:hint="eastAsia" w:cs="Times New Roman"/>
          <w:color w:val="000000" w:themeColor="text1"/>
          <w:sz w:val="24"/>
          <w:highlight w:val="none"/>
          <w14:textFill>
            <w14:solidFill>
              <w14:schemeClr w14:val="tx1"/>
            </w14:solidFill>
          </w14:textFill>
        </w:rPr>
        <w:t>磨矿分级采用两段闭路分级流程，一段磨矿分级由球磨机与水力旋流器组组成闭路，磨矿细度要求达到-200目占60%，一段旋流器溢流进入粗磁选及扫选流程，旋流器沉砂返回格子型球磨机再磨形成闭路；二段磨矿分级由溢流型球磨机与水力旋流器组组成闭路，磨矿细度要求达到-375目占95%，二段旋流器溢流进入精磁选流程，沉砂返回溢流型球磨机再磨形成闭路</w:t>
      </w:r>
      <w:r>
        <w:rPr>
          <w:rFonts w:hint="eastAsia" w:cs="Times New Roman"/>
          <w:color w:val="000000" w:themeColor="text1"/>
          <w:sz w:val="24"/>
          <w:highlight w:val="none"/>
          <w:lang w:eastAsia="zh-CN"/>
          <w14:textFill>
            <w14:solidFill>
              <w14:schemeClr w14:val="tx1"/>
            </w14:solidFill>
          </w14:textFill>
        </w:rPr>
        <w:t>。</w:t>
      </w:r>
    </w:p>
    <w:p w14:paraId="43C30004">
      <w:pPr>
        <w:pStyle w:val="56"/>
        <w:overflowPunct w:val="0"/>
        <w:topLinePunct/>
        <w:spacing w:line="480" w:lineRule="exact"/>
        <w:ind w:firstLine="480"/>
        <w:rPr>
          <w:rFonts w:hint="eastAsia"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14:textFill>
            <w14:solidFill>
              <w14:schemeClr w14:val="tx1"/>
            </w14:solidFill>
          </w14:textFill>
        </w:rPr>
        <w:t>磁选分为三段。</w:t>
      </w:r>
      <w:bookmarkStart w:id="481" w:name="_Hlk46653404"/>
      <w:r>
        <w:rPr>
          <w:rFonts w:hint="eastAsia" w:cs="Times New Roman"/>
          <w:color w:val="000000" w:themeColor="text1"/>
          <w:sz w:val="24"/>
          <w:highlight w:val="none"/>
          <w14:textFill>
            <w14:solidFill>
              <w14:schemeClr w14:val="tx1"/>
            </w14:solidFill>
          </w14:textFill>
        </w:rPr>
        <w:t>一段磨矿后排矿经水力旋流器分级后，溢流给入磁选机进行一段粗磁选，一段粗磁选尾矿为最终尾矿，送浓缩机浓缩；粗磁选产品给入</w:t>
      </w:r>
      <w:bookmarkStart w:id="482" w:name="_Hlk46653317"/>
      <w:r>
        <w:rPr>
          <w:rFonts w:hint="eastAsia" w:cs="Times New Roman"/>
          <w:color w:val="000000" w:themeColor="text1"/>
          <w:sz w:val="24"/>
          <w:highlight w:val="none"/>
          <w14:textFill>
            <w14:solidFill>
              <w14:schemeClr w14:val="tx1"/>
            </w14:solidFill>
          </w14:textFill>
        </w:rPr>
        <w:t>水力旋流器</w:t>
      </w:r>
      <w:bookmarkEnd w:id="482"/>
      <w:r>
        <w:rPr>
          <w:rFonts w:hint="eastAsia" w:cs="Times New Roman"/>
          <w:color w:val="000000" w:themeColor="text1"/>
          <w:sz w:val="24"/>
          <w:highlight w:val="none"/>
          <w14:textFill>
            <w14:solidFill>
              <w14:schemeClr w14:val="tx1"/>
            </w14:solidFill>
          </w14:textFill>
        </w:rPr>
        <w:t>进</w:t>
      </w:r>
      <w:bookmarkEnd w:id="481"/>
      <w:r>
        <w:rPr>
          <w:rFonts w:hint="eastAsia" w:cs="Times New Roman"/>
          <w:color w:val="000000" w:themeColor="text1"/>
          <w:sz w:val="24"/>
          <w:highlight w:val="none"/>
          <w14:textFill>
            <w14:solidFill>
              <w14:schemeClr w14:val="tx1"/>
            </w14:solidFill>
          </w14:textFill>
        </w:rPr>
        <w:t>行分级，水力旋流器底流给入溢流型球磨机与</w:t>
      </w:r>
      <w:bookmarkStart w:id="483" w:name="_Hlk46653261"/>
      <w:r>
        <w:rPr>
          <w:rFonts w:hint="eastAsia" w:cs="Times New Roman"/>
          <w:color w:val="000000" w:themeColor="text1"/>
          <w:sz w:val="24"/>
          <w:highlight w:val="none"/>
          <w14:textFill>
            <w14:solidFill>
              <w14:schemeClr w14:val="tx1"/>
            </w14:solidFill>
          </w14:textFill>
        </w:rPr>
        <w:t>水力旋流器</w:t>
      </w:r>
      <w:bookmarkEnd w:id="483"/>
      <w:r>
        <w:rPr>
          <w:rFonts w:hint="eastAsia" w:cs="Times New Roman"/>
          <w:color w:val="000000" w:themeColor="text1"/>
          <w:sz w:val="24"/>
          <w:highlight w:val="none"/>
          <w14:textFill>
            <w14:solidFill>
              <w14:schemeClr w14:val="tx1"/>
            </w14:solidFill>
          </w14:textFill>
        </w:rPr>
        <w:t>组组成的闭路进再磨和分级，水力旋流器溢流给入选磁选机进行二次粗磁选，二次粗磁选矿浆给入选磁选机进行二次粗精选，得到铁精矿矿浆。二次粗磁选尾矿给入磁选机进行扫选，扫选产品与二次磁精选尾矿合并后返回二段球磨机再磨形成闭路，扫选尾矿为最终尾矿，与一段粗磁选尾矿合并后，经浓缩机浓缩后送尾矿库排放。</w:t>
      </w:r>
    </w:p>
    <w:p w14:paraId="2F8BB29A">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本项目生产系统工艺流程及排污节点见图3.3-</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w:t>
      </w:r>
    </w:p>
    <w:p w14:paraId="47A09EFC">
      <w:pPr>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28FE6D1E">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60C78C7E">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0265F862">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2FA46499">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03A03EBB">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2281E0B7">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6483BD1E">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652902EF">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38684BAE">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26DF59E9">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2AD966E2">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4184DAFE">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12E69E32">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063F28F0">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45D9F46C">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753DADDD">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4F483742">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299F0A39">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0EBC6B81">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1F48BC8E">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7E6A0251">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5844EEDB">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7C8B3F7C">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6E1F1FDC">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48C63673">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p>
    <w:p w14:paraId="194285EE">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highlight w:val="none"/>
          <w14:textFill>
            <w14:solidFill>
              <w14:schemeClr w14:val="tx1"/>
            </w14:solidFill>
          </w14:textFill>
        </w:rPr>
        <w:t>图3.3-</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highlight w:val="none"/>
          <w14:textFill>
            <w14:solidFill>
              <w14:schemeClr w14:val="tx1"/>
            </w14:solidFill>
          </w14:textFill>
        </w:rPr>
        <w:t xml:space="preserve">    本项目生产系统工艺流程及排污节点图</w:t>
      </w:r>
    </w:p>
    <w:p w14:paraId="5EC28DA4">
      <w:pPr>
        <w:ind w:firstLine="0" w:firstLineChars="0"/>
        <w:jc w:val="center"/>
        <w:rPr>
          <w:rFonts w:hint="eastAsia" w:ascii="Times New Roman" w:hAnsi="Times New Roman" w:eastAsia="宋体" w:cs="Times New Roman"/>
          <w:b/>
          <w:bCs/>
          <w:color w:val="000000" w:themeColor="text1"/>
          <w:highlight w:val="none"/>
          <w14:textFill>
            <w14:solidFill>
              <w14:schemeClr w14:val="tx1"/>
            </w14:solidFill>
          </w14:textFill>
        </w:rPr>
        <w:sectPr>
          <w:pgSz w:w="11906" w:h="16838"/>
          <w:pgMar w:top="1440" w:right="1803" w:bottom="1440" w:left="1803" w:header="850" w:footer="1134" w:gutter="0"/>
          <w:pgBorders>
            <w:top w:val="none" w:sz="0" w:space="0"/>
            <w:left w:val="none" w:sz="0" w:space="0"/>
            <w:bottom w:val="none" w:sz="0" w:space="0"/>
            <w:right w:val="none" w:sz="0" w:space="0"/>
          </w:pgBorders>
          <w:pgNumType w:fmt="decimal"/>
          <w:cols w:space="720" w:num="1"/>
          <w:docGrid w:linePitch="312" w:charSpace="0"/>
        </w:sectPr>
      </w:pPr>
    </w:p>
    <w:p w14:paraId="4FB3BA50">
      <w:pPr>
        <w:pStyle w:val="4"/>
        <w:rPr>
          <w:color w:val="000000" w:themeColor="text1"/>
          <w:highlight w:val="none"/>
          <w14:textFill>
            <w14:solidFill>
              <w14:schemeClr w14:val="tx1"/>
            </w14:solidFill>
          </w14:textFill>
        </w:rPr>
      </w:pPr>
      <w:bookmarkStart w:id="484" w:name="_Toc31945"/>
      <w:bookmarkStart w:id="485" w:name="_Toc3065"/>
      <w:bookmarkStart w:id="486" w:name="_Toc24011"/>
      <w:bookmarkStart w:id="487" w:name="_Toc10054"/>
      <w:bookmarkStart w:id="488" w:name="_Toc4102"/>
      <w:bookmarkStart w:id="489" w:name="_Toc13426"/>
      <w:bookmarkStart w:id="490" w:name="_Toc16492"/>
      <w:bookmarkStart w:id="491" w:name="_Toc1381"/>
      <w:bookmarkStart w:id="492" w:name="_Toc7298"/>
      <w:r>
        <w:rPr>
          <w:color w:val="000000" w:themeColor="text1"/>
          <w:highlight w:val="none"/>
          <w14:textFill>
            <w14:solidFill>
              <w14:schemeClr w14:val="tx1"/>
            </w14:solidFill>
          </w14:textFill>
        </w:rPr>
        <w:t>3.3.2</w:t>
      </w:r>
      <w:bookmarkEnd w:id="484"/>
      <w:bookmarkEnd w:id="485"/>
      <w:r>
        <w:rPr>
          <w:color w:val="000000" w:themeColor="text1"/>
          <w:highlight w:val="none"/>
          <w14:textFill>
            <w14:solidFill>
              <w14:schemeClr w14:val="tx1"/>
            </w14:solidFill>
          </w14:textFill>
        </w:rPr>
        <w:t>物料平衡及水平衡</w:t>
      </w:r>
      <w:bookmarkEnd w:id="486"/>
      <w:bookmarkEnd w:id="487"/>
      <w:bookmarkEnd w:id="488"/>
      <w:bookmarkEnd w:id="489"/>
      <w:bookmarkEnd w:id="490"/>
      <w:bookmarkEnd w:id="491"/>
      <w:bookmarkEnd w:id="492"/>
    </w:p>
    <w:p w14:paraId="7BEB881F">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3.3.2.1物料平衡</w:t>
      </w:r>
    </w:p>
    <w:p w14:paraId="67C5EEAB">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本项目运营后，物料平衡见表3.3-1。</w:t>
      </w:r>
    </w:p>
    <w:p w14:paraId="085FC809">
      <w:pPr>
        <w:ind w:firstLine="0" w:firstLineChars="0"/>
        <w:jc w:val="center"/>
        <w:rPr>
          <w:b/>
          <w:color w:val="000000" w:themeColor="text1"/>
          <w:kern w:val="0"/>
          <w:highlight w:val="none"/>
          <w14:textFill>
            <w14:solidFill>
              <w14:schemeClr w14:val="tx1"/>
            </w14:solidFill>
          </w14:textFill>
        </w:rPr>
      </w:pPr>
      <w:r>
        <w:rPr>
          <w:b/>
          <w:color w:val="000000" w:themeColor="text1"/>
          <w:kern w:val="0"/>
          <w:highlight w:val="none"/>
          <w14:textFill>
            <w14:solidFill>
              <w14:schemeClr w14:val="tx1"/>
            </w14:solidFill>
          </w14:textFill>
        </w:rPr>
        <w:t xml:space="preserve">表3.3-1    </w:t>
      </w:r>
      <w:r>
        <w:rPr>
          <w:rFonts w:hint="eastAsia"/>
          <w:b/>
          <w:color w:val="000000" w:themeColor="text1"/>
          <w:kern w:val="0"/>
          <w:highlight w:val="none"/>
          <w14:textFill>
            <w14:solidFill>
              <w14:schemeClr w14:val="tx1"/>
            </w14:solidFill>
          </w14:textFill>
        </w:rPr>
        <w:t>本项目</w:t>
      </w:r>
      <w:r>
        <w:rPr>
          <w:b/>
          <w:color w:val="000000" w:themeColor="text1"/>
          <w:kern w:val="0"/>
          <w:highlight w:val="none"/>
          <w14:textFill>
            <w14:solidFill>
              <w14:schemeClr w14:val="tx1"/>
            </w14:solidFill>
          </w14:textFill>
        </w:rPr>
        <w:t>物料平衡表</w:t>
      </w:r>
    </w:p>
    <w:tbl>
      <w:tblPr>
        <w:tblStyle w:val="3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83"/>
        <w:gridCol w:w="2378"/>
        <w:gridCol w:w="1182"/>
        <w:gridCol w:w="767"/>
        <w:gridCol w:w="2273"/>
        <w:gridCol w:w="1233"/>
      </w:tblGrid>
      <w:tr w14:paraId="78A95F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2491" w:type="pct"/>
            <w:gridSpan w:val="3"/>
            <w:vAlign w:val="center"/>
          </w:tcPr>
          <w:p w14:paraId="57B148FB">
            <w:pPr>
              <w:adjustRightInd w:val="0"/>
              <w:snapToGrid w:val="0"/>
              <w:spacing w:line="360" w:lineRule="exact"/>
              <w:ind w:firstLine="0" w:firstLineChars="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投入</w:t>
            </w:r>
          </w:p>
        </w:tc>
        <w:tc>
          <w:tcPr>
            <w:tcW w:w="2508" w:type="pct"/>
            <w:gridSpan w:val="3"/>
            <w:vAlign w:val="center"/>
          </w:tcPr>
          <w:p w14:paraId="2F5DBB16">
            <w:pPr>
              <w:adjustRightInd w:val="0"/>
              <w:snapToGrid w:val="0"/>
              <w:spacing w:line="360" w:lineRule="exact"/>
              <w:ind w:firstLine="0" w:firstLineChars="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产出</w:t>
            </w:r>
          </w:p>
        </w:tc>
      </w:tr>
      <w:tr w14:paraId="362548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401" w:type="pct"/>
            <w:vAlign w:val="center"/>
          </w:tcPr>
          <w:p w14:paraId="2F731EE6">
            <w:pPr>
              <w:adjustRightInd w:val="0"/>
              <w:snapToGrid w:val="0"/>
              <w:spacing w:line="360" w:lineRule="exact"/>
              <w:ind w:firstLine="0" w:firstLineChars="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序号</w:t>
            </w:r>
          </w:p>
        </w:tc>
        <w:tc>
          <w:tcPr>
            <w:tcW w:w="1396" w:type="pct"/>
            <w:vAlign w:val="center"/>
          </w:tcPr>
          <w:p w14:paraId="016605E1">
            <w:pPr>
              <w:adjustRightInd w:val="0"/>
              <w:snapToGrid w:val="0"/>
              <w:spacing w:line="360" w:lineRule="exact"/>
              <w:ind w:firstLine="0" w:firstLineChars="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名称</w:t>
            </w:r>
          </w:p>
        </w:tc>
        <w:tc>
          <w:tcPr>
            <w:tcW w:w="693" w:type="pct"/>
            <w:vAlign w:val="center"/>
          </w:tcPr>
          <w:p w14:paraId="1D5A7A3C">
            <w:pPr>
              <w:adjustRightInd w:val="0"/>
              <w:snapToGrid w:val="0"/>
              <w:spacing w:line="360" w:lineRule="exact"/>
              <w:ind w:firstLine="0" w:firstLineChars="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数量</w:t>
            </w:r>
            <w:r>
              <w:rPr>
                <w:rFonts w:hint="eastAsia" w:ascii="Times New Roman" w:hAnsi="Times New Roman" w:eastAsia="宋体"/>
                <w:b/>
                <w:color w:val="000000" w:themeColor="text1"/>
                <w:sz w:val="21"/>
                <w:szCs w:val="21"/>
                <w:highlight w:val="none"/>
                <w14:textFill>
                  <w14:solidFill>
                    <w14:schemeClr w14:val="tx1"/>
                  </w14:solidFill>
                </w14:textFill>
              </w:rPr>
              <w:t>（t</w:t>
            </w:r>
            <w:r>
              <w:rPr>
                <w:rFonts w:ascii="Times New Roman" w:hAnsi="Times New Roman" w:eastAsia="宋体"/>
                <w:b/>
                <w:color w:val="000000" w:themeColor="text1"/>
                <w:sz w:val="21"/>
                <w:szCs w:val="21"/>
                <w:highlight w:val="none"/>
                <w14:textFill>
                  <w14:solidFill>
                    <w14:schemeClr w14:val="tx1"/>
                  </w14:solidFill>
                </w14:textFill>
              </w:rPr>
              <w:t>/a</w:t>
            </w:r>
            <w:r>
              <w:rPr>
                <w:rFonts w:hint="eastAsia" w:ascii="Times New Roman" w:hAnsi="Times New Roman" w:eastAsia="宋体"/>
                <w:b/>
                <w:color w:val="000000" w:themeColor="text1"/>
                <w:sz w:val="21"/>
                <w:szCs w:val="21"/>
                <w:highlight w:val="none"/>
                <w14:textFill>
                  <w14:solidFill>
                    <w14:schemeClr w14:val="tx1"/>
                  </w14:solidFill>
                </w14:textFill>
              </w:rPr>
              <w:t>）</w:t>
            </w:r>
          </w:p>
        </w:tc>
        <w:tc>
          <w:tcPr>
            <w:tcW w:w="450" w:type="pct"/>
            <w:vAlign w:val="center"/>
          </w:tcPr>
          <w:p w14:paraId="686BA9CF">
            <w:pPr>
              <w:adjustRightInd w:val="0"/>
              <w:snapToGrid w:val="0"/>
              <w:spacing w:line="360" w:lineRule="exact"/>
              <w:ind w:firstLine="0" w:firstLineChars="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序号</w:t>
            </w:r>
          </w:p>
        </w:tc>
        <w:tc>
          <w:tcPr>
            <w:tcW w:w="1334" w:type="pct"/>
            <w:vAlign w:val="center"/>
          </w:tcPr>
          <w:p w14:paraId="21895DB7">
            <w:pPr>
              <w:adjustRightInd w:val="0"/>
              <w:snapToGrid w:val="0"/>
              <w:spacing w:line="360" w:lineRule="exact"/>
              <w:ind w:firstLine="0" w:firstLineChars="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名称</w:t>
            </w:r>
          </w:p>
        </w:tc>
        <w:tc>
          <w:tcPr>
            <w:tcW w:w="723" w:type="pct"/>
            <w:vAlign w:val="center"/>
          </w:tcPr>
          <w:p w14:paraId="77602705">
            <w:pPr>
              <w:adjustRightInd w:val="0"/>
              <w:snapToGrid w:val="0"/>
              <w:spacing w:line="360" w:lineRule="exact"/>
              <w:ind w:firstLine="0" w:firstLineChars="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数量</w:t>
            </w:r>
            <w:r>
              <w:rPr>
                <w:rFonts w:hint="eastAsia" w:ascii="Times New Roman" w:hAnsi="Times New Roman" w:eastAsia="宋体"/>
                <w:b/>
                <w:color w:val="000000" w:themeColor="text1"/>
                <w:sz w:val="21"/>
                <w:szCs w:val="21"/>
                <w:highlight w:val="none"/>
                <w14:textFill>
                  <w14:solidFill>
                    <w14:schemeClr w14:val="tx1"/>
                  </w14:solidFill>
                </w14:textFill>
              </w:rPr>
              <w:t>（t</w:t>
            </w:r>
            <w:r>
              <w:rPr>
                <w:rFonts w:ascii="Times New Roman" w:hAnsi="Times New Roman" w:eastAsia="宋体"/>
                <w:b/>
                <w:color w:val="000000" w:themeColor="text1"/>
                <w:sz w:val="21"/>
                <w:szCs w:val="21"/>
                <w:highlight w:val="none"/>
                <w14:textFill>
                  <w14:solidFill>
                    <w14:schemeClr w14:val="tx1"/>
                  </w14:solidFill>
                </w14:textFill>
              </w:rPr>
              <w:t>/a</w:t>
            </w:r>
            <w:r>
              <w:rPr>
                <w:rFonts w:hint="eastAsia" w:ascii="Times New Roman" w:hAnsi="Times New Roman" w:eastAsia="宋体"/>
                <w:b/>
                <w:color w:val="000000" w:themeColor="text1"/>
                <w:sz w:val="21"/>
                <w:szCs w:val="21"/>
                <w:highlight w:val="none"/>
                <w14:textFill>
                  <w14:solidFill>
                    <w14:schemeClr w14:val="tx1"/>
                  </w14:solidFill>
                </w14:textFill>
              </w:rPr>
              <w:t>）</w:t>
            </w:r>
          </w:p>
        </w:tc>
      </w:tr>
      <w:tr w14:paraId="6A6690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1" w:type="pct"/>
            <w:vAlign w:val="center"/>
          </w:tcPr>
          <w:p w14:paraId="42098E8A">
            <w:pPr>
              <w:adjustRightInd w:val="0"/>
              <w:snapToGrid w:val="0"/>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w:t>
            </w:r>
          </w:p>
        </w:tc>
        <w:tc>
          <w:tcPr>
            <w:tcW w:w="1396" w:type="pct"/>
            <w:vAlign w:val="center"/>
          </w:tcPr>
          <w:p w14:paraId="4299BF00">
            <w:pPr>
              <w:adjustRightInd w:val="0"/>
              <w:snapToGrid w:val="0"/>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矿石</w:t>
            </w:r>
          </w:p>
        </w:tc>
        <w:tc>
          <w:tcPr>
            <w:tcW w:w="693" w:type="pct"/>
            <w:vAlign w:val="center"/>
          </w:tcPr>
          <w:p w14:paraId="5EC246D9">
            <w:pPr>
              <w:adjustRightInd w:val="0"/>
              <w:snapToGrid w:val="0"/>
              <w:spacing w:line="360" w:lineRule="exact"/>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900000</w:t>
            </w:r>
          </w:p>
        </w:tc>
        <w:tc>
          <w:tcPr>
            <w:tcW w:w="450" w:type="pct"/>
            <w:vAlign w:val="center"/>
          </w:tcPr>
          <w:p w14:paraId="17B632FE">
            <w:pPr>
              <w:adjustRightInd w:val="0"/>
              <w:snapToGrid w:val="0"/>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1</w:t>
            </w:r>
          </w:p>
        </w:tc>
        <w:tc>
          <w:tcPr>
            <w:tcW w:w="1334" w:type="pct"/>
            <w:vAlign w:val="center"/>
          </w:tcPr>
          <w:p w14:paraId="79A0524A">
            <w:pPr>
              <w:keepNext w:val="0"/>
              <w:keepLines w:val="0"/>
              <w:pageBreakBefore w:val="0"/>
              <w:widowControl w:val="0"/>
              <w:kinsoku/>
              <w:wordWrap/>
              <w:overflowPunct w:val="0"/>
              <w:topLinePunct/>
              <w:autoSpaceDE/>
              <w:autoSpaceDN/>
              <w:bidi w:val="0"/>
              <w:adjustRightInd w:val="0"/>
              <w:snapToGrid w:val="0"/>
              <w:spacing w:line="360" w:lineRule="exact"/>
              <w:ind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铁精粉</w:t>
            </w:r>
          </w:p>
        </w:tc>
        <w:tc>
          <w:tcPr>
            <w:tcW w:w="723" w:type="pct"/>
            <w:vAlign w:val="center"/>
          </w:tcPr>
          <w:p w14:paraId="52F8097D">
            <w:pPr>
              <w:adjustRightInd w:val="0"/>
              <w:snapToGrid w:val="0"/>
              <w:spacing w:line="360" w:lineRule="exact"/>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000</w:t>
            </w:r>
          </w:p>
        </w:tc>
      </w:tr>
      <w:tr w14:paraId="0B2854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1" w:type="pct"/>
            <w:shd w:val="clear" w:color="auto" w:fill="auto"/>
            <w:vAlign w:val="center"/>
          </w:tcPr>
          <w:p w14:paraId="041D526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1396" w:type="pct"/>
            <w:shd w:val="clear" w:color="auto" w:fill="auto"/>
            <w:vAlign w:val="center"/>
          </w:tcPr>
          <w:p w14:paraId="2F2FDAB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693" w:type="pct"/>
            <w:shd w:val="clear" w:color="auto" w:fill="auto"/>
            <w:vAlign w:val="center"/>
          </w:tcPr>
          <w:p w14:paraId="4CDCFC4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450" w:type="pct"/>
            <w:vAlign w:val="center"/>
          </w:tcPr>
          <w:p w14:paraId="22AE5503">
            <w:pPr>
              <w:adjustRightInd w:val="0"/>
              <w:snapToGrid w:val="0"/>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w:t>
            </w:r>
          </w:p>
        </w:tc>
        <w:tc>
          <w:tcPr>
            <w:tcW w:w="1334" w:type="pct"/>
            <w:vAlign w:val="center"/>
          </w:tcPr>
          <w:p w14:paraId="0E560362">
            <w:pPr>
              <w:adjustRightInd w:val="0"/>
              <w:snapToGrid w:val="0"/>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尾矿</w:t>
            </w:r>
          </w:p>
        </w:tc>
        <w:tc>
          <w:tcPr>
            <w:tcW w:w="723" w:type="pct"/>
            <w:vAlign w:val="center"/>
          </w:tcPr>
          <w:p w14:paraId="543F5961">
            <w:pPr>
              <w:adjustRightInd w:val="0"/>
              <w:snapToGrid w:val="0"/>
              <w:spacing w:line="360" w:lineRule="exact"/>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452500</w:t>
            </w:r>
          </w:p>
        </w:tc>
      </w:tr>
      <w:tr w14:paraId="66887D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401" w:type="pct"/>
            <w:shd w:val="clear" w:color="auto" w:fill="auto"/>
            <w:vAlign w:val="center"/>
          </w:tcPr>
          <w:p w14:paraId="24FE1C2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1396" w:type="pct"/>
            <w:shd w:val="clear" w:color="auto" w:fill="auto"/>
            <w:vAlign w:val="center"/>
          </w:tcPr>
          <w:p w14:paraId="2B56B76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693" w:type="pct"/>
            <w:shd w:val="clear" w:color="auto" w:fill="auto"/>
            <w:vAlign w:val="center"/>
          </w:tcPr>
          <w:p w14:paraId="1A30FDC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450" w:type="pct"/>
            <w:vAlign w:val="center"/>
          </w:tcPr>
          <w:p w14:paraId="77DB6E1E">
            <w:pPr>
              <w:adjustRightInd w:val="0"/>
              <w:snapToGrid w:val="0"/>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3</w:t>
            </w:r>
          </w:p>
        </w:tc>
        <w:tc>
          <w:tcPr>
            <w:tcW w:w="1334" w:type="pct"/>
            <w:shd w:val="clear" w:color="auto" w:fill="auto"/>
            <w:vAlign w:val="center"/>
          </w:tcPr>
          <w:p w14:paraId="7AB4C58B">
            <w:pPr>
              <w:adjustRightInd w:val="0"/>
              <w:snapToGrid w:val="0"/>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干选</w:t>
            </w:r>
            <w:r>
              <w:rPr>
                <w:rFonts w:hint="eastAsia" w:ascii="Times New Roman" w:hAnsi="Times New Roman" w:eastAsia="宋体"/>
                <w:color w:val="000000" w:themeColor="text1"/>
                <w:sz w:val="21"/>
                <w:szCs w:val="21"/>
                <w:highlight w:val="none"/>
                <w:lang w:eastAsia="zh-CN"/>
                <w14:textFill>
                  <w14:solidFill>
                    <w14:schemeClr w14:val="tx1"/>
                  </w14:solidFill>
                </w14:textFill>
              </w:rPr>
              <w:t>废石</w:t>
            </w:r>
          </w:p>
        </w:tc>
        <w:tc>
          <w:tcPr>
            <w:tcW w:w="723" w:type="pct"/>
            <w:shd w:val="clear" w:color="auto" w:fill="auto"/>
            <w:vAlign w:val="center"/>
          </w:tcPr>
          <w:p w14:paraId="5AB6CF46">
            <w:pPr>
              <w:adjustRightInd w:val="0"/>
              <w:snapToGrid w:val="0"/>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147500</w:t>
            </w:r>
          </w:p>
        </w:tc>
      </w:tr>
      <w:tr w14:paraId="4AD7AC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1" w:type="pct"/>
            <w:vAlign w:val="center"/>
          </w:tcPr>
          <w:p w14:paraId="0B1A2AB6">
            <w:pPr>
              <w:adjustRightInd w:val="0"/>
              <w:snapToGrid w:val="0"/>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合计</w:t>
            </w:r>
          </w:p>
        </w:tc>
        <w:tc>
          <w:tcPr>
            <w:tcW w:w="1396" w:type="pct"/>
            <w:vAlign w:val="center"/>
          </w:tcPr>
          <w:p w14:paraId="69E4AE13">
            <w:pPr>
              <w:adjustRightInd w:val="0"/>
              <w:snapToGrid w:val="0"/>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693" w:type="pct"/>
            <w:vAlign w:val="center"/>
          </w:tcPr>
          <w:p w14:paraId="6BDB1B21">
            <w:pPr>
              <w:adjustRightInd w:val="0"/>
              <w:snapToGrid w:val="0"/>
              <w:spacing w:line="360" w:lineRule="exact"/>
              <w:ind w:firstLine="0" w:firstLineChars="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900000</w:t>
            </w:r>
          </w:p>
        </w:tc>
        <w:tc>
          <w:tcPr>
            <w:tcW w:w="450" w:type="pct"/>
            <w:vAlign w:val="center"/>
          </w:tcPr>
          <w:p w14:paraId="13DE854B">
            <w:pPr>
              <w:adjustRightInd w:val="0"/>
              <w:snapToGrid w:val="0"/>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合计</w:t>
            </w:r>
          </w:p>
        </w:tc>
        <w:tc>
          <w:tcPr>
            <w:tcW w:w="1334" w:type="pct"/>
            <w:vAlign w:val="center"/>
          </w:tcPr>
          <w:p w14:paraId="6208B17E">
            <w:pPr>
              <w:adjustRightInd w:val="0"/>
              <w:snapToGrid w:val="0"/>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723" w:type="pct"/>
            <w:vAlign w:val="center"/>
          </w:tcPr>
          <w:p w14:paraId="6746387A">
            <w:pPr>
              <w:adjustRightInd w:val="0"/>
              <w:snapToGrid w:val="0"/>
              <w:spacing w:line="360" w:lineRule="exact"/>
              <w:ind w:firstLine="0" w:firstLineChars="0"/>
              <w:jc w:val="center"/>
              <w:rPr>
                <w:rFonts w:hint="default" w:ascii="Times New Roman" w:hAnsi="Times New Roman" w:eastAsia="宋体"/>
                <w:color w:val="000000" w:themeColor="text1"/>
                <w:sz w:val="21"/>
                <w:szCs w:val="21"/>
                <w:highlight w:val="none"/>
                <w:lang w:val="en-US"/>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900000</w:t>
            </w:r>
          </w:p>
        </w:tc>
      </w:tr>
    </w:tbl>
    <w:p w14:paraId="4728930A">
      <w:pPr>
        <w:pStyle w:val="5"/>
        <w:ind w:firstLine="482"/>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3.3.2.</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铁元素平衡</w:t>
      </w:r>
    </w:p>
    <w:p w14:paraId="39A24739">
      <w:pPr>
        <w:overflowPunct w:val="0"/>
        <w:topLinePunct/>
        <w:ind w:firstLine="480"/>
        <w:rPr>
          <w:rFonts w:hint="eastAsia"/>
          <w:color w:val="000000" w:themeColor="text1"/>
          <w:szCs w:val="28"/>
          <w:highlight w:val="none"/>
          <w14:textFill>
            <w14:solidFill>
              <w14:schemeClr w14:val="tx1"/>
            </w14:solidFill>
          </w14:textFill>
        </w:rPr>
      </w:pPr>
      <w:r>
        <w:rPr>
          <w:rFonts w:cs="Times New Roman"/>
          <w:color w:val="000000" w:themeColor="text1"/>
          <w:kern w:val="0"/>
          <w:highlight w:val="none"/>
          <w14:textFill>
            <w14:solidFill>
              <w14:schemeClr w14:val="tx1"/>
            </w14:solidFill>
          </w14:textFill>
        </w:rPr>
        <w:t>本项目</w:t>
      </w:r>
      <w:r>
        <w:rPr>
          <w:rFonts w:hint="eastAsia" w:cs="Times New Roman"/>
          <w:color w:val="000000" w:themeColor="text1"/>
          <w:kern w:val="0"/>
          <w:highlight w:val="none"/>
          <w:lang w:val="en-US" w:eastAsia="zh-CN"/>
          <w14:textFill>
            <w14:solidFill>
              <w14:schemeClr w14:val="tx1"/>
            </w14:solidFill>
          </w14:textFill>
        </w:rPr>
        <w:t>铁元素</w:t>
      </w:r>
      <w:r>
        <w:rPr>
          <w:rFonts w:cs="Times New Roman"/>
          <w:color w:val="000000" w:themeColor="text1"/>
          <w:kern w:val="0"/>
          <w:highlight w:val="none"/>
          <w14:textFill>
            <w14:solidFill>
              <w14:schemeClr w14:val="tx1"/>
            </w14:solidFill>
          </w14:textFill>
        </w:rPr>
        <w:t>平衡见表3.</w:t>
      </w:r>
      <w:r>
        <w:rPr>
          <w:rFonts w:hint="eastAsia" w:cs="Times New Roman"/>
          <w:color w:val="000000" w:themeColor="text1"/>
          <w:kern w:val="0"/>
          <w:highlight w:val="none"/>
          <w:lang w:val="en-US" w:eastAsia="zh-CN"/>
          <w14:textFill>
            <w14:solidFill>
              <w14:schemeClr w14:val="tx1"/>
            </w14:solidFill>
          </w14:textFill>
        </w:rPr>
        <w:t>3</w:t>
      </w:r>
      <w:r>
        <w:rPr>
          <w:rFonts w:cs="Times New Roman"/>
          <w:color w:val="000000" w:themeColor="text1"/>
          <w:kern w:val="0"/>
          <w:highlight w:val="none"/>
          <w14:textFill>
            <w14:solidFill>
              <w14:schemeClr w14:val="tx1"/>
            </w14:solidFill>
          </w14:textFill>
        </w:rPr>
        <w:t>-</w:t>
      </w:r>
      <w:r>
        <w:rPr>
          <w:rFonts w:hint="eastAsia" w:cs="Times New Roman"/>
          <w:color w:val="000000" w:themeColor="text1"/>
          <w:kern w:val="0"/>
          <w:highlight w:val="none"/>
          <w:lang w:val="en-US" w:eastAsia="zh-CN"/>
          <w14:textFill>
            <w14:solidFill>
              <w14:schemeClr w14:val="tx1"/>
            </w14:solidFill>
          </w14:textFill>
        </w:rPr>
        <w:t>2</w:t>
      </w:r>
      <w:r>
        <w:rPr>
          <w:rFonts w:cs="Times New Roman"/>
          <w:color w:val="000000" w:themeColor="text1"/>
          <w:kern w:val="0"/>
          <w:highlight w:val="none"/>
          <w14:textFill>
            <w14:solidFill>
              <w14:schemeClr w14:val="tx1"/>
            </w14:solidFill>
          </w14:textFill>
        </w:rPr>
        <w:t>。</w:t>
      </w:r>
    </w:p>
    <w:p w14:paraId="67ED68B1">
      <w:pPr>
        <w:ind w:firstLine="0" w:firstLineChars="0"/>
        <w:jc w:val="center"/>
        <w:rPr>
          <w:rFonts w:hint="default" w:ascii="Times New Roman" w:hAnsi="Times New Roman" w:eastAsia="宋体" w:cs="Times New Roman"/>
          <w:b/>
          <w:color w:val="000000" w:themeColor="text1"/>
          <w:kern w:val="0"/>
          <w:highlight w:val="none"/>
          <w:lang w:val="en-US"/>
          <w14:textFill>
            <w14:solidFill>
              <w14:schemeClr w14:val="tx1"/>
            </w14:solidFill>
          </w14:textFill>
        </w:rPr>
      </w:pPr>
      <w:r>
        <w:rPr>
          <w:rFonts w:ascii="Times New Roman" w:hAnsi="Times New Roman" w:eastAsia="宋体" w:cs="Times New Roman"/>
          <w:b/>
          <w:color w:val="000000" w:themeColor="text1"/>
          <w:kern w:val="0"/>
          <w:highlight w:val="none"/>
          <w14:textFill>
            <w14:solidFill>
              <w14:schemeClr w14:val="tx1"/>
            </w14:solidFill>
          </w14:textFill>
        </w:rPr>
        <w:t>表3.</w:t>
      </w:r>
      <w:r>
        <w:rPr>
          <w:rFonts w:hint="eastAsia" w:ascii="Times New Roman" w:hAnsi="Times New Roman" w:eastAsia="宋体" w:cs="Times New Roman"/>
          <w:b/>
          <w:color w:val="000000" w:themeColor="text1"/>
          <w:kern w:val="0"/>
          <w:highlight w:val="none"/>
          <w:lang w:val="en-US" w:eastAsia="zh-CN"/>
          <w14:textFill>
            <w14:solidFill>
              <w14:schemeClr w14:val="tx1"/>
            </w14:solidFill>
          </w14:textFill>
        </w:rPr>
        <w:t>3</w:t>
      </w:r>
      <w:r>
        <w:rPr>
          <w:rFonts w:ascii="Times New Roman" w:hAnsi="Times New Roman" w:eastAsia="宋体" w:cs="Times New Roman"/>
          <w:b/>
          <w:color w:val="000000" w:themeColor="text1"/>
          <w:kern w:val="0"/>
          <w:highlight w:val="none"/>
          <w14:textFill>
            <w14:solidFill>
              <w14:schemeClr w14:val="tx1"/>
            </w14:solidFill>
          </w14:textFill>
        </w:rPr>
        <w:t>-</w:t>
      </w:r>
      <w:r>
        <w:rPr>
          <w:rFonts w:hint="eastAsia" w:ascii="Times New Roman" w:hAnsi="Times New Roman" w:eastAsia="宋体" w:cs="Times New Roman"/>
          <w:b/>
          <w:color w:val="000000" w:themeColor="text1"/>
          <w:kern w:val="0"/>
          <w:highlight w:val="none"/>
          <w:lang w:val="en-US" w:eastAsia="zh-CN"/>
          <w14:textFill>
            <w14:solidFill>
              <w14:schemeClr w14:val="tx1"/>
            </w14:solidFill>
          </w14:textFill>
        </w:rPr>
        <w:t>2    铁</w:t>
      </w:r>
      <w:r>
        <w:rPr>
          <w:rFonts w:hint="default" w:ascii="Times New Roman" w:hAnsi="Times New Roman" w:eastAsia="宋体" w:cs="Times New Roman"/>
          <w:b/>
          <w:color w:val="000000" w:themeColor="text1"/>
          <w:kern w:val="0"/>
          <w:highlight w:val="none"/>
          <w:lang w:val="en-US" w:eastAsia="zh-CN"/>
          <w14:textFill>
            <w14:solidFill>
              <w14:schemeClr w14:val="tx1"/>
            </w14:solidFill>
          </w14:textFill>
        </w:rPr>
        <w:t>元素</w:t>
      </w:r>
      <w:r>
        <w:rPr>
          <w:rFonts w:hint="default" w:ascii="Times New Roman" w:hAnsi="Times New Roman" w:eastAsia="宋体" w:cs="Times New Roman"/>
          <w:b/>
          <w:color w:val="000000" w:themeColor="text1"/>
          <w:kern w:val="0"/>
          <w:highlight w:val="none"/>
          <w14:textFill>
            <w14:solidFill>
              <w14:schemeClr w14:val="tx1"/>
            </w14:solidFill>
          </w14:textFill>
        </w:rPr>
        <w:t>平衡表</w:t>
      </w:r>
    </w:p>
    <w:tbl>
      <w:tblPr>
        <w:tblStyle w:val="32"/>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3"/>
        <w:gridCol w:w="1317"/>
        <w:gridCol w:w="904"/>
        <w:gridCol w:w="1071"/>
        <w:gridCol w:w="1073"/>
        <w:gridCol w:w="1317"/>
        <w:gridCol w:w="904"/>
        <w:gridCol w:w="1072"/>
      </w:tblGrid>
      <w:tr w14:paraId="4CFC3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1" w:type="pct"/>
            <w:tcBorders>
              <w:top w:val="single" w:color="000000" w:sz="12" w:space="0"/>
              <w:left w:val="single" w:color="000000" w:sz="12" w:space="0"/>
              <w:bottom w:val="single" w:color="000000" w:sz="8" w:space="0"/>
              <w:right w:val="single" w:color="000000" w:sz="8" w:space="0"/>
            </w:tcBorders>
            <w:noWrap w:val="0"/>
            <w:vAlign w:val="center"/>
          </w:tcPr>
          <w:p w14:paraId="21E485F9">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原料种类</w:t>
            </w:r>
          </w:p>
        </w:tc>
        <w:tc>
          <w:tcPr>
            <w:tcW w:w="773" w:type="pct"/>
            <w:tcBorders>
              <w:top w:val="single" w:color="000000" w:sz="12" w:space="0"/>
              <w:left w:val="nil"/>
              <w:bottom w:val="single" w:color="000000" w:sz="8" w:space="0"/>
              <w:right w:val="single" w:color="000000" w:sz="8" w:space="0"/>
            </w:tcBorders>
            <w:noWrap w:val="0"/>
            <w:vAlign w:val="center"/>
          </w:tcPr>
          <w:p w14:paraId="699A5675">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投入量（</w:t>
            </w:r>
            <w:r>
              <w:rPr>
                <w:rStyle w:val="86"/>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t/a</w:t>
            </w:r>
            <w:r>
              <w:rPr>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w:t>
            </w:r>
          </w:p>
        </w:tc>
        <w:tc>
          <w:tcPr>
            <w:tcW w:w="531" w:type="pct"/>
            <w:tcBorders>
              <w:top w:val="single" w:color="000000" w:sz="12" w:space="0"/>
              <w:left w:val="nil"/>
              <w:bottom w:val="single" w:color="000000" w:sz="8" w:space="0"/>
              <w:right w:val="single" w:color="000000" w:sz="8" w:space="0"/>
            </w:tcBorders>
            <w:noWrap w:val="0"/>
            <w:vAlign w:val="center"/>
          </w:tcPr>
          <w:p w14:paraId="1D110476">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铁</w:t>
            </w:r>
            <w:r>
              <w:rPr>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w:t>
            </w:r>
            <w:r>
              <w:rPr>
                <w:rStyle w:val="86"/>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t/a</w:t>
            </w:r>
            <w:r>
              <w:rPr>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w:t>
            </w:r>
          </w:p>
        </w:tc>
        <w:tc>
          <w:tcPr>
            <w:tcW w:w="629" w:type="pct"/>
            <w:tcBorders>
              <w:top w:val="single" w:color="000000" w:sz="12" w:space="0"/>
              <w:left w:val="nil"/>
              <w:bottom w:val="single" w:color="000000" w:sz="8" w:space="0"/>
              <w:right w:val="single" w:color="000000" w:sz="8" w:space="0"/>
            </w:tcBorders>
            <w:noWrap w:val="0"/>
            <w:vAlign w:val="center"/>
          </w:tcPr>
          <w:p w14:paraId="07A64D22">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品位（</w:t>
            </w:r>
            <w:r>
              <w:rPr>
                <w:rStyle w:val="86"/>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w:t>
            </w:r>
          </w:p>
        </w:tc>
        <w:tc>
          <w:tcPr>
            <w:tcW w:w="630" w:type="pct"/>
            <w:tcBorders>
              <w:top w:val="single" w:color="000000" w:sz="12" w:space="0"/>
              <w:left w:val="nil"/>
              <w:bottom w:val="single" w:color="000000" w:sz="8" w:space="0"/>
              <w:right w:val="single" w:color="000000" w:sz="8" w:space="0"/>
            </w:tcBorders>
            <w:noWrap w:val="0"/>
            <w:vAlign w:val="center"/>
          </w:tcPr>
          <w:p w14:paraId="6F332096">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产品及尾矿</w:t>
            </w:r>
          </w:p>
        </w:tc>
        <w:tc>
          <w:tcPr>
            <w:tcW w:w="773" w:type="pct"/>
            <w:tcBorders>
              <w:top w:val="single" w:color="000000" w:sz="12" w:space="0"/>
              <w:left w:val="nil"/>
              <w:bottom w:val="single" w:color="000000" w:sz="8" w:space="0"/>
              <w:right w:val="single" w:color="000000" w:sz="8" w:space="0"/>
            </w:tcBorders>
            <w:noWrap w:val="0"/>
            <w:vAlign w:val="center"/>
          </w:tcPr>
          <w:p w14:paraId="3060336C">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产生量（</w:t>
            </w:r>
            <w:r>
              <w:rPr>
                <w:rStyle w:val="86"/>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t/a</w:t>
            </w:r>
            <w:r>
              <w:rPr>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w:t>
            </w:r>
          </w:p>
        </w:tc>
        <w:tc>
          <w:tcPr>
            <w:tcW w:w="531" w:type="pct"/>
            <w:tcBorders>
              <w:top w:val="single" w:color="000000" w:sz="12" w:space="0"/>
              <w:left w:val="nil"/>
              <w:bottom w:val="single" w:color="000000" w:sz="8" w:space="0"/>
              <w:right w:val="single" w:color="000000" w:sz="8" w:space="0"/>
            </w:tcBorders>
            <w:noWrap w:val="0"/>
            <w:vAlign w:val="center"/>
          </w:tcPr>
          <w:p w14:paraId="02A98C91">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铁</w:t>
            </w:r>
            <w:r>
              <w:rPr>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w:t>
            </w:r>
            <w:r>
              <w:rPr>
                <w:rStyle w:val="86"/>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t/a</w:t>
            </w:r>
            <w:r>
              <w:rPr>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w:t>
            </w:r>
          </w:p>
        </w:tc>
        <w:tc>
          <w:tcPr>
            <w:tcW w:w="629" w:type="pct"/>
            <w:tcBorders>
              <w:top w:val="single" w:color="000000" w:sz="12" w:space="0"/>
              <w:left w:val="nil"/>
              <w:bottom w:val="single" w:color="000000" w:sz="8" w:space="0"/>
              <w:right w:val="single" w:color="000000" w:sz="12" w:space="0"/>
            </w:tcBorders>
            <w:noWrap w:val="0"/>
            <w:vAlign w:val="center"/>
          </w:tcPr>
          <w:p w14:paraId="2D128218">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品位（</w:t>
            </w:r>
            <w:r>
              <w:rPr>
                <w:rStyle w:val="86"/>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bidi="ar"/>
                <w14:textFill>
                  <w14:solidFill>
                    <w14:schemeClr w14:val="tx1"/>
                  </w14:solidFill>
                </w14:textFill>
              </w:rPr>
              <w:t>）</w:t>
            </w:r>
          </w:p>
        </w:tc>
      </w:tr>
      <w:tr w14:paraId="56705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1" w:type="pct"/>
            <w:tcBorders>
              <w:top w:val="nil"/>
              <w:left w:val="single" w:color="000000" w:sz="12" w:space="0"/>
              <w:bottom w:val="single" w:color="000000" w:sz="8" w:space="0"/>
              <w:right w:val="single" w:color="000000" w:sz="8" w:space="0"/>
            </w:tcBorders>
            <w:noWrap w:val="0"/>
            <w:vAlign w:val="center"/>
          </w:tcPr>
          <w:p w14:paraId="04AD88ED">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原料</w:t>
            </w:r>
          </w:p>
        </w:tc>
        <w:tc>
          <w:tcPr>
            <w:tcW w:w="773" w:type="pct"/>
            <w:tcBorders>
              <w:top w:val="nil"/>
              <w:left w:val="nil"/>
              <w:bottom w:val="single" w:color="000000" w:sz="8" w:space="0"/>
              <w:right w:val="single" w:color="000000" w:sz="8" w:space="0"/>
            </w:tcBorders>
            <w:noWrap w:val="0"/>
            <w:vAlign w:val="center"/>
          </w:tcPr>
          <w:p w14:paraId="43AC6B67">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900000</w:t>
            </w:r>
          </w:p>
        </w:tc>
        <w:tc>
          <w:tcPr>
            <w:tcW w:w="531" w:type="pct"/>
            <w:tcBorders>
              <w:top w:val="nil"/>
              <w:left w:val="nil"/>
              <w:bottom w:val="single" w:color="000000" w:sz="8" w:space="0"/>
              <w:right w:val="single" w:color="000000" w:sz="8" w:space="0"/>
            </w:tcBorders>
            <w:noWrap w:val="0"/>
            <w:vAlign w:val="center"/>
          </w:tcPr>
          <w:p w14:paraId="353233E7">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273864.75</w:t>
            </w:r>
          </w:p>
        </w:tc>
        <w:tc>
          <w:tcPr>
            <w:tcW w:w="629" w:type="pct"/>
            <w:tcBorders>
              <w:top w:val="nil"/>
              <w:left w:val="nil"/>
              <w:bottom w:val="single" w:color="000000" w:sz="8" w:space="0"/>
              <w:right w:val="single" w:color="000000" w:sz="8" w:space="0"/>
            </w:tcBorders>
            <w:noWrap w:val="0"/>
            <w:vAlign w:val="center"/>
          </w:tcPr>
          <w:p w14:paraId="7240C13E">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30.43</w:t>
            </w:r>
          </w:p>
        </w:tc>
        <w:tc>
          <w:tcPr>
            <w:tcW w:w="630" w:type="pct"/>
            <w:tcBorders>
              <w:top w:val="nil"/>
              <w:left w:val="nil"/>
              <w:bottom w:val="single" w:color="000000" w:sz="8" w:space="0"/>
              <w:right w:val="single" w:color="000000" w:sz="8" w:space="0"/>
            </w:tcBorders>
            <w:noWrap w:val="0"/>
            <w:vAlign w:val="center"/>
          </w:tcPr>
          <w:p w14:paraId="5A0E1411">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铁精粉</w:t>
            </w:r>
          </w:p>
        </w:tc>
        <w:tc>
          <w:tcPr>
            <w:tcW w:w="773" w:type="pct"/>
            <w:tcBorders>
              <w:top w:val="nil"/>
              <w:left w:val="nil"/>
              <w:bottom w:val="single" w:color="000000" w:sz="8" w:space="0"/>
              <w:right w:val="single" w:color="000000" w:sz="8" w:space="0"/>
            </w:tcBorders>
            <w:noWrap w:val="0"/>
            <w:vAlign w:val="center"/>
          </w:tcPr>
          <w:p w14:paraId="2359DD3D">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000</w:t>
            </w:r>
          </w:p>
        </w:tc>
        <w:tc>
          <w:tcPr>
            <w:tcW w:w="531" w:type="pct"/>
            <w:tcBorders>
              <w:top w:val="nil"/>
              <w:left w:val="nil"/>
              <w:bottom w:val="single" w:color="000000" w:sz="8" w:space="0"/>
              <w:right w:val="single" w:color="000000" w:sz="8" w:space="0"/>
            </w:tcBorders>
            <w:noWrap w:val="0"/>
            <w:vAlign w:val="center"/>
          </w:tcPr>
          <w:p w14:paraId="72CF439A">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190590</w:t>
            </w:r>
          </w:p>
        </w:tc>
        <w:tc>
          <w:tcPr>
            <w:tcW w:w="629" w:type="pct"/>
            <w:tcBorders>
              <w:top w:val="nil"/>
              <w:left w:val="nil"/>
              <w:bottom w:val="single" w:color="000000" w:sz="8" w:space="0"/>
              <w:right w:val="single" w:color="000000" w:sz="12" w:space="0"/>
            </w:tcBorders>
            <w:noWrap w:val="0"/>
            <w:vAlign w:val="center"/>
          </w:tcPr>
          <w:p w14:paraId="18252892">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63.53</w:t>
            </w:r>
          </w:p>
        </w:tc>
      </w:tr>
      <w:tr w14:paraId="044CC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1" w:type="pct"/>
            <w:tcBorders>
              <w:top w:val="nil"/>
              <w:left w:val="single" w:color="000000" w:sz="12" w:space="0"/>
              <w:bottom w:val="single" w:color="000000" w:sz="8" w:space="0"/>
              <w:right w:val="single" w:color="000000" w:sz="8" w:space="0"/>
            </w:tcBorders>
            <w:noWrap w:val="0"/>
            <w:vAlign w:val="center"/>
          </w:tcPr>
          <w:p w14:paraId="2F3D80CB">
            <w:pPr>
              <w:keepNext w:val="0"/>
              <w:keepLines w:val="0"/>
              <w:pageBreakBefore w:val="0"/>
              <w:kinsoku/>
              <w:wordWrap/>
              <w:overflowPunct/>
              <w:topLinePunct w:val="0"/>
              <w:autoSpaceDE/>
              <w:autoSpaceDN/>
              <w:bidi w:val="0"/>
              <w:adjustRightInd w:val="0"/>
              <w:snapToGrid w:val="0"/>
              <w:spacing w:line="360" w:lineRule="exact"/>
              <w:ind w:left="-120" w:leftChars="-50" w:right="-120" w:rightChars="-50" w:firstLine="0" w:firstLineChars="0"/>
              <w:jc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c>
          <w:tcPr>
            <w:tcW w:w="773" w:type="pct"/>
            <w:tcBorders>
              <w:top w:val="nil"/>
              <w:left w:val="nil"/>
              <w:bottom w:val="single" w:color="000000" w:sz="8" w:space="0"/>
              <w:right w:val="single" w:color="000000" w:sz="8" w:space="0"/>
            </w:tcBorders>
            <w:noWrap w:val="0"/>
            <w:vAlign w:val="center"/>
          </w:tcPr>
          <w:p w14:paraId="3E2680CA">
            <w:pPr>
              <w:keepNext w:val="0"/>
              <w:keepLines w:val="0"/>
              <w:pageBreakBefore w:val="0"/>
              <w:kinsoku/>
              <w:wordWrap/>
              <w:overflowPunct/>
              <w:topLinePunct w:val="0"/>
              <w:autoSpaceDE/>
              <w:autoSpaceDN/>
              <w:bidi w:val="0"/>
              <w:adjustRightInd w:val="0"/>
              <w:snapToGrid w:val="0"/>
              <w:spacing w:line="360" w:lineRule="exact"/>
              <w:ind w:left="-120" w:leftChars="-50" w:right="-120" w:rightChars="-50" w:firstLine="0" w:firstLineChars="0"/>
              <w:jc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c>
          <w:tcPr>
            <w:tcW w:w="531" w:type="pct"/>
            <w:tcBorders>
              <w:top w:val="nil"/>
              <w:left w:val="nil"/>
              <w:bottom w:val="single" w:color="000000" w:sz="8" w:space="0"/>
              <w:right w:val="single" w:color="000000" w:sz="8" w:space="0"/>
            </w:tcBorders>
            <w:noWrap w:val="0"/>
            <w:vAlign w:val="center"/>
          </w:tcPr>
          <w:p w14:paraId="047C4FDB">
            <w:pPr>
              <w:keepNext w:val="0"/>
              <w:keepLines w:val="0"/>
              <w:pageBreakBefore w:val="0"/>
              <w:kinsoku/>
              <w:wordWrap/>
              <w:overflowPunct/>
              <w:topLinePunct w:val="0"/>
              <w:autoSpaceDE/>
              <w:autoSpaceDN/>
              <w:bidi w:val="0"/>
              <w:adjustRightInd w:val="0"/>
              <w:snapToGrid w:val="0"/>
              <w:spacing w:line="360" w:lineRule="exact"/>
              <w:ind w:left="-120" w:leftChars="-50" w:right="-120" w:rightChars="-50" w:firstLine="0" w:firstLineChars="0"/>
              <w:jc w:val="cente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c>
          <w:tcPr>
            <w:tcW w:w="629" w:type="pct"/>
            <w:tcBorders>
              <w:top w:val="nil"/>
              <w:left w:val="nil"/>
              <w:bottom w:val="single" w:color="000000" w:sz="8" w:space="0"/>
              <w:right w:val="single" w:color="000000" w:sz="8" w:space="0"/>
            </w:tcBorders>
            <w:shd w:val="clear" w:color="auto" w:fill="auto"/>
            <w:noWrap w:val="0"/>
            <w:vAlign w:val="center"/>
          </w:tcPr>
          <w:p w14:paraId="16ED0251">
            <w:pPr>
              <w:keepNext w:val="0"/>
              <w:keepLines w:val="0"/>
              <w:pageBreakBefore w:val="0"/>
              <w:kinsoku/>
              <w:wordWrap/>
              <w:overflowPunct/>
              <w:topLinePunct w:val="0"/>
              <w:autoSpaceDE/>
              <w:autoSpaceDN/>
              <w:bidi w:val="0"/>
              <w:adjustRightInd w:val="0"/>
              <w:snapToGrid w:val="0"/>
              <w:spacing w:line="360" w:lineRule="exact"/>
              <w:ind w:left="-120" w:leftChars="-50" w:right="-120" w:rightChars="-50" w:firstLine="0" w:firstLineChars="0"/>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c>
          <w:tcPr>
            <w:tcW w:w="630" w:type="pct"/>
            <w:tcBorders>
              <w:top w:val="nil"/>
              <w:left w:val="nil"/>
              <w:bottom w:val="single" w:color="000000" w:sz="8" w:space="0"/>
              <w:right w:val="single" w:color="000000" w:sz="8" w:space="0"/>
            </w:tcBorders>
            <w:shd w:val="clear" w:color="auto" w:fill="auto"/>
            <w:noWrap w:val="0"/>
            <w:vAlign w:val="center"/>
          </w:tcPr>
          <w:p w14:paraId="56884298">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尾矿</w:t>
            </w:r>
          </w:p>
        </w:tc>
        <w:tc>
          <w:tcPr>
            <w:tcW w:w="773" w:type="pct"/>
            <w:tcBorders>
              <w:top w:val="nil"/>
              <w:left w:val="nil"/>
              <w:bottom w:val="single" w:color="000000" w:sz="8" w:space="0"/>
              <w:right w:val="single" w:color="000000" w:sz="8" w:space="0"/>
            </w:tcBorders>
            <w:shd w:val="clear" w:color="auto" w:fill="auto"/>
            <w:noWrap w:val="0"/>
            <w:vAlign w:val="center"/>
          </w:tcPr>
          <w:p w14:paraId="4B43E0DA">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4</w:t>
            </w:r>
            <w:r>
              <w:rPr>
                <w:rFonts w:hint="eastAsia" w:cs="Times New Roman"/>
                <w:i w:val="0"/>
                <w:iCs w:val="0"/>
                <w:color w:val="000000" w:themeColor="text1"/>
                <w:kern w:val="2"/>
                <w:sz w:val="21"/>
                <w:szCs w:val="21"/>
                <w:u w:val="none"/>
                <w:lang w:val="en-US" w:eastAsia="zh-CN" w:bidi="ar-SA"/>
                <w14:textFill>
                  <w14:solidFill>
                    <w14:schemeClr w14:val="tx1"/>
                  </w14:solidFill>
                </w14:textFill>
              </w:rPr>
              <w:t>52500</w:t>
            </w:r>
          </w:p>
        </w:tc>
        <w:tc>
          <w:tcPr>
            <w:tcW w:w="531" w:type="pct"/>
            <w:tcBorders>
              <w:top w:val="nil"/>
              <w:left w:val="nil"/>
              <w:bottom w:val="single" w:color="000000" w:sz="8" w:space="0"/>
              <w:right w:val="single" w:color="000000" w:sz="8" w:space="0"/>
            </w:tcBorders>
            <w:shd w:val="clear" w:color="auto" w:fill="auto"/>
            <w:noWrap w:val="0"/>
            <w:vAlign w:val="center"/>
          </w:tcPr>
          <w:p w14:paraId="459998B5">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61902</w:t>
            </w:r>
          </w:p>
        </w:tc>
        <w:tc>
          <w:tcPr>
            <w:tcW w:w="629" w:type="pct"/>
            <w:tcBorders>
              <w:top w:val="nil"/>
              <w:left w:val="nil"/>
              <w:bottom w:val="single" w:color="000000" w:sz="8" w:space="0"/>
              <w:right w:val="single" w:color="000000" w:sz="12" w:space="0"/>
            </w:tcBorders>
            <w:shd w:val="clear" w:color="auto" w:fill="auto"/>
            <w:noWrap w:val="0"/>
            <w:vAlign w:val="center"/>
          </w:tcPr>
          <w:p w14:paraId="502F5C49">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13.68</w:t>
            </w:r>
          </w:p>
        </w:tc>
      </w:tr>
      <w:tr w14:paraId="17937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1" w:type="pct"/>
            <w:tcBorders>
              <w:top w:val="nil"/>
              <w:left w:val="single" w:color="000000" w:sz="12" w:space="0"/>
              <w:bottom w:val="single" w:color="000000" w:sz="8" w:space="0"/>
              <w:right w:val="single" w:color="000000" w:sz="8" w:space="0"/>
            </w:tcBorders>
            <w:noWrap w:val="0"/>
            <w:vAlign w:val="center"/>
          </w:tcPr>
          <w:p w14:paraId="254A4AC5">
            <w:pPr>
              <w:keepNext w:val="0"/>
              <w:keepLines w:val="0"/>
              <w:pageBreakBefore w:val="0"/>
              <w:kinsoku/>
              <w:wordWrap/>
              <w:overflowPunct/>
              <w:topLinePunct w:val="0"/>
              <w:autoSpaceDE/>
              <w:autoSpaceDN/>
              <w:bidi w:val="0"/>
              <w:adjustRightInd w:val="0"/>
              <w:snapToGrid w:val="0"/>
              <w:spacing w:line="360" w:lineRule="exact"/>
              <w:ind w:left="-120" w:leftChars="-50" w:right="-120" w:rightChars="-50"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c>
          <w:tcPr>
            <w:tcW w:w="773" w:type="pct"/>
            <w:tcBorders>
              <w:top w:val="nil"/>
              <w:left w:val="nil"/>
              <w:bottom w:val="single" w:color="000000" w:sz="8" w:space="0"/>
              <w:right w:val="single" w:color="000000" w:sz="8" w:space="0"/>
            </w:tcBorders>
            <w:noWrap w:val="0"/>
            <w:vAlign w:val="center"/>
          </w:tcPr>
          <w:p w14:paraId="48A17335">
            <w:pPr>
              <w:keepNext w:val="0"/>
              <w:keepLines w:val="0"/>
              <w:pageBreakBefore w:val="0"/>
              <w:kinsoku/>
              <w:wordWrap/>
              <w:overflowPunct/>
              <w:topLinePunct w:val="0"/>
              <w:autoSpaceDE/>
              <w:autoSpaceDN/>
              <w:bidi w:val="0"/>
              <w:adjustRightInd w:val="0"/>
              <w:snapToGrid w:val="0"/>
              <w:spacing w:line="360" w:lineRule="exact"/>
              <w:ind w:left="-120" w:leftChars="-50" w:right="-120" w:rightChars="-50"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c>
          <w:tcPr>
            <w:tcW w:w="531" w:type="pct"/>
            <w:tcBorders>
              <w:top w:val="nil"/>
              <w:left w:val="nil"/>
              <w:bottom w:val="single" w:color="000000" w:sz="8" w:space="0"/>
              <w:right w:val="single" w:color="000000" w:sz="8" w:space="0"/>
            </w:tcBorders>
            <w:noWrap w:val="0"/>
            <w:vAlign w:val="center"/>
          </w:tcPr>
          <w:p w14:paraId="2D1DDA37">
            <w:pPr>
              <w:keepNext w:val="0"/>
              <w:keepLines w:val="0"/>
              <w:pageBreakBefore w:val="0"/>
              <w:kinsoku/>
              <w:wordWrap/>
              <w:overflowPunct/>
              <w:topLinePunct w:val="0"/>
              <w:autoSpaceDE/>
              <w:autoSpaceDN/>
              <w:bidi w:val="0"/>
              <w:adjustRightInd w:val="0"/>
              <w:snapToGrid w:val="0"/>
              <w:spacing w:line="360" w:lineRule="exact"/>
              <w:ind w:left="-120" w:leftChars="-50" w:right="-120" w:rightChars="-50"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c>
          <w:tcPr>
            <w:tcW w:w="629" w:type="pct"/>
            <w:tcBorders>
              <w:top w:val="nil"/>
              <w:left w:val="nil"/>
              <w:bottom w:val="single" w:color="000000" w:sz="8" w:space="0"/>
              <w:right w:val="single" w:color="000000" w:sz="8" w:space="0"/>
            </w:tcBorders>
            <w:shd w:val="clear" w:color="auto" w:fill="auto"/>
            <w:noWrap w:val="0"/>
            <w:vAlign w:val="center"/>
          </w:tcPr>
          <w:p w14:paraId="0E0596EA">
            <w:pPr>
              <w:keepNext w:val="0"/>
              <w:keepLines w:val="0"/>
              <w:pageBreakBefore w:val="0"/>
              <w:kinsoku/>
              <w:wordWrap/>
              <w:overflowPunct/>
              <w:topLinePunct w:val="0"/>
              <w:autoSpaceDE/>
              <w:autoSpaceDN/>
              <w:bidi w:val="0"/>
              <w:adjustRightInd w:val="0"/>
              <w:snapToGrid w:val="0"/>
              <w:spacing w:line="360" w:lineRule="exact"/>
              <w:ind w:left="-120" w:leftChars="-50" w:right="-120" w:rightChars="-50" w:firstLine="0" w:firstLineChars="0"/>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c>
          <w:tcPr>
            <w:tcW w:w="630" w:type="pct"/>
            <w:tcBorders>
              <w:top w:val="nil"/>
              <w:left w:val="nil"/>
              <w:bottom w:val="single" w:color="000000" w:sz="8" w:space="0"/>
              <w:right w:val="single" w:color="000000" w:sz="8" w:space="0"/>
            </w:tcBorders>
            <w:noWrap w:val="0"/>
            <w:vAlign w:val="center"/>
          </w:tcPr>
          <w:p w14:paraId="765996CF">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干选废石</w:t>
            </w:r>
          </w:p>
        </w:tc>
        <w:tc>
          <w:tcPr>
            <w:tcW w:w="773" w:type="pct"/>
            <w:tcBorders>
              <w:top w:val="nil"/>
              <w:left w:val="nil"/>
              <w:bottom w:val="single" w:color="000000" w:sz="8" w:space="0"/>
              <w:right w:val="single" w:color="000000" w:sz="8" w:space="0"/>
            </w:tcBorders>
            <w:noWrap w:val="0"/>
            <w:vAlign w:val="center"/>
          </w:tcPr>
          <w:p w14:paraId="28AB53E5">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147500</w:t>
            </w:r>
          </w:p>
        </w:tc>
        <w:tc>
          <w:tcPr>
            <w:tcW w:w="531" w:type="pct"/>
            <w:tcBorders>
              <w:top w:val="nil"/>
              <w:left w:val="nil"/>
              <w:bottom w:val="single" w:color="000000" w:sz="8" w:space="0"/>
              <w:right w:val="single" w:color="000000" w:sz="8" w:space="0"/>
            </w:tcBorders>
            <w:noWrap w:val="0"/>
            <w:vAlign w:val="center"/>
          </w:tcPr>
          <w:p w14:paraId="2C164743">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21372.75</w:t>
            </w:r>
          </w:p>
        </w:tc>
        <w:tc>
          <w:tcPr>
            <w:tcW w:w="629" w:type="pct"/>
            <w:tcBorders>
              <w:top w:val="nil"/>
              <w:left w:val="nil"/>
              <w:bottom w:val="single" w:color="000000" w:sz="8" w:space="0"/>
              <w:right w:val="single" w:color="000000" w:sz="12" w:space="0"/>
            </w:tcBorders>
            <w:noWrap w:val="0"/>
            <w:vAlign w:val="center"/>
          </w:tcPr>
          <w:p w14:paraId="47EF52B6">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14.49</w:t>
            </w:r>
          </w:p>
        </w:tc>
      </w:tr>
      <w:tr w14:paraId="2756B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1" w:type="pct"/>
            <w:tcBorders>
              <w:top w:val="nil"/>
              <w:left w:val="single" w:color="000000" w:sz="12" w:space="0"/>
              <w:bottom w:val="single" w:color="000000" w:sz="12" w:space="0"/>
              <w:right w:val="single" w:color="000000" w:sz="8" w:space="0"/>
            </w:tcBorders>
            <w:noWrap w:val="0"/>
            <w:vAlign w:val="center"/>
          </w:tcPr>
          <w:p w14:paraId="066249B6">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合计</w:t>
            </w:r>
          </w:p>
        </w:tc>
        <w:tc>
          <w:tcPr>
            <w:tcW w:w="773" w:type="pct"/>
            <w:tcBorders>
              <w:top w:val="nil"/>
              <w:left w:val="nil"/>
              <w:bottom w:val="single" w:color="000000" w:sz="12" w:space="0"/>
              <w:right w:val="single" w:color="000000" w:sz="8" w:space="0"/>
            </w:tcBorders>
            <w:noWrap w:val="0"/>
            <w:vAlign w:val="center"/>
          </w:tcPr>
          <w:p w14:paraId="084D2CFE">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531" w:type="pct"/>
            <w:tcBorders>
              <w:top w:val="nil"/>
              <w:left w:val="nil"/>
              <w:bottom w:val="single" w:color="000000" w:sz="12" w:space="0"/>
              <w:right w:val="single" w:color="000000" w:sz="8" w:space="0"/>
            </w:tcBorders>
            <w:shd w:val="clear" w:color="auto" w:fill="auto"/>
            <w:noWrap w:val="0"/>
            <w:vAlign w:val="center"/>
          </w:tcPr>
          <w:p w14:paraId="376E9AC7">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273864.75</w:t>
            </w:r>
          </w:p>
        </w:tc>
        <w:tc>
          <w:tcPr>
            <w:tcW w:w="629" w:type="pct"/>
            <w:tcBorders>
              <w:top w:val="nil"/>
              <w:left w:val="nil"/>
              <w:bottom w:val="single" w:color="000000" w:sz="12" w:space="0"/>
              <w:right w:val="single" w:color="000000" w:sz="8" w:space="0"/>
            </w:tcBorders>
            <w:noWrap w:val="0"/>
            <w:vAlign w:val="center"/>
          </w:tcPr>
          <w:p w14:paraId="76E773BE">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30.43</w:t>
            </w:r>
          </w:p>
        </w:tc>
        <w:tc>
          <w:tcPr>
            <w:tcW w:w="630" w:type="pct"/>
            <w:tcBorders>
              <w:top w:val="nil"/>
              <w:left w:val="nil"/>
              <w:bottom w:val="single" w:color="000000" w:sz="12" w:space="0"/>
              <w:right w:val="single" w:color="000000" w:sz="8" w:space="0"/>
            </w:tcBorders>
            <w:noWrap w:val="0"/>
            <w:vAlign w:val="center"/>
          </w:tcPr>
          <w:p w14:paraId="0B2DB4D0">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合计</w:t>
            </w:r>
          </w:p>
        </w:tc>
        <w:tc>
          <w:tcPr>
            <w:tcW w:w="773" w:type="pct"/>
            <w:tcBorders>
              <w:top w:val="nil"/>
              <w:left w:val="nil"/>
              <w:bottom w:val="single" w:color="000000" w:sz="12" w:space="0"/>
              <w:right w:val="single" w:color="000000" w:sz="8" w:space="0"/>
            </w:tcBorders>
            <w:noWrap w:val="0"/>
            <w:vAlign w:val="center"/>
          </w:tcPr>
          <w:p w14:paraId="0C179D6C">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900000</w:t>
            </w:r>
          </w:p>
        </w:tc>
        <w:tc>
          <w:tcPr>
            <w:tcW w:w="531" w:type="pct"/>
            <w:tcBorders>
              <w:top w:val="nil"/>
              <w:left w:val="nil"/>
              <w:bottom w:val="single" w:color="000000" w:sz="12" w:space="0"/>
              <w:right w:val="single" w:color="000000" w:sz="8" w:space="0"/>
            </w:tcBorders>
            <w:noWrap w:val="0"/>
            <w:vAlign w:val="center"/>
          </w:tcPr>
          <w:p w14:paraId="67470F35">
            <w:pPr>
              <w:keepNext w:val="0"/>
              <w:keepLines w:val="0"/>
              <w:pageBreakBefore w:val="0"/>
              <w:widowControl/>
              <w:suppressLineNumbers w:val="0"/>
              <w:kinsoku/>
              <w:wordWrap/>
              <w:overflowPunct/>
              <w:topLinePunct w:val="0"/>
              <w:autoSpaceDE/>
              <w:autoSpaceDN/>
              <w:bidi w:val="0"/>
              <w:adjustRightInd w:val="0"/>
              <w:snapToGrid w:val="0"/>
              <w:spacing w:line="360" w:lineRule="exact"/>
              <w:ind w:left="-120" w:leftChars="-50" w:right="-120" w:rightChars="-50" w:firstLine="0" w:firstLineChars="0"/>
              <w:jc w:val="center"/>
              <w:textAlignment w:val="top"/>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273864.75</w:t>
            </w:r>
          </w:p>
        </w:tc>
        <w:tc>
          <w:tcPr>
            <w:tcW w:w="629" w:type="pct"/>
            <w:tcBorders>
              <w:top w:val="nil"/>
              <w:left w:val="nil"/>
              <w:bottom w:val="single" w:color="000000" w:sz="12" w:space="0"/>
              <w:right w:val="single" w:color="000000" w:sz="12" w:space="0"/>
            </w:tcBorders>
            <w:noWrap/>
            <w:vAlign w:val="center"/>
          </w:tcPr>
          <w:p w14:paraId="007CF8EA">
            <w:pPr>
              <w:keepNext w:val="0"/>
              <w:keepLines w:val="0"/>
              <w:pageBreakBefore w:val="0"/>
              <w:kinsoku/>
              <w:wordWrap/>
              <w:overflowPunct/>
              <w:topLinePunct w:val="0"/>
              <w:autoSpaceDE/>
              <w:autoSpaceDN/>
              <w:bidi w:val="0"/>
              <w:adjustRightInd w:val="0"/>
              <w:snapToGrid w:val="0"/>
              <w:spacing w:line="360" w:lineRule="exact"/>
              <w:ind w:left="-120" w:leftChars="-50" w:right="-120" w:rightChars="-50" w:firstLine="0" w:firstLineChars="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w:t>
            </w:r>
          </w:p>
        </w:tc>
      </w:tr>
    </w:tbl>
    <w:p w14:paraId="496EF073">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水</w:t>
      </w:r>
      <w:r>
        <w:rPr>
          <w:color w:val="000000" w:themeColor="text1"/>
          <w:highlight w:val="none"/>
          <w14:textFill>
            <w14:solidFill>
              <w14:schemeClr w14:val="tx1"/>
            </w14:solidFill>
          </w14:textFill>
        </w:rPr>
        <w:t>平衡</w:t>
      </w:r>
    </w:p>
    <w:p w14:paraId="3B605225">
      <w:pPr>
        <w:keepNext w:val="0"/>
        <w:keepLines w:val="0"/>
        <w:pageBreakBefore w:val="0"/>
        <w:widowControl w:val="0"/>
        <w:kinsoku/>
        <w:wordWrap/>
        <w:overflowPunct w:val="0"/>
        <w:topLinePunct/>
        <w:autoSpaceDE/>
        <w:autoSpaceDN/>
        <w:bidi w:val="0"/>
        <w:adjustRightInd/>
        <w:snapToGrid/>
        <w:ind w:firstLine="480"/>
        <w:textAlignment w:val="auto"/>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（1）本项目水平衡情况</w:t>
      </w:r>
    </w:p>
    <w:p w14:paraId="5CA3F19F">
      <w:pPr>
        <w:keepNext w:val="0"/>
        <w:keepLines w:val="0"/>
        <w:pageBreakBefore w:val="0"/>
        <w:widowControl w:val="0"/>
        <w:kinsoku/>
        <w:wordWrap/>
        <w:overflowPunct w:val="0"/>
        <w:topLinePunct/>
        <w:autoSpaceDE/>
        <w:autoSpaceDN/>
        <w:bidi w:val="0"/>
        <w:adjustRightInd/>
        <w:snapToGrid/>
        <w:ind w:firstLine="480"/>
        <w:textAlignment w:val="auto"/>
        <w:rPr>
          <w:color w:val="000000" w:themeColor="text1"/>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本项目用水</w:t>
      </w:r>
      <w:r>
        <w:rPr>
          <w:color w:val="000000" w:themeColor="text1"/>
          <w:highlight w:val="none"/>
          <w14:textFill>
            <w14:solidFill>
              <w14:schemeClr w14:val="tx1"/>
            </w14:solidFill>
          </w14:textFill>
        </w:rPr>
        <w:t>主要包括生活用水</w:t>
      </w:r>
      <w:r>
        <w:rPr>
          <w:rFonts w:hint="eastAsia"/>
          <w:color w:val="000000" w:themeColor="text1"/>
          <w:highlight w:val="none"/>
          <w14:textFill>
            <w14:solidFill>
              <w14:schemeClr w14:val="tx1"/>
            </w14:solidFill>
          </w14:textFill>
        </w:rPr>
        <w:t>、生产用水，其中生产用水包括选矿用水。本</w:t>
      </w:r>
      <w:r>
        <w:rPr>
          <w:color w:val="000000" w:themeColor="text1"/>
          <w:spacing w:val="-10"/>
          <w:highlight w:val="none"/>
          <w14:textFill>
            <w14:solidFill>
              <w14:schemeClr w14:val="tx1"/>
            </w14:solidFill>
          </w14:textFill>
        </w:rPr>
        <w:t>项目</w:t>
      </w:r>
      <w:r>
        <w:rPr>
          <w:rFonts w:hint="eastAsia"/>
          <w:color w:val="000000" w:themeColor="text1"/>
          <w:spacing w:val="-10"/>
          <w:highlight w:val="none"/>
          <w14:textFill>
            <w14:solidFill>
              <w14:schemeClr w14:val="tx1"/>
            </w14:solidFill>
          </w14:textFill>
        </w:rPr>
        <w:t>总用水量为</w:t>
      </w:r>
      <w:r>
        <w:rPr>
          <w:rFonts w:hint="eastAsia"/>
          <w:color w:val="000000" w:themeColor="text1"/>
          <w:highlight w:val="none"/>
          <w:lang w:val="zh-CN"/>
          <w14:textFill>
            <w14:solidFill>
              <w14:schemeClr w14:val="tx1"/>
            </w14:solidFill>
          </w14:textFill>
        </w:rPr>
        <w:t>531</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lang w:val="zh-CN"/>
          <w14:textFill>
            <w14:solidFill>
              <w14:schemeClr w14:val="tx1"/>
            </w14:solidFill>
          </w14:textFill>
        </w:rPr>
        <w:t>.3</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159.58</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其中新鲜水总用水量为</w:t>
      </w:r>
      <w:r>
        <w:rPr>
          <w:rFonts w:hint="eastAsia"/>
          <w:color w:val="000000" w:themeColor="text1"/>
          <w:highlight w:val="none"/>
          <w:lang w:val="en-US" w:eastAsia="zh-CN"/>
          <w14:textFill>
            <w14:solidFill>
              <w14:schemeClr w14:val="tx1"/>
            </w14:solidFill>
          </w14:textFill>
        </w:rPr>
        <w:t>11.9509</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灌溉期425.7</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非灌溉期354.65</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spacing w:val="-10"/>
          <w:highlight w:val="none"/>
          <w14:textFill>
            <w14:solidFill>
              <w14:schemeClr w14:val="tx1"/>
            </w14:solidFill>
          </w14:textFill>
        </w:rPr>
        <w:t>。</w:t>
      </w:r>
      <w:r>
        <w:rPr>
          <w:rFonts w:hint="eastAsia"/>
          <w:color w:val="000000" w:themeColor="text1"/>
          <w:highlight w:val="none"/>
          <w14:textFill>
            <w14:solidFill>
              <w14:schemeClr w14:val="tx1"/>
            </w14:solidFill>
          </w14:textFill>
        </w:rPr>
        <w:t>本项目生活用水量约</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/d（0.</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/a），均取自新鲜水；选矿</w:t>
      </w:r>
      <w:r>
        <w:rPr>
          <w:color w:val="000000" w:themeColor="text1"/>
          <w:highlight w:val="none"/>
          <w14:textFill>
            <w14:solidFill>
              <w14:schemeClr w14:val="tx1"/>
            </w14:solidFill>
          </w14:textFill>
        </w:rPr>
        <w:t>生产总用水量</w:t>
      </w:r>
      <w:r>
        <w:rPr>
          <w:rFonts w:hint="eastAsia"/>
          <w:color w:val="000000" w:themeColor="text1"/>
          <w:highlight w:val="none"/>
          <w:lang w:val="zh-CN"/>
          <w14:textFill>
            <w14:solidFill>
              <w14:schemeClr w14:val="tx1"/>
            </w14:solidFill>
          </w14:textFill>
        </w:rPr>
        <w:t>5314.3</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159.43</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其中新鲜水用水量为</w:t>
      </w:r>
      <w:r>
        <w:rPr>
          <w:rFonts w:hint="eastAsia"/>
          <w:color w:val="000000" w:themeColor="text1"/>
          <w:highlight w:val="none"/>
          <w:lang w:val="en-US" w:eastAsia="zh-CN"/>
          <w14:textFill>
            <w14:solidFill>
              <w14:schemeClr w14:val="tx1"/>
            </w14:solidFill>
          </w14:textFill>
        </w:rPr>
        <w:t>11.7684</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灌溉期420.7</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非灌溉期349.65</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选矿工艺回用</w:t>
      </w:r>
      <w:r>
        <w:rPr>
          <w:color w:val="000000" w:themeColor="text1"/>
          <w:highlight w:val="none"/>
          <w14:textFill>
            <w14:solidFill>
              <w14:schemeClr w14:val="tx1"/>
            </w14:solidFill>
          </w14:textFill>
        </w:rPr>
        <w:t>水量</w:t>
      </w:r>
      <w:r>
        <w:rPr>
          <w:rFonts w:hint="eastAsia"/>
          <w:color w:val="000000" w:themeColor="text1"/>
          <w:highlight w:val="none"/>
          <w:lang w:val="en-US" w:eastAsia="zh-CN"/>
          <w14:textFill>
            <w14:solidFill>
              <w14:schemeClr w14:val="tx1"/>
            </w14:solidFill>
          </w14:textFill>
        </w:rPr>
        <w:t>4371.4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131.14</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利用矿井涌水为</w:t>
      </w:r>
      <w:r>
        <w:rPr>
          <w:rFonts w:hint="eastAsia"/>
          <w:color w:val="000000" w:themeColor="text1"/>
          <w:highlight w:val="none"/>
          <w:lang w:val="en-US" w:eastAsia="zh-CN"/>
          <w14:textFill>
            <w14:solidFill>
              <w14:schemeClr w14:val="tx1"/>
            </w14:solidFill>
          </w14:textFill>
        </w:rPr>
        <w:t>16.3536</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灌溉期517.2</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非灌溉期587</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14:paraId="44A74CC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本项目运营期废水总量为</w:t>
      </w:r>
      <w:r>
        <w:rPr>
          <w:rFonts w:hint="eastAsia"/>
          <w:color w:val="000000" w:themeColor="text1"/>
          <w:highlight w:val="none"/>
          <w:lang w:val="en-US" w:eastAsia="zh-CN"/>
          <w14:textFill>
            <w14:solidFill>
              <w14:schemeClr w14:val="tx1"/>
            </w14:solidFill>
          </w14:textFill>
        </w:rPr>
        <w:t>131.27</w:t>
      </w:r>
      <w:r>
        <w:rPr>
          <w:rFonts w:hint="eastAsia"/>
          <w:color w:val="000000" w:themeColor="text1"/>
          <w:spacing w:val="-10"/>
          <w:highlight w:val="none"/>
          <w14:textFill>
            <w14:solidFill>
              <w14:schemeClr w14:val="tx1"/>
            </w14:solidFill>
          </w14:textFill>
        </w:rPr>
        <w:t>万</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生活污水量约</w:t>
      </w:r>
      <w:r>
        <w:rPr>
          <w:rFonts w:hint="eastAsia"/>
          <w:color w:val="000000" w:themeColor="text1"/>
          <w:highlight w:val="none"/>
          <w:lang w:val="en-US" w:eastAsia="zh-CN"/>
          <w14:textFill>
            <w14:solidFill>
              <w14:schemeClr w14:val="tx1"/>
            </w14:solidFill>
          </w14:textFill>
        </w:rPr>
        <w:t>4.25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1275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/a）。选矿废水包括精矿过滤水、尾矿浓缩压滤溢流水、尾矿</w:t>
      </w:r>
      <w:r>
        <w:rPr>
          <w:rFonts w:hint="eastAsia"/>
          <w:color w:val="000000" w:themeColor="text1"/>
          <w:highlight w:val="none"/>
          <w:lang w:val="en-US" w:eastAsia="zh-CN"/>
          <w14:textFill>
            <w14:solidFill>
              <w14:schemeClr w14:val="tx1"/>
            </w14:solidFill>
          </w14:textFill>
        </w:rPr>
        <w:t>澄清水</w:t>
      </w:r>
      <w:r>
        <w:rPr>
          <w:rFonts w:hint="eastAsia"/>
          <w:color w:val="000000" w:themeColor="text1"/>
          <w:highlight w:val="none"/>
          <w14:textFill>
            <w14:solidFill>
              <w14:schemeClr w14:val="tx1"/>
            </w14:solidFill>
          </w14:textFill>
        </w:rPr>
        <w:t>，废水量约为</w:t>
      </w:r>
      <w:r>
        <w:rPr>
          <w:rFonts w:hint="eastAsia"/>
          <w:color w:val="000000" w:themeColor="text1"/>
          <w:highlight w:val="none"/>
          <w:lang w:val="zh-CN"/>
          <w14:textFill>
            <w14:solidFill>
              <w14:schemeClr w14:val="tx1"/>
            </w14:solidFill>
          </w14:textFill>
        </w:rPr>
        <w:t>4371.4</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131.14</w:t>
      </w:r>
      <w:r>
        <w:rPr>
          <w:rFonts w:hint="eastAsia"/>
          <w:color w:val="000000" w:themeColor="text1"/>
          <w:highlight w:val="none"/>
          <w14:textFill>
            <w14:solidFill>
              <w14:schemeClr w14:val="tx1"/>
            </w14:solidFill>
          </w14:textFill>
        </w:rPr>
        <w:t>万m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/a），选矿</w:t>
      </w:r>
      <w:r>
        <w:rPr>
          <w:color w:val="000000" w:themeColor="text1"/>
          <w:highlight w:val="none"/>
          <w14:textFill>
            <w14:solidFill>
              <w14:schemeClr w14:val="tx1"/>
            </w14:solidFill>
          </w14:textFill>
        </w:rPr>
        <w:t>废水</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闭路循环</w:t>
      </w:r>
      <w:r>
        <w:rPr>
          <w:rFonts w:hint="eastAsia"/>
          <w:color w:val="000000" w:themeColor="text1"/>
          <w:highlight w:val="none"/>
          <w14:textFill>
            <w14:solidFill>
              <w14:schemeClr w14:val="tx1"/>
            </w14:solidFill>
          </w14:textFill>
        </w:rPr>
        <w:t>”，不外排。</w:t>
      </w:r>
    </w:p>
    <w:p w14:paraId="7929FC49">
      <w:pPr>
        <w:shd w:val="clea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本项目水平衡情况见图3.3-</w:t>
      </w:r>
      <w:r>
        <w:rPr>
          <w:rFonts w:hint="eastAsia"/>
          <w:color w:val="000000" w:themeColor="text1"/>
          <w:highlight w:val="none"/>
          <w:lang w:val="en-US" w:eastAsia="zh-CN"/>
          <w14:textFill>
            <w14:solidFill>
              <w14:schemeClr w14:val="tx1"/>
            </w14:solidFill>
          </w14:textFill>
        </w:rPr>
        <w:t>2、3.3-3</w:t>
      </w:r>
      <w:r>
        <w:rPr>
          <w:rFonts w:hint="eastAsia"/>
          <w:color w:val="000000" w:themeColor="text1"/>
          <w:highlight w:val="none"/>
          <w14:textFill>
            <w14:solidFill>
              <w14:schemeClr w14:val="tx1"/>
            </w14:solidFill>
          </w14:textFill>
        </w:rPr>
        <w:t>。</w:t>
      </w:r>
    </w:p>
    <w:p w14:paraId="7ACE1116">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2ED7CEF4">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3341BDC5">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4A90C21F">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1E95BA1F">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1C300957">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51258E7E">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73DD5965">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5F45DE74">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57B41A16">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48D0E863">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b/>
          <w:color w:val="000000" w:themeColor="text1"/>
          <w:kern w:val="0"/>
          <w:highlight w:val="none"/>
          <w14:textFill>
            <w14:solidFill>
              <w14:schemeClr w14:val="tx1"/>
            </w14:solidFill>
          </w14:textFill>
        </w:rPr>
      </w:pPr>
      <w:r>
        <w:rPr>
          <w:rFonts w:hint="eastAsia"/>
          <w:b/>
          <w:color w:val="000000" w:themeColor="text1"/>
          <w:kern w:val="0"/>
          <w:highlight w:val="none"/>
          <w14:textFill>
            <w14:solidFill>
              <w14:schemeClr w14:val="tx1"/>
            </w14:solidFill>
          </w14:textFill>
        </w:rPr>
        <w:t>图</w:t>
      </w:r>
      <w:r>
        <w:rPr>
          <w:b/>
          <w:color w:val="000000" w:themeColor="text1"/>
          <w:kern w:val="0"/>
          <w:highlight w:val="none"/>
          <w14:textFill>
            <w14:solidFill>
              <w14:schemeClr w14:val="tx1"/>
            </w14:solidFill>
          </w14:textFill>
        </w:rPr>
        <w:t>3.3-</w:t>
      </w:r>
      <w:r>
        <w:rPr>
          <w:rFonts w:hint="eastAsia"/>
          <w:b/>
          <w:color w:val="000000" w:themeColor="text1"/>
          <w:kern w:val="0"/>
          <w:highlight w:val="none"/>
          <w:lang w:val="en-US" w:eastAsia="zh-CN"/>
          <w14:textFill>
            <w14:solidFill>
              <w14:schemeClr w14:val="tx1"/>
            </w14:solidFill>
          </w14:textFill>
        </w:rPr>
        <w:t>2</w:t>
      </w:r>
      <w:r>
        <w:rPr>
          <w:b/>
          <w:color w:val="000000" w:themeColor="text1"/>
          <w:kern w:val="0"/>
          <w:highlight w:val="none"/>
          <w14:textFill>
            <w14:solidFill>
              <w14:schemeClr w14:val="tx1"/>
            </w14:solidFill>
          </w14:textFill>
        </w:rPr>
        <w:t xml:space="preserve">    </w:t>
      </w:r>
      <w:r>
        <w:rPr>
          <w:rFonts w:hint="eastAsia"/>
          <w:b/>
          <w:color w:val="000000" w:themeColor="text1"/>
          <w:kern w:val="0"/>
          <w:highlight w:val="none"/>
          <w:lang w:val="en-US" w:eastAsia="zh-CN"/>
          <w14:textFill>
            <w14:solidFill>
              <w14:schemeClr w14:val="tx1"/>
            </w14:solidFill>
          </w14:textFill>
        </w:rPr>
        <w:t>灌溉期</w:t>
      </w:r>
      <w:r>
        <w:rPr>
          <w:rFonts w:hint="eastAsia"/>
          <w:b/>
          <w:color w:val="000000" w:themeColor="text1"/>
          <w:kern w:val="0"/>
          <w:highlight w:val="none"/>
          <w:lang w:eastAsia="zh-CN"/>
          <w14:textFill>
            <w14:solidFill>
              <w14:schemeClr w14:val="tx1"/>
            </w14:solidFill>
          </w14:textFill>
        </w:rPr>
        <w:t>全厂</w:t>
      </w:r>
      <w:r>
        <w:rPr>
          <w:rFonts w:hint="eastAsia"/>
          <w:b/>
          <w:color w:val="000000" w:themeColor="text1"/>
          <w:kern w:val="0"/>
          <w:highlight w:val="none"/>
          <w14:textFill>
            <w14:solidFill>
              <w14:schemeClr w14:val="tx1"/>
            </w14:solidFill>
          </w14:textFill>
        </w:rPr>
        <w:t>水</w:t>
      </w:r>
      <w:r>
        <w:rPr>
          <w:b/>
          <w:color w:val="000000" w:themeColor="text1"/>
          <w:kern w:val="0"/>
          <w:highlight w:val="none"/>
          <w14:textFill>
            <w14:solidFill>
              <w14:schemeClr w14:val="tx1"/>
            </w14:solidFill>
          </w14:textFill>
        </w:rPr>
        <w:t>平衡</w:t>
      </w:r>
      <w:r>
        <w:rPr>
          <w:rFonts w:hint="eastAsia"/>
          <w:b/>
          <w:color w:val="000000" w:themeColor="text1"/>
          <w:kern w:val="0"/>
          <w:highlight w:val="none"/>
          <w14:textFill>
            <w14:solidFill>
              <w14:schemeClr w14:val="tx1"/>
            </w14:solidFill>
          </w14:textFill>
        </w:rPr>
        <w:t>图（单位：m</w:t>
      </w:r>
      <w:r>
        <w:rPr>
          <w:rFonts w:hint="eastAsia"/>
          <w:b/>
          <w:color w:val="000000" w:themeColor="text1"/>
          <w:kern w:val="0"/>
          <w:highlight w:val="none"/>
          <w:vertAlign w:val="superscript"/>
          <w14:textFill>
            <w14:solidFill>
              <w14:schemeClr w14:val="tx1"/>
            </w14:solidFill>
          </w14:textFill>
        </w:rPr>
        <w:t>3</w:t>
      </w:r>
      <w:r>
        <w:rPr>
          <w:rFonts w:hint="eastAsia"/>
          <w:b/>
          <w:color w:val="000000" w:themeColor="text1"/>
          <w:kern w:val="0"/>
          <w:highlight w:val="none"/>
          <w14:textFill>
            <w14:solidFill>
              <w14:schemeClr w14:val="tx1"/>
            </w14:solidFill>
          </w14:textFill>
        </w:rPr>
        <w:t>/d）</w:t>
      </w:r>
    </w:p>
    <w:p w14:paraId="03B0995E">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534C5801">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2922F37B">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2B3B3232">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10226043">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21ED3F4A">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5CEA29A0">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11B133EA">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7FC9DF1A">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0395F86B">
      <w:pPr>
        <w:rPr>
          <w:rFonts w:hint="eastAsia" w:ascii="Times New Roman" w:hAnsi="Times New Roman" w:eastAsia="宋体" w:cs="Times New Roman"/>
          <w:b/>
          <w:color w:val="000000" w:themeColor="text1"/>
          <w:kern w:val="0"/>
          <w:highlight w:val="yellow"/>
          <w14:textFill>
            <w14:solidFill>
              <w14:schemeClr w14:val="tx1"/>
            </w14:solidFill>
          </w14:textFill>
        </w:rPr>
      </w:pPr>
    </w:p>
    <w:p w14:paraId="1BA553DB">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b/>
          <w:color w:val="000000" w:themeColor="text1"/>
          <w:kern w:val="0"/>
          <w:highlight w:val="none"/>
          <w:lang w:val="en-US" w:eastAsia="zh-CN"/>
          <w14:textFill>
            <w14:solidFill>
              <w14:schemeClr w14:val="tx1"/>
            </w14:solidFill>
          </w14:textFill>
        </w:rPr>
      </w:pPr>
      <w:r>
        <w:rPr>
          <w:rFonts w:hint="eastAsia"/>
          <w:b/>
          <w:color w:val="000000" w:themeColor="text1"/>
          <w:kern w:val="0"/>
          <w:highlight w:val="none"/>
          <w:lang w:val="en-US" w:eastAsia="zh-CN"/>
          <w14:textFill>
            <w14:solidFill>
              <w14:schemeClr w14:val="tx1"/>
            </w14:solidFill>
          </w14:textFill>
        </w:rPr>
        <w:t>图3.3-3    非灌溉期全厂水平衡图（单位：</w:t>
      </w:r>
      <w:r>
        <w:rPr>
          <w:rFonts w:hint="eastAsia"/>
          <w:b/>
          <w:color w:val="000000" w:themeColor="text1"/>
          <w:kern w:val="0"/>
          <w:highlight w:val="none"/>
          <w14:textFill>
            <w14:solidFill>
              <w14:schemeClr w14:val="tx1"/>
            </w14:solidFill>
          </w14:textFill>
        </w:rPr>
        <w:t>m</w:t>
      </w:r>
      <w:r>
        <w:rPr>
          <w:rFonts w:hint="eastAsia"/>
          <w:b/>
          <w:color w:val="000000" w:themeColor="text1"/>
          <w:kern w:val="0"/>
          <w:highlight w:val="none"/>
          <w:vertAlign w:val="superscript"/>
          <w14:textFill>
            <w14:solidFill>
              <w14:schemeClr w14:val="tx1"/>
            </w14:solidFill>
          </w14:textFill>
        </w:rPr>
        <w:t>3</w:t>
      </w:r>
      <w:r>
        <w:rPr>
          <w:rFonts w:hint="eastAsia"/>
          <w:b/>
          <w:color w:val="000000" w:themeColor="text1"/>
          <w:kern w:val="0"/>
          <w:highlight w:val="none"/>
          <w14:textFill>
            <w14:solidFill>
              <w14:schemeClr w14:val="tx1"/>
            </w14:solidFill>
          </w14:textFill>
        </w:rPr>
        <w:t>/d</w:t>
      </w:r>
      <w:r>
        <w:rPr>
          <w:rFonts w:hint="eastAsia"/>
          <w:b/>
          <w:color w:val="000000" w:themeColor="text1"/>
          <w:kern w:val="0"/>
          <w:highlight w:val="none"/>
          <w:lang w:val="en-US" w:eastAsia="zh-CN"/>
          <w14:textFill>
            <w14:solidFill>
              <w14:schemeClr w14:val="tx1"/>
            </w14:solidFill>
          </w14:textFill>
        </w:rPr>
        <w:t>）</w:t>
      </w:r>
    </w:p>
    <w:p w14:paraId="24F9B614">
      <w:pPr>
        <w:pStyle w:val="4"/>
        <w:rPr>
          <w:color w:val="000000" w:themeColor="text1"/>
          <w:highlight w:val="none"/>
          <w14:textFill>
            <w14:solidFill>
              <w14:schemeClr w14:val="tx1"/>
            </w14:solidFill>
          </w14:textFill>
        </w:rPr>
      </w:pPr>
      <w:bookmarkStart w:id="493" w:name="_Toc14983"/>
      <w:bookmarkStart w:id="494" w:name="_Toc22294"/>
      <w:bookmarkStart w:id="495" w:name="_Toc7773"/>
      <w:bookmarkStart w:id="496" w:name="_Toc20558"/>
      <w:bookmarkStart w:id="497" w:name="_Toc24592"/>
      <w:bookmarkStart w:id="498" w:name="_Toc4348"/>
      <w:bookmarkStart w:id="499" w:name="_Toc2239"/>
      <w:r>
        <w:rPr>
          <w:color w:val="000000" w:themeColor="text1"/>
          <w:highlight w:val="none"/>
          <w14:textFill>
            <w14:solidFill>
              <w14:schemeClr w14:val="tx1"/>
            </w14:solidFill>
          </w14:textFill>
        </w:rPr>
        <w:t>3.3.3产污环节分析</w:t>
      </w:r>
      <w:bookmarkEnd w:id="493"/>
      <w:bookmarkEnd w:id="494"/>
      <w:bookmarkEnd w:id="495"/>
      <w:bookmarkEnd w:id="496"/>
      <w:bookmarkEnd w:id="497"/>
      <w:bookmarkEnd w:id="498"/>
      <w:bookmarkEnd w:id="499"/>
    </w:p>
    <w:p w14:paraId="621C8B51">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3.3.3.1大气污染因素分析</w:t>
      </w:r>
    </w:p>
    <w:p w14:paraId="6A7D5DAB">
      <w:pPr>
        <w:pStyle w:val="56"/>
        <w:overflowPunct w:val="0"/>
        <w:topLinePunct/>
        <w:spacing w:line="480" w:lineRule="exact"/>
        <w:ind w:firstLine="480"/>
        <w:rPr>
          <w:rFonts w:cs="Times New Roman"/>
          <w:color w:val="000000" w:themeColor="text1"/>
          <w:sz w:val="24"/>
          <w:highlight w:val="none"/>
          <w14:textFill>
            <w14:solidFill>
              <w14:schemeClr w14:val="tx1"/>
            </w14:solidFill>
          </w14:textFill>
        </w:rPr>
      </w:pPr>
      <w:r>
        <w:rPr>
          <w:rFonts w:cs="Times New Roman"/>
          <w:color w:val="000000" w:themeColor="text1"/>
          <w:sz w:val="24"/>
          <w:highlight w:val="none"/>
          <w14:textFill>
            <w14:solidFill>
              <w14:schemeClr w14:val="tx1"/>
            </w14:solidFill>
          </w14:textFill>
        </w:rPr>
        <w:t>本项目</w:t>
      </w:r>
      <w:r>
        <w:rPr>
          <w:rFonts w:hint="eastAsia" w:cs="Times New Roman"/>
          <w:color w:val="000000" w:themeColor="text1"/>
          <w:sz w:val="24"/>
          <w:highlight w:val="none"/>
          <w14:textFill>
            <w14:solidFill>
              <w14:schemeClr w14:val="tx1"/>
            </w14:solidFill>
          </w14:textFill>
        </w:rPr>
        <w:t>原料</w:t>
      </w:r>
      <w:r>
        <w:rPr>
          <w:rFonts w:cs="Times New Roman"/>
          <w:color w:val="000000" w:themeColor="text1"/>
          <w:sz w:val="24"/>
          <w:highlight w:val="none"/>
          <w14:textFill>
            <w14:solidFill>
              <w14:schemeClr w14:val="tx1"/>
            </w14:solidFill>
          </w14:textFill>
        </w:rPr>
        <w:t>铁矿石</w:t>
      </w:r>
      <w:r>
        <w:rPr>
          <w:rFonts w:hint="eastAsia" w:cs="Times New Roman"/>
          <w:color w:val="000000" w:themeColor="text1"/>
          <w:sz w:val="24"/>
          <w:highlight w:val="none"/>
          <w14:textFill>
            <w14:solidFill>
              <w14:schemeClr w14:val="tx1"/>
            </w14:solidFill>
          </w14:textFill>
        </w:rPr>
        <w:t>来自</w:t>
      </w:r>
      <w:r>
        <w:rPr>
          <w:rFonts w:hint="eastAsia" w:cs="Times New Roman"/>
          <w:color w:val="000000" w:themeColor="text1"/>
          <w:sz w:val="24"/>
          <w:highlight w:val="none"/>
          <w:lang w:val="en-US" w:eastAsia="zh-CN"/>
          <w14:textFill>
            <w14:solidFill>
              <w14:schemeClr w14:val="tx1"/>
            </w14:solidFill>
          </w14:textFill>
        </w:rPr>
        <w:t>M1033</w:t>
      </w:r>
      <w:r>
        <w:rPr>
          <w:rFonts w:hint="eastAsia" w:cs="Times New Roman"/>
          <w:color w:val="000000" w:themeColor="text1"/>
          <w:sz w:val="24"/>
          <w:highlight w:val="none"/>
          <w14:textFill>
            <w14:solidFill>
              <w14:schemeClr w14:val="tx1"/>
            </w14:solidFill>
          </w14:textFill>
        </w:rPr>
        <w:t>铁矿采矿工程经</w:t>
      </w:r>
      <w:r>
        <w:rPr>
          <w:rFonts w:hint="eastAsia" w:cs="Times New Roman"/>
          <w:color w:val="000000" w:themeColor="text1"/>
          <w:sz w:val="24"/>
          <w:highlight w:val="none"/>
          <w:lang w:eastAsia="zh-CN"/>
          <w14:textFill>
            <w14:solidFill>
              <w14:schemeClr w14:val="tx1"/>
            </w14:solidFill>
          </w14:textFill>
        </w:rPr>
        <w:t>粗破</w:t>
      </w:r>
      <w:r>
        <w:rPr>
          <w:rFonts w:hint="eastAsia" w:cs="Times New Roman"/>
          <w:color w:val="000000" w:themeColor="text1"/>
          <w:sz w:val="24"/>
          <w:highlight w:val="none"/>
          <w14:textFill>
            <w14:solidFill>
              <w14:schemeClr w14:val="tx1"/>
            </w14:solidFill>
          </w14:textFill>
        </w:rPr>
        <w:t>后的矿石，项目运营期</w:t>
      </w:r>
      <w:r>
        <w:rPr>
          <w:rFonts w:cs="Times New Roman"/>
          <w:color w:val="000000" w:themeColor="text1"/>
          <w:sz w:val="24"/>
          <w:highlight w:val="none"/>
          <w14:textFill>
            <w14:solidFill>
              <w14:schemeClr w14:val="tx1"/>
            </w14:solidFill>
          </w14:textFill>
        </w:rPr>
        <w:t>大气污染影响主要</w:t>
      </w:r>
      <w:r>
        <w:rPr>
          <w:rFonts w:hint="eastAsia" w:cs="Times New Roman"/>
          <w:color w:val="000000" w:themeColor="text1"/>
          <w:sz w:val="24"/>
          <w:highlight w:val="none"/>
          <w:lang w:eastAsia="zh-CN"/>
          <w14:textFill>
            <w14:solidFill>
              <w14:schemeClr w14:val="tx1"/>
            </w14:solidFill>
          </w14:textFill>
        </w:rPr>
        <w:t>存在</w:t>
      </w:r>
      <w:r>
        <w:rPr>
          <w:rFonts w:cs="Times New Roman"/>
          <w:color w:val="000000" w:themeColor="text1"/>
          <w:sz w:val="24"/>
          <w:highlight w:val="none"/>
          <w14:textFill>
            <w14:solidFill>
              <w14:schemeClr w14:val="tx1"/>
            </w14:solidFill>
          </w14:textFill>
        </w:rPr>
        <w:t>以下几个方面：</w:t>
      </w:r>
    </w:p>
    <w:p w14:paraId="0279FB78">
      <w:pPr>
        <w:overflowPunct w:val="0"/>
        <w:topLinePunct/>
        <w:ind w:left="480" w:firstLine="0" w:firstLineChars="0"/>
        <w:rPr>
          <w:color w:val="000000" w:themeColor="text1"/>
          <w:kern w:val="0"/>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eastAsia="zh-CN"/>
          <w14:textFill>
            <w14:solidFill>
              <w14:schemeClr w14:val="tx1"/>
            </w14:solidFill>
          </w14:textFill>
        </w:rPr>
        <w:t>破碎</w:t>
      </w:r>
      <w:r>
        <w:rPr>
          <w:rFonts w:hint="eastAsia"/>
          <w:color w:val="000000" w:themeColor="text1"/>
          <w:highlight w:val="none"/>
          <w:lang w:val="en-US" w:eastAsia="zh-CN"/>
          <w14:textFill>
            <w14:solidFill>
              <w14:schemeClr w14:val="tx1"/>
            </w14:solidFill>
          </w14:textFill>
        </w:rPr>
        <w:t>筛分、磁选</w:t>
      </w:r>
      <w:r>
        <w:rPr>
          <w:rFonts w:hint="eastAsia"/>
          <w:color w:val="000000" w:themeColor="text1"/>
          <w:highlight w:val="none"/>
          <w14:textFill>
            <w14:solidFill>
              <w14:schemeClr w14:val="tx1"/>
            </w14:solidFill>
          </w14:textFill>
        </w:rPr>
        <w:t>过程中</w:t>
      </w:r>
      <w:r>
        <w:rPr>
          <w:color w:val="000000" w:themeColor="text1"/>
          <w:kern w:val="0"/>
          <w:highlight w:val="none"/>
          <w14:textFill>
            <w14:solidFill>
              <w14:schemeClr w14:val="tx1"/>
            </w14:solidFill>
          </w14:textFill>
        </w:rPr>
        <w:t>上料工序产生的粉尘；</w:t>
      </w:r>
    </w:p>
    <w:p w14:paraId="7E443D45">
      <w:pPr>
        <w:overflowPunct w:val="0"/>
        <w:topLinePunct/>
        <w:ind w:left="480"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）原料装卸、</w:t>
      </w:r>
      <w:r>
        <w:rPr>
          <w:rFonts w:hint="eastAsia"/>
          <w:color w:val="000000" w:themeColor="text1"/>
          <w:highlight w:val="none"/>
          <w:lang w:eastAsia="zh-CN"/>
          <w14:textFill>
            <w14:solidFill>
              <w14:schemeClr w14:val="tx1"/>
            </w14:solidFill>
          </w14:textFill>
        </w:rPr>
        <w:t>尾矿库</w:t>
      </w:r>
      <w:r>
        <w:rPr>
          <w:rFonts w:hint="eastAsia"/>
          <w:color w:val="000000" w:themeColor="text1"/>
          <w:highlight w:val="none"/>
          <w14:textFill>
            <w14:solidFill>
              <w14:schemeClr w14:val="tx1"/>
            </w14:solidFill>
          </w14:textFill>
        </w:rPr>
        <w:t>扬尘、运输扬尘以及汽车尾气等。</w:t>
      </w:r>
    </w:p>
    <w:p w14:paraId="2A0757D0">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3.3.3.2水污染因素分析</w:t>
      </w:r>
    </w:p>
    <w:p w14:paraId="09F9FBB0">
      <w:pPr>
        <w:overflowPunct w:val="0"/>
        <w:topLinePunct/>
        <w:ind w:firstLine="480"/>
        <w:rPr>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本项目生产废水</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闭路循环</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，不外排</w:t>
      </w:r>
      <w:r>
        <w:rPr>
          <w:rFonts w:hint="eastAsia"/>
          <w:color w:val="000000" w:themeColor="text1"/>
          <w:kern w:val="0"/>
          <w:highlight w:val="none"/>
          <w14:textFill>
            <w14:solidFill>
              <w14:schemeClr w14:val="tx1"/>
            </w14:solidFill>
          </w14:textFill>
        </w:rPr>
        <w:t>；生活污水经处理满足</w:t>
      </w:r>
      <w:r>
        <w:rPr>
          <w:rFonts w:hint="eastAsia"/>
          <w:color w:val="000000" w:themeColor="text1"/>
          <w:highlight w:val="none"/>
          <w14:textFill>
            <w14:solidFill>
              <w14:schemeClr w14:val="tx1"/>
            </w14:solidFill>
          </w14:textFill>
        </w:rPr>
        <w:t>《农村生活污水处理排放标准》（DB65 4275-2019）表2规定的A级排放限值以及《城市污水再生利用 城市杂用水水质》（GB/T18920-2020）中的城市绿化、道路清扫、消防、建筑施工限值后</w:t>
      </w:r>
      <w:r>
        <w:rPr>
          <w:rFonts w:hint="eastAsia" w:ascii="宋体" w:hAnsi="宋体" w:cs="宋体"/>
          <w:color w:val="000000" w:themeColor="text1"/>
          <w:spacing w:val="-1"/>
          <w:highlight w:val="none"/>
          <w14:textFill>
            <w14:solidFill>
              <w14:schemeClr w14:val="tx1"/>
            </w14:solidFill>
          </w14:textFill>
        </w:rPr>
        <w:t>用于选矿生产工序循环利用及绿化</w:t>
      </w:r>
      <w:r>
        <w:rPr>
          <w:rFonts w:hint="eastAsia"/>
          <w:color w:val="000000" w:themeColor="text1"/>
          <w:kern w:val="0"/>
          <w:highlight w:val="none"/>
          <w14:textFill>
            <w14:solidFill>
              <w14:schemeClr w14:val="tx1"/>
            </w14:solidFill>
          </w14:textFill>
        </w:rPr>
        <w:t>，不外排。</w:t>
      </w:r>
    </w:p>
    <w:p w14:paraId="4CF9C006">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3.3.3.3固体废物污染因素分析</w:t>
      </w:r>
    </w:p>
    <w:p w14:paraId="61E60D29">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运营期固体废物主要来源于选矿工序产生的尾矿、</w:t>
      </w:r>
      <w:r>
        <w:rPr>
          <w:rFonts w:hint="eastAsia"/>
          <w:color w:val="000000" w:themeColor="text1"/>
          <w:kern w:val="0"/>
          <w:highlight w:val="none"/>
          <w:lang w:eastAsia="zh-CN"/>
          <w14:textFill>
            <w14:solidFill>
              <w14:schemeClr w14:val="tx1"/>
            </w14:solidFill>
          </w14:textFill>
        </w:rPr>
        <w:t>干选废石</w:t>
      </w:r>
      <w:r>
        <w:rPr>
          <w:rFonts w:hint="eastAsia"/>
          <w:color w:val="000000" w:themeColor="text1"/>
          <w:kern w:val="0"/>
          <w:highlight w:val="none"/>
          <w14:textFill>
            <w14:solidFill>
              <w14:schemeClr w14:val="tx1"/>
            </w14:solidFill>
          </w14:textFill>
        </w:rPr>
        <w:t>、除尘灰（除尘器收集的粉尘）、生活污水处理设施底泥、废布袋、循环水池底泥、生活垃圾及少量废机油、废油桶等。</w:t>
      </w:r>
    </w:p>
    <w:p w14:paraId="797F5418">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3.3.3.4噪声污染因素分析</w:t>
      </w:r>
    </w:p>
    <w:p w14:paraId="7CCE8EA6">
      <w:pPr>
        <w:overflowPunct w:val="0"/>
        <w:topLinePunct/>
        <w:ind w:firstLine="480"/>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运营期</w:t>
      </w:r>
      <w:r>
        <w:rPr>
          <w:color w:val="000000" w:themeColor="text1"/>
          <w:kern w:val="0"/>
          <w:highlight w:val="none"/>
          <w14:textFill>
            <w14:solidFill>
              <w14:schemeClr w14:val="tx1"/>
            </w14:solidFill>
          </w14:textFill>
        </w:rPr>
        <w:t>主要噪声来源于</w:t>
      </w:r>
      <w:r>
        <w:rPr>
          <w:rFonts w:hint="eastAsia"/>
          <w:color w:val="000000" w:themeColor="text1"/>
          <w:kern w:val="0"/>
          <w:highlight w:val="none"/>
          <w:lang w:eastAsia="zh-CN"/>
          <w14:textFill>
            <w14:solidFill>
              <w14:schemeClr w14:val="tx1"/>
            </w14:solidFill>
          </w14:textFill>
        </w:rPr>
        <w:t>破碎机、</w:t>
      </w:r>
      <w:r>
        <w:rPr>
          <w:rFonts w:hint="eastAsia"/>
          <w:color w:val="000000" w:themeColor="text1"/>
          <w:kern w:val="0"/>
          <w:highlight w:val="none"/>
          <w:lang w:val="en-US" w:eastAsia="zh-CN"/>
          <w14:textFill>
            <w14:solidFill>
              <w14:schemeClr w14:val="tx1"/>
            </w14:solidFill>
          </w14:textFill>
        </w:rPr>
        <w:t>辊磨机</w:t>
      </w:r>
      <w:r>
        <w:rPr>
          <w:rFonts w:hint="eastAsia"/>
          <w:color w:val="000000" w:themeColor="text1"/>
          <w:kern w:val="0"/>
          <w:highlight w:val="none"/>
          <w:lang w:eastAsia="zh-CN"/>
          <w14:textFill>
            <w14:solidFill>
              <w14:schemeClr w14:val="tx1"/>
            </w14:solidFill>
          </w14:textFill>
        </w:rPr>
        <w:t>、</w:t>
      </w:r>
      <w:r>
        <w:rPr>
          <w:color w:val="000000" w:themeColor="text1"/>
          <w:kern w:val="0"/>
          <w:highlight w:val="none"/>
          <w14:textFill>
            <w14:solidFill>
              <w14:schemeClr w14:val="tx1"/>
            </w14:solidFill>
          </w14:textFill>
        </w:rPr>
        <w:t>球磨机、分级机、磁选机、浓缩机及水泵等设备运行和生产过程中产生的设备噪声及运输车辆产生的交通运输噪声。</w:t>
      </w:r>
    </w:p>
    <w:p w14:paraId="5D13B6A1">
      <w:pPr>
        <w:pStyle w:val="3"/>
        <w:rPr>
          <w:color w:val="000000" w:themeColor="text1"/>
          <w:highlight w:val="none"/>
          <w14:textFill>
            <w14:solidFill>
              <w14:schemeClr w14:val="tx1"/>
            </w14:solidFill>
          </w14:textFill>
        </w:rPr>
      </w:pPr>
      <w:bookmarkStart w:id="500" w:name="_Toc20666"/>
      <w:bookmarkStart w:id="501" w:name="_Toc15308"/>
      <w:bookmarkStart w:id="502" w:name="_Toc9230"/>
      <w:bookmarkStart w:id="503" w:name="_Toc107413889"/>
      <w:bookmarkStart w:id="504" w:name="_Toc107414656"/>
      <w:bookmarkStart w:id="505" w:name="_Toc9745"/>
      <w:bookmarkStart w:id="506" w:name="_Toc23292"/>
      <w:bookmarkStart w:id="507" w:name="_Toc8473"/>
      <w:bookmarkStart w:id="508" w:name="_Toc2953"/>
      <w:bookmarkStart w:id="509" w:name="_Toc9473"/>
      <w:bookmarkStart w:id="510" w:name="_Toc6945"/>
      <w:bookmarkStart w:id="511" w:name="_Toc28292"/>
      <w:r>
        <w:rPr>
          <w:color w:val="000000" w:themeColor="text1"/>
          <w:highlight w:val="none"/>
          <w14:textFill>
            <w14:solidFill>
              <w14:schemeClr w14:val="tx1"/>
            </w14:solidFill>
          </w14:textFill>
        </w:rPr>
        <w:t>3.</w:t>
      </w:r>
      <w:bookmarkEnd w:id="500"/>
      <w:bookmarkEnd w:id="501"/>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污染源及污染物分析</w:t>
      </w:r>
      <w:bookmarkEnd w:id="502"/>
      <w:bookmarkEnd w:id="503"/>
      <w:bookmarkEnd w:id="504"/>
      <w:bookmarkEnd w:id="505"/>
      <w:bookmarkEnd w:id="506"/>
      <w:bookmarkEnd w:id="507"/>
      <w:bookmarkEnd w:id="508"/>
      <w:bookmarkEnd w:id="509"/>
      <w:bookmarkEnd w:id="510"/>
      <w:bookmarkEnd w:id="511"/>
    </w:p>
    <w:p w14:paraId="42351708">
      <w:pPr>
        <w:pStyle w:val="4"/>
        <w:rPr>
          <w:color w:val="000000" w:themeColor="text1"/>
          <w:highlight w:val="none"/>
          <w14:textFill>
            <w14:solidFill>
              <w14:schemeClr w14:val="tx1"/>
            </w14:solidFill>
          </w14:textFill>
        </w:rPr>
      </w:pPr>
      <w:bookmarkStart w:id="512" w:name="_Toc5743"/>
      <w:bookmarkStart w:id="513" w:name="_Toc18983"/>
      <w:bookmarkStart w:id="514" w:name="_Toc24289"/>
      <w:r>
        <w:rPr>
          <w:rFonts w:hint="eastAsia"/>
          <w:color w:val="000000" w:themeColor="text1"/>
          <w:highlight w:val="none"/>
          <w14:textFill>
            <w14:solidFill>
              <w14:schemeClr w14:val="tx1"/>
            </w14:solidFill>
          </w14:textFill>
        </w:rPr>
        <w:t>3.4.1施工期污染源及污染物分析</w:t>
      </w:r>
      <w:bookmarkEnd w:id="512"/>
      <w:bookmarkEnd w:id="513"/>
      <w:bookmarkEnd w:id="514"/>
    </w:p>
    <w:p w14:paraId="1A10612E">
      <w:pPr>
        <w:overflowPunct w:val="0"/>
        <w:topLinePunct/>
        <w:ind w:firstLine="480"/>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建设项目施工期间，产生的生活污水、生活垃圾、建筑垃圾、扬尘、建材运输车辆的尾气和噪声等，均会对环境造成一定的影响。但施工期的环境影响为阶段性影响，工程建设完成后，除部分永久性占地为持续性影响外，其余环境影响会随施工期的结束而消失。</w:t>
      </w:r>
    </w:p>
    <w:p w14:paraId="6F9BDB36">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3.4.1.1</w:t>
      </w:r>
      <w:r>
        <w:rPr>
          <w:color w:val="000000" w:themeColor="text1"/>
          <w:highlight w:val="none"/>
          <w14:textFill>
            <w14:solidFill>
              <w14:schemeClr w14:val="tx1"/>
            </w14:solidFill>
          </w14:textFill>
        </w:rPr>
        <w:t>大气污染源</w:t>
      </w:r>
    </w:p>
    <w:p w14:paraId="499302F8">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施工阶段，需频繁使用机动车辆运输建筑原材料、施工设备、器材及建筑垃圾，排出的机动车尾气主要污染物是C</w:t>
      </w:r>
      <w:r>
        <w:rPr>
          <w:rFonts w:hint="eastAsia"/>
          <w:color w:val="000000" w:themeColor="text1"/>
          <w:highlight w:val="none"/>
          <w:vertAlign w:val="subscript"/>
          <w14:textFill>
            <w14:solidFill>
              <w14:schemeClr w14:val="tx1"/>
            </w14:solidFill>
          </w14:textFill>
        </w:rPr>
        <w:t>n</w:t>
      </w:r>
      <w:r>
        <w:rPr>
          <w:color w:val="000000" w:themeColor="text1"/>
          <w:highlight w:val="none"/>
          <w14:textFill>
            <w14:solidFill>
              <w14:schemeClr w14:val="tx1"/>
            </w14:solidFill>
          </w14:textFill>
        </w:rPr>
        <w:t>H</w:t>
      </w:r>
      <w:r>
        <w:rPr>
          <w:rFonts w:hint="eastAsia"/>
          <w:color w:val="000000" w:themeColor="text1"/>
          <w:highlight w:val="none"/>
          <w:vertAlign w:val="subscript"/>
          <w14:textFill>
            <w14:solidFill>
              <w14:schemeClr w14:val="tx1"/>
            </w14:solidFill>
          </w14:textFill>
        </w:rPr>
        <w:t>m</w:t>
      </w:r>
      <w:r>
        <w:rPr>
          <w:color w:val="000000" w:themeColor="text1"/>
          <w:highlight w:val="none"/>
          <w14:textFill>
            <w14:solidFill>
              <w14:schemeClr w14:val="tx1"/>
            </w14:solidFill>
          </w14:textFill>
        </w:rPr>
        <w:t>、CO、NO</w:t>
      </w:r>
      <w:r>
        <w:rPr>
          <w:color w:val="000000" w:themeColor="text1"/>
          <w:highlight w:val="none"/>
          <w:vertAlign w:val="subscript"/>
          <w14:textFill>
            <w14:solidFill>
              <w14:schemeClr w14:val="tx1"/>
            </w14:solidFill>
          </w14:textFill>
        </w:rPr>
        <w:t>x</w:t>
      </w:r>
      <w:r>
        <w:rPr>
          <w:color w:val="000000" w:themeColor="text1"/>
          <w:highlight w:val="none"/>
          <w14:textFill>
            <w14:solidFill>
              <w14:schemeClr w14:val="tx1"/>
            </w14:solidFill>
          </w14:textFill>
        </w:rPr>
        <w:t>等，同时车辆运行、装卸建筑材料时将产生扬尘。</w:t>
      </w:r>
    </w:p>
    <w:p w14:paraId="4B4A56A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施工扬尘污染主要造成大气中TSP值增高，根据类比资料，施工扬尘的起尘量与许多因素有关。影响起尘量的因素包括：基础开挖起尘量、施工渣土堆场起尘量、进出车辆带泥砂量、水泥搬运量</w:t>
      </w:r>
      <w:r>
        <w:rPr>
          <w:rFonts w:hint="eastAsia"/>
          <w:color w:val="000000" w:themeColor="text1"/>
          <w:highlight w:val="none"/>
          <w:lang w:eastAsia="zh-CN"/>
          <w14:textFill>
            <w14:solidFill>
              <w14:schemeClr w14:val="tx1"/>
            </w14:solidFill>
          </w14:textFill>
        </w:rPr>
        <w:t>，以及</w:t>
      </w:r>
      <w:r>
        <w:rPr>
          <w:color w:val="000000" w:themeColor="text1"/>
          <w:highlight w:val="none"/>
          <w14:textFill>
            <w14:solidFill>
              <w14:schemeClr w14:val="tx1"/>
            </w14:solidFill>
          </w14:textFill>
        </w:rPr>
        <w:t>起尘高度、采取的防护措施、空气湿度、风速等。</w:t>
      </w:r>
      <w:r>
        <w:rPr>
          <w:rFonts w:hint="eastAsia"/>
          <w:color w:val="000000" w:themeColor="text1"/>
          <w:highlight w:val="none"/>
          <w14:textFill>
            <w14:solidFill>
              <w14:schemeClr w14:val="tx1"/>
            </w14:solidFill>
          </w14:textFill>
        </w:rPr>
        <w:t>废气污染物排放量较小，随着施工期结束而停止。</w:t>
      </w:r>
    </w:p>
    <w:p w14:paraId="7E9C1E73">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3.4.1.2废水</w:t>
      </w:r>
    </w:p>
    <w:p w14:paraId="08123B8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施工期废水主要为工地建筑工人产生的生活污水和工程废水。</w:t>
      </w:r>
    </w:p>
    <w:p w14:paraId="122EC981">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施工期生活污水</w:t>
      </w:r>
    </w:p>
    <w:p w14:paraId="0D96C04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生活污水主要污染物为SS、COD、氨氮等。施工期间进场施工人数约为</w:t>
      </w:r>
      <w:r>
        <w:rPr>
          <w:rFonts w:hint="eastAsia"/>
          <w:color w:val="000000" w:themeColor="text1"/>
          <w:highlight w:val="none"/>
          <w14:textFill>
            <w14:solidFill>
              <w14:schemeClr w14:val="tx1"/>
            </w14:solidFill>
          </w14:textFill>
        </w:rPr>
        <w:t>70</w:t>
      </w:r>
      <w:r>
        <w:rPr>
          <w:color w:val="000000" w:themeColor="text1"/>
          <w:highlight w:val="none"/>
          <w14:textFill>
            <w14:solidFill>
              <w14:schemeClr w14:val="tx1"/>
            </w14:solidFill>
          </w14:textFill>
        </w:rPr>
        <w:t>人左右</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施工人员生活用水按30L/人·d计，用水量为</w:t>
      </w:r>
      <w:r>
        <w:rPr>
          <w:rFonts w:hint="eastAsia"/>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/d，排放系数以0.8计，排放量约为</w:t>
      </w:r>
      <w:r>
        <w:rPr>
          <w:rFonts w:hint="eastAsia"/>
          <w:color w:val="000000" w:themeColor="text1"/>
          <w:highlight w:val="none"/>
          <w14:textFill>
            <w14:solidFill>
              <w14:schemeClr w14:val="tx1"/>
            </w14:solidFill>
          </w14:textFill>
        </w:rPr>
        <w:t>1.68</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color w:val="000000" w:themeColor="text1"/>
          <w:kern w:val="0"/>
          <w:highlight w:val="none"/>
          <w:lang w:val="zh-CN"/>
          <w14:textFill>
            <w14:solidFill>
              <w14:schemeClr w14:val="tx1"/>
            </w14:solidFill>
          </w14:textFill>
        </w:rPr>
        <w:t>施工期</w:t>
      </w:r>
      <w:r>
        <w:rPr>
          <w:rFonts w:hint="eastAsia"/>
          <w:color w:val="000000" w:themeColor="text1"/>
          <w:kern w:val="0"/>
          <w:highlight w:val="none"/>
          <w:lang w:val="zh-CN"/>
          <w14:textFill>
            <w14:solidFill>
              <w14:schemeClr w14:val="tx1"/>
            </w14:solidFill>
          </w14:textFill>
        </w:rPr>
        <w:t>生活污水依托现有生活区</w:t>
      </w:r>
      <w:r>
        <w:rPr>
          <w:rFonts w:hint="eastAsia"/>
          <w:color w:val="000000" w:themeColor="text1"/>
          <w:szCs w:val="28"/>
          <w:highlight w:val="none"/>
          <w14:textFill>
            <w14:solidFill>
              <w14:schemeClr w14:val="tx1"/>
            </w14:solidFill>
          </w14:textFill>
        </w:rPr>
        <w:t>污水处理设施处理，</w:t>
      </w:r>
      <w:r>
        <w:rPr>
          <w:rFonts w:hint="eastAsia"/>
          <w:color w:val="000000" w:themeColor="text1"/>
          <w:kern w:val="0"/>
          <w:highlight w:val="none"/>
          <w:lang w:val="zh-CN"/>
          <w14:textFill>
            <w14:solidFill>
              <w14:schemeClr w14:val="tx1"/>
            </w14:solidFill>
          </w14:textFill>
        </w:rPr>
        <w:t>处理满足</w:t>
      </w:r>
      <w:r>
        <w:rPr>
          <w:rFonts w:hint="eastAsia"/>
          <w:color w:val="000000" w:themeColor="text1"/>
          <w:highlight w:val="none"/>
          <w14:textFill>
            <w14:solidFill>
              <w14:schemeClr w14:val="tx1"/>
            </w14:solidFill>
          </w14:textFill>
        </w:rPr>
        <w:t>《农村生活污水处理排放标准》（DB65 4275-2019）表2规定的A级排放限值</w:t>
      </w:r>
      <w:r>
        <w:rPr>
          <w:rFonts w:hint="eastAsia" w:ascii="宋体" w:hAnsi="宋体" w:cs="宋体"/>
          <w:color w:val="000000" w:themeColor="text1"/>
          <w:spacing w:val="-1"/>
          <w:highlight w:val="none"/>
          <w:lang w:eastAsia="zh-CN"/>
          <w14:textFill>
            <w14:solidFill>
              <w14:schemeClr w14:val="tx1"/>
            </w14:solidFill>
          </w14:textFill>
        </w:rPr>
        <w:t>用于</w:t>
      </w:r>
      <w:r>
        <w:rPr>
          <w:rFonts w:hint="eastAsia" w:ascii="宋体" w:hAnsi="宋体" w:cs="宋体"/>
          <w:color w:val="000000" w:themeColor="text1"/>
          <w:spacing w:val="-1"/>
          <w:highlight w:val="none"/>
          <w14:textFill>
            <w14:solidFill>
              <w14:schemeClr w14:val="tx1"/>
            </w14:solidFill>
          </w14:textFill>
        </w:rPr>
        <w:t>绿化</w:t>
      </w:r>
      <w:r>
        <w:rPr>
          <w:rFonts w:hint="eastAsia"/>
          <w:color w:val="000000" w:themeColor="text1"/>
          <w:kern w:val="0"/>
          <w:highlight w:val="none"/>
          <w:lang w:val="zh-CN"/>
          <w14:textFill>
            <w14:solidFill>
              <w14:schemeClr w14:val="tx1"/>
            </w14:solidFill>
          </w14:textFill>
        </w:rPr>
        <w:t>，不外排。</w:t>
      </w:r>
      <w:r>
        <w:rPr>
          <w:color w:val="000000" w:themeColor="text1"/>
          <w:highlight w:val="none"/>
          <w:lang w:bidi="ar"/>
          <w14:textFill>
            <w14:solidFill>
              <w14:schemeClr w14:val="tx1"/>
            </w14:solidFill>
          </w14:textFill>
        </w:rPr>
        <w:t>对项目区</w:t>
      </w:r>
      <w:r>
        <w:rPr>
          <w:rFonts w:hint="eastAsia"/>
          <w:color w:val="000000" w:themeColor="text1"/>
          <w:highlight w:val="none"/>
          <w:lang w:bidi="ar"/>
          <w14:textFill>
            <w14:solidFill>
              <w14:schemeClr w14:val="tx1"/>
            </w14:solidFill>
          </w14:textFill>
        </w:rPr>
        <w:t>周围</w:t>
      </w:r>
      <w:r>
        <w:rPr>
          <w:color w:val="000000" w:themeColor="text1"/>
          <w:highlight w:val="none"/>
          <w:lang w:bidi="ar"/>
          <w14:textFill>
            <w14:solidFill>
              <w14:schemeClr w14:val="tx1"/>
            </w14:solidFill>
          </w14:textFill>
        </w:rPr>
        <w:t>水环境影响</w:t>
      </w:r>
      <w:r>
        <w:rPr>
          <w:rFonts w:hint="eastAsia"/>
          <w:color w:val="000000" w:themeColor="text1"/>
          <w:highlight w:val="none"/>
          <w:lang w:bidi="ar"/>
          <w14:textFill>
            <w14:solidFill>
              <w14:schemeClr w14:val="tx1"/>
            </w14:solidFill>
          </w14:textFill>
        </w:rPr>
        <w:t>较小</w:t>
      </w:r>
      <w:r>
        <w:rPr>
          <w:color w:val="000000" w:themeColor="text1"/>
          <w:highlight w:val="none"/>
          <w:lang w:bidi="ar"/>
          <w14:textFill>
            <w14:solidFill>
              <w14:schemeClr w14:val="tx1"/>
            </w14:solidFill>
          </w14:textFill>
        </w:rPr>
        <w:t>。</w:t>
      </w:r>
    </w:p>
    <w:p w14:paraId="52270C6F">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（2）</w:t>
      </w:r>
      <w:r>
        <w:rPr>
          <w:color w:val="000000" w:themeColor="text1"/>
          <w:highlight w:val="none"/>
          <w14:textFill>
            <w14:solidFill>
              <w14:schemeClr w14:val="tx1"/>
            </w14:solidFill>
          </w14:textFill>
        </w:rPr>
        <w:t>工程废水</w:t>
      </w:r>
    </w:p>
    <w:p w14:paraId="41A94485">
      <w:pPr>
        <w:overflowPunct w:val="0"/>
        <w:topLinePunct/>
        <w:ind w:firstLine="480"/>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工程废水包括进出施工场地的车辆清洗产生的泥浆水等工程废水，主要污染物是SS、石油类，水量较少</w:t>
      </w:r>
      <w:r>
        <w:rPr>
          <w:rFonts w:hint="eastAsia"/>
          <w:color w:val="000000" w:themeColor="text1"/>
          <w:highlight w:val="none"/>
          <w14:textFill>
            <w14:solidFill>
              <w14:schemeClr w14:val="tx1"/>
            </w14:solidFill>
          </w14:textFill>
        </w:rPr>
        <w:t>，集中收集沉淀后用于建设场地洒水降尘</w:t>
      </w:r>
      <w:r>
        <w:rPr>
          <w:color w:val="000000" w:themeColor="text1"/>
          <w:highlight w:val="none"/>
          <w14:textFill>
            <w14:solidFill>
              <w14:schemeClr w14:val="tx1"/>
            </w14:solidFill>
          </w14:textFill>
        </w:rPr>
        <w:t>。混凝土为商品混凝土，无需现场搅拌，无搅拌废水产生。</w:t>
      </w:r>
    </w:p>
    <w:p w14:paraId="37B88D4A">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3.4.1.3噪声</w:t>
      </w:r>
    </w:p>
    <w:p w14:paraId="6AC2A448">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噪声主要来自施工机械噪声、施工作业噪声和运输车辆噪声。施工机械噪声由施工机械产生，如挖土机械、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建设期主要施工机械设备的噪声源强见表3.</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，物料运输车辆类型及其声级值见表3.</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p>
    <w:p w14:paraId="38DCD1F6">
      <w:pPr>
        <w:ind w:firstLine="0" w:firstLineChars="0"/>
        <w:jc w:val="center"/>
        <w:rPr>
          <w:color w:val="000000" w:themeColor="text1"/>
          <w:highlight w:val="none"/>
          <w14:textFill>
            <w14:solidFill>
              <w14:schemeClr w14:val="tx1"/>
            </w14:solidFill>
          </w14:textFill>
        </w:rPr>
      </w:pPr>
      <w:bookmarkStart w:id="515" w:name="_Toc8298_WPSOffice_Level2"/>
      <w:r>
        <w:rPr>
          <w:b/>
          <w:color w:val="000000" w:themeColor="text1"/>
          <w:highlight w:val="none"/>
          <w14:textFill>
            <w14:solidFill>
              <w14:schemeClr w14:val="tx1"/>
            </w14:solidFill>
          </w14:textFill>
        </w:rPr>
        <w:t>表3.</w:t>
      </w:r>
      <w:r>
        <w:rPr>
          <w:rFonts w:hint="eastAsia"/>
          <w:b/>
          <w:color w:val="000000" w:themeColor="text1"/>
          <w:highlight w:val="none"/>
          <w14:textFill>
            <w14:solidFill>
              <w14:schemeClr w14:val="tx1"/>
            </w14:solidFill>
          </w14:textFill>
        </w:rPr>
        <w:t>4</w:t>
      </w:r>
      <w:r>
        <w:rPr>
          <w:b/>
          <w:color w:val="000000" w:themeColor="text1"/>
          <w:highlight w:val="none"/>
          <w14:textFill>
            <w14:solidFill>
              <w14:schemeClr w14:val="tx1"/>
            </w14:solidFill>
          </w14:textFill>
        </w:rPr>
        <w:t>-</w:t>
      </w:r>
      <w:r>
        <w:rPr>
          <w:rFonts w:hint="eastAsia"/>
          <w:b/>
          <w:color w:val="000000" w:themeColor="text1"/>
          <w:highlight w:val="none"/>
          <w14:textFill>
            <w14:solidFill>
              <w14:schemeClr w14:val="tx1"/>
            </w14:solidFill>
          </w14:textFill>
        </w:rPr>
        <w:t>1</w:t>
      </w:r>
      <w:r>
        <w:rPr>
          <w:b/>
          <w:color w:val="000000" w:themeColor="text1"/>
          <w:highlight w:val="none"/>
          <w14:textFill>
            <w14:solidFill>
              <w14:schemeClr w14:val="tx1"/>
            </w14:solidFill>
          </w14:textFill>
        </w:rPr>
        <w:t xml:space="preserve">  </w:t>
      </w:r>
      <w:r>
        <w:rPr>
          <w:rFonts w:hint="eastAsia"/>
          <w:b/>
          <w:color w:val="000000" w:themeColor="text1"/>
          <w:highlight w:val="none"/>
          <w14:textFill>
            <w14:solidFill>
              <w14:schemeClr w14:val="tx1"/>
            </w14:solidFill>
          </w14:textFill>
        </w:rPr>
        <w:t xml:space="preserve">  </w:t>
      </w:r>
      <w:r>
        <w:rPr>
          <w:b/>
          <w:color w:val="000000" w:themeColor="text1"/>
          <w:highlight w:val="none"/>
          <w14:textFill>
            <w14:solidFill>
              <w14:schemeClr w14:val="tx1"/>
            </w14:solidFill>
          </w14:textFill>
        </w:rPr>
        <w:t>施工期噪声声源强度表</w:t>
      </w:r>
      <w:bookmarkEnd w:id="515"/>
    </w:p>
    <w:tbl>
      <w:tblPr>
        <w:tblStyle w:val="32"/>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852"/>
        <w:gridCol w:w="3231"/>
        <w:gridCol w:w="3430"/>
      </w:tblGrid>
      <w:tr w14:paraId="463118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088" w:type="pct"/>
            <w:vAlign w:val="center"/>
          </w:tcPr>
          <w:p w14:paraId="2AA4D998">
            <w:pPr>
              <w:spacing w:line="360" w:lineRule="exact"/>
              <w:ind w:firstLine="0" w:firstLineChars="0"/>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施工阶段</w:t>
            </w:r>
          </w:p>
        </w:tc>
        <w:tc>
          <w:tcPr>
            <w:tcW w:w="1897" w:type="pct"/>
            <w:vAlign w:val="center"/>
          </w:tcPr>
          <w:p w14:paraId="3DD4285D">
            <w:pPr>
              <w:spacing w:line="360" w:lineRule="exact"/>
              <w:ind w:firstLine="0" w:firstLineChars="0"/>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声源</w:t>
            </w:r>
          </w:p>
        </w:tc>
        <w:tc>
          <w:tcPr>
            <w:tcW w:w="2014" w:type="pct"/>
            <w:vAlign w:val="center"/>
          </w:tcPr>
          <w:p w14:paraId="4EBD0000">
            <w:pPr>
              <w:spacing w:line="360" w:lineRule="exact"/>
              <w:ind w:firstLine="0" w:firstLineChars="0"/>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声源强度[dB（A）]</w:t>
            </w:r>
          </w:p>
        </w:tc>
      </w:tr>
      <w:tr w14:paraId="2A1C21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restart"/>
            <w:vAlign w:val="center"/>
          </w:tcPr>
          <w:p w14:paraId="1CB845C1">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土石方阶段</w:t>
            </w:r>
          </w:p>
        </w:tc>
        <w:tc>
          <w:tcPr>
            <w:tcW w:w="1897" w:type="pct"/>
            <w:vAlign w:val="center"/>
          </w:tcPr>
          <w:p w14:paraId="0346FF33">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挖土机</w:t>
            </w:r>
          </w:p>
        </w:tc>
        <w:tc>
          <w:tcPr>
            <w:tcW w:w="2014" w:type="pct"/>
            <w:vAlign w:val="center"/>
          </w:tcPr>
          <w:p w14:paraId="60445C54">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78～96</w:t>
            </w:r>
          </w:p>
        </w:tc>
      </w:tr>
      <w:tr w14:paraId="20CD7A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continue"/>
            <w:vAlign w:val="center"/>
          </w:tcPr>
          <w:p w14:paraId="4800E946">
            <w:pPr>
              <w:spacing w:line="360" w:lineRule="exact"/>
              <w:ind w:firstLine="0" w:firstLineChars="0"/>
              <w:jc w:val="center"/>
              <w:rPr>
                <w:color w:val="000000" w:themeColor="text1"/>
                <w:sz w:val="21"/>
                <w:highlight w:val="none"/>
                <w14:textFill>
                  <w14:solidFill>
                    <w14:schemeClr w14:val="tx1"/>
                  </w14:solidFill>
                </w14:textFill>
              </w:rPr>
            </w:pPr>
          </w:p>
        </w:tc>
        <w:tc>
          <w:tcPr>
            <w:tcW w:w="1897" w:type="pct"/>
            <w:vAlign w:val="center"/>
          </w:tcPr>
          <w:p w14:paraId="0BEC52E5">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冲击机</w:t>
            </w:r>
          </w:p>
        </w:tc>
        <w:tc>
          <w:tcPr>
            <w:tcW w:w="2014" w:type="pct"/>
            <w:vAlign w:val="center"/>
          </w:tcPr>
          <w:p w14:paraId="2B4C37CB">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95</w:t>
            </w:r>
          </w:p>
        </w:tc>
      </w:tr>
      <w:tr w14:paraId="1B5186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continue"/>
            <w:vAlign w:val="center"/>
          </w:tcPr>
          <w:p w14:paraId="6E026D5A">
            <w:pPr>
              <w:spacing w:line="360" w:lineRule="exact"/>
              <w:ind w:firstLine="0" w:firstLineChars="0"/>
              <w:jc w:val="center"/>
              <w:rPr>
                <w:color w:val="000000" w:themeColor="text1"/>
                <w:sz w:val="21"/>
                <w:highlight w:val="none"/>
                <w14:textFill>
                  <w14:solidFill>
                    <w14:schemeClr w14:val="tx1"/>
                  </w14:solidFill>
                </w14:textFill>
              </w:rPr>
            </w:pPr>
          </w:p>
        </w:tc>
        <w:tc>
          <w:tcPr>
            <w:tcW w:w="1897" w:type="pct"/>
            <w:vAlign w:val="center"/>
          </w:tcPr>
          <w:p w14:paraId="782D986B">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空压机</w:t>
            </w:r>
          </w:p>
        </w:tc>
        <w:tc>
          <w:tcPr>
            <w:tcW w:w="2014" w:type="pct"/>
            <w:vAlign w:val="center"/>
          </w:tcPr>
          <w:p w14:paraId="4CE35BBA">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75～85</w:t>
            </w:r>
          </w:p>
        </w:tc>
      </w:tr>
      <w:tr w14:paraId="471930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continue"/>
            <w:vAlign w:val="center"/>
          </w:tcPr>
          <w:p w14:paraId="50AEF592">
            <w:pPr>
              <w:spacing w:line="360" w:lineRule="exact"/>
              <w:ind w:firstLine="0" w:firstLineChars="0"/>
              <w:jc w:val="center"/>
              <w:rPr>
                <w:color w:val="000000" w:themeColor="text1"/>
                <w:sz w:val="21"/>
                <w:highlight w:val="none"/>
                <w14:textFill>
                  <w14:solidFill>
                    <w14:schemeClr w14:val="tx1"/>
                  </w14:solidFill>
                </w14:textFill>
              </w:rPr>
            </w:pPr>
          </w:p>
        </w:tc>
        <w:tc>
          <w:tcPr>
            <w:tcW w:w="1897" w:type="pct"/>
            <w:vAlign w:val="center"/>
          </w:tcPr>
          <w:p w14:paraId="75E87DB7">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压缩机</w:t>
            </w:r>
          </w:p>
        </w:tc>
        <w:tc>
          <w:tcPr>
            <w:tcW w:w="2014" w:type="pct"/>
            <w:vAlign w:val="center"/>
          </w:tcPr>
          <w:p w14:paraId="3404EDEA">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75～88</w:t>
            </w:r>
          </w:p>
        </w:tc>
      </w:tr>
      <w:tr w14:paraId="054692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restart"/>
            <w:vAlign w:val="center"/>
          </w:tcPr>
          <w:p w14:paraId="0F092A84">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结构</w:t>
            </w:r>
            <w:r>
              <w:rPr>
                <w:rFonts w:hint="eastAsia"/>
                <w:color w:val="000000" w:themeColor="text1"/>
                <w:sz w:val="21"/>
                <w:highlight w:val="none"/>
                <w14:textFill>
                  <w14:solidFill>
                    <w14:schemeClr w14:val="tx1"/>
                  </w14:solidFill>
                </w14:textFill>
              </w:rPr>
              <w:t>施工</w:t>
            </w:r>
            <w:r>
              <w:rPr>
                <w:color w:val="000000" w:themeColor="text1"/>
                <w:sz w:val="21"/>
                <w:highlight w:val="none"/>
                <w14:textFill>
                  <w14:solidFill>
                    <w14:schemeClr w14:val="tx1"/>
                  </w14:solidFill>
                </w14:textFill>
              </w:rPr>
              <w:t>阶段</w:t>
            </w:r>
          </w:p>
        </w:tc>
        <w:tc>
          <w:tcPr>
            <w:tcW w:w="1897" w:type="pct"/>
            <w:vAlign w:val="center"/>
          </w:tcPr>
          <w:p w14:paraId="24C479CB">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振捣器</w:t>
            </w:r>
          </w:p>
        </w:tc>
        <w:tc>
          <w:tcPr>
            <w:tcW w:w="2014" w:type="pct"/>
            <w:vAlign w:val="center"/>
          </w:tcPr>
          <w:p w14:paraId="6447F5C4">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100～105</w:t>
            </w:r>
          </w:p>
        </w:tc>
      </w:tr>
      <w:tr w14:paraId="76FB84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continue"/>
            <w:vAlign w:val="center"/>
          </w:tcPr>
          <w:p w14:paraId="0F1F6E35">
            <w:pPr>
              <w:spacing w:line="360" w:lineRule="exact"/>
              <w:ind w:firstLine="0" w:firstLineChars="0"/>
              <w:jc w:val="center"/>
              <w:rPr>
                <w:color w:val="000000" w:themeColor="text1"/>
                <w:sz w:val="21"/>
                <w:highlight w:val="none"/>
                <w14:textFill>
                  <w14:solidFill>
                    <w14:schemeClr w14:val="tx1"/>
                  </w14:solidFill>
                </w14:textFill>
              </w:rPr>
            </w:pPr>
          </w:p>
        </w:tc>
        <w:tc>
          <w:tcPr>
            <w:tcW w:w="1897" w:type="pct"/>
            <w:vAlign w:val="center"/>
          </w:tcPr>
          <w:p w14:paraId="565557E3">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电锯</w:t>
            </w:r>
          </w:p>
        </w:tc>
        <w:tc>
          <w:tcPr>
            <w:tcW w:w="2014" w:type="pct"/>
            <w:vAlign w:val="center"/>
          </w:tcPr>
          <w:p w14:paraId="111EAC8E">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100～105</w:t>
            </w:r>
          </w:p>
        </w:tc>
      </w:tr>
      <w:tr w14:paraId="24B9A9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continue"/>
            <w:vAlign w:val="center"/>
          </w:tcPr>
          <w:p w14:paraId="1050E47F">
            <w:pPr>
              <w:spacing w:line="360" w:lineRule="exact"/>
              <w:ind w:firstLine="0" w:firstLineChars="0"/>
              <w:jc w:val="center"/>
              <w:rPr>
                <w:color w:val="000000" w:themeColor="text1"/>
                <w:sz w:val="21"/>
                <w:highlight w:val="none"/>
                <w14:textFill>
                  <w14:solidFill>
                    <w14:schemeClr w14:val="tx1"/>
                  </w14:solidFill>
                </w14:textFill>
              </w:rPr>
            </w:pPr>
          </w:p>
        </w:tc>
        <w:tc>
          <w:tcPr>
            <w:tcW w:w="1897" w:type="pct"/>
            <w:vAlign w:val="center"/>
          </w:tcPr>
          <w:p w14:paraId="7C37EB20">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电焊机</w:t>
            </w:r>
          </w:p>
        </w:tc>
        <w:tc>
          <w:tcPr>
            <w:tcW w:w="2014" w:type="pct"/>
            <w:vAlign w:val="center"/>
          </w:tcPr>
          <w:p w14:paraId="25348357">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90～95</w:t>
            </w:r>
          </w:p>
        </w:tc>
      </w:tr>
      <w:tr w14:paraId="18C49A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continue"/>
            <w:vAlign w:val="center"/>
          </w:tcPr>
          <w:p w14:paraId="56F2AF6B">
            <w:pPr>
              <w:spacing w:line="360" w:lineRule="exact"/>
              <w:ind w:firstLine="0" w:firstLineChars="0"/>
              <w:jc w:val="center"/>
              <w:rPr>
                <w:color w:val="000000" w:themeColor="text1"/>
                <w:sz w:val="21"/>
                <w:highlight w:val="none"/>
                <w14:textFill>
                  <w14:solidFill>
                    <w14:schemeClr w14:val="tx1"/>
                  </w14:solidFill>
                </w14:textFill>
              </w:rPr>
            </w:pPr>
          </w:p>
        </w:tc>
        <w:tc>
          <w:tcPr>
            <w:tcW w:w="1897" w:type="pct"/>
            <w:vAlign w:val="center"/>
          </w:tcPr>
          <w:p w14:paraId="5E543B1B">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空压机</w:t>
            </w:r>
          </w:p>
        </w:tc>
        <w:tc>
          <w:tcPr>
            <w:tcW w:w="2014" w:type="pct"/>
            <w:vAlign w:val="center"/>
          </w:tcPr>
          <w:p w14:paraId="18513B42">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75～85</w:t>
            </w:r>
          </w:p>
        </w:tc>
      </w:tr>
      <w:tr w14:paraId="6B3EAB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restart"/>
            <w:vAlign w:val="center"/>
          </w:tcPr>
          <w:p w14:paraId="6E166F6C">
            <w:pPr>
              <w:spacing w:line="360" w:lineRule="exact"/>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设备安装</w:t>
            </w:r>
            <w:r>
              <w:rPr>
                <w:color w:val="000000" w:themeColor="text1"/>
                <w:sz w:val="21"/>
                <w:highlight w:val="none"/>
                <w14:textFill>
                  <w14:solidFill>
                    <w14:schemeClr w14:val="tx1"/>
                  </w14:solidFill>
                </w14:textFill>
              </w:rPr>
              <w:t>阶段</w:t>
            </w:r>
          </w:p>
        </w:tc>
        <w:tc>
          <w:tcPr>
            <w:tcW w:w="1897" w:type="pct"/>
            <w:vAlign w:val="center"/>
          </w:tcPr>
          <w:p w14:paraId="6836A0E5">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电钻</w:t>
            </w:r>
          </w:p>
        </w:tc>
        <w:tc>
          <w:tcPr>
            <w:tcW w:w="2014" w:type="pct"/>
            <w:vAlign w:val="center"/>
          </w:tcPr>
          <w:p w14:paraId="660FD35F">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100～105</w:t>
            </w:r>
          </w:p>
        </w:tc>
      </w:tr>
      <w:tr w14:paraId="4E132B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continue"/>
            <w:vAlign w:val="center"/>
          </w:tcPr>
          <w:p w14:paraId="5D3A37D2">
            <w:pPr>
              <w:spacing w:line="360" w:lineRule="exact"/>
              <w:ind w:firstLine="0" w:firstLineChars="0"/>
              <w:jc w:val="center"/>
              <w:rPr>
                <w:color w:val="000000" w:themeColor="text1"/>
                <w:sz w:val="21"/>
                <w:highlight w:val="none"/>
                <w14:textFill>
                  <w14:solidFill>
                    <w14:schemeClr w14:val="tx1"/>
                  </w14:solidFill>
                </w14:textFill>
              </w:rPr>
            </w:pPr>
          </w:p>
        </w:tc>
        <w:tc>
          <w:tcPr>
            <w:tcW w:w="1897" w:type="pct"/>
            <w:vAlign w:val="center"/>
          </w:tcPr>
          <w:p w14:paraId="66F453F5">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电锤</w:t>
            </w:r>
          </w:p>
        </w:tc>
        <w:tc>
          <w:tcPr>
            <w:tcW w:w="2014" w:type="pct"/>
            <w:vAlign w:val="center"/>
          </w:tcPr>
          <w:p w14:paraId="0F38F44A">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100～105</w:t>
            </w:r>
          </w:p>
        </w:tc>
      </w:tr>
      <w:tr w14:paraId="679853F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continue"/>
            <w:vAlign w:val="center"/>
          </w:tcPr>
          <w:p w14:paraId="4E976061">
            <w:pPr>
              <w:spacing w:line="360" w:lineRule="exact"/>
              <w:ind w:firstLine="0" w:firstLineChars="0"/>
              <w:jc w:val="center"/>
              <w:rPr>
                <w:color w:val="000000" w:themeColor="text1"/>
                <w:sz w:val="21"/>
                <w:highlight w:val="none"/>
                <w14:textFill>
                  <w14:solidFill>
                    <w14:schemeClr w14:val="tx1"/>
                  </w14:solidFill>
                </w14:textFill>
              </w:rPr>
            </w:pPr>
          </w:p>
        </w:tc>
        <w:tc>
          <w:tcPr>
            <w:tcW w:w="1897" w:type="pct"/>
            <w:vAlign w:val="center"/>
          </w:tcPr>
          <w:p w14:paraId="1FB3D8E3">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手工钻</w:t>
            </w:r>
          </w:p>
        </w:tc>
        <w:tc>
          <w:tcPr>
            <w:tcW w:w="2014" w:type="pct"/>
            <w:vAlign w:val="center"/>
          </w:tcPr>
          <w:p w14:paraId="1113A1B7">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100～105</w:t>
            </w:r>
          </w:p>
        </w:tc>
      </w:tr>
      <w:tr w14:paraId="149DF7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continue"/>
            <w:vAlign w:val="center"/>
          </w:tcPr>
          <w:p w14:paraId="55E9FA72">
            <w:pPr>
              <w:spacing w:line="360" w:lineRule="exact"/>
              <w:ind w:firstLine="0" w:firstLineChars="0"/>
              <w:jc w:val="center"/>
              <w:rPr>
                <w:color w:val="000000" w:themeColor="text1"/>
                <w:sz w:val="21"/>
                <w:highlight w:val="none"/>
                <w14:textFill>
                  <w14:solidFill>
                    <w14:schemeClr w14:val="tx1"/>
                  </w14:solidFill>
                </w14:textFill>
              </w:rPr>
            </w:pPr>
          </w:p>
        </w:tc>
        <w:tc>
          <w:tcPr>
            <w:tcW w:w="1897" w:type="pct"/>
            <w:vAlign w:val="center"/>
          </w:tcPr>
          <w:p w14:paraId="0B2DC326">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无齿锯</w:t>
            </w:r>
          </w:p>
        </w:tc>
        <w:tc>
          <w:tcPr>
            <w:tcW w:w="2014" w:type="pct"/>
            <w:vAlign w:val="center"/>
          </w:tcPr>
          <w:p w14:paraId="390A2D09">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105</w:t>
            </w:r>
          </w:p>
        </w:tc>
      </w:tr>
      <w:tr w14:paraId="0046C7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continue"/>
            <w:vAlign w:val="center"/>
          </w:tcPr>
          <w:p w14:paraId="0C354E58">
            <w:pPr>
              <w:spacing w:line="360" w:lineRule="exact"/>
              <w:ind w:firstLine="0" w:firstLineChars="0"/>
              <w:jc w:val="center"/>
              <w:rPr>
                <w:color w:val="000000" w:themeColor="text1"/>
                <w:sz w:val="21"/>
                <w:highlight w:val="none"/>
                <w14:textFill>
                  <w14:solidFill>
                    <w14:schemeClr w14:val="tx1"/>
                  </w14:solidFill>
                </w14:textFill>
              </w:rPr>
            </w:pPr>
          </w:p>
        </w:tc>
        <w:tc>
          <w:tcPr>
            <w:tcW w:w="1897" w:type="pct"/>
            <w:vAlign w:val="center"/>
          </w:tcPr>
          <w:p w14:paraId="2DAEA27C">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多功能木工刨</w:t>
            </w:r>
          </w:p>
        </w:tc>
        <w:tc>
          <w:tcPr>
            <w:tcW w:w="2014" w:type="pct"/>
            <w:vAlign w:val="center"/>
          </w:tcPr>
          <w:p w14:paraId="02FEBD71">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90～100</w:t>
            </w:r>
          </w:p>
        </w:tc>
      </w:tr>
      <w:tr w14:paraId="1893ED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88" w:type="pct"/>
            <w:vMerge w:val="continue"/>
            <w:vAlign w:val="center"/>
          </w:tcPr>
          <w:p w14:paraId="461B24D6">
            <w:pPr>
              <w:spacing w:line="360" w:lineRule="exact"/>
              <w:ind w:firstLine="0" w:firstLineChars="0"/>
              <w:jc w:val="center"/>
              <w:rPr>
                <w:color w:val="000000" w:themeColor="text1"/>
                <w:sz w:val="21"/>
                <w:highlight w:val="none"/>
                <w14:textFill>
                  <w14:solidFill>
                    <w14:schemeClr w14:val="tx1"/>
                  </w14:solidFill>
                </w14:textFill>
              </w:rPr>
            </w:pPr>
          </w:p>
        </w:tc>
        <w:tc>
          <w:tcPr>
            <w:tcW w:w="1897" w:type="pct"/>
            <w:vAlign w:val="center"/>
          </w:tcPr>
          <w:p w14:paraId="4408AF35">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角向磨光机</w:t>
            </w:r>
          </w:p>
        </w:tc>
        <w:tc>
          <w:tcPr>
            <w:tcW w:w="2014" w:type="pct"/>
            <w:vAlign w:val="center"/>
          </w:tcPr>
          <w:p w14:paraId="51760BDE">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100～115</w:t>
            </w:r>
          </w:p>
        </w:tc>
      </w:tr>
    </w:tbl>
    <w:p w14:paraId="443D30AD">
      <w:pPr>
        <w:ind w:firstLine="0" w:firstLineChars="0"/>
        <w:jc w:val="center"/>
        <w:rPr>
          <w:b/>
          <w:color w:val="000000" w:themeColor="text1"/>
          <w:highlight w:val="none"/>
          <w14:textFill>
            <w14:solidFill>
              <w14:schemeClr w14:val="tx1"/>
            </w14:solidFill>
          </w14:textFill>
        </w:rPr>
      </w:pPr>
      <w:bookmarkStart w:id="516" w:name="_Toc18318_WPSOffice_Level2"/>
      <w:r>
        <w:rPr>
          <w:b/>
          <w:color w:val="000000" w:themeColor="text1"/>
          <w:highlight w:val="none"/>
          <w14:textFill>
            <w14:solidFill>
              <w14:schemeClr w14:val="tx1"/>
            </w14:solidFill>
          </w14:textFill>
        </w:rPr>
        <w:t>表3.</w:t>
      </w:r>
      <w:r>
        <w:rPr>
          <w:rFonts w:hint="eastAsia"/>
          <w:b/>
          <w:color w:val="000000" w:themeColor="text1"/>
          <w:highlight w:val="none"/>
          <w14:textFill>
            <w14:solidFill>
              <w14:schemeClr w14:val="tx1"/>
            </w14:solidFill>
          </w14:textFill>
        </w:rPr>
        <w:t>4</w:t>
      </w:r>
      <w:r>
        <w:rPr>
          <w:b/>
          <w:color w:val="000000" w:themeColor="text1"/>
          <w:highlight w:val="none"/>
          <w14:textFill>
            <w14:solidFill>
              <w14:schemeClr w14:val="tx1"/>
            </w14:solidFill>
          </w14:textFill>
        </w:rPr>
        <w:t>-</w:t>
      </w:r>
      <w:r>
        <w:rPr>
          <w:rFonts w:hint="eastAsia"/>
          <w:b/>
          <w:color w:val="000000" w:themeColor="text1"/>
          <w:highlight w:val="none"/>
          <w14:textFill>
            <w14:solidFill>
              <w14:schemeClr w14:val="tx1"/>
            </w14:solidFill>
          </w14:textFill>
        </w:rPr>
        <w:t>2</w:t>
      </w:r>
      <w:r>
        <w:rPr>
          <w:b/>
          <w:color w:val="000000" w:themeColor="text1"/>
          <w:highlight w:val="none"/>
          <w14:textFill>
            <w14:solidFill>
              <w14:schemeClr w14:val="tx1"/>
            </w14:solidFill>
          </w14:textFill>
        </w:rPr>
        <w:t xml:space="preserve"> </w:t>
      </w:r>
      <w:r>
        <w:rPr>
          <w:rFonts w:hint="eastAsia"/>
          <w:b/>
          <w:color w:val="000000" w:themeColor="text1"/>
          <w:highlight w:val="none"/>
          <w14:textFill>
            <w14:solidFill>
              <w14:schemeClr w14:val="tx1"/>
            </w14:solidFill>
          </w14:textFill>
        </w:rPr>
        <w:t xml:space="preserve">  </w:t>
      </w:r>
      <w:r>
        <w:rPr>
          <w:b/>
          <w:color w:val="000000" w:themeColor="text1"/>
          <w:highlight w:val="none"/>
          <w14:textFill>
            <w14:solidFill>
              <w14:schemeClr w14:val="tx1"/>
            </w14:solidFill>
          </w14:textFill>
        </w:rPr>
        <w:t xml:space="preserve"> 交通运输车辆噪声</w:t>
      </w:r>
      <w:bookmarkEnd w:id="516"/>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48"/>
        <w:gridCol w:w="2684"/>
        <w:gridCol w:w="2068"/>
        <w:gridCol w:w="1913"/>
      </w:tblGrid>
      <w:tr w14:paraId="397E6F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085" w:type="pct"/>
            <w:vAlign w:val="center"/>
          </w:tcPr>
          <w:p w14:paraId="4A3E3B33">
            <w:pPr>
              <w:spacing w:line="360" w:lineRule="exact"/>
              <w:ind w:firstLine="0" w:firstLineChars="0"/>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施工阶段</w:t>
            </w:r>
          </w:p>
        </w:tc>
        <w:tc>
          <w:tcPr>
            <w:tcW w:w="1576" w:type="pct"/>
            <w:vAlign w:val="center"/>
          </w:tcPr>
          <w:p w14:paraId="31179F01">
            <w:pPr>
              <w:spacing w:line="360" w:lineRule="exact"/>
              <w:ind w:firstLine="0" w:firstLineChars="0"/>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运输内容</w:t>
            </w:r>
          </w:p>
        </w:tc>
        <w:tc>
          <w:tcPr>
            <w:tcW w:w="1214" w:type="pct"/>
            <w:vAlign w:val="center"/>
          </w:tcPr>
          <w:p w14:paraId="2AE97129">
            <w:pPr>
              <w:spacing w:line="360" w:lineRule="exact"/>
              <w:ind w:firstLine="0" w:firstLineChars="0"/>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车辆类型</w:t>
            </w:r>
          </w:p>
        </w:tc>
        <w:tc>
          <w:tcPr>
            <w:tcW w:w="1123" w:type="pct"/>
            <w:vAlign w:val="center"/>
          </w:tcPr>
          <w:p w14:paraId="1EA7D4AA">
            <w:pPr>
              <w:spacing w:line="360" w:lineRule="exact"/>
              <w:ind w:firstLine="0" w:firstLineChars="0"/>
              <w:jc w:val="center"/>
              <w:rPr>
                <w:b/>
                <w:bCs/>
                <w:color w:val="000000" w:themeColor="text1"/>
                <w:sz w:val="21"/>
                <w:highlight w:val="none"/>
                <w14:textFill>
                  <w14:solidFill>
                    <w14:schemeClr w14:val="tx1"/>
                  </w14:solidFill>
                </w14:textFill>
              </w:rPr>
            </w:pPr>
            <w:r>
              <w:rPr>
                <w:b/>
                <w:bCs/>
                <w:color w:val="000000" w:themeColor="text1"/>
                <w:sz w:val="21"/>
                <w:highlight w:val="none"/>
                <w14:textFill>
                  <w14:solidFill>
                    <w14:schemeClr w14:val="tx1"/>
                  </w14:solidFill>
                </w14:textFill>
              </w:rPr>
              <w:t>声源强度[dB（A）]</w:t>
            </w:r>
          </w:p>
        </w:tc>
      </w:tr>
      <w:tr w14:paraId="2CC55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85" w:type="pct"/>
            <w:vAlign w:val="center"/>
          </w:tcPr>
          <w:p w14:paraId="75402335">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土石方阶段</w:t>
            </w:r>
          </w:p>
        </w:tc>
        <w:tc>
          <w:tcPr>
            <w:tcW w:w="1576" w:type="pct"/>
            <w:vAlign w:val="center"/>
          </w:tcPr>
          <w:p w14:paraId="588E7B7D">
            <w:pPr>
              <w:spacing w:line="360" w:lineRule="exact"/>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场内运输</w:t>
            </w:r>
          </w:p>
        </w:tc>
        <w:tc>
          <w:tcPr>
            <w:tcW w:w="1214" w:type="pct"/>
            <w:vAlign w:val="center"/>
          </w:tcPr>
          <w:p w14:paraId="03706BDA">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大型载重车</w:t>
            </w:r>
          </w:p>
        </w:tc>
        <w:tc>
          <w:tcPr>
            <w:tcW w:w="1123" w:type="pct"/>
            <w:vAlign w:val="center"/>
          </w:tcPr>
          <w:p w14:paraId="34CA490B">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84～89</w:t>
            </w:r>
          </w:p>
        </w:tc>
      </w:tr>
      <w:tr w14:paraId="0D7FA8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85" w:type="pct"/>
            <w:vAlign w:val="center"/>
          </w:tcPr>
          <w:p w14:paraId="649F93AF">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结构</w:t>
            </w:r>
            <w:r>
              <w:rPr>
                <w:rFonts w:hint="eastAsia"/>
                <w:color w:val="000000" w:themeColor="text1"/>
                <w:sz w:val="21"/>
                <w:highlight w:val="none"/>
                <w14:textFill>
                  <w14:solidFill>
                    <w14:schemeClr w14:val="tx1"/>
                  </w14:solidFill>
                </w14:textFill>
              </w:rPr>
              <w:t>施工</w:t>
            </w:r>
            <w:r>
              <w:rPr>
                <w:color w:val="000000" w:themeColor="text1"/>
                <w:sz w:val="21"/>
                <w:highlight w:val="none"/>
                <w14:textFill>
                  <w14:solidFill>
                    <w14:schemeClr w14:val="tx1"/>
                  </w14:solidFill>
                </w14:textFill>
              </w:rPr>
              <w:t>阶段</w:t>
            </w:r>
          </w:p>
        </w:tc>
        <w:tc>
          <w:tcPr>
            <w:tcW w:w="1576" w:type="pct"/>
            <w:vAlign w:val="center"/>
          </w:tcPr>
          <w:p w14:paraId="479D1268">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钢筋、商品混凝土</w:t>
            </w:r>
          </w:p>
        </w:tc>
        <w:tc>
          <w:tcPr>
            <w:tcW w:w="1214" w:type="pct"/>
            <w:vAlign w:val="center"/>
          </w:tcPr>
          <w:p w14:paraId="795BE326">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混凝土罐车、载重车</w:t>
            </w:r>
          </w:p>
        </w:tc>
        <w:tc>
          <w:tcPr>
            <w:tcW w:w="1123" w:type="pct"/>
            <w:vAlign w:val="center"/>
          </w:tcPr>
          <w:p w14:paraId="1FF3552A">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80～85</w:t>
            </w:r>
          </w:p>
        </w:tc>
      </w:tr>
      <w:tr w14:paraId="7934CA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085" w:type="pct"/>
            <w:vAlign w:val="center"/>
          </w:tcPr>
          <w:p w14:paraId="211AB7A4">
            <w:pPr>
              <w:spacing w:line="360" w:lineRule="exact"/>
              <w:ind w:firstLine="0" w:firstLineChars="0"/>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设备安装</w:t>
            </w:r>
            <w:r>
              <w:rPr>
                <w:color w:val="000000" w:themeColor="text1"/>
                <w:sz w:val="21"/>
                <w:highlight w:val="none"/>
                <w14:textFill>
                  <w14:solidFill>
                    <w14:schemeClr w14:val="tx1"/>
                  </w14:solidFill>
                </w14:textFill>
              </w:rPr>
              <w:t>阶段</w:t>
            </w:r>
          </w:p>
        </w:tc>
        <w:tc>
          <w:tcPr>
            <w:tcW w:w="1576" w:type="pct"/>
            <w:vAlign w:val="center"/>
          </w:tcPr>
          <w:p w14:paraId="78FC06A5">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各种装修材料及必备设备</w:t>
            </w:r>
          </w:p>
        </w:tc>
        <w:tc>
          <w:tcPr>
            <w:tcW w:w="1214" w:type="pct"/>
            <w:vAlign w:val="center"/>
          </w:tcPr>
          <w:p w14:paraId="26098096">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轻型载重卡车</w:t>
            </w:r>
          </w:p>
        </w:tc>
        <w:tc>
          <w:tcPr>
            <w:tcW w:w="1123" w:type="pct"/>
            <w:vAlign w:val="center"/>
          </w:tcPr>
          <w:p w14:paraId="05C70425">
            <w:pPr>
              <w:spacing w:line="360" w:lineRule="exact"/>
              <w:ind w:firstLine="0" w:firstLineChars="0"/>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75～80</w:t>
            </w:r>
          </w:p>
        </w:tc>
      </w:tr>
    </w:tbl>
    <w:p w14:paraId="0AF54671">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3.4.1.4固体废物</w:t>
      </w:r>
    </w:p>
    <w:p w14:paraId="0D0EF43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施工期会产生建筑垃圾</w:t>
      </w:r>
      <w:r>
        <w:rPr>
          <w:rFonts w:hint="eastAsia"/>
          <w:color w:val="000000" w:themeColor="text1"/>
          <w:highlight w:val="none"/>
          <w14:textFill>
            <w14:solidFill>
              <w14:schemeClr w14:val="tx1"/>
            </w14:solidFill>
          </w14:textFill>
        </w:rPr>
        <w:t>及</w:t>
      </w:r>
      <w:r>
        <w:rPr>
          <w:color w:val="000000" w:themeColor="text1"/>
          <w:highlight w:val="none"/>
          <w14:textFill>
            <w14:solidFill>
              <w14:schemeClr w14:val="tx1"/>
            </w14:solidFill>
          </w14:textFill>
        </w:rPr>
        <w:t>生活垃圾等固体废物。</w:t>
      </w:r>
    </w:p>
    <w:p w14:paraId="0495DDFE">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（1）建筑垃圾</w:t>
      </w:r>
    </w:p>
    <w:p w14:paraId="22CA4C7B">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施工期产生的建筑垃圾包括碎石、砂土等废弃土石方、废钢筋、废钢材等废弃建筑材料。废弃土石方用于场地平整及地面硬化，废钢筋、废钢材等废弃建筑材料由施工单位及时收集后综合利用。</w:t>
      </w:r>
    </w:p>
    <w:p w14:paraId="2FA85644">
      <w:pPr>
        <w:overflowPunct w:val="0"/>
        <w:topLinePunct/>
        <w:ind w:firstLine="480"/>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（2）</w:t>
      </w:r>
      <w:r>
        <w:rPr>
          <w:color w:val="000000" w:themeColor="text1"/>
          <w:highlight w:val="none"/>
          <w14:textFill>
            <w14:solidFill>
              <w14:schemeClr w14:val="tx1"/>
            </w14:solidFill>
          </w14:textFill>
        </w:rPr>
        <w:t>生活垃圾</w:t>
      </w:r>
    </w:p>
    <w:p w14:paraId="19A3946F">
      <w:pPr>
        <w:overflowPunct w:val="0"/>
        <w:topLinePunct/>
        <w:ind w:firstLine="480"/>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施工高峰期施工人员及工地管理人员约</w:t>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0人，工地生活垃圾按0.5kg/人·d计，则产生量约为</w:t>
      </w:r>
      <w:r>
        <w:rPr>
          <w:rFonts w:hint="eastAsia"/>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t>kg/d。</w:t>
      </w:r>
      <w:r>
        <w:rPr>
          <w:rFonts w:hint="eastAsia"/>
          <w:color w:val="000000" w:themeColor="text1"/>
          <w:highlight w:val="none"/>
          <w14:textFill>
            <w14:solidFill>
              <w14:schemeClr w14:val="tx1"/>
            </w14:solidFill>
          </w14:textFill>
        </w:rPr>
        <w:t>生活垃圾集中收集后定期清运。</w:t>
      </w:r>
    </w:p>
    <w:p w14:paraId="6651B385">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3.4.1.5生态影响</w:t>
      </w:r>
    </w:p>
    <w:p w14:paraId="70966578">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本项目土地利用现状为</w:t>
      </w:r>
      <w:r>
        <w:rPr>
          <w:rFonts w:hint="eastAsia"/>
          <w:color w:val="000000" w:themeColor="text1"/>
          <w:kern w:val="0"/>
          <w:highlight w:val="none"/>
          <w:lang w:eastAsia="zh-CN"/>
          <w14:textFill>
            <w14:solidFill>
              <w14:schemeClr w14:val="tx1"/>
            </w14:solidFill>
          </w14:textFill>
        </w:rPr>
        <w:t>裸岩石砾地</w:t>
      </w:r>
      <w:r>
        <w:rPr>
          <w:rFonts w:hint="eastAsia"/>
          <w:color w:val="000000" w:themeColor="text1"/>
          <w:kern w:val="0"/>
          <w:highlight w:val="none"/>
          <w14:textFill>
            <w14:solidFill>
              <w14:schemeClr w14:val="tx1"/>
            </w14:solidFill>
          </w14:textFill>
        </w:rPr>
        <w:t>，本项目建设将会占用土地，使土地失去原有生态功能。除永久占地外，施工区等临时占用土地将对局部生态产生暂时性影响。施工期由于基础开挖、场地平整、道路施工等工程永久占用土地，地表扰动将使植被生境破坏，生物个体失去生长环境，原有植被遭到永久性破坏，造成生物量损失。</w:t>
      </w:r>
    </w:p>
    <w:p w14:paraId="27BC6901">
      <w:pPr>
        <w:overflowPunct w:val="0"/>
        <w:topLinePunct/>
        <w:ind w:firstLine="480"/>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施工结束后，通过种植草皮等绿化措施</w:t>
      </w:r>
      <w:r>
        <w:rPr>
          <w:rFonts w:hint="eastAsia"/>
          <w:color w:val="000000" w:themeColor="text1"/>
          <w:highlight w:val="none"/>
          <w14:textFill>
            <w14:solidFill>
              <w14:schemeClr w14:val="tx1"/>
            </w14:solidFill>
          </w14:textFill>
        </w:rPr>
        <w:t>可</w:t>
      </w:r>
      <w:r>
        <w:rPr>
          <w:color w:val="000000" w:themeColor="text1"/>
          <w:highlight w:val="none"/>
          <w14:textFill>
            <w14:solidFill>
              <w14:schemeClr w14:val="tx1"/>
            </w14:solidFill>
          </w14:textFill>
        </w:rPr>
        <w:t>有效改善区域生态环境</w:t>
      </w:r>
      <w:r>
        <w:rPr>
          <w:rFonts w:hint="eastAsia"/>
          <w:color w:val="000000" w:themeColor="text1"/>
          <w:highlight w:val="none"/>
          <w14:textFill>
            <w14:solidFill>
              <w14:schemeClr w14:val="tx1"/>
            </w14:solidFill>
          </w14:textFill>
        </w:rPr>
        <w:t>，</w:t>
      </w:r>
      <w:r>
        <w:rPr>
          <w:rFonts w:hint="eastAsia"/>
          <w:color w:val="000000" w:themeColor="text1"/>
          <w:kern w:val="0"/>
          <w:highlight w:val="none"/>
          <w14:textFill>
            <w14:solidFill>
              <w14:schemeClr w14:val="tx1"/>
            </w14:solidFill>
          </w14:textFill>
        </w:rPr>
        <w:t>一般1-2年内基本可恢复原有土地利用功能。</w:t>
      </w:r>
      <w:r>
        <w:rPr>
          <w:color w:val="000000" w:themeColor="text1"/>
          <w:highlight w:val="none"/>
          <w14:textFill>
            <w14:solidFill>
              <w14:schemeClr w14:val="tx1"/>
            </w14:solidFill>
          </w14:textFill>
        </w:rPr>
        <w:t>因此，项目建设对生态环境产生影响</w:t>
      </w:r>
      <w:r>
        <w:rPr>
          <w:rFonts w:hint="eastAsia"/>
          <w:color w:val="000000" w:themeColor="text1"/>
          <w:highlight w:val="none"/>
          <w14:textFill>
            <w14:solidFill>
              <w14:schemeClr w14:val="tx1"/>
            </w14:solidFill>
          </w14:textFill>
        </w:rPr>
        <w:t>较小</w:t>
      </w:r>
      <w:r>
        <w:rPr>
          <w:color w:val="000000" w:themeColor="text1"/>
          <w:highlight w:val="none"/>
          <w14:textFill>
            <w14:solidFill>
              <w14:schemeClr w14:val="tx1"/>
            </w14:solidFill>
          </w14:textFill>
        </w:rPr>
        <w:t>。</w:t>
      </w:r>
    </w:p>
    <w:p w14:paraId="78BCB64B">
      <w:pPr>
        <w:pStyle w:val="4"/>
        <w:rPr>
          <w:color w:val="000000" w:themeColor="text1"/>
          <w:highlight w:val="none"/>
          <w14:textFill>
            <w14:solidFill>
              <w14:schemeClr w14:val="tx1"/>
            </w14:solidFill>
          </w14:textFill>
        </w:rPr>
      </w:pPr>
      <w:bookmarkStart w:id="517" w:name="_Toc27392"/>
      <w:bookmarkStart w:id="518" w:name="_Toc18332"/>
      <w:bookmarkStart w:id="519" w:name="_Toc14786"/>
      <w:r>
        <w:rPr>
          <w:rFonts w:hint="eastAsia"/>
          <w:color w:val="000000" w:themeColor="text1"/>
          <w:highlight w:val="none"/>
          <w14:textFill>
            <w14:solidFill>
              <w14:schemeClr w14:val="tx1"/>
            </w14:solidFill>
          </w14:textFill>
        </w:rPr>
        <w:t>3.4.2运营期污染源及污染物分析</w:t>
      </w:r>
      <w:bookmarkEnd w:id="517"/>
      <w:bookmarkEnd w:id="518"/>
      <w:bookmarkEnd w:id="519"/>
    </w:p>
    <w:p w14:paraId="1703518F">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1大气污染源</w:t>
      </w:r>
    </w:p>
    <w:p w14:paraId="2153D8B0">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w:t>
      </w:r>
      <w:r>
        <w:rPr>
          <w:color w:val="000000" w:themeColor="text1"/>
          <w:kern w:val="0"/>
          <w:highlight w:val="none"/>
          <w14:textFill>
            <w14:solidFill>
              <w14:schemeClr w14:val="tx1"/>
            </w14:solidFill>
          </w14:textFill>
        </w:rPr>
        <w:t>大气污染</w:t>
      </w:r>
      <w:r>
        <w:rPr>
          <w:rFonts w:hint="eastAsia"/>
          <w:color w:val="000000" w:themeColor="text1"/>
          <w:kern w:val="0"/>
          <w:highlight w:val="none"/>
          <w14:textFill>
            <w14:solidFill>
              <w14:schemeClr w14:val="tx1"/>
            </w14:solidFill>
          </w14:textFill>
        </w:rPr>
        <w:t>主要</w:t>
      </w:r>
      <w:r>
        <w:rPr>
          <w:color w:val="000000" w:themeColor="text1"/>
          <w:kern w:val="0"/>
          <w:highlight w:val="none"/>
          <w14:textFill>
            <w14:solidFill>
              <w14:schemeClr w14:val="tx1"/>
            </w14:solidFill>
          </w14:textFill>
        </w:rPr>
        <w:t>来源于</w:t>
      </w:r>
      <w:r>
        <w:rPr>
          <w:rFonts w:hint="eastAsia"/>
          <w:color w:val="000000" w:themeColor="text1"/>
          <w:kern w:val="0"/>
          <w:highlight w:val="none"/>
          <w:lang w:eastAsia="zh-CN"/>
          <w14:textFill>
            <w14:solidFill>
              <w14:schemeClr w14:val="tx1"/>
            </w14:solidFill>
          </w14:textFill>
        </w:rPr>
        <w:t>破碎、</w:t>
      </w:r>
      <w:r>
        <w:rPr>
          <w:rFonts w:hint="eastAsia"/>
          <w:color w:val="000000" w:themeColor="text1"/>
          <w:kern w:val="0"/>
          <w:highlight w:val="none"/>
          <w14:textFill>
            <w14:solidFill>
              <w14:schemeClr w14:val="tx1"/>
            </w14:solidFill>
          </w14:textFill>
        </w:rPr>
        <w:t>磨矿选别</w:t>
      </w:r>
      <w:r>
        <w:rPr>
          <w:color w:val="000000" w:themeColor="text1"/>
          <w:kern w:val="0"/>
          <w:highlight w:val="none"/>
          <w14:textFill>
            <w14:solidFill>
              <w14:schemeClr w14:val="tx1"/>
            </w14:solidFill>
          </w14:textFill>
        </w:rPr>
        <w:t>过程中上料工序产生的有组织粉尘；尾矿库扬尘、</w:t>
      </w:r>
      <w:r>
        <w:rPr>
          <w:rFonts w:hint="eastAsia"/>
          <w:color w:val="000000" w:themeColor="text1"/>
          <w:kern w:val="0"/>
          <w:highlight w:val="none"/>
          <w:lang w:val="en-US" w:eastAsia="zh-CN"/>
          <w14:textFill>
            <w14:solidFill>
              <w14:schemeClr w14:val="tx1"/>
            </w14:solidFill>
          </w14:textFill>
        </w:rPr>
        <w:t>破碎筛分及</w:t>
      </w:r>
      <w:r>
        <w:rPr>
          <w:rFonts w:hint="eastAsia"/>
          <w:color w:val="000000" w:themeColor="text1"/>
          <w:highlight w:val="none"/>
          <w:lang w:eastAsia="zh-CN"/>
          <w14:textFill>
            <w14:solidFill>
              <w14:schemeClr w14:val="tx1"/>
            </w14:solidFill>
          </w14:textFill>
        </w:rPr>
        <w:t>高压</w:t>
      </w:r>
      <w:r>
        <w:rPr>
          <w:rFonts w:hint="eastAsia"/>
          <w:color w:val="000000" w:themeColor="text1"/>
          <w:kern w:val="0"/>
          <w:highlight w:val="none"/>
          <w14:textFill>
            <w14:solidFill>
              <w14:schemeClr w14:val="tx1"/>
            </w14:solidFill>
          </w14:textFill>
        </w:rPr>
        <w:t>辊磨</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磨矿过程未收集的粉尘、精矿库</w:t>
      </w:r>
      <w:r>
        <w:rPr>
          <w:color w:val="000000" w:themeColor="text1"/>
          <w:kern w:val="0"/>
          <w:highlight w:val="none"/>
          <w14:textFill>
            <w14:solidFill>
              <w14:schemeClr w14:val="tx1"/>
            </w14:solidFill>
          </w14:textFill>
        </w:rPr>
        <w:t>扬尘、运输扬尘以及汽车尾气等</w:t>
      </w:r>
      <w:r>
        <w:rPr>
          <w:rFonts w:hint="eastAsia"/>
          <w:color w:val="000000" w:themeColor="text1"/>
          <w:kern w:val="0"/>
          <w:highlight w:val="none"/>
          <w:lang w:val="en-US" w:eastAsia="zh-CN"/>
          <w14:textFill>
            <w14:solidFill>
              <w14:schemeClr w14:val="tx1"/>
            </w14:solidFill>
          </w14:textFill>
        </w:rPr>
        <w:t>无组织废气</w:t>
      </w:r>
      <w:r>
        <w:rPr>
          <w:color w:val="000000" w:themeColor="text1"/>
          <w:kern w:val="0"/>
          <w:highlight w:val="none"/>
          <w14:textFill>
            <w14:solidFill>
              <w14:schemeClr w14:val="tx1"/>
            </w14:solidFill>
          </w14:textFill>
        </w:rPr>
        <w:t>。</w:t>
      </w:r>
    </w:p>
    <w:p w14:paraId="5C3F1448">
      <w:pPr>
        <w:overflowPunct w:val="0"/>
        <w:topLinePunct/>
        <w:ind w:firstLine="48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（1）有组织</w:t>
      </w:r>
      <w:r>
        <w:rPr>
          <w:rFonts w:hint="eastAsia"/>
          <w:color w:val="000000" w:themeColor="text1"/>
          <w:kern w:val="0"/>
          <w:highlight w:val="none"/>
          <w14:textFill>
            <w14:solidFill>
              <w14:schemeClr w14:val="tx1"/>
            </w14:solidFill>
          </w14:textFill>
        </w:rPr>
        <w:t>废气</w:t>
      </w:r>
    </w:p>
    <w:p w14:paraId="4046AD7C">
      <w:pPr>
        <w:overflowPunct w:val="0"/>
        <w:topLinePunct/>
        <w:ind w:firstLine="480"/>
        <w:rPr>
          <w:rFonts w:hint="default"/>
          <w:color w:val="000000" w:themeColor="text1"/>
          <w:kern w:val="0"/>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本项目有组织废气产生源为</w:t>
      </w:r>
      <w:r>
        <w:rPr>
          <w:rFonts w:hint="eastAsia"/>
          <w:color w:val="000000" w:themeColor="text1"/>
          <w:highlight w:val="none"/>
          <w:lang w:eastAsia="zh-CN"/>
          <w14:textFill>
            <w14:solidFill>
              <w14:schemeClr w14:val="tx1"/>
            </w14:solidFill>
          </w14:textFill>
        </w:rPr>
        <w:t>破碎筛分</w:t>
      </w:r>
      <w:r>
        <w:rPr>
          <w:rFonts w:hint="eastAsia"/>
          <w:color w:val="000000" w:themeColor="text1"/>
          <w:kern w:val="0"/>
          <w:highlight w:val="none"/>
          <w:lang w:val="en-US" w:eastAsia="zh-CN"/>
          <w14:textFill>
            <w14:solidFill>
              <w14:schemeClr w14:val="tx1"/>
            </w14:solidFill>
          </w14:textFill>
        </w:rPr>
        <w:t>干选</w:t>
      </w:r>
      <w:r>
        <w:rPr>
          <w:rFonts w:hint="eastAsia"/>
          <w:color w:val="000000" w:themeColor="text1"/>
          <w:highlight w:val="none"/>
          <w:lang w:eastAsia="zh-CN"/>
          <w14:textFill>
            <w14:solidFill>
              <w14:schemeClr w14:val="tx1"/>
            </w14:solidFill>
          </w14:textFill>
        </w:rPr>
        <w:t>、高压</w:t>
      </w:r>
      <w:r>
        <w:rPr>
          <w:rFonts w:hint="eastAsia"/>
          <w:color w:val="000000" w:themeColor="text1"/>
          <w:kern w:val="0"/>
          <w:highlight w:val="none"/>
          <w14:textFill>
            <w14:solidFill>
              <w14:schemeClr w14:val="tx1"/>
            </w14:solidFill>
          </w14:textFill>
        </w:rPr>
        <w:t>辊磨</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磁选</w:t>
      </w:r>
      <w:r>
        <w:rPr>
          <w:color w:val="000000" w:themeColor="text1"/>
          <w:kern w:val="0"/>
          <w:highlight w:val="none"/>
          <w14:textFill>
            <w14:solidFill>
              <w14:schemeClr w14:val="tx1"/>
            </w14:solidFill>
          </w14:textFill>
        </w:rPr>
        <w:t>过程中上料工序</w:t>
      </w:r>
      <w:r>
        <w:rPr>
          <w:rFonts w:hint="eastAsia"/>
          <w:color w:val="000000" w:themeColor="text1"/>
          <w:kern w:val="0"/>
          <w:highlight w:val="none"/>
          <w:lang w:eastAsia="zh-CN"/>
          <w14:textFill>
            <w14:solidFill>
              <w14:schemeClr w14:val="tx1"/>
            </w14:solidFill>
          </w14:textFill>
        </w:rPr>
        <w:t>产生的粉尘。</w:t>
      </w:r>
      <w:r>
        <w:rPr>
          <w:rFonts w:hint="eastAsia"/>
          <w:color w:val="000000" w:themeColor="text1"/>
          <w:kern w:val="0"/>
          <w:highlight w:val="none"/>
          <w:lang w:val="en-US" w:eastAsia="zh-CN"/>
          <w14:textFill>
            <w14:solidFill>
              <w14:schemeClr w14:val="tx1"/>
            </w14:solidFill>
          </w14:textFill>
        </w:rPr>
        <w:t>磨矿环节为湿式磨矿，不考虑粉尘逸散。</w:t>
      </w:r>
    </w:p>
    <w:p w14:paraId="3DFAA7A0">
      <w:pPr>
        <w:overflowPunct w:val="0"/>
        <w:topLinePunct/>
        <w:ind w:firstLine="480"/>
        <w:rPr>
          <w:rFonts w:hint="eastAsia"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1）破碎筛分工序</w:t>
      </w:r>
    </w:p>
    <w:p w14:paraId="41F8650B">
      <w:pPr>
        <w:overflowPunct w:val="0"/>
        <w:topLinePunct/>
        <w:ind w:firstLine="480"/>
        <w:rPr>
          <w:rFonts w:hint="eastAsia"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本</w:t>
      </w:r>
      <w:r>
        <w:rPr>
          <w:rFonts w:hint="eastAsia" w:cs="Times New Roman"/>
          <w:color w:val="000000" w:themeColor="text1"/>
          <w:kern w:val="0"/>
          <w:sz w:val="24"/>
          <w:highlight w:val="none"/>
          <w:lang w:val="en-US" w:eastAsia="zh-CN"/>
          <w14:textFill>
            <w14:solidFill>
              <w14:schemeClr w14:val="tx1"/>
            </w14:solidFill>
          </w14:textFill>
        </w:rPr>
        <w:t>项目</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矿石经粗碎-中碎-筛分</w:t>
      </w:r>
      <w:r>
        <w:rPr>
          <w:rFonts w:hint="eastAsia" w:cs="Times New Roman"/>
          <w:color w:val="000000" w:themeColor="text1"/>
          <w:kern w:val="0"/>
          <w:sz w:val="24"/>
          <w:highlight w:val="none"/>
          <w:lang w:val="en-US" w:eastAsia="zh-CN"/>
          <w14:textFill>
            <w14:solidFill>
              <w14:schemeClr w14:val="tx1"/>
            </w14:solidFill>
          </w14:textFill>
        </w:rPr>
        <w:t>-干选</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系统进行加工后</w:t>
      </w:r>
      <w:r>
        <w:rPr>
          <w:rFonts w:hint="eastAsia" w:cs="Times New Roman"/>
          <w:color w:val="000000" w:themeColor="text1"/>
          <w:kern w:val="0"/>
          <w:sz w:val="24"/>
          <w:highlight w:val="none"/>
          <w:lang w:val="en-US" w:eastAsia="zh-CN"/>
          <w14:textFill>
            <w14:solidFill>
              <w14:schemeClr w14:val="tx1"/>
            </w14:solidFill>
          </w14:textFill>
        </w:rPr>
        <w:t>再进入高压辊磨机进行超细碎</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处理，</w:t>
      </w:r>
      <w:r>
        <w:rPr>
          <w:rFonts w:hint="eastAsia" w:cs="Times New Roman"/>
          <w:color w:val="000000" w:themeColor="text1"/>
          <w:kern w:val="0"/>
          <w:sz w:val="24"/>
          <w:highlight w:val="none"/>
          <w:lang w:val="en-US" w:eastAsia="zh-CN"/>
          <w14:textFill>
            <w14:solidFill>
              <w14:schemeClr w14:val="tx1"/>
            </w14:solidFill>
          </w14:textFill>
        </w:rPr>
        <w:t>破碎、筛分、干选、高压辊磨过程产生的粉尘</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根据《排放源统计调查产排污核算方法和系数手册》</w:t>
      </w:r>
      <w:r>
        <w:rPr>
          <w:rFonts w:hint="eastAsia" w:cs="Times New Roman"/>
          <w:color w:val="000000" w:themeColor="text1"/>
          <w:kern w:val="0"/>
          <w:sz w:val="24"/>
          <w:highlight w:val="none"/>
          <w:lang w:val="en-US" w:eastAsia="zh-CN"/>
          <w14:textFill>
            <w14:solidFill>
              <w14:schemeClr w14:val="tx1"/>
            </w14:solidFill>
          </w14:textFill>
        </w:rPr>
        <w:t>中的《铁矿采选行业系数手册》破碎-筛分工序产污系数为0.66千克/吨-产品核算，本项处理矿石量为90万t/a，</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粗碎-中碎-筛分</w:t>
      </w:r>
      <w:r>
        <w:rPr>
          <w:rFonts w:hint="eastAsia" w:cs="Times New Roman"/>
          <w:color w:val="000000" w:themeColor="text1"/>
          <w:kern w:val="0"/>
          <w:sz w:val="24"/>
          <w:highlight w:val="none"/>
          <w:lang w:val="en-US" w:eastAsia="zh-CN"/>
          <w14:textFill>
            <w14:solidFill>
              <w14:schemeClr w14:val="tx1"/>
            </w14:solidFill>
          </w14:textFill>
        </w:rPr>
        <w:t>-干选-高压辊磨过程中产生的干选抛尾废石量为14.75万t/a，处理后产品按75.25万t/a计。</w:t>
      </w:r>
      <w:r>
        <w:rPr>
          <w:color w:val="000000" w:themeColor="text1"/>
          <w:szCs w:val="20"/>
          <w:highlight w:val="none"/>
          <w14:textFill>
            <w14:solidFill>
              <w14:schemeClr w14:val="tx1"/>
            </w14:solidFill>
          </w14:textFill>
        </w:rPr>
        <w:t>本项目</w:t>
      </w:r>
      <w:r>
        <w:rPr>
          <w:rFonts w:hint="eastAsia"/>
          <w:color w:val="000000" w:themeColor="text1"/>
          <w:kern w:val="0"/>
          <w:highlight w:val="none"/>
          <w:lang w:eastAsia="zh-CN"/>
          <w14:textFill>
            <w14:solidFill>
              <w14:schemeClr w14:val="tx1"/>
            </w14:solidFill>
          </w14:textFill>
        </w:rPr>
        <w:t>破碎</w:t>
      </w:r>
      <w:r>
        <w:rPr>
          <w:rFonts w:hint="eastAsia"/>
          <w:color w:val="000000" w:themeColor="text1"/>
          <w:kern w:val="0"/>
          <w:highlight w:val="none"/>
          <w14:textFill>
            <w14:solidFill>
              <w14:schemeClr w14:val="tx1"/>
            </w14:solidFill>
          </w14:textFill>
        </w:rPr>
        <w:t>筛分及</w:t>
      </w:r>
      <w:r>
        <w:rPr>
          <w:rFonts w:hint="eastAsia"/>
          <w:color w:val="000000" w:themeColor="text1"/>
          <w:kern w:val="0"/>
          <w:highlight w:val="none"/>
          <w:lang w:eastAsia="zh-CN"/>
          <w14:textFill>
            <w14:solidFill>
              <w14:schemeClr w14:val="tx1"/>
            </w14:solidFill>
          </w14:textFill>
        </w:rPr>
        <w:t>干选</w:t>
      </w:r>
      <w:r>
        <w:rPr>
          <w:rFonts w:hint="eastAsia"/>
          <w:color w:val="000000" w:themeColor="text1"/>
          <w:kern w:val="0"/>
          <w:highlight w:val="none"/>
          <w14:textFill>
            <w14:solidFill>
              <w14:schemeClr w14:val="tx1"/>
            </w14:solidFill>
          </w14:textFill>
        </w:rPr>
        <w:t>粉尘</w:t>
      </w:r>
      <w:r>
        <w:rPr>
          <w:color w:val="000000" w:themeColor="text1"/>
          <w:szCs w:val="20"/>
          <w:highlight w:val="none"/>
          <w14:textFill>
            <w14:solidFill>
              <w14:schemeClr w14:val="tx1"/>
            </w14:solidFill>
          </w14:textFill>
        </w:rPr>
        <w:t>产生量</w:t>
      </w:r>
      <w:r>
        <w:rPr>
          <w:rFonts w:hint="eastAsia"/>
          <w:color w:val="000000" w:themeColor="text1"/>
          <w:szCs w:val="20"/>
          <w:highlight w:val="none"/>
          <w:lang w:eastAsia="zh-CN"/>
          <w14:textFill>
            <w14:solidFill>
              <w14:schemeClr w14:val="tx1"/>
            </w14:solidFill>
          </w14:textFill>
        </w:rPr>
        <w:t>为</w:t>
      </w:r>
      <w:r>
        <w:rPr>
          <w:rFonts w:hint="eastAsia"/>
          <w:color w:val="000000" w:themeColor="text1"/>
          <w:szCs w:val="20"/>
          <w:highlight w:val="none"/>
          <w:lang w:val="en-US" w:eastAsia="zh-CN"/>
          <w14:textFill>
            <w14:solidFill>
              <w14:schemeClr w14:val="tx1"/>
            </w14:solidFill>
          </w14:textFill>
        </w:rPr>
        <w:t>496.65t/a</w:t>
      </w:r>
      <w:r>
        <w:rPr>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各产尘点粉尘分别</w:t>
      </w:r>
      <w:r>
        <w:rPr>
          <w:color w:val="000000" w:themeColor="text1"/>
          <w:kern w:val="0"/>
          <w:szCs w:val="20"/>
          <w:highlight w:val="none"/>
          <w14:textFill>
            <w14:solidFill>
              <w14:schemeClr w14:val="tx1"/>
            </w14:solidFill>
          </w14:textFill>
        </w:rPr>
        <w:t>采用</w:t>
      </w:r>
      <w:r>
        <w:rPr>
          <w:rFonts w:eastAsiaTheme="minorEastAsia"/>
          <w:color w:val="000000" w:themeColor="text1"/>
          <w:highlight w:val="none"/>
          <w14:textFill>
            <w14:solidFill>
              <w14:schemeClr w14:val="tx1"/>
            </w14:solidFill>
          </w14:textFill>
        </w:rPr>
        <w:t>集气罩（收集效率为9</w:t>
      </w:r>
      <w:r>
        <w:rPr>
          <w:rFonts w:hint="eastAsia" w:eastAsiaTheme="minorEastAsia"/>
          <w:color w:val="000000" w:themeColor="text1"/>
          <w:highlight w:val="none"/>
          <w14:textFill>
            <w14:solidFill>
              <w14:schemeClr w14:val="tx1"/>
            </w14:solidFill>
          </w14:textFill>
        </w:rPr>
        <w:t>0</w:t>
      </w:r>
      <w:r>
        <w:rPr>
          <w:rFonts w:eastAsiaTheme="minorEastAsia"/>
          <w:color w:val="000000" w:themeColor="text1"/>
          <w:highlight w:val="none"/>
          <w14:textFill>
            <w14:solidFill>
              <w14:schemeClr w14:val="tx1"/>
            </w14:solidFill>
          </w14:textFill>
        </w:rPr>
        <w:t>%）</w:t>
      </w:r>
      <w:r>
        <w:rPr>
          <w:rFonts w:hint="eastAsia" w:eastAsiaTheme="minorEastAsia"/>
          <w:color w:val="000000" w:themeColor="text1"/>
          <w:highlight w:val="none"/>
          <w:lang w:val="en-US" w:eastAsia="zh-CN"/>
          <w14:textFill>
            <w14:solidFill>
              <w14:schemeClr w14:val="tx1"/>
            </w14:solidFill>
          </w14:textFill>
        </w:rPr>
        <w:t>收集，</w:t>
      </w:r>
      <w:r>
        <w:rPr>
          <w:rFonts w:hint="eastAsia"/>
          <w:color w:val="000000" w:themeColor="text1"/>
          <w:szCs w:val="20"/>
          <w:highlight w:val="none"/>
          <w14:textFill>
            <w14:solidFill>
              <w14:schemeClr w14:val="tx1"/>
            </w14:solidFill>
          </w14:textFill>
        </w:rPr>
        <w:t>有组织粉尘产生量为</w:t>
      </w:r>
      <w:r>
        <w:rPr>
          <w:rFonts w:hint="eastAsia"/>
          <w:color w:val="000000" w:themeColor="text1"/>
          <w:szCs w:val="20"/>
          <w:highlight w:val="none"/>
          <w:lang w:val="en-US" w:eastAsia="zh-CN"/>
          <w14:textFill>
            <w14:solidFill>
              <w14:schemeClr w14:val="tx1"/>
            </w14:solidFill>
          </w14:textFill>
        </w:rPr>
        <w:t>446.985</w:t>
      </w:r>
      <w:r>
        <w:rPr>
          <w:rFonts w:hint="eastAsia"/>
          <w:color w:val="000000" w:themeColor="text1"/>
          <w:szCs w:val="20"/>
          <w:highlight w:val="none"/>
          <w14:textFill>
            <w14:solidFill>
              <w14:schemeClr w14:val="tx1"/>
            </w14:solidFill>
          </w14:textFill>
        </w:rPr>
        <w:t>t/a，无组织粉尘</w:t>
      </w:r>
      <w:r>
        <w:rPr>
          <w:rFonts w:hint="eastAsia"/>
          <w:color w:val="000000" w:themeColor="text1"/>
          <w:szCs w:val="20"/>
          <w:highlight w:val="none"/>
          <w:lang w:val="en-US" w:eastAsia="zh-CN"/>
          <w14:textFill>
            <w14:solidFill>
              <w14:schemeClr w14:val="tx1"/>
            </w14:solidFill>
          </w14:textFill>
        </w:rPr>
        <w:t>产生</w:t>
      </w:r>
      <w:r>
        <w:rPr>
          <w:rFonts w:hint="eastAsia"/>
          <w:color w:val="000000" w:themeColor="text1"/>
          <w:szCs w:val="20"/>
          <w:highlight w:val="none"/>
          <w14:textFill>
            <w14:solidFill>
              <w14:schemeClr w14:val="tx1"/>
            </w14:solidFill>
          </w14:textFill>
        </w:rPr>
        <w:t>量为</w:t>
      </w:r>
      <w:r>
        <w:rPr>
          <w:rFonts w:hint="eastAsia"/>
          <w:color w:val="000000" w:themeColor="text1"/>
          <w:szCs w:val="20"/>
          <w:highlight w:val="none"/>
          <w:lang w:val="en-US" w:eastAsia="zh-CN"/>
          <w14:textFill>
            <w14:solidFill>
              <w14:schemeClr w14:val="tx1"/>
            </w14:solidFill>
          </w14:textFill>
        </w:rPr>
        <w:t>49.665</w:t>
      </w:r>
      <w:r>
        <w:rPr>
          <w:rFonts w:hint="eastAsia"/>
          <w:color w:val="000000" w:themeColor="text1"/>
          <w:szCs w:val="20"/>
          <w:highlight w:val="none"/>
          <w14:textFill>
            <w14:solidFill>
              <w14:schemeClr w14:val="tx1"/>
            </w14:solidFill>
          </w14:textFill>
        </w:rPr>
        <w:t>t/a</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收集后的废气经</w:t>
      </w:r>
      <w:r>
        <w:rPr>
          <w:rFonts w:hint="eastAsia" w:eastAsiaTheme="minorEastAsia"/>
          <w:color w:val="000000" w:themeColor="text1"/>
          <w:highlight w:val="none"/>
          <w14:textFill>
            <w14:solidFill>
              <w14:schemeClr w14:val="tx1"/>
            </w14:solidFill>
          </w14:textFill>
        </w:rPr>
        <w:t>布袋</w:t>
      </w:r>
      <w:r>
        <w:rPr>
          <w:color w:val="000000" w:themeColor="text1"/>
          <w:kern w:val="0"/>
          <w:szCs w:val="20"/>
          <w:highlight w:val="none"/>
          <w14:textFill>
            <w14:solidFill>
              <w14:schemeClr w14:val="tx1"/>
            </w14:solidFill>
          </w14:textFill>
        </w:rPr>
        <w:t>除尘器</w:t>
      </w:r>
      <w:r>
        <w:rPr>
          <w:rFonts w:hint="eastAsia"/>
          <w:color w:val="000000" w:themeColor="text1"/>
          <w:kern w:val="0"/>
          <w:szCs w:val="20"/>
          <w:highlight w:val="none"/>
          <w14:textFill>
            <w14:solidFill>
              <w14:schemeClr w14:val="tx1"/>
            </w14:solidFill>
          </w14:textFill>
        </w:rPr>
        <w:t>（除尘效率99.</w:t>
      </w:r>
      <w:r>
        <w:rPr>
          <w:rFonts w:hint="eastAsia"/>
          <w:color w:val="000000" w:themeColor="text1"/>
          <w:kern w:val="0"/>
          <w:szCs w:val="20"/>
          <w:highlight w:val="none"/>
          <w:lang w:val="en-US" w:eastAsia="zh-CN"/>
          <w14:textFill>
            <w14:solidFill>
              <w14:schemeClr w14:val="tx1"/>
            </w14:solidFill>
          </w14:textFill>
        </w:rPr>
        <w:t>9</w:t>
      </w:r>
      <w:r>
        <w:rPr>
          <w:rFonts w:hint="eastAsia"/>
          <w:color w:val="000000" w:themeColor="text1"/>
          <w:kern w:val="0"/>
          <w:szCs w:val="20"/>
          <w:highlight w:val="none"/>
          <w14:textFill>
            <w14:solidFill>
              <w14:schemeClr w14:val="tx1"/>
            </w14:solidFill>
          </w14:textFill>
        </w:rPr>
        <w:t>%）</w:t>
      </w:r>
      <w:r>
        <w:rPr>
          <w:rFonts w:hint="eastAsia" w:eastAsiaTheme="minorEastAsia"/>
          <w:color w:val="000000" w:themeColor="text1"/>
          <w:highlight w:val="none"/>
          <w14:textFill>
            <w14:solidFill>
              <w14:schemeClr w14:val="tx1"/>
            </w14:solidFill>
          </w14:textFill>
        </w:rPr>
        <w:t>除尘</w:t>
      </w:r>
      <w:r>
        <w:rPr>
          <w:rFonts w:hint="eastAsia" w:eastAsiaTheme="minorEastAsia"/>
          <w:color w:val="000000" w:themeColor="text1"/>
          <w:highlight w:val="none"/>
          <w:lang w:val="en-US" w:eastAsia="zh-CN"/>
          <w14:textFill>
            <w14:solidFill>
              <w14:schemeClr w14:val="tx1"/>
            </w14:solidFill>
          </w14:textFill>
        </w:rPr>
        <w:t>，</w:t>
      </w:r>
      <w:r>
        <w:rPr>
          <w:rFonts w:hint="eastAsia"/>
          <w:color w:val="000000" w:themeColor="text1"/>
          <w:kern w:val="0"/>
          <w:highlight w:val="none"/>
          <w14:textFill>
            <w14:solidFill>
              <w14:schemeClr w14:val="tx1"/>
            </w14:solidFill>
          </w14:textFill>
        </w:rPr>
        <w:t>风机风量为</w:t>
      </w:r>
      <w:r>
        <w:rPr>
          <w:rFonts w:hint="eastAsia"/>
          <w:color w:val="000000" w:themeColor="text1"/>
          <w:highlight w:val="none"/>
          <w:lang w:val="en-US" w:eastAsia="zh-CN"/>
          <w14:textFill>
            <w14:solidFill>
              <w14:schemeClr w14:val="tx1"/>
            </w14:solidFill>
          </w14:textFill>
        </w:rPr>
        <w:t>60000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/h</w:t>
      </w:r>
      <w:r>
        <w:rPr>
          <w:rFonts w:hint="eastAsia" w:eastAsiaTheme="minorEastAsia"/>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排气筒设计参数为15m，φ</w:t>
      </w:r>
      <w:r>
        <w:rPr>
          <w:rFonts w:hint="eastAsia" w:cs="Times New Roman"/>
          <w:color w:val="000000" w:themeColor="text1"/>
          <w:kern w:val="0"/>
          <w:sz w:val="24"/>
          <w:highlight w:val="none"/>
          <w:lang w:val="en-US" w:eastAsia="zh-CN"/>
          <w14:textFill>
            <w14:solidFill>
              <w14:schemeClr w14:val="tx1"/>
            </w14:solidFill>
          </w14:textFill>
        </w:rPr>
        <w:t>1</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m</w:t>
      </w:r>
      <w:r>
        <w:rPr>
          <w:rFonts w:hint="eastAsia" w:cs="Times New Roman"/>
          <w:color w:val="000000" w:themeColor="text1"/>
          <w:kern w:val="0"/>
          <w:sz w:val="24"/>
          <w:highlight w:val="none"/>
          <w:lang w:val="en-US" w:eastAsia="zh-CN"/>
          <w14:textFill>
            <w14:solidFill>
              <w14:schemeClr w14:val="tx1"/>
            </w14:solidFill>
          </w14:textFill>
        </w:rPr>
        <w:t>。</w:t>
      </w:r>
    </w:p>
    <w:p w14:paraId="0B900B0D">
      <w:pPr>
        <w:overflowPunct w:val="0"/>
        <w:topLinePunct/>
        <w:ind w:firstLine="480"/>
        <w:rPr>
          <w:rFonts w:hint="eastAsia"/>
          <w:color w:val="000000" w:themeColor="text1"/>
          <w:kern w:val="0"/>
          <w:highlight w:val="none"/>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本</w:t>
      </w:r>
      <w:r>
        <w:rPr>
          <w:rFonts w:hint="eastAsia" w:cs="Times New Roman"/>
          <w:color w:val="000000" w:themeColor="text1"/>
          <w:kern w:val="0"/>
          <w:sz w:val="24"/>
          <w:highlight w:val="none"/>
          <w:lang w:val="en-US" w:eastAsia="zh-CN"/>
          <w14:textFill>
            <w14:solidFill>
              <w14:schemeClr w14:val="tx1"/>
            </w14:solidFill>
          </w14:textFill>
        </w:rPr>
        <w:t>项目</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破碎-</w:t>
      </w:r>
      <w:r>
        <w:rPr>
          <w:rFonts w:hint="eastAsia" w:cs="Times New Roman"/>
          <w:color w:val="000000" w:themeColor="text1"/>
          <w:kern w:val="0"/>
          <w:sz w:val="24"/>
          <w:highlight w:val="none"/>
          <w:lang w:val="en-US" w:eastAsia="zh-CN"/>
          <w14:textFill>
            <w14:solidFill>
              <w14:schemeClr w14:val="tx1"/>
            </w14:solidFill>
          </w14:textFill>
        </w:rPr>
        <w:t>筛分-</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干选</w:t>
      </w:r>
      <w:r>
        <w:rPr>
          <w:rFonts w:hint="eastAsia" w:cs="Times New Roman"/>
          <w:color w:val="000000" w:themeColor="text1"/>
          <w:kern w:val="0"/>
          <w:sz w:val="24"/>
          <w:highlight w:val="none"/>
          <w:lang w:val="en-US" w:eastAsia="zh-CN"/>
          <w14:textFill>
            <w14:solidFill>
              <w14:schemeClr w14:val="tx1"/>
            </w14:solidFill>
          </w14:textFill>
        </w:rPr>
        <w:t>-高压辊磨工序</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排污情况见表3.4-</w:t>
      </w:r>
      <w:r>
        <w:rPr>
          <w:rFonts w:hint="eastAsia" w:cs="Times New Roman"/>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p>
    <w:p w14:paraId="78A54729">
      <w:pPr>
        <w:pStyle w:val="10"/>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表</w:t>
      </w: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3.4</w:t>
      </w: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w:t>
      </w: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 xml:space="preserve">    破碎-筛分-干选-高压辊磨</w:t>
      </w: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工序有组织粉尘产生与排放量表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6" w:type="dxa"/>
          <w:bottom w:w="0" w:type="dxa"/>
          <w:right w:w="56" w:type="dxa"/>
        </w:tblCellMar>
      </w:tblPr>
      <w:tblGrid>
        <w:gridCol w:w="911"/>
        <w:gridCol w:w="936"/>
        <w:gridCol w:w="768"/>
        <w:gridCol w:w="804"/>
        <w:gridCol w:w="944"/>
        <w:gridCol w:w="594"/>
        <w:gridCol w:w="645"/>
        <w:gridCol w:w="848"/>
        <w:gridCol w:w="618"/>
        <w:gridCol w:w="591"/>
        <w:gridCol w:w="753"/>
      </w:tblGrid>
      <w:tr w14:paraId="55062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cantSplit/>
          <w:trHeight w:val="210" w:hRule="atLeast"/>
          <w:jc w:val="center"/>
        </w:trPr>
        <w:tc>
          <w:tcPr>
            <w:tcW w:w="541" w:type="pct"/>
            <w:vMerge w:val="restart"/>
            <w:tcBorders>
              <w:tl2br w:val="nil"/>
              <w:tr2bl w:val="nil"/>
            </w:tcBorders>
            <w:vAlign w:val="center"/>
          </w:tcPr>
          <w:p w14:paraId="42094DD7">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污染源</w:t>
            </w:r>
          </w:p>
        </w:tc>
        <w:tc>
          <w:tcPr>
            <w:tcW w:w="1490" w:type="pct"/>
            <w:gridSpan w:val="3"/>
            <w:tcBorders>
              <w:tl2br w:val="nil"/>
              <w:tr2bl w:val="nil"/>
            </w:tcBorders>
            <w:vAlign w:val="center"/>
          </w:tcPr>
          <w:p w14:paraId="26124C87">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产生</w:t>
            </w:r>
          </w:p>
        </w:tc>
        <w:tc>
          <w:tcPr>
            <w:tcW w:w="561" w:type="pct"/>
            <w:vMerge w:val="restart"/>
            <w:tcBorders>
              <w:tl2br w:val="nil"/>
              <w:tr2bl w:val="nil"/>
            </w:tcBorders>
            <w:vAlign w:val="center"/>
          </w:tcPr>
          <w:p w14:paraId="46BF5B98">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除尘器名称</w:t>
            </w:r>
          </w:p>
        </w:tc>
        <w:tc>
          <w:tcPr>
            <w:tcW w:w="353" w:type="pct"/>
            <w:vMerge w:val="restart"/>
            <w:tcBorders>
              <w:tl2br w:val="nil"/>
              <w:tr2bl w:val="nil"/>
            </w:tcBorders>
            <w:vAlign w:val="center"/>
          </w:tcPr>
          <w:p w14:paraId="2B2CD895">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效率</w:t>
            </w:r>
          </w:p>
          <w:p w14:paraId="61FABBF6">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606" w:type="pct"/>
            <w:gridSpan w:val="4"/>
            <w:tcBorders>
              <w:tl2br w:val="nil"/>
              <w:tr2bl w:val="nil"/>
            </w:tcBorders>
            <w:vAlign w:val="center"/>
          </w:tcPr>
          <w:p w14:paraId="41571DCE">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w:t>
            </w:r>
          </w:p>
        </w:tc>
        <w:tc>
          <w:tcPr>
            <w:tcW w:w="447" w:type="pct"/>
            <w:vMerge w:val="restart"/>
            <w:tcBorders>
              <w:tl2br w:val="nil"/>
              <w:tr2bl w:val="nil"/>
            </w:tcBorders>
            <w:vAlign w:val="center"/>
          </w:tcPr>
          <w:p w14:paraId="034A1235">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排口高度（m）</w:t>
            </w:r>
          </w:p>
        </w:tc>
      </w:tr>
      <w:tr w14:paraId="2846D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cantSplit/>
          <w:trHeight w:val="535" w:hRule="atLeast"/>
          <w:jc w:val="center"/>
        </w:trPr>
        <w:tc>
          <w:tcPr>
            <w:tcW w:w="541" w:type="pct"/>
            <w:vMerge w:val="continue"/>
            <w:tcBorders>
              <w:tl2br w:val="nil"/>
              <w:tr2bl w:val="nil"/>
            </w:tcBorders>
            <w:vAlign w:val="center"/>
          </w:tcPr>
          <w:p w14:paraId="3BDCC565">
            <w:pPr>
              <w:spacing w:line="360" w:lineRule="exact"/>
              <w:ind w:firstLine="0" w:firstLineChars="0"/>
              <w:jc w:val="center"/>
              <w:rPr>
                <w:color w:val="000000" w:themeColor="text1"/>
                <w:highlight w:val="none"/>
                <w14:textFill>
                  <w14:solidFill>
                    <w14:schemeClr w14:val="tx1"/>
                  </w14:solidFill>
                </w14:textFill>
              </w:rPr>
            </w:pPr>
          </w:p>
        </w:tc>
        <w:tc>
          <w:tcPr>
            <w:tcW w:w="556" w:type="pct"/>
            <w:tcBorders>
              <w:tl2br w:val="nil"/>
              <w:tr2bl w:val="nil"/>
            </w:tcBorders>
            <w:vAlign w:val="center"/>
          </w:tcPr>
          <w:p w14:paraId="7EA8AB3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浓度</w:t>
            </w:r>
          </w:p>
          <w:p w14:paraId="7BC5C2F3">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mg/Nm</w:t>
            </w:r>
            <w:r>
              <w:rPr>
                <w:b/>
                <w:bCs/>
                <w:color w:val="000000" w:themeColor="text1"/>
                <w:sz w:val="21"/>
                <w:szCs w:val="21"/>
                <w:highlight w:val="none"/>
                <w:vertAlign w:val="superscript"/>
                <w14:textFill>
                  <w14:solidFill>
                    <w14:schemeClr w14:val="tx1"/>
                  </w14:solidFill>
                </w14:textFill>
              </w:rPr>
              <w:t>3</w:t>
            </w:r>
          </w:p>
        </w:tc>
        <w:tc>
          <w:tcPr>
            <w:tcW w:w="456" w:type="pct"/>
            <w:tcBorders>
              <w:tl2br w:val="nil"/>
              <w:tr2bl w:val="nil"/>
            </w:tcBorders>
            <w:vAlign w:val="center"/>
          </w:tcPr>
          <w:p w14:paraId="4F0AF16C">
            <w:pPr>
              <w:spacing w:line="360" w:lineRule="exact"/>
              <w:ind w:left="-120" w:leftChars="-50" w:right="-120" w:rightChars="-50"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速率</w:t>
            </w:r>
          </w:p>
          <w:p w14:paraId="7C5C6336">
            <w:pPr>
              <w:spacing w:line="360" w:lineRule="exact"/>
              <w:ind w:left="-120" w:leftChars="-50" w:right="-120" w:rightChars="-50"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kg</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h</w:t>
            </w:r>
          </w:p>
        </w:tc>
        <w:tc>
          <w:tcPr>
            <w:tcW w:w="477" w:type="pct"/>
            <w:tcBorders>
              <w:tl2br w:val="nil"/>
              <w:tr2bl w:val="nil"/>
            </w:tcBorders>
            <w:vAlign w:val="center"/>
          </w:tcPr>
          <w:p w14:paraId="514E3B51">
            <w:pPr>
              <w:keepNext w:val="0"/>
              <w:keepLines w:val="0"/>
              <w:pageBreakBefore w:val="0"/>
              <w:widowControl w:val="0"/>
              <w:kinsoku/>
              <w:wordWrap/>
              <w:overflowPunct/>
              <w:topLinePunct w:val="0"/>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量</w:t>
            </w:r>
          </w:p>
          <w:p w14:paraId="22CD14F6">
            <w:pPr>
              <w:keepNext w:val="0"/>
              <w:keepLines w:val="0"/>
              <w:pageBreakBefore w:val="0"/>
              <w:widowControl w:val="0"/>
              <w:kinsoku/>
              <w:wordWrap/>
              <w:overflowPunct/>
              <w:topLinePunct w:val="0"/>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t/a</w:t>
            </w:r>
          </w:p>
        </w:tc>
        <w:tc>
          <w:tcPr>
            <w:tcW w:w="561" w:type="pct"/>
            <w:vMerge w:val="continue"/>
            <w:tcBorders>
              <w:tl2br w:val="nil"/>
              <w:tr2bl w:val="nil"/>
            </w:tcBorders>
            <w:vAlign w:val="center"/>
          </w:tcPr>
          <w:p w14:paraId="396C30B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53" w:type="pct"/>
            <w:vMerge w:val="continue"/>
            <w:tcBorders>
              <w:tl2br w:val="nil"/>
              <w:tr2bl w:val="nil"/>
            </w:tcBorders>
            <w:vAlign w:val="center"/>
          </w:tcPr>
          <w:p w14:paraId="7871DAF2">
            <w:pPr>
              <w:spacing w:line="360" w:lineRule="exact"/>
              <w:ind w:firstLine="0" w:firstLineChars="0"/>
              <w:jc w:val="center"/>
              <w:rPr>
                <w:b/>
                <w:bCs/>
                <w:color w:val="000000" w:themeColor="text1"/>
                <w:sz w:val="21"/>
                <w:szCs w:val="21"/>
                <w:highlight w:val="none"/>
                <w14:textFill>
                  <w14:solidFill>
                    <w14:schemeClr w14:val="tx1"/>
                  </w14:solidFill>
                </w14:textFill>
              </w:rPr>
            </w:pPr>
          </w:p>
        </w:tc>
        <w:tc>
          <w:tcPr>
            <w:tcW w:w="383" w:type="pct"/>
            <w:tcBorders>
              <w:tl2br w:val="nil"/>
              <w:tr2bl w:val="nil"/>
            </w:tcBorders>
            <w:vAlign w:val="center"/>
          </w:tcPr>
          <w:p w14:paraId="6AF9D1AC">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时间</w:t>
            </w:r>
          </w:p>
          <w:p w14:paraId="71208296">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h</w:t>
            </w:r>
          </w:p>
        </w:tc>
        <w:tc>
          <w:tcPr>
            <w:tcW w:w="504" w:type="pct"/>
            <w:tcBorders>
              <w:tl2br w:val="nil"/>
              <w:tr2bl w:val="nil"/>
            </w:tcBorders>
            <w:vAlign w:val="center"/>
          </w:tcPr>
          <w:p w14:paraId="1AD72200">
            <w:pPr>
              <w:keepNext w:val="0"/>
              <w:keepLines w:val="0"/>
              <w:pageBreakBefore w:val="0"/>
              <w:widowControl w:val="0"/>
              <w:kinsoku/>
              <w:wordWrap/>
              <w:overflowPunct/>
              <w:topLinePunct w:val="0"/>
              <w:autoSpaceDE w:val="0"/>
              <w:autoSpaceDN w:val="0"/>
              <w:bidi w:val="0"/>
              <w:adjustRightInd/>
              <w:snapToGrid/>
              <w:spacing w:line="360" w:lineRule="exact"/>
              <w:ind w:left="-120" w:leftChars="-50" w:right="-120" w:rightChars="-5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浓度</w:t>
            </w:r>
          </w:p>
          <w:p w14:paraId="0AD09328">
            <w:pPr>
              <w:keepNext w:val="0"/>
              <w:keepLines w:val="0"/>
              <w:pageBreakBefore w:val="0"/>
              <w:widowControl w:val="0"/>
              <w:kinsoku/>
              <w:wordWrap/>
              <w:overflowPunct/>
              <w:topLinePunct w:val="0"/>
              <w:autoSpaceDE w:val="0"/>
              <w:autoSpaceDN w:val="0"/>
              <w:bidi w:val="0"/>
              <w:adjustRightInd/>
              <w:snapToGrid/>
              <w:spacing w:line="360" w:lineRule="exact"/>
              <w:ind w:left="-120" w:leftChars="-50" w:right="-120" w:rightChars="-5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mg/Nm</w:t>
            </w:r>
            <w:r>
              <w:rPr>
                <w:rFonts w:hint="eastAsia"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p>
        </w:tc>
        <w:tc>
          <w:tcPr>
            <w:tcW w:w="367" w:type="pct"/>
            <w:tcBorders>
              <w:tl2br w:val="nil"/>
              <w:tr2bl w:val="nil"/>
            </w:tcBorders>
            <w:vAlign w:val="center"/>
          </w:tcPr>
          <w:p w14:paraId="04BBFB28">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速率</w:t>
            </w:r>
          </w:p>
          <w:p w14:paraId="7352B0EF">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kg</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h</w:t>
            </w:r>
          </w:p>
        </w:tc>
        <w:tc>
          <w:tcPr>
            <w:tcW w:w="351" w:type="pct"/>
            <w:tcBorders>
              <w:tl2br w:val="nil"/>
              <w:tr2bl w:val="nil"/>
            </w:tcBorders>
            <w:vAlign w:val="center"/>
          </w:tcPr>
          <w:p w14:paraId="515996BC">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量</w:t>
            </w:r>
          </w:p>
          <w:p w14:paraId="5FCD9C3D">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t/a</w:t>
            </w:r>
          </w:p>
        </w:tc>
        <w:tc>
          <w:tcPr>
            <w:tcW w:w="447" w:type="pct"/>
            <w:vMerge w:val="continue"/>
            <w:tcBorders>
              <w:tl2br w:val="nil"/>
              <w:tr2bl w:val="nil"/>
            </w:tcBorders>
            <w:vAlign w:val="center"/>
          </w:tcPr>
          <w:p w14:paraId="2278DC78">
            <w:pPr>
              <w:spacing w:line="360" w:lineRule="exact"/>
              <w:ind w:firstLine="0" w:firstLineChars="0"/>
              <w:jc w:val="center"/>
              <w:rPr>
                <w:color w:val="000000" w:themeColor="text1"/>
                <w:sz w:val="21"/>
                <w:szCs w:val="21"/>
                <w:highlight w:val="none"/>
                <w14:textFill>
                  <w14:solidFill>
                    <w14:schemeClr w14:val="tx1"/>
                  </w14:solidFill>
                </w14:textFill>
              </w:rPr>
            </w:pPr>
          </w:p>
        </w:tc>
      </w:tr>
      <w:tr w14:paraId="36DC6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cantSplit/>
          <w:trHeight w:val="70" w:hRule="atLeast"/>
          <w:jc w:val="center"/>
        </w:trPr>
        <w:tc>
          <w:tcPr>
            <w:tcW w:w="541" w:type="pct"/>
            <w:tcBorders>
              <w:tl2br w:val="nil"/>
              <w:tr2bl w:val="nil"/>
            </w:tcBorders>
            <w:vAlign w:val="center"/>
          </w:tcPr>
          <w:p w14:paraId="19C8C19C">
            <w:pPr>
              <w:autoSpaceDE w:val="0"/>
              <w:autoSpaceDN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排气筒</w:t>
            </w:r>
            <w:r>
              <w:rPr>
                <w:rFonts w:hint="eastAsia"/>
                <w:color w:val="000000" w:themeColor="text1"/>
                <w:sz w:val="21"/>
                <w:szCs w:val="21"/>
                <w:highlight w:val="none"/>
                <w:lang w:val="en-US" w:eastAsia="zh-CN"/>
                <w14:textFill>
                  <w14:solidFill>
                    <w14:schemeClr w14:val="tx1"/>
                  </w14:solidFill>
                </w14:textFill>
              </w:rPr>
              <w:t>DA001</w:t>
            </w:r>
          </w:p>
        </w:tc>
        <w:tc>
          <w:tcPr>
            <w:tcW w:w="556" w:type="pct"/>
            <w:tcBorders>
              <w:tl2br w:val="nil"/>
              <w:tr2bl w:val="nil"/>
            </w:tcBorders>
            <w:vAlign w:val="center"/>
          </w:tcPr>
          <w:p w14:paraId="670FD538">
            <w:pPr>
              <w:autoSpaceDE w:val="0"/>
              <w:autoSpaceDN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1034.69</w:t>
            </w:r>
          </w:p>
        </w:tc>
        <w:tc>
          <w:tcPr>
            <w:tcW w:w="456" w:type="pct"/>
            <w:tcBorders>
              <w:tl2br w:val="nil"/>
              <w:tr2bl w:val="nil"/>
            </w:tcBorders>
            <w:vAlign w:val="center"/>
          </w:tcPr>
          <w:p w14:paraId="5C046A14">
            <w:pPr>
              <w:autoSpaceDE w:val="0"/>
              <w:autoSpaceDN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62.08</w:t>
            </w:r>
          </w:p>
        </w:tc>
        <w:tc>
          <w:tcPr>
            <w:tcW w:w="477" w:type="pct"/>
            <w:tcBorders>
              <w:tl2br w:val="nil"/>
              <w:tr2bl w:val="nil"/>
            </w:tcBorders>
            <w:vAlign w:val="center"/>
          </w:tcPr>
          <w:p w14:paraId="6D2244F2">
            <w:pPr>
              <w:keepNext w:val="0"/>
              <w:keepLines w:val="0"/>
              <w:pageBreakBefore w:val="0"/>
              <w:widowControl w:val="0"/>
              <w:kinsoku/>
              <w:wordWrap/>
              <w:overflowPunct/>
              <w:topLinePunct w:val="0"/>
              <w:autoSpaceDE w:val="0"/>
              <w:autoSpaceDN w:val="0"/>
              <w:bidi w:val="0"/>
              <w:adjustRightInd/>
              <w:snapToGrid/>
              <w:spacing w:line="360" w:lineRule="exact"/>
              <w:ind w:left="-120" w:leftChars="-50" w:right="-120" w:rightChars="-50"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446.985</w:t>
            </w:r>
          </w:p>
        </w:tc>
        <w:tc>
          <w:tcPr>
            <w:tcW w:w="561" w:type="pct"/>
            <w:tcBorders>
              <w:tl2br w:val="nil"/>
              <w:tr2bl w:val="nil"/>
            </w:tcBorders>
            <w:vAlign w:val="center"/>
          </w:tcPr>
          <w:p w14:paraId="58C1264A">
            <w:pPr>
              <w:autoSpaceDE w:val="0"/>
              <w:autoSpaceDN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布袋</w:t>
            </w:r>
            <w:r>
              <w:rPr>
                <w:color w:val="000000" w:themeColor="text1"/>
                <w:kern w:val="0"/>
                <w:sz w:val="21"/>
                <w:szCs w:val="21"/>
                <w:highlight w:val="none"/>
                <w14:textFill>
                  <w14:solidFill>
                    <w14:schemeClr w14:val="tx1"/>
                  </w14:solidFill>
                </w14:textFill>
              </w:rPr>
              <w:t>除尘器</w:t>
            </w:r>
          </w:p>
        </w:tc>
        <w:tc>
          <w:tcPr>
            <w:tcW w:w="353" w:type="pct"/>
            <w:tcBorders>
              <w:tl2br w:val="nil"/>
              <w:tr2bl w:val="nil"/>
            </w:tcBorders>
            <w:vAlign w:val="center"/>
          </w:tcPr>
          <w:p w14:paraId="537E1DCA">
            <w:pPr>
              <w:keepNext w:val="0"/>
              <w:keepLines w:val="0"/>
              <w:pageBreakBefore w:val="0"/>
              <w:widowControl w:val="0"/>
              <w:kinsoku/>
              <w:wordWrap/>
              <w:overflowPunct/>
              <w:topLinePunct w:val="0"/>
              <w:autoSpaceDE w:val="0"/>
              <w:autoSpaceDN w:val="0"/>
              <w:bidi w:val="0"/>
              <w:adjustRightInd/>
              <w:snapToGrid/>
              <w:spacing w:line="360" w:lineRule="exact"/>
              <w:ind w:left="-120" w:leftChars="-50" w:right="-120" w:rightChars="-50" w:firstLine="0" w:firstLineChars="0"/>
              <w:jc w:val="center"/>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99.9</w:t>
            </w:r>
          </w:p>
        </w:tc>
        <w:tc>
          <w:tcPr>
            <w:tcW w:w="383" w:type="pct"/>
            <w:tcBorders>
              <w:tl2br w:val="nil"/>
              <w:tr2bl w:val="nil"/>
            </w:tcBorders>
            <w:vAlign w:val="center"/>
          </w:tcPr>
          <w:p w14:paraId="594F40A8">
            <w:pPr>
              <w:autoSpaceDE w:val="0"/>
              <w:autoSpaceDN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7</w:t>
            </w:r>
            <w:r>
              <w:rPr>
                <w:rFonts w:hint="eastAsia"/>
                <w:color w:val="000000" w:themeColor="text1"/>
                <w:sz w:val="21"/>
                <w:szCs w:val="21"/>
                <w:highlight w:val="none"/>
                <w:lang w:val="en-US" w:eastAsia="zh-CN"/>
                <w14:textFill>
                  <w14:solidFill>
                    <w14:schemeClr w14:val="tx1"/>
                  </w14:solidFill>
                </w14:textFill>
              </w:rPr>
              <w:t>200</w:t>
            </w:r>
          </w:p>
        </w:tc>
        <w:tc>
          <w:tcPr>
            <w:tcW w:w="504" w:type="pct"/>
            <w:tcBorders>
              <w:tl2br w:val="nil"/>
              <w:tr2bl w:val="nil"/>
            </w:tcBorders>
            <w:vAlign w:val="center"/>
          </w:tcPr>
          <w:p w14:paraId="53E706AE">
            <w:pPr>
              <w:keepNext w:val="0"/>
              <w:keepLines w:val="0"/>
              <w:pageBreakBefore w:val="0"/>
              <w:widowControl w:val="0"/>
              <w:kinsoku/>
              <w:wordWrap/>
              <w:overflowPunct/>
              <w:topLinePunct w:val="0"/>
              <w:autoSpaceDE w:val="0"/>
              <w:autoSpaceDN w:val="0"/>
              <w:bidi w:val="0"/>
              <w:adjustRightInd/>
              <w:snapToGrid/>
              <w:spacing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1.03</w:t>
            </w:r>
          </w:p>
        </w:tc>
        <w:tc>
          <w:tcPr>
            <w:tcW w:w="367" w:type="pct"/>
            <w:tcBorders>
              <w:tl2br w:val="nil"/>
              <w:tr2bl w:val="nil"/>
            </w:tcBorders>
            <w:vAlign w:val="center"/>
          </w:tcPr>
          <w:p w14:paraId="52A79139">
            <w:pPr>
              <w:autoSpaceDE w:val="0"/>
              <w:autoSpaceDN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351" w:type="pct"/>
            <w:tcBorders>
              <w:tl2br w:val="nil"/>
              <w:tr2bl w:val="nil"/>
            </w:tcBorders>
            <w:vAlign w:val="center"/>
          </w:tcPr>
          <w:p w14:paraId="23672D74">
            <w:pPr>
              <w:autoSpaceDE w:val="0"/>
              <w:autoSpaceDN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0.45</w:t>
            </w:r>
          </w:p>
        </w:tc>
        <w:tc>
          <w:tcPr>
            <w:tcW w:w="447" w:type="pct"/>
            <w:tcBorders>
              <w:tl2br w:val="nil"/>
              <w:tr2bl w:val="nil"/>
            </w:tcBorders>
            <w:vAlign w:val="center"/>
          </w:tcPr>
          <w:p w14:paraId="32A4BFE6">
            <w:pPr>
              <w:autoSpaceDE w:val="0"/>
              <w:autoSpaceDN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p>
        </w:tc>
      </w:tr>
    </w:tbl>
    <w:p w14:paraId="7FDFA4F5">
      <w:pPr>
        <w:overflowPunct w:val="0"/>
        <w:topLinePunct/>
        <w:ind w:firstLine="480"/>
        <w:rPr>
          <w:rFonts w:hint="eastAsia"/>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上述工段</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破碎-</w:t>
      </w:r>
      <w:r>
        <w:rPr>
          <w:rFonts w:hint="eastAsia" w:cs="Times New Roman"/>
          <w:color w:val="000000" w:themeColor="text1"/>
          <w:kern w:val="0"/>
          <w:sz w:val="24"/>
          <w:highlight w:val="none"/>
          <w:lang w:val="en-US" w:eastAsia="zh-CN"/>
          <w14:textFill>
            <w14:solidFill>
              <w14:schemeClr w14:val="tx1"/>
            </w14:solidFill>
          </w14:textFill>
        </w:rPr>
        <w:t>筛分-</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干选</w:t>
      </w:r>
      <w:r>
        <w:rPr>
          <w:rFonts w:hint="eastAsia" w:cs="Times New Roman"/>
          <w:color w:val="000000" w:themeColor="text1"/>
          <w:kern w:val="0"/>
          <w:sz w:val="24"/>
          <w:highlight w:val="none"/>
          <w:lang w:val="en-US" w:eastAsia="zh-CN"/>
          <w14:textFill>
            <w14:solidFill>
              <w14:schemeClr w14:val="tx1"/>
            </w14:solidFill>
          </w14:textFill>
        </w:rPr>
        <w:t>-高压辊磨</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车间内有组织颗粒物排放浓度</w:t>
      </w:r>
      <w:r>
        <w:rPr>
          <w:rFonts w:hint="default" w:ascii="Times New Roman" w:hAnsi="Times New Roman" w:cs="Times New Roman"/>
          <w:color w:val="000000" w:themeColor="text1"/>
          <w:kern w:val="0"/>
          <w:sz w:val="24"/>
          <w:highlight w:val="none"/>
          <w14:textFill>
            <w14:solidFill>
              <w14:schemeClr w14:val="tx1"/>
            </w14:solidFill>
          </w14:textFill>
        </w:rPr>
        <w:t>满足</w:t>
      </w:r>
      <w:r>
        <w:rPr>
          <w:rFonts w:hint="default" w:ascii="Times New Roman" w:hAnsi="Times New Roman" w:cs="Times New Roman"/>
          <w:color w:val="000000" w:themeColor="text1"/>
          <w:kern w:val="0"/>
          <w:sz w:val="24"/>
          <w:highlight w:val="none"/>
          <w:lang w:val="zh-CN" w:eastAsia="zh-CN"/>
          <w14:textFill>
            <w14:solidFill>
              <w14:schemeClr w14:val="tx1"/>
            </w14:solidFill>
          </w14:textFill>
        </w:rPr>
        <w:t>《铁矿采选工业污染物排放标准》（GB28661</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zh-CN" w:eastAsia="zh-CN"/>
          <w14:textFill>
            <w14:solidFill>
              <w14:schemeClr w14:val="tx1"/>
            </w14:solidFill>
          </w14:textFill>
        </w:rPr>
        <w:t>2012）</w:t>
      </w:r>
      <w:r>
        <w:rPr>
          <w:rFonts w:hint="default" w:ascii="Times New Roman" w:hAnsi="Times New Roman" w:cs="Times New Roman"/>
          <w:color w:val="000000" w:themeColor="text1"/>
          <w:kern w:val="0"/>
          <w:sz w:val="24"/>
          <w:highlight w:val="none"/>
          <w:lang w:eastAsia="zh-CN"/>
          <w14:textFill>
            <w14:solidFill>
              <w14:schemeClr w14:val="tx1"/>
            </w14:solidFill>
          </w14:textFill>
        </w:rPr>
        <w:t>中表</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5新建企业大气污染物排放浓度限值</w:t>
      </w:r>
      <w:r>
        <w:rPr>
          <w:rFonts w:hint="default" w:ascii="Times New Roman" w:hAnsi="Times New Roman" w:cs="Times New Roman"/>
          <w:color w:val="000000" w:themeColor="text1"/>
          <w:kern w:val="0"/>
          <w:sz w:val="24"/>
          <w:highlight w:val="none"/>
          <w14:textFill>
            <w14:solidFill>
              <w14:schemeClr w14:val="tx1"/>
            </w14:solidFill>
          </w14:textFill>
        </w:rPr>
        <w:t>。</w:t>
      </w:r>
    </w:p>
    <w:p w14:paraId="38EED9EB">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2</w:t>
      </w: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磁选</w:t>
      </w:r>
      <w:r>
        <w:rPr>
          <w:rFonts w:hint="eastAsia"/>
          <w:color w:val="000000" w:themeColor="text1"/>
          <w:kern w:val="0"/>
          <w:highlight w:val="none"/>
          <w14:textFill>
            <w14:solidFill>
              <w14:schemeClr w14:val="tx1"/>
            </w14:solidFill>
          </w14:textFill>
        </w:rPr>
        <w:t>粉尘</w:t>
      </w:r>
    </w:p>
    <w:p w14:paraId="5136D2FA">
      <w:pPr>
        <w:overflowPunct w:val="0"/>
        <w:topLinePunct/>
        <w:ind w:firstLine="480"/>
        <w:rPr>
          <w:rFonts w:hint="eastAsia" w:cs="Times New Roman"/>
          <w:color w:val="000000" w:themeColor="text1"/>
          <w:kern w:val="0"/>
          <w:sz w:val="24"/>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磁选过程产生粉尘</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根据《排放源统计调查产排污核算方法和系数手册》</w:t>
      </w:r>
      <w:r>
        <w:rPr>
          <w:rFonts w:hint="eastAsia" w:cs="Times New Roman"/>
          <w:color w:val="000000" w:themeColor="text1"/>
          <w:kern w:val="0"/>
          <w:sz w:val="24"/>
          <w:highlight w:val="none"/>
          <w:lang w:val="en-US" w:eastAsia="zh-CN"/>
          <w14:textFill>
            <w14:solidFill>
              <w14:schemeClr w14:val="tx1"/>
            </w14:solidFill>
          </w14:textFill>
        </w:rPr>
        <w:t>中的《铁矿采选行业系数手册》磁选工序产污系数为1.71千克/吨-产品核算，产品按75.25万t/a计。经计算，</w:t>
      </w:r>
      <w:r>
        <w:rPr>
          <w:color w:val="000000" w:themeColor="text1"/>
          <w:szCs w:val="20"/>
          <w:highlight w:val="none"/>
          <w14:textFill>
            <w14:solidFill>
              <w14:schemeClr w14:val="tx1"/>
            </w14:solidFill>
          </w14:textFill>
        </w:rPr>
        <w:t>本项目</w:t>
      </w:r>
      <w:r>
        <w:rPr>
          <w:rFonts w:hint="eastAsia"/>
          <w:color w:val="000000" w:themeColor="text1"/>
          <w:kern w:val="0"/>
          <w:highlight w:val="none"/>
          <w:lang w:val="en-US" w:eastAsia="zh-CN"/>
          <w14:textFill>
            <w14:solidFill>
              <w14:schemeClr w14:val="tx1"/>
            </w14:solidFill>
          </w14:textFill>
        </w:rPr>
        <w:t>磁选</w:t>
      </w:r>
      <w:r>
        <w:rPr>
          <w:rFonts w:hint="eastAsia"/>
          <w:color w:val="000000" w:themeColor="text1"/>
          <w:kern w:val="0"/>
          <w:highlight w:val="none"/>
          <w14:textFill>
            <w14:solidFill>
              <w14:schemeClr w14:val="tx1"/>
            </w14:solidFill>
          </w14:textFill>
        </w:rPr>
        <w:t>粉尘</w:t>
      </w:r>
      <w:r>
        <w:rPr>
          <w:color w:val="000000" w:themeColor="text1"/>
          <w:szCs w:val="20"/>
          <w:highlight w:val="none"/>
          <w14:textFill>
            <w14:solidFill>
              <w14:schemeClr w14:val="tx1"/>
            </w14:solidFill>
          </w14:textFill>
        </w:rPr>
        <w:t>产生量</w:t>
      </w:r>
      <w:r>
        <w:rPr>
          <w:rFonts w:hint="eastAsia"/>
          <w:color w:val="000000" w:themeColor="text1"/>
          <w:szCs w:val="20"/>
          <w:highlight w:val="none"/>
          <w:lang w:eastAsia="zh-CN"/>
          <w14:textFill>
            <w14:solidFill>
              <w14:schemeClr w14:val="tx1"/>
            </w14:solidFill>
          </w14:textFill>
        </w:rPr>
        <w:t>为</w:t>
      </w:r>
      <w:r>
        <w:rPr>
          <w:rFonts w:hint="eastAsia"/>
          <w:color w:val="000000" w:themeColor="text1"/>
          <w:szCs w:val="20"/>
          <w:highlight w:val="none"/>
          <w:lang w:val="en-US" w:eastAsia="zh-CN"/>
          <w14:textFill>
            <w14:solidFill>
              <w14:schemeClr w14:val="tx1"/>
            </w14:solidFill>
          </w14:textFill>
        </w:rPr>
        <w:t>1286.775t/a</w:t>
      </w:r>
      <w:r>
        <w:rPr>
          <w:color w:val="000000" w:themeColor="text1"/>
          <w:szCs w:val="20"/>
          <w:highlight w:val="none"/>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各产尘点粉尘分别</w:t>
      </w:r>
      <w:r>
        <w:rPr>
          <w:color w:val="000000" w:themeColor="text1"/>
          <w:kern w:val="0"/>
          <w:szCs w:val="20"/>
          <w:highlight w:val="none"/>
          <w14:textFill>
            <w14:solidFill>
              <w14:schemeClr w14:val="tx1"/>
            </w14:solidFill>
          </w14:textFill>
        </w:rPr>
        <w:t>采用</w:t>
      </w:r>
      <w:r>
        <w:rPr>
          <w:rFonts w:eastAsiaTheme="minorEastAsia"/>
          <w:color w:val="000000" w:themeColor="text1"/>
          <w:highlight w:val="none"/>
          <w14:textFill>
            <w14:solidFill>
              <w14:schemeClr w14:val="tx1"/>
            </w14:solidFill>
          </w14:textFill>
        </w:rPr>
        <w:t>集气罩（收集效率为9</w:t>
      </w:r>
      <w:r>
        <w:rPr>
          <w:rFonts w:hint="eastAsia" w:eastAsiaTheme="minorEastAsia"/>
          <w:color w:val="000000" w:themeColor="text1"/>
          <w:highlight w:val="none"/>
          <w14:textFill>
            <w14:solidFill>
              <w14:schemeClr w14:val="tx1"/>
            </w14:solidFill>
          </w14:textFill>
        </w:rPr>
        <w:t>0</w:t>
      </w:r>
      <w:r>
        <w:rPr>
          <w:rFonts w:eastAsiaTheme="minorEastAsia"/>
          <w:color w:val="000000" w:themeColor="text1"/>
          <w:highlight w:val="none"/>
          <w14:textFill>
            <w14:solidFill>
              <w14:schemeClr w14:val="tx1"/>
            </w14:solidFill>
          </w14:textFill>
        </w:rPr>
        <w:t>%）</w:t>
      </w:r>
      <w:r>
        <w:rPr>
          <w:rFonts w:hint="eastAsia" w:eastAsiaTheme="minorEastAsia"/>
          <w:color w:val="000000" w:themeColor="text1"/>
          <w:highlight w:val="none"/>
          <w:lang w:val="en-US" w:eastAsia="zh-CN"/>
          <w14:textFill>
            <w14:solidFill>
              <w14:schemeClr w14:val="tx1"/>
            </w14:solidFill>
          </w14:textFill>
        </w:rPr>
        <w:t>收集，</w:t>
      </w:r>
      <w:r>
        <w:rPr>
          <w:rFonts w:hint="eastAsia"/>
          <w:color w:val="000000" w:themeColor="text1"/>
          <w:szCs w:val="20"/>
          <w:highlight w:val="none"/>
          <w14:textFill>
            <w14:solidFill>
              <w14:schemeClr w14:val="tx1"/>
            </w14:solidFill>
          </w14:textFill>
        </w:rPr>
        <w:t>有组织粉尘产生量为</w:t>
      </w:r>
      <w:r>
        <w:rPr>
          <w:rFonts w:hint="eastAsia"/>
          <w:color w:val="000000" w:themeColor="text1"/>
          <w:szCs w:val="20"/>
          <w:highlight w:val="none"/>
          <w:lang w:val="en-US" w:eastAsia="zh-CN"/>
          <w14:textFill>
            <w14:solidFill>
              <w14:schemeClr w14:val="tx1"/>
            </w14:solidFill>
          </w14:textFill>
        </w:rPr>
        <w:t>1158.098</w:t>
      </w:r>
      <w:r>
        <w:rPr>
          <w:rFonts w:hint="eastAsia"/>
          <w:color w:val="000000" w:themeColor="text1"/>
          <w:szCs w:val="20"/>
          <w:highlight w:val="none"/>
          <w14:textFill>
            <w14:solidFill>
              <w14:schemeClr w14:val="tx1"/>
            </w14:solidFill>
          </w14:textFill>
        </w:rPr>
        <w:t>t/a，无组织粉尘</w:t>
      </w:r>
      <w:r>
        <w:rPr>
          <w:rFonts w:hint="eastAsia"/>
          <w:color w:val="000000" w:themeColor="text1"/>
          <w:szCs w:val="20"/>
          <w:highlight w:val="none"/>
          <w:lang w:val="en-US" w:eastAsia="zh-CN"/>
          <w14:textFill>
            <w14:solidFill>
              <w14:schemeClr w14:val="tx1"/>
            </w14:solidFill>
          </w14:textFill>
        </w:rPr>
        <w:t>产生</w:t>
      </w:r>
      <w:r>
        <w:rPr>
          <w:rFonts w:hint="eastAsia"/>
          <w:color w:val="000000" w:themeColor="text1"/>
          <w:szCs w:val="20"/>
          <w:highlight w:val="none"/>
          <w14:textFill>
            <w14:solidFill>
              <w14:schemeClr w14:val="tx1"/>
            </w14:solidFill>
          </w14:textFill>
        </w:rPr>
        <w:t>量为</w:t>
      </w:r>
      <w:r>
        <w:rPr>
          <w:rFonts w:hint="eastAsia"/>
          <w:color w:val="000000" w:themeColor="text1"/>
          <w:szCs w:val="20"/>
          <w:highlight w:val="none"/>
          <w:lang w:val="en-US" w:eastAsia="zh-CN"/>
          <w14:textFill>
            <w14:solidFill>
              <w14:schemeClr w14:val="tx1"/>
            </w14:solidFill>
          </w14:textFill>
        </w:rPr>
        <w:t>128.678</w:t>
      </w:r>
      <w:r>
        <w:rPr>
          <w:rFonts w:hint="eastAsia"/>
          <w:color w:val="000000" w:themeColor="text1"/>
          <w:szCs w:val="20"/>
          <w:highlight w:val="none"/>
          <w14:textFill>
            <w14:solidFill>
              <w14:schemeClr w14:val="tx1"/>
            </w14:solidFill>
          </w14:textFill>
        </w:rPr>
        <w:t>t/a</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lang w:val="en-US" w:eastAsia="zh-CN"/>
          <w14:textFill>
            <w14:solidFill>
              <w14:schemeClr w14:val="tx1"/>
            </w14:solidFill>
          </w14:textFill>
        </w:rPr>
        <w:t>收集后的粉尘经</w:t>
      </w:r>
      <w:r>
        <w:rPr>
          <w:rFonts w:hint="eastAsia" w:eastAsiaTheme="minorEastAsia"/>
          <w:color w:val="000000" w:themeColor="text1"/>
          <w:highlight w:val="none"/>
          <w14:textFill>
            <w14:solidFill>
              <w14:schemeClr w14:val="tx1"/>
            </w14:solidFill>
          </w14:textFill>
        </w:rPr>
        <w:t>布袋</w:t>
      </w:r>
      <w:r>
        <w:rPr>
          <w:color w:val="000000" w:themeColor="text1"/>
          <w:kern w:val="0"/>
          <w:szCs w:val="20"/>
          <w:highlight w:val="none"/>
          <w14:textFill>
            <w14:solidFill>
              <w14:schemeClr w14:val="tx1"/>
            </w14:solidFill>
          </w14:textFill>
        </w:rPr>
        <w:t>除尘器</w:t>
      </w:r>
      <w:r>
        <w:rPr>
          <w:rFonts w:hint="eastAsia"/>
          <w:color w:val="000000" w:themeColor="text1"/>
          <w:kern w:val="0"/>
          <w:szCs w:val="20"/>
          <w:highlight w:val="none"/>
          <w14:textFill>
            <w14:solidFill>
              <w14:schemeClr w14:val="tx1"/>
            </w14:solidFill>
          </w14:textFill>
        </w:rPr>
        <w:t>（除尘效率99.</w:t>
      </w:r>
      <w:r>
        <w:rPr>
          <w:rFonts w:hint="eastAsia"/>
          <w:color w:val="000000" w:themeColor="text1"/>
          <w:kern w:val="0"/>
          <w:szCs w:val="20"/>
          <w:highlight w:val="none"/>
          <w:lang w:val="en-US" w:eastAsia="zh-CN"/>
          <w14:textFill>
            <w14:solidFill>
              <w14:schemeClr w14:val="tx1"/>
            </w14:solidFill>
          </w14:textFill>
        </w:rPr>
        <w:t>9</w:t>
      </w:r>
      <w:r>
        <w:rPr>
          <w:rFonts w:hint="eastAsia"/>
          <w:color w:val="000000" w:themeColor="text1"/>
          <w:kern w:val="0"/>
          <w:szCs w:val="20"/>
          <w:highlight w:val="none"/>
          <w14:textFill>
            <w14:solidFill>
              <w14:schemeClr w14:val="tx1"/>
            </w14:solidFill>
          </w14:textFill>
        </w:rPr>
        <w:t>%）</w:t>
      </w:r>
      <w:r>
        <w:rPr>
          <w:rFonts w:hint="eastAsia" w:eastAsiaTheme="minorEastAsia"/>
          <w:color w:val="000000" w:themeColor="text1"/>
          <w:highlight w:val="none"/>
          <w14:textFill>
            <w14:solidFill>
              <w14:schemeClr w14:val="tx1"/>
            </w14:solidFill>
          </w14:textFill>
        </w:rPr>
        <w:t>除尘</w:t>
      </w:r>
      <w:r>
        <w:rPr>
          <w:rFonts w:hint="eastAsia" w:eastAsiaTheme="minorEastAsia"/>
          <w:color w:val="000000" w:themeColor="text1"/>
          <w:highlight w:val="none"/>
          <w:lang w:val="en-US" w:eastAsia="zh-CN"/>
          <w14:textFill>
            <w14:solidFill>
              <w14:schemeClr w14:val="tx1"/>
            </w14:solidFill>
          </w14:textFill>
        </w:rPr>
        <w:t>，</w:t>
      </w:r>
      <w:r>
        <w:rPr>
          <w:rFonts w:hint="eastAsia"/>
          <w:color w:val="000000" w:themeColor="text1"/>
          <w:kern w:val="0"/>
          <w:highlight w:val="none"/>
          <w14:textFill>
            <w14:solidFill>
              <w14:schemeClr w14:val="tx1"/>
            </w14:solidFill>
          </w14:textFill>
        </w:rPr>
        <w:t>风机风量为</w:t>
      </w:r>
      <w:r>
        <w:rPr>
          <w:rFonts w:hint="eastAsia"/>
          <w:color w:val="000000" w:themeColor="text1"/>
          <w:highlight w:val="none"/>
          <w:lang w:val="en-US" w:eastAsia="zh-CN"/>
          <w14:textFill>
            <w14:solidFill>
              <w14:schemeClr w14:val="tx1"/>
            </w14:solidFill>
          </w14:textFill>
        </w:rPr>
        <w:t>80000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/h</w:t>
      </w:r>
      <w:r>
        <w:rPr>
          <w:rFonts w:hint="eastAsia" w:eastAsiaTheme="minorEastAsia"/>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排气筒设计参数为15m，φ</w:t>
      </w:r>
      <w:r>
        <w:rPr>
          <w:rFonts w:hint="eastAsia" w:cs="Times New Roman"/>
          <w:color w:val="000000" w:themeColor="text1"/>
          <w:kern w:val="0"/>
          <w:sz w:val="24"/>
          <w:highlight w:val="none"/>
          <w:lang w:val="en-US" w:eastAsia="zh-CN"/>
          <w14:textFill>
            <w14:solidFill>
              <w14:schemeClr w14:val="tx1"/>
            </w14:solidFill>
          </w14:textFill>
        </w:rPr>
        <w:t>1.2</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m</w:t>
      </w:r>
      <w:r>
        <w:rPr>
          <w:rFonts w:hint="eastAsia" w:cs="Times New Roman"/>
          <w:color w:val="000000" w:themeColor="text1"/>
          <w:kern w:val="0"/>
          <w:sz w:val="24"/>
          <w:highlight w:val="none"/>
          <w:lang w:val="en-US" w:eastAsia="zh-CN"/>
          <w14:textFill>
            <w14:solidFill>
              <w14:schemeClr w14:val="tx1"/>
            </w14:solidFill>
          </w14:textFill>
        </w:rPr>
        <w:t>。</w:t>
      </w:r>
    </w:p>
    <w:p w14:paraId="700B1F29">
      <w:pPr>
        <w:overflowPunct w:val="0"/>
        <w:topLinePunct/>
        <w:ind w:firstLine="480"/>
        <w:rPr>
          <w:rFonts w:hint="eastAsia"/>
          <w:color w:val="000000" w:themeColor="text1"/>
          <w:kern w:val="0"/>
          <w:highlight w:val="none"/>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本</w:t>
      </w:r>
      <w:r>
        <w:rPr>
          <w:rFonts w:hint="eastAsia" w:cs="Times New Roman"/>
          <w:color w:val="000000" w:themeColor="text1"/>
          <w:kern w:val="0"/>
          <w:sz w:val="24"/>
          <w:highlight w:val="none"/>
          <w:lang w:val="en-US" w:eastAsia="zh-CN"/>
          <w14:textFill>
            <w14:solidFill>
              <w14:schemeClr w14:val="tx1"/>
            </w14:solidFill>
          </w14:textFill>
        </w:rPr>
        <w:t>项目磁选工序</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排污情况见表3.4-</w:t>
      </w:r>
      <w:r>
        <w:rPr>
          <w:rFonts w:hint="eastAsia" w:cs="Times New Roman"/>
          <w:color w:val="000000" w:themeColor="text1"/>
          <w:kern w:val="0"/>
          <w:sz w:val="24"/>
          <w:highlight w:val="none"/>
          <w:lang w:val="en-US" w:eastAsia="zh-CN"/>
          <w14:textFill>
            <w14:solidFill>
              <w14:schemeClr w14:val="tx1"/>
            </w14:solidFill>
          </w14:textFill>
        </w:rPr>
        <w:t>4</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p>
    <w:p w14:paraId="67DB91AD">
      <w:pPr>
        <w:pStyle w:val="10"/>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表</w:t>
      </w: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3.4</w:t>
      </w: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w:t>
      </w: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 xml:space="preserve">    磁选</w:t>
      </w: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工序有组织粉尘产生与排放量表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6" w:type="dxa"/>
          <w:bottom w:w="0" w:type="dxa"/>
          <w:right w:w="56" w:type="dxa"/>
        </w:tblCellMar>
      </w:tblPr>
      <w:tblGrid>
        <w:gridCol w:w="911"/>
        <w:gridCol w:w="936"/>
        <w:gridCol w:w="768"/>
        <w:gridCol w:w="804"/>
        <w:gridCol w:w="944"/>
        <w:gridCol w:w="594"/>
        <w:gridCol w:w="645"/>
        <w:gridCol w:w="848"/>
        <w:gridCol w:w="618"/>
        <w:gridCol w:w="591"/>
        <w:gridCol w:w="753"/>
      </w:tblGrid>
      <w:tr w14:paraId="1C97C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cantSplit/>
          <w:trHeight w:val="210" w:hRule="atLeast"/>
          <w:jc w:val="center"/>
        </w:trPr>
        <w:tc>
          <w:tcPr>
            <w:tcW w:w="541" w:type="pct"/>
            <w:vMerge w:val="restart"/>
            <w:tcBorders>
              <w:tl2br w:val="nil"/>
              <w:tr2bl w:val="nil"/>
            </w:tcBorders>
            <w:vAlign w:val="center"/>
          </w:tcPr>
          <w:p w14:paraId="2262DAE7">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污染源</w:t>
            </w:r>
          </w:p>
        </w:tc>
        <w:tc>
          <w:tcPr>
            <w:tcW w:w="1490" w:type="pct"/>
            <w:gridSpan w:val="3"/>
            <w:tcBorders>
              <w:tl2br w:val="nil"/>
              <w:tr2bl w:val="nil"/>
            </w:tcBorders>
            <w:vAlign w:val="center"/>
          </w:tcPr>
          <w:p w14:paraId="06DB2336">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产生</w:t>
            </w:r>
          </w:p>
        </w:tc>
        <w:tc>
          <w:tcPr>
            <w:tcW w:w="561" w:type="pct"/>
            <w:vMerge w:val="restart"/>
            <w:tcBorders>
              <w:tl2br w:val="nil"/>
              <w:tr2bl w:val="nil"/>
            </w:tcBorders>
            <w:vAlign w:val="center"/>
          </w:tcPr>
          <w:p w14:paraId="49E4803E">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除尘器名称</w:t>
            </w:r>
          </w:p>
        </w:tc>
        <w:tc>
          <w:tcPr>
            <w:tcW w:w="353" w:type="pct"/>
            <w:vMerge w:val="restart"/>
            <w:tcBorders>
              <w:tl2br w:val="nil"/>
              <w:tr2bl w:val="nil"/>
            </w:tcBorders>
            <w:vAlign w:val="center"/>
          </w:tcPr>
          <w:p w14:paraId="7A0ED26E">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效率</w:t>
            </w:r>
          </w:p>
          <w:p w14:paraId="2338C9C6">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606" w:type="pct"/>
            <w:gridSpan w:val="4"/>
            <w:tcBorders>
              <w:tl2br w:val="nil"/>
              <w:tr2bl w:val="nil"/>
            </w:tcBorders>
            <w:vAlign w:val="center"/>
          </w:tcPr>
          <w:p w14:paraId="6EB12133">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w:t>
            </w:r>
          </w:p>
        </w:tc>
        <w:tc>
          <w:tcPr>
            <w:tcW w:w="447" w:type="pct"/>
            <w:vMerge w:val="restart"/>
            <w:tcBorders>
              <w:tl2br w:val="nil"/>
              <w:tr2bl w:val="nil"/>
            </w:tcBorders>
            <w:vAlign w:val="center"/>
          </w:tcPr>
          <w:p w14:paraId="1BB42644">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排口高度（m）</w:t>
            </w:r>
          </w:p>
        </w:tc>
      </w:tr>
      <w:tr w14:paraId="0E3ED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cantSplit/>
          <w:trHeight w:val="535" w:hRule="atLeast"/>
          <w:jc w:val="center"/>
        </w:trPr>
        <w:tc>
          <w:tcPr>
            <w:tcW w:w="541" w:type="pct"/>
            <w:vMerge w:val="continue"/>
            <w:tcBorders>
              <w:tl2br w:val="nil"/>
              <w:tr2bl w:val="nil"/>
            </w:tcBorders>
            <w:vAlign w:val="center"/>
          </w:tcPr>
          <w:p w14:paraId="6F83C721">
            <w:pPr>
              <w:spacing w:line="360" w:lineRule="exact"/>
              <w:ind w:firstLine="0" w:firstLineChars="0"/>
              <w:jc w:val="center"/>
              <w:rPr>
                <w:color w:val="000000" w:themeColor="text1"/>
                <w:highlight w:val="none"/>
                <w14:textFill>
                  <w14:solidFill>
                    <w14:schemeClr w14:val="tx1"/>
                  </w14:solidFill>
                </w14:textFill>
              </w:rPr>
            </w:pPr>
          </w:p>
        </w:tc>
        <w:tc>
          <w:tcPr>
            <w:tcW w:w="556" w:type="pct"/>
            <w:tcBorders>
              <w:tl2br w:val="nil"/>
              <w:tr2bl w:val="nil"/>
            </w:tcBorders>
            <w:vAlign w:val="center"/>
          </w:tcPr>
          <w:p w14:paraId="5B06B18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浓度</w:t>
            </w:r>
          </w:p>
          <w:p w14:paraId="526930F9">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mg/Nm</w:t>
            </w:r>
            <w:r>
              <w:rPr>
                <w:b/>
                <w:bCs/>
                <w:color w:val="000000" w:themeColor="text1"/>
                <w:sz w:val="21"/>
                <w:szCs w:val="21"/>
                <w:highlight w:val="none"/>
                <w:vertAlign w:val="superscript"/>
                <w14:textFill>
                  <w14:solidFill>
                    <w14:schemeClr w14:val="tx1"/>
                  </w14:solidFill>
                </w14:textFill>
              </w:rPr>
              <w:t>3</w:t>
            </w:r>
          </w:p>
        </w:tc>
        <w:tc>
          <w:tcPr>
            <w:tcW w:w="456" w:type="pct"/>
            <w:tcBorders>
              <w:tl2br w:val="nil"/>
              <w:tr2bl w:val="nil"/>
            </w:tcBorders>
            <w:vAlign w:val="center"/>
          </w:tcPr>
          <w:p w14:paraId="4BCE5F45">
            <w:pPr>
              <w:spacing w:line="360" w:lineRule="exact"/>
              <w:ind w:left="-120" w:leftChars="-50" w:right="-120" w:rightChars="-50"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速率</w:t>
            </w:r>
          </w:p>
          <w:p w14:paraId="4BBFFF5A">
            <w:pPr>
              <w:spacing w:line="360" w:lineRule="exact"/>
              <w:ind w:left="-120" w:leftChars="-50" w:right="-120" w:rightChars="-50"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kg</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h</w:t>
            </w:r>
          </w:p>
        </w:tc>
        <w:tc>
          <w:tcPr>
            <w:tcW w:w="477" w:type="pct"/>
            <w:tcBorders>
              <w:tl2br w:val="nil"/>
              <w:tr2bl w:val="nil"/>
            </w:tcBorders>
            <w:vAlign w:val="center"/>
          </w:tcPr>
          <w:p w14:paraId="06451FDA">
            <w:pPr>
              <w:keepNext w:val="0"/>
              <w:keepLines w:val="0"/>
              <w:pageBreakBefore w:val="0"/>
              <w:widowControl w:val="0"/>
              <w:kinsoku/>
              <w:wordWrap/>
              <w:overflowPunct/>
              <w:topLinePunct w:val="0"/>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量</w:t>
            </w:r>
          </w:p>
          <w:p w14:paraId="66D56D72">
            <w:pPr>
              <w:keepNext w:val="0"/>
              <w:keepLines w:val="0"/>
              <w:pageBreakBefore w:val="0"/>
              <w:widowControl w:val="0"/>
              <w:kinsoku/>
              <w:wordWrap/>
              <w:overflowPunct/>
              <w:topLinePunct w:val="0"/>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t/a</w:t>
            </w:r>
          </w:p>
        </w:tc>
        <w:tc>
          <w:tcPr>
            <w:tcW w:w="561" w:type="pct"/>
            <w:vMerge w:val="continue"/>
            <w:tcBorders>
              <w:tl2br w:val="nil"/>
              <w:tr2bl w:val="nil"/>
            </w:tcBorders>
            <w:vAlign w:val="center"/>
          </w:tcPr>
          <w:p w14:paraId="7064F0F4">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53" w:type="pct"/>
            <w:vMerge w:val="continue"/>
            <w:tcBorders>
              <w:tl2br w:val="nil"/>
              <w:tr2bl w:val="nil"/>
            </w:tcBorders>
            <w:vAlign w:val="center"/>
          </w:tcPr>
          <w:p w14:paraId="510CA84B">
            <w:pPr>
              <w:spacing w:line="360" w:lineRule="exact"/>
              <w:ind w:firstLine="0" w:firstLineChars="0"/>
              <w:jc w:val="center"/>
              <w:rPr>
                <w:b/>
                <w:bCs/>
                <w:color w:val="000000" w:themeColor="text1"/>
                <w:sz w:val="21"/>
                <w:szCs w:val="21"/>
                <w:highlight w:val="none"/>
                <w14:textFill>
                  <w14:solidFill>
                    <w14:schemeClr w14:val="tx1"/>
                  </w14:solidFill>
                </w14:textFill>
              </w:rPr>
            </w:pPr>
          </w:p>
        </w:tc>
        <w:tc>
          <w:tcPr>
            <w:tcW w:w="383" w:type="pct"/>
            <w:tcBorders>
              <w:tl2br w:val="nil"/>
              <w:tr2bl w:val="nil"/>
            </w:tcBorders>
            <w:vAlign w:val="center"/>
          </w:tcPr>
          <w:p w14:paraId="421B04B8">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时间</w:t>
            </w:r>
          </w:p>
          <w:p w14:paraId="135508C1">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h</w:t>
            </w:r>
          </w:p>
        </w:tc>
        <w:tc>
          <w:tcPr>
            <w:tcW w:w="504" w:type="pct"/>
            <w:tcBorders>
              <w:tl2br w:val="nil"/>
              <w:tr2bl w:val="nil"/>
            </w:tcBorders>
            <w:vAlign w:val="center"/>
          </w:tcPr>
          <w:p w14:paraId="0DF36C2E">
            <w:pPr>
              <w:keepNext w:val="0"/>
              <w:keepLines w:val="0"/>
              <w:pageBreakBefore w:val="0"/>
              <w:widowControl w:val="0"/>
              <w:kinsoku/>
              <w:wordWrap/>
              <w:overflowPunct/>
              <w:topLinePunct w:val="0"/>
              <w:autoSpaceDE w:val="0"/>
              <w:autoSpaceDN w:val="0"/>
              <w:bidi w:val="0"/>
              <w:adjustRightInd/>
              <w:snapToGrid/>
              <w:spacing w:line="360" w:lineRule="exact"/>
              <w:ind w:left="-120" w:leftChars="-50" w:right="-120" w:rightChars="-5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浓度</w:t>
            </w:r>
          </w:p>
          <w:p w14:paraId="24540C5A">
            <w:pPr>
              <w:keepNext w:val="0"/>
              <w:keepLines w:val="0"/>
              <w:pageBreakBefore w:val="0"/>
              <w:widowControl w:val="0"/>
              <w:kinsoku/>
              <w:wordWrap/>
              <w:overflowPunct/>
              <w:topLinePunct w:val="0"/>
              <w:autoSpaceDE w:val="0"/>
              <w:autoSpaceDN w:val="0"/>
              <w:bidi w:val="0"/>
              <w:adjustRightInd/>
              <w:snapToGrid/>
              <w:spacing w:line="360" w:lineRule="exact"/>
              <w:ind w:left="-120" w:leftChars="-50" w:right="-120" w:rightChars="-5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mg/Nm</w:t>
            </w:r>
            <w:r>
              <w:rPr>
                <w:rFonts w:hint="eastAsia"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p>
        </w:tc>
        <w:tc>
          <w:tcPr>
            <w:tcW w:w="367" w:type="pct"/>
            <w:tcBorders>
              <w:tl2br w:val="nil"/>
              <w:tr2bl w:val="nil"/>
            </w:tcBorders>
            <w:vAlign w:val="center"/>
          </w:tcPr>
          <w:p w14:paraId="22763799">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速率</w:t>
            </w:r>
          </w:p>
          <w:p w14:paraId="47C4ADC7">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kg</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h</w:t>
            </w:r>
          </w:p>
        </w:tc>
        <w:tc>
          <w:tcPr>
            <w:tcW w:w="351" w:type="pct"/>
            <w:tcBorders>
              <w:tl2br w:val="nil"/>
              <w:tr2bl w:val="nil"/>
            </w:tcBorders>
            <w:vAlign w:val="center"/>
          </w:tcPr>
          <w:p w14:paraId="4FB97CF6">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量</w:t>
            </w:r>
          </w:p>
          <w:p w14:paraId="38C723AD">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t/a</w:t>
            </w:r>
          </w:p>
        </w:tc>
        <w:tc>
          <w:tcPr>
            <w:tcW w:w="447" w:type="pct"/>
            <w:vMerge w:val="continue"/>
            <w:tcBorders>
              <w:tl2br w:val="nil"/>
              <w:tr2bl w:val="nil"/>
            </w:tcBorders>
            <w:vAlign w:val="center"/>
          </w:tcPr>
          <w:p w14:paraId="3620557B">
            <w:pPr>
              <w:spacing w:line="360" w:lineRule="exact"/>
              <w:ind w:firstLine="0" w:firstLineChars="0"/>
              <w:jc w:val="center"/>
              <w:rPr>
                <w:color w:val="000000" w:themeColor="text1"/>
                <w:sz w:val="21"/>
                <w:szCs w:val="21"/>
                <w:highlight w:val="none"/>
                <w14:textFill>
                  <w14:solidFill>
                    <w14:schemeClr w14:val="tx1"/>
                  </w14:solidFill>
                </w14:textFill>
              </w:rPr>
            </w:pPr>
          </w:p>
        </w:tc>
      </w:tr>
      <w:tr w14:paraId="778DB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cantSplit/>
          <w:trHeight w:val="70" w:hRule="atLeast"/>
          <w:jc w:val="center"/>
        </w:trPr>
        <w:tc>
          <w:tcPr>
            <w:tcW w:w="541" w:type="pct"/>
            <w:tcBorders>
              <w:tl2br w:val="nil"/>
              <w:tr2bl w:val="nil"/>
            </w:tcBorders>
            <w:vAlign w:val="center"/>
          </w:tcPr>
          <w:p w14:paraId="55E34B3B">
            <w:pPr>
              <w:autoSpaceDE w:val="0"/>
              <w:autoSpaceDN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排气筒</w:t>
            </w:r>
            <w:r>
              <w:rPr>
                <w:rFonts w:hint="eastAsia"/>
                <w:color w:val="000000" w:themeColor="text1"/>
                <w:sz w:val="21"/>
                <w:szCs w:val="21"/>
                <w:highlight w:val="none"/>
                <w:lang w:val="en-US" w:eastAsia="zh-CN"/>
                <w14:textFill>
                  <w14:solidFill>
                    <w14:schemeClr w14:val="tx1"/>
                  </w14:solidFill>
                </w14:textFill>
              </w:rPr>
              <w:t>DA002</w:t>
            </w:r>
          </w:p>
        </w:tc>
        <w:tc>
          <w:tcPr>
            <w:tcW w:w="556" w:type="pct"/>
            <w:tcBorders>
              <w:tl2br w:val="nil"/>
              <w:tr2bl w:val="nil"/>
            </w:tcBorders>
            <w:vAlign w:val="center"/>
          </w:tcPr>
          <w:p w14:paraId="53CD9FF4">
            <w:pPr>
              <w:autoSpaceDE w:val="0"/>
              <w:autoSpaceDN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2012.38</w:t>
            </w:r>
          </w:p>
        </w:tc>
        <w:tc>
          <w:tcPr>
            <w:tcW w:w="456" w:type="pct"/>
            <w:tcBorders>
              <w:tl2br w:val="nil"/>
              <w:tr2bl w:val="nil"/>
            </w:tcBorders>
            <w:vAlign w:val="center"/>
          </w:tcPr>
          <w:p w14:paraId="410B1F1F">
            <w:pPr>
              <w:autoSpaceDE w:val="0"/>
              <w:autoSpaceDN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160.99</w:t>
            </w:r>
          </w:p>
        </w:tc>
        <w:tc>
          <w:tcPr>
            <w:tcW w:w="477" w:type="pct"/>
            <w:tcBorders>
              <w:tl2br w:val="nil"/>
              <w:tr2bl w:val="nil"/>
            </w:tcBorders>
            <w:vAlign w:val="center"/>
          </w:tcPr>
          <w:p w14:paraId="3B00EE76">
            <w:pPr>
              <w:keepNext w:val="0"/>
              <w:keepLines w:val="0"/>
              <w:pageBreakBefore w:val="0"/>
              <w:widowControl w:val="0"/>
              <w:kinsoku/>
              <w:wordWrap/>
              <w:overflowPunct/>
              <w:topLinePunct w:val="0"/>
              <w:autoSpaceDE w:val="0"/>
              <w:autoSpaceDN w:val="0"/>
              <w:bidi w:val="0"/>
              <w:adjustRightInd/>
              <w:snapToGrid/>
              <w:spacing w:line="360" w:lineRule="exact"/>
              <w:ind w:left="-120" w:leftChars="-50" w:right="-120" w:rightChars="-50" w:firstLine="0" w:firstLineChars="0"/>
              <w:jc w:val="center"/>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1158.098</w:t>
            </w:r>
          </w:p>
        </w:tc>
        <w:tc>
          <w:tcPr>
            <w:tcW w:w="561" w:type="pct"/>
            <w:tcBorders>
              <w:tl2br w:val="nil"/>
              <w:tr2bl w:val="nil"/>
            </w:tcBorders>
            <w:vAlign w:val="center"/>
          </w:tcPr>
          <w:p w14:paraId="2D8DB4A8">
            <w:pPr>
              <w:autoSpaceDE w:val="0"/>
              <w:autoSpaceDN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eastAsiaTheme="minorEastAsia"/>
                <w:color w:val="000000" w:themeColor="text1"/>
                <w:sz w:val="21"/>
                <w:szCs w:val="21"/>
                <w:highlight w:val="none"/>
                <w14:textFill>
                  <w14:solidFill>
                    <w14:schemeClr w14:val="tx1"/>
                  </w14:solidFill>
                </w14:textFill>
              </w:rPr>
              <w:t>布袋</w:t>
            </w:r>
            <w:r>
              <w:rPr>
                <w:color w:val="000000" w:themeColor="text1"/>
                <w:kern w:val="0"/>
                <w:sz w:val="21"/>
                <w:szCs w:val="21"/>
                <w:highlight w:val="none"/>
                <w14:textFill>
                  <w14:solidFill>
                    <w14:schemeClr w14:val="tx1"/>
                  </w14:solidFill>
                </w14:textFill>
              </w:rPr>
              <w:t>除尘器</w:t>
            </w:r>
          </w:p>
        </w:tc>
        <w:tc>
          <w:tcPr>
            <w:tcW w:w="353" w:type="pct"/>
            <w:tcBorders>
              <w:tl2br w:val="nil"/>
              <w:tr2bl w:val="nil"/>
            </w:tcBorders>
            <w:vAlign w:val="center"/>
          </w:tcPr>
          <w:p w14:paraId="2BE3DCED">
            <w:pPr>
              <w:keepNext w:val="0"/>
              <w:keepLines w:val="0"/>
              <w:pageBreakBefore w:val="0"/>
              <w:widowControl w:val="0"/>
              <w:kinsoku/>
              <w:wordWrap/>
              <w:overflowPunct/>
              <w:topLinePunct w:val="0"/>
              <w:autoSpaceDE w:val="0"/>
              <w:autoSpaceDN w:val="0"/>
              <w:bidi w:val="0"/>
              <w:adjustRightInd/>
              <w:snapToGrid/>
              <w:spacing w:line="360" w:lineRule="exact"/>
              <w:ind w:left="-120" w:leftChars="-50" w:right="-120" w:rightChars="-50" w:firstLine="0" w:firstLineChars="0"/>
              <w:jc w:val="center"/>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99.9</w:t>
            </w:r>
          </w:p>
        </w:tc>
        <w:tc>
          <w:tcPr>
            <w:tcW w:w="383" w:type="pct"/>
            <w:tcBorders>
              <w:tl2br w:val="nil"/>
              <w:tr2bl w:val="nil"/>
            </w:tcBorders>
            <w:vAlign w:val="center"/>
          </w:tcPr>
          <w:p w14:paraId="11C6A2E6">
            <w:pPr>
              <w:autoSpaceDE w:val="0"/>
              <w:autoSpaceDN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7</w:t>
            </w:r>
            <w:r>
              <w:rPr>
                <w:rFonts w:hint="eastAsia"/>
                <w:color w:val="000000" w:themeColor="text1"/>
                <w:sz w:val="21"/>
                <w:szCs w:val="21"/>
                <w:highlight w:val="none"/>
                <w:lang w:val="en-US" w:eastAsia="zh-CN"/>
                <w14:textFill>
                  <w14:solidFill>
                    <w14:schemeClr w14:val="tx1"/>
                  </w14:solidFill>
                </w14:textFill>
              </w:rPr>
              <w:t>200</w:t>
            </w:r>
          </w:p>
        </w:tc>
        <w:tc>
          <w:tcPr>
            <w:tcW w:w="504" w:type="pct"/>
            <w:tcBorders>
              <w:tl2br w:val="nil"/>
              <w:tr2bl w:val="nil"/>
            </w:tcBorders>
            <w:vAlign w:val="center"/>
          </w:tcPr>
          <w:p w14:paraId="7329304B">
            <w:pPr>
              <w:keepNext w:val="0"/>
              <w:keepLines w:val="0"/>
              <w:pageBreakBefore w:val="0"/>
              <w:widowControl w:val="0"/>
              <w:kinsoku/>
              <w:wordWrap/>
              <w:overflowPunct/>
              <w:topLinePunct w:val="0"/>
              <w:autoSpaceDE w:val="0"/>
              <w:autoSpaceDN w:val="0"/>
              <w:bidi w:val="0"/>
              <w:adjustRightInd/>
              <w:snapToGrid/>
              <w:spacing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2.01</w:t>
            </w:r>
          </w:p>
        </w:tc>
        <w:tc>
          <w:tcPr>
            <w:tcW w:w="367" w:type="pct"/>
            <w:tcBorders>
              <w:tl2br w:val="nil"/>
              <w:tr2bl w:val="nil"/>
            </w:tcBorders>
            <w:vAlign w:val="center"/>
          </w:tcPr>
          <w:p w14:paraId="578FE48E">
            <w:pPr>
              <w:autoSpaceDE w:val="0"/>
              <w:autoSpaceDN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0.16</w:t>
            </w:r>
          </w:p>
        </w:tc>
        <w:tc>
          <w:tcPr>
            <w:tcW w:w="351" w:type="pct"/>
            <w:tcBorders>
              <w:tl2br w:val="nil"/>
              <w:tr2bl w:val="nil"/>
            </w:tcBorders>
            <w:vAlign w:val="center"/>
          </w:tcPr>
          <w:p w14:paraId="776DC4D8">
            <w:pPr>
              <w:autoSpaceDE w:val="0"/>
              <w:autoSpaceDN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1.16</w:t>
            </w:r>
          </w:p>
        </w:tc>
        <w:tc>
          <w:tcPr>
            <w:tcW w:w="447" w:type="pct"/>
            <w:tcBorders>
              <w:tl2br w:val="nil"/>
              <w:tr2bl w:val="nil"/>
            </w:tcBorders>
            <w:vAlign w:val="center"/>
          </w:tcPr>
          <w:p w14:paraId="1029A465">
            <w:pPr>
              <w:autoSpaceDE w:val="0"/>
              <w:autoSpaceDN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p>
        </w:tc>
      </w:tr>
    </w:tbl>
    <w:p w14:paraId="13B8FB7C">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上述工段采用布袋除尘器处理后，</w:t>
      </w:r>
      <w:r>
        <w:rPr>
          <w:rFonts w:hint="eastAsia"/>
          <w:color w:val="000000" w:themeColor="text1"/>
          <w:kern w:val="0"/>
          <w:highlight w:val="none"/>
          <w:lang w:val="en-US" w:eastAsia="zh-CN"/>
          <w14:textFill>
            <w14:solidFill>
              <w14:schemeClr w14:val="tx1"/>
            </w14:solidFill>
          </w14:textFill>
        </w:rPr>
        <w:t>磁选</w:t>
      </w:r>
      <w:r>
        <w:rPr>
          <w:color w:val="000000" w:themeColor="text1"/>
          <w:kern w:val="0"/>
          <w:highlight w:val="none"/>
          <w14:textFill>
            <w14:solidFill>
              <w14:schemeClr w14:val="tx1"/>
            </w14:solidFill>
          </w14:textFill>
        </w:rPr>
        <w:t>粉尘排放浓度</w:t>
      </w:r>
      <w:r>
        <w:rPr>
          <w:rFonts w:hint="eastAsia"/>
          <w:color w:val="000000" w:themeColor="text1"/>
          <w:kern w:val="0"/>
          <w:highlight w:val="none"/>
          <w14:textFill>
            <w14:solidFill>
              <w14:schemeClr w14:val="tx1"/>
            </w14:solidFill>
          </w14:textFill>
        </w:rPr>
        <w:t>为</w:t>
      </w:r>
      <w:r>
        <w:rPr>
          <w:rFonts w:hint="eastAsia"/>
          <w:color w:val="000000" w:themeColor="text1"/>
          <w:kern w:val="0"/>
          <w:highlight w:val="none"/>
          <w:lang w:val="en-US" w:eastAsia="zh-CN"/>
          <w14:textFill>
            <w14:solidFill>
              <w14:schemeClr w14:val="tx1"/>
            </w14:solidFill>
          </w14:textFill>
        </w:rPr>
        <w:t>2.01</w:t>
      </w:r>
      <w:r>
        <w:rPr>
          <w:rFonts w:hint="eastAsia"/>
          <w:color w:val="000000" w:themeColor="text1"/>
          <w:kern w:val="0"/>
          <w:szCs w:val="20"/>
          <w:highlight w:val="none"/>
          <w14:textFill>
            <w14:solidFill>
              <w14:schemeClr w14:val="tx1"/>
            </w14:solidFill>
          </w14:textFill>
        </w:rPr>
        <w:t>mg/m</w:t>
      </w:r>
      <w:r>
        <w:rPr>
          <w:rFonts w:hint="eastAsia"/>
          <w:color w:val="000000" w:themeColor="text1"/>
          <w:kern w:val="0"/>
          <w:szCs w:val="20"/>
          <w:highlight w:val="none"/>
          <w:vertAlign w:val="superscript"/>
          <w14:textFill>
            <w14:solidFill>
              <w14:schemeClr w14:val="tx1"/>
            </w14:solidFill>
          </w14:textFill>
        </w:rPr>
        <w:t>3</w:t>
      </w:r>
      <w:r>
        <w:rPr>
          <w:rFonts w:hint="eastAsia"/>
          <w:color w:val="000000" w:themeColor="text1"/>
          <w:kern w:val="0"/>
          <w:szCs w:val="20"/>
          <w:highlight w:val="none"/>
          <w14:textFill>
            <w14:solidFill>
              <w14:schemeClr w14:val="tx1"/>
            </w14:solidFill>
          </w14:textFill>
        </w:rPr>
        <w:t>，符合</w:t>
      </w:r>
      <w:r>
        <w:rPr>
          <w:color w:val="000000" w:themeColor="text1"/>
          <w:kern w:val="0"/>
          <w:szCs w:val="20"/>
          <w:highlight w:val="none"/>
          <w14:textFill>
            <w14:solidFill>
              <w14:schemeClr w14:val="tx1"/>
            </w14:solidFill>
          </w14:textFill>
        </w:rPr>
        <w:t>《铁矿采选工业污染物排放标准》（GB28661-2012）中的</w:t>
      </w:r>
      <w:r>
        <w:rPr>
          <w:rFonts w:hint="eastAsia"/>
          <w:color w:val="000000" w:themeColor="text1"/>
          <w:kern w:val="0"/>
          <w:szCs w:val="20"/>
          <w:highlight w:val="none"/>
          <w:lang w:eastAsia="zh-CN"/>
          <w14:textFill>
            <w14:solidFill>
              <w14:schemeClr w14:val="tx1"/>
            </w14:solidFill>
          </w14:textFill>
        </w:rPr>
        <w:t>浓度</w:t>
      </w:r>
      <w:r>
        <w:rPr>
          <w:color w:val="000000" w:themeColor="text1"/>
          <w:kern w:val="0"/>
          <w:szCs w:val="20"/>
          <w:highlight w:val="none"/>
          <w14:textFill>
            <w14:solidFill>
              <w14:schemeClr w14:val="tx1"/>
            </w14:solidFill>
          </w14:textFill>
        </w:rPr>
        <w:t>要求。</w:t>
      </w:r>
    </w:p>
    <w:p w14:paraId="4B6480D8">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（2）无</w:t>
      </w:r>
      <w:r>
        <w:rPr>
          <w:color w:val="000000" w:themeColor="text1"/>
          <w:kern w:val="0"/>
          <w:highlight w:val="none"/>
          <w14:textFill>
            <w14:solidFill>
              <w14:schemeClr w14:val="tx1"/>
            </w14:solidFill>
          </w14:textFill>
        </w:rPr>
        <w:t>组织</w:t>
      </w:r>
      <w:r>
        <w:rPr>
          <w:rFonts w:hint="eastAsia"/>
          <w:color w:val="000000" w:themeColor="text1"/>
          <w:kern w:val="0"/>
          <w:highlight w:val="none"/>
          <w14:textFill>
            <w14:solidFill>
              <w14:schemeClr w14:val="tx1"/>
            </w14:solidFill>
          </w14:textFill>
        </w:rPr>
        <w:t>废气</w:t>
      </w:r>
    </w:p>
    <w:p w14:paraId="6E9C160B">
      <w:pPr>
        <w:overflowPunct w:val="0"/>
        <w:topLinePunct/>
        <w:ind w:firstLine="48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项目无组织</w:t>
      </w:r>
      <w:r>
        <w:rPr>
          <w:rFonts w:hint="eastAsia"/>
          <w:color w:val="000000" w:themeColor="text1"/>
          <w:kern w:val="0"/>
          <w:highlight w:val="none"/>
          <w14:textFill>
            <w14:solidFill>
              <w14:schemeClr w14:val="tx1"/>
            </w14:solidFill>
          </w14:textFill>
        </w:rPr>
        <w:t>废气</w:t>
      </w:r>
      <w:r>
        <w:rPr>
          <w:color w:val="000000" w:themeColor="text1"/>
          <w:kern w:val="0"/>
          <w:highlight w:val="none"/>
          <w14:textFill>
            <w14:solidFill>
              <w14:schemeClr w14:val="tx1"/>
            </w14:solidFill>
          </w14:textFill>
        </w:rPr>
        <w:t>排放主要</w:t>
      </w:r>
      <w:r>
        <w:rPr>
          <w:rFonts w:hint="eastAsia"/>
          <w:color w:val="000000" w:themeColor="text1"/>
          <w:kern w:val="0"/>
          <w:highlight w:val="none"/>
          <w14:textFill>
            <w14:solidFill>
              <w14:schemeClr w14:val="tx1"/>
            </w14:solidFill>
          </w14:textFill>
        </w:rPr>
        <w:t>包括</w:t>
      </w:r>
      <w:r>
        <w:rPr>
          <w:rFonts w:hint="eastAsia"/>
          <w:color w:val="000000" w:themeColor="text1"/>
          <w:kern w:val="0"/>
          <w:highlight w:val="none"/>
          <w:lang w:eastAsia="zh-CN"/>
          <w14:textFill>
            <w14:solidFill>
              <w14:schemeClr w14:val="tx1"/>
            </w14:solidFill>
          </w14:textFill>
        </w:rPr>
        <w:t>破碎筛分工序未收集粉尘、</w:t>
      </w:r>
      <w:r>
        <w:rPr>
          <w:rFonts w:hint="eastAsia"/>
          <w:color w:val="000000" w:themeColor="text1"/>
          <w:kern w:val="0"/>
          <w:highlight w:val="none"/>
          <w14:textFill>
            <w14:solidFill>
              <w14:schemeClr w14:val="tx1"/>
            </w14:solidFill>
          </w14:textFill>
        </w:rPr>
        <w:t>辊磨</w:t>
      </w:r>
      <w:r>
        <w:rPr>
          <w:rFonts w:hint="eastAsia"/>
          <w:color w:val="000000" w:themeColor="text1"/>
          <w:kern w:val="0"/>
          <w:highlight w:val="none"/>
          <w:lang w:eastAsia="zh-CN"/>
          <w14:textFill>
            <w14:solidFill>
              <w14:schemeClr w14:val="tx1"/>
            </w14:solidFill>
          </w14:textFill>
        </w:rPr>
        <w:t>工序未收集</w:t>
      </w:r>
      <w:r>
        <w:rPr>
          <w:rFonts w:hint="eastAsia"/>
          <w:color w:val="000000" w:themeColor="text1"/>
          <w:kern w:val="0"/>
          <w:highlight w:val="none"/>
          <w14:textFill>
            <w14:solidFill>
              <w14:schemeClr w14:val="tx1"/>
            </w14:solidFill>
          </w14:textFill>
        </w:rPr>
        <w:t>粉尘、</w:t>
      </w:r>
      <w:r>
        <w:rPr>
          <w:rFonts w:hint="eastAsia"/>
          <w:color w:val="000000" w:themeColor="text1"/>
          <w:kern w:val="0"/>
          <w:highlight w:val="none"/>
          <w:lang w:val="en-US" w:eastAsia="zh-CN"/>
          <w14:textFill>
            <w14:solidFill>
              <w14:schemeClr w14:val="tx1"/>
            </w14:solidFill>
          </w14:textFill>
        </w:rPr>
        <w:t>磁选工序无组织粉尘、原矿仓扬尘、</w:t>
      </w:r>
      <w:r>
        <w:rPr>
          <w:rFonts w:hint="eastAsia"/>
          <w:color w:val="000000" w:themeColor="text1"/>
          <w:highlight w:val="none"/>
          <w:lang w:val="en-US" w:eastAsia="zh-CN"/>
          <w14:textFill>
            <w14:solidFill>
              <w14:schemeClr w14:val="tx1"/>
            </w14:solidFill>
          </w14:textFill>
        </w:rPr>
        <w:t>精矿库</w:t>
      </w:r>
      <w:r>
        <w:rPr>
          <w:color w:val="000000" w:themeColor="text1"/>
          <w:kern w:val="0"/>
          <w:highlight w:val="none"/>
          <w14:textFill>
            <w14:solidFill>
              <w14:schemeClr w14:val="tx1"/>
            </w14:solidFill>
          </w14:textFill>
        </w:rPr>
        <w:t>扬尘</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尾矿库扬尘、</w:t>
      </w:r>
      <w:r>
        <w:rPr>
          <w:rFonts w:hint="eastAsia"/>
          <w:color w:val="000000" w:themeColor="text1"/>
          <w:kern w:val="0"/>
          <w:highlight w:val="none"/>
          <w14:textFill>
            <w14:solidFill>
              <w14:schemeClr w14:val="tx1"/>
            </w14:solidFill>
          </w14:textFill>
        </w:rPr>
        <w:t>道路</w:t>
      </w:r>
      <w:r>
        <w:rPr>
          <w:color w:val="000000" w:themeColor="text1"/>
          <w:kern w:val="0"/>
          <w:highlight w:val="none"/>
          <w14:textFill>
            <w14:solidFill>
              <w14:schemeClr w14:val="tx1"/>
            </w14:solidFill>
          </w14:textFill>
        </w:rPr>
        <w:t>运输扬尘以及汽车尾气等。</w:t>
      </w:r>
    </w:p>
    <w:p w14:paraId="3075B3DE">
      <w:pPr>
        <w:pStyle w:val="10"/>
        <w:overflowPunct w:val="0"/>
        <w:topLinePunct/>
        <w:spacing w:after="0"/>
        <w:ind w:firstLine="480"/>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eastAsia" w:ascii="Times New Roman" w:hAnsi="Times New Roman"/>
          <w:color w:val="000000" w:themeColor="text1"/>
          <w:highlight w:val="none"/>
          <w:lang w:eastAsia="zh-CN"/>
          <w14:textFill>
            <w14:solidFill>
              <w14:schemeClr w14:val="tx1"/>
            </w14:solidFill>
          </w14:textFill>
        </w:rPr>
        <w:t>破碎筛分辊磨未收集</w:t>
      </w:r>
      <w:r>
        <w:rPr>
          <w:rFonts w:hint="eastAsia" w:ascii="Times New Roman" w:hAnsi="Times New Roman"/>
          <w:color w:val="000000" w:themeColor="text1"/>
          <w:highlight w:val="none"/>
          <w14:textFill>
            <w14:solidFill>
              <w14:schemeClr w14:val="tx1"/>
            </w14:solidFill>
          </w14:textFill>
        </w:rPr>
        <w:t>粉尘</w:t>
      </w:r>
    </w:p>
    <w:p w14:paraId="2A7902AE">
      <w:pPr>
        <w:overflowPunct w:val="0"/>
        <w:topLinePunct/>
        <w:ind w:firstLine="480"/>
        <w:rPr>
          <w:rFonts w:hint="default"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本项目破碎筛分及干选</w:t>
      </w:r>
      <w:r>
        <w:rPr>
          <w:rFonts w:hint="eastAsia" w:ascii="Times New Roman" w:hAnsi="Times New Roman"/>
          <w:color w:val="000000" w:themeColor="text1"/>
          <w:highlight w:val="none"/>
          <w:lang w:eastAsia="zh-CN"/>
          <w14:textFill>
            <w14:solidFill>
              <w14:schemeClr w14:val="tx1"/>
            </w14:solidFill>
          </w14:textFill>
        </w:rPr>
        <w:t>辊磨</w:t>
      </w:r>
      <w:r>
        <w:rPr>
          <w:rFonts w:hint="eastAsia" w:ascii="Times New Roman" w:hAnsi="Times New Roman"/>
          <w:color w:val="000000" w:themeColor="text1"/>
          <w:highlight w:val="none"/>
          <w:lang w:val="en-US" w:eastAsia="zh-CN"/>
          <w14:textFill>
            <w14:solidFill>
              <w14:schemeClr w14:val="tx1"/>
            </w14:solidFill>
          </w14:textFill>
        </w:rPr>
        <w:t>过程中未收集的粉尘量为</w:t>
      </w:r>
      <w:r>
        <w:rPr>
          <w:rFonts w:hint="eastAsia"/>
          <w:color w:val="000000" w:themeColor="text1"/>
          <w:highlight w:val="none"/>
          <w:lang w:val="en-US" w:eastAsia="zh-CN"/>
          <w14:textFill>
            <w14:solidFill>
              <w14:schemeClr w14:val="tx1"/>
            </w14:solidFill>
          </w14:textFill>
        </w:rPr>
        <w:t>49.665</w:t>
      </w:r>
      <w:r>
        <w:rPr>
          <w:rFonts w:hint="eastAsia" w:ascii="Times New Roman" w:hAnsi="Times New Roman"/>
          <w:color w:val="000000" w:themeColor="text1"/>
          <w:highlight w:val="none"/>
          <w:lang w:val="en-US" w:eastAsia="zh-CN"/>
          <w14:textFill>
            <w14:solidFill>
              <w14:schemeClr w14:val="tx1"/>
            </w14:solidFill>
          </w14:textFill>
        </w:rPr>
        <w:t>t/a，</w:t>
      </w:r>
      <w:r>
        <w:rPr>
          <w:rFonts w:hint="eastAsia"/>
          <w:color w:val="000000" w:themeColor="text1"/>
          <w:highlight w:val="none"/>
          <w:lang w:val="en-US" w:eastAsia="zh-CN"/>
          <w14:textFill>
            <w14:solidFill>
              <w14:schemeClr w14:val="tx1"/>
            </w14:solidFill>
          </w14:textFill>
        </w:rPr>
        <w:t>物料</w:t>
      </w:r>
      <w:r>
        <w:rPr>
          <w:rFonts w:hint="eastAsia" w:ascii="Times New Roman" w:hAnsi="Times New Roman"/>
          <w:color w:val="000000" w:themeColor="text1"/>
          <w:highlight w:val="none"/>
          <w:lang w:val="en-US" w:eastAsia="zh-CN"/>
          <w14:textFill>
            <w14:solidFill>
              <w14:schemeClr w14:val="tx1"/>
            </w14:solidFill>
          </w14:textFill>
        </w:rPr>
        <w:t>采取封闭皮带运输，车间内采取微雾抑尘系统降尘，</w:t>
      </w:r>
      <w:r>
        <w:rPr>
          <w:rFonts w:hint="eastAsia"/>
          <w:color w:val="000000" w:themeColor="text1"/>
          <w:kern w:val="0"/>
          <w:highlight w:val="none"/>
          <w:lang w:val="en-US" w:eastAsia="zh-CN"/>
          <w14:textFill>
            <w14:solidFill>
              <w14:schemeClr w14:val="tx1"/>
            </w14:solidFill>
          </w14:textFill>
        </w:rPr>
        <w:t>破碎筛分车间为封闭车间，无组织粉尘在封闭车间内的控制效率取99%，</w:t>
      </w:r>
      <w:r>
        <w:rPr>
          <w:rFonts w:hint="eastAsia" w:ascii="Times New Roman" w:hAnsi="Times New Roman"/>
          <w:color w:val="000000" w:themeColor="text1"/>
          <w:highlight w:val="none"/>
          <w:lang w:val="en-US" w:eastAsia="zh-CN"/>
          <w14:textFill>
            <w14:solidFill>
              <w14:schemeClr w14:val="tx1"/>
            </w14:solidFill>
          </w14:textFill>
        </w:rPr>
        <w:t>微雾抑尘</w:t>
      </w:r>
      <w:r>
        <w:rPr>
          <w:rFonts w:hint="eastAsia"/>
          <w:color w:val="000000" w:themeColor="text1"/>
          <w:highlight w:val="none"/>
          <w:lang w:val="en-US" w:eastAsia="zh-CN"/>
          <w14:textFill>
            <w14:solidFill>
              <w14:schemeClr w14:val="tx1"/>
            </w14:solidFill>
          </w14:textFill>
        </w:rPr>
        <w:t>效率取74%，</w:t>
      </w:r>
      <w:r>
        <w:rPr>
          <w:rFonts w:hint="eastAsia"/>
          <w:color w:val="000000" w:themeColor="text1"/>
          <w:kern w:val="0"/>
          <w:highlight w:val="none"/>
          <w:lang w:val="en-US" w:eastAsia="zh-CN"/>
          <w14:textFill>
            <w14:solidFill>
              <w14:schemeClr w14:val="tx1"/>
            </w14:solidFill>
          </w14:textFill>
        </w:rPr>
        <w:t>则破碎筛分车间无组织粉尘排放量为0.13t/a，其余49.435t/a粉尘在破碎筛分车间内沉降。</w:t>
      </w:r>
    </w:p>
    <w:p w14:paraId="53D4CCEE">
      <w:pPr>
        <w:pStyle w:val="10"/>
        <w:overflowPunct w:val="0"/>
        <w:topLinePunct/>
        <w:spacing w:after="0"/>
        <w:ind w:firstLine="48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磁选工序</w:t>
      </w:r>
      <w:r>
        <w:rPr>
          <w:rFonts w:hint="eastAsia" w:ascii="Times New Roman" w:hAnsi="Times New Roman"/>
          <w:color w:val="000000" w:themeColor="text1"/>
          <w:highlight w:val="none"/>
          <w:lang w:eastAsia="zh-CN"/>
          <w14:textFill>
            <w14:solidFill>
              <w14:schemeClr w14:val="tx1"/>
            </w14:solidFill>
          </w14:textFill>
        </w:rPr>
        <w:t>未收集</w:t>
      </w:r>
      <w:r>
        <w:rPr>
          <w:rFonts w:hint="eastAsia" w:ascii="Times New Roman" w:hAnsi="Times New Roman"/>
          <w:color w:val="000000" w:themeColor="text1"/>
          <w:highlight w:val="none"/>
          <w14:textFill>
            <w14:solidFill>
              <w14:schemeClr w14:val="tx1"/>
            </w14:solidFill>
          </w14:textFill>
        </w:rPr>
        <w:t>粉尘</w:t>
      </w:r>
    </w:p>
    <w:p w14:paraId="4C6D8B27">
      <w:pPr>
        <w:overflowPunct w:val="0"/>
        <w:topLinePunct/>
        <w:ind w:firstLine="480"/>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14:textFill>
            <w14:solidFill>
              <w14:schemeClr w14:val="tx1"/>
            </w14:solidFill>
          </w14:textFill>
        </w:rPr>
        <w:t>本项目</w:t>
      </w:r>
      <w:r>
        <w:rPr>
          <w:rFonts w:hint="eastAsia" w:ascii="Times New Roman" w:hAnsi="Times New Roman"/>
          <w:color w:val="000000" w:themeColor="text1"/>
          <w:highlight w:val="none"/>
          <w:lang w:val="en-US" w:eastAsia="zh-CN"/>
          <w14:textFill>
            <w14:solidFill>
              <w14:schemeClr w14:val="tx1"/>
            </w14:solidFill>
          </w14:textFill>
        </w:rPr>
        <w:t>磁选工序</w:t>
      </w:r>
      <w:r>
        <w:rPr>
          <w:rFonts w:hint="eastAsia"/>
          <w:color w:val="000000" w:themeColor="text1"/>
          <w:kern w:val="0"/>
          <w:highlight w:val="none"/>
          <w14:textFill>
            <w14:solidFill>
              <w14:schemeClr w14:val="tx1"/>
            </w14:solidFill>
          </w14:textFill>
        </w:rPr>
        <w:t>未收集的粉尘量为</w:t>
      </w:r>
      <w:r>
        <w:rPr>
          <w:rFonts w:hint="eastAsia"/>
          <w:color w:val="000000" w:themeColor="text1"/>
          <w:kern w:val="0"/>
          <w:highlight w:val="none"/>
          <w:lang w:val="en-US" w:eastAsia="zh-CN"/>
          <w14:textFill>
            <w14:solidFill>
              <w14:schemeClr w14:val="tx1"/>
            </w14:solidFill>
          </w14:textFill>
        </w:rPr>
        <w:t>128.678</w:t>
      </w:r>
      <w:r>
        <w:rPr>
          <w:rFonts w:hint="eastAsia"/>
          <w:color w:val="000000" w:themeColor="text1"/>
          <w:kern w:val="0"/>
          <w:highlight w:val="none"/>
          <w14:textFill>
            <w14:solidFill>
              <w14:schemeClr w14:val="tx1"/>
            </w14:solidFill>
          </w14:textFill>
        </w:rPr>
        <w:t>t/a</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磁选</w:t>
      </w:r>
      <w:r>
        <w:rPr>
          <w:rFonts w:hint="eastAsia"/>
          <w:color w:val="000000" w:themeColor="text1"/>
          <w:kern w:val="0"/>
          <w:highlight w:val="none"/>
          <w14:textFill>
            <w14:solidFill>
              <w14:schemeClr w14:val="tx1"/>
            </w14:solidFill>
          </w14:textFill>
        </w:rPr>
        <w:t>车间</w:t>
      </w:r>
      <w:r>
        <w:rPr>
          <w:rFonts w:hint="eastAsia"/>
          <w:color w:val="000000" w:themeColor="text1"/>
          <w:kern w:val="0"/>
          <w:highlight w:val="none"/>
          <w:lang w:val="en-US" w:eastAsia="zh-CN"/>
          <w14:textFill>
            <w14:solidFill>
              <w14:schemeClr w14:val="tx1"/>
            </w14:solidFill>
          </w14:textFill>
        </w:rPr>
        <w:t>为封闭车间，</w:t>
      </w:r>
      <w:r>
        <w:rPr>
          <w:color w:val="000000" w:themeColor="text1"/>
          <w:highlight w:val="none"/>
          <w14:textFill>
            <w14:solidFill>
              <w14:schemeClr w14:val="tx1"/>
            </w14:solidFill>
          </w14:textFill>
        </w:rPr>
        <w:t>设计微雾抑尘系统</w:t>
      </w:r>
      <w:r>
        <w:rPr>
          <w:rFonts w:hint="eastAsia"/>
          <w:color w:val="000000" w:themeColor="text1"/>
          <w:highlight w:val="none"/>
          <w14:textFill>
            <w14:solidFill>
              <w14:schemeClr w14:val="tx1"/>
            </w14:solidFill>
          </w14:textFill>
        </w:rPr>
        <w:t>降尘</w:t>
      </w:r>
      <w:r>
        <w:rPr>
          <w:color w:val="000000" w:themeColor="text1"/>
          <w:kern w:val="0"/>
          <w:szCs w:val="2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无组织粉尘在封闭车间内的控制效率取99%，</w:t>
      </w:r>
      <w:r>
        <w:rPr>
          <w:rFonts w:hint="eastAsia" w:ascii="Times New Roman" w:hAnsi="Times New Roman"/>
          <w:color w:val="000000" w:themeColor="text1"/>
          <w:highlight w:val="none"/>
          <w:lang w:val="en-US" w:eastAsia="zh-CN"/>
          <w14:textFill>
            <w14:solidFill>
              <w14:schemeClr w14:val="tx1"/>
            </w14:solidFill>
          </w14:textFill>
        </w:rPr>
        <w:t>微雾抑尘</w:t>
      </w:r>
      <w:r>
        <w:rPr>
          <w:rFonts w:hint="eastAsia"/>
          <w:color w:val="000000" w:themeColor="text1"/>
          <w:highlight w:val="none"/>
          <w:lang w:val="en-US" w:eastAsia="zh-CN"/>
          <w14:textFill>
            <w14:solidFill>
              <w14:schemeClr w14:val="tx1"/>
            </w14:solidFill>
          </w14:textFill>
        </w:rPr>
        <w:t>效率取74%，</w:t>
      </w:r>
      <w:r>
        <w:rPr>
          <w:rFonts w:hint="eastAsia"/>
          <w:color w:val="000000" w:themeColor="text1"/>
          <w:kern w:val="0"/>
          <w:highlight w:val="none"/>
          <w:lang w:val="en-US" w:eastAsia="zh-CN"/>
          <w14:textFill>
            <w14:solidFill>
              <w14:schemeClr w14:val="tx1"/>
            </w14:solidFill>
          </w14:textFill>
        </w:rPr>
        <w:t>则</w:t>
      </w:r>
      <w:r>
        <w:rPr>
          <w:rFonts w:hint="eastAsia"/>
          <w:color w:val="000000" w:themeColor="text1"/>
          <w:kern w:val="0"/>
          <w:highlight w:val="none"/>
          <w14:textFill>
            <w14:solidFill>
              <w14:schemeClr w14:val="tx1"/>
            </w14:solidFill>
          </w14:textFill>
        </w:rPr>
        <w:t>辊磨粉尘</w:t>
      </w:r>
      <w:r>
        <w:rPr>
          <w:rFonts w:hint="eastAsia"/>
          <w:color w:val="000000" w:themeColor="text1"/>
          <w:kern w:val="0"/>
          <w:szCs w:val="20"/>
          <w:highlight w:val="none"/>
          <w14:textFill>
            <w14:solidFill>
              <w14:schemeClr w14:val="tx1"/>
            </w14:solidFill>
          </w14:textFill>
        </w:rPr>
        <w:t>无组织削减量为</w:t>
      </w:r>
      <w:r>
        <w:rPr>
          <w:rFonts w:hint="eastAsia"/>
          <w:color w:val="000000" w:themeColor="text1"/>
          <w:kern w:val="0"/>
          <w:szCs w:val="20"/>
          <w:highlight w:val="none"/>
          <w:lang w:val="en-US" w:eastAsia="zh-CN"/>
          <w14:textFill>
            <w14:solidFill>
              <w14:schemeClr w14:val="tx1"/>
            </w14:solidFill>
          </w14:textFill>
        </w:rPr>
        <w:t>128.348</w:t>
      </w:r>
      <w:r>
        <w:rPr>
          <w:rFonts w:hint="eastAsia"/>
          <w:color w:val="000000" w:themeColor="text1"/>
          <w:kern w:val="0"/>
          <w:szCs w:val="20"/>
          <w:highlight w:val="none"/>
          <w14:textFill>
            <w14:solidFill>
              <w14:schemeClr w14:val="tx1"/>
            </w14:solidFill>
          </w14:textFill>
        </w:rPr>
        <w:t>t/a，</w:t>
      </w:r>
      <w:r>
        <w:rPr>
          <w:color w:val="000000" w:themeColor="text1"/>
          <w:kern w:val="0"/>
          <w:szCs w:val="20"/>
          <w:highlight w:val="none"/>
          <w14:textFill>
            <w14:solidFill>
              <w14:schemeClr w14:val="tx1"/>
            </w14:solidFill>
          </w14:textFill>
        </w:rPr>
        <w:t>无组织</w:t>
      </w:r>
      <w:r>
        <w:rPr>
          <w:rFonts w:hint="eastAsia"/>
          <w:color w:val="000000" w:themeColor="text1"/>
          <w:kern w:val="0"/>
          <w:szCs w:val="20"/>
          <w:highlight w:val="none"/>
          <w14:textFill>
            <w14:solidFill>
              <w14:schemeClr w14:val="tx1"/>
            </w14:solidFill>
          </w14:textFill>
        </w:rPr>
        <w:t>粉尘</w:t>
      </w:r>
      <w:r>
        <w:rPr>
          <w:color w:val="000000" w:themeColor="text1"/>
          <w:kern w:val="0"/>
          <w:szCs w:val="20"/>
          <w:highlight w:val="none"/>
          <w14:textFill>
            <w14:solidFill>
              <w14:schemeClr w14:val="tx1"/>
            </w14:solidFill>
          </w14:textFill>
        </w:rPr>
        <w:t>排放量为</w:t>
      </w:r>
      <w:r>
        <w:rPr>
          <w:rFonts w:hint="eastAsia"/>
          <w:color w:val="000000" w:themeColor="text1"/>
          <w:kern w:val="0"/>
          <w:szCs w:val="20"/>
          <w:highlight w:val="none"/>
          <w:lang w:val="en-US" w:eastAsia="zh-CN"/>
          <w14:textFill>
            <w14:solidFill>
              <w14:schemeClr w14:val="tx1"/>
            </w14:solidFill>
          </w14:textFill>
        </w:rPr>
        <w:t>0.33</w:t>
      </w:r>
      <w:r>
        <w:rPr>
          <w:color w:val="000000" w:themeColor="text1"/>
          <w:kern w:val="0"/>
          <w:szCs w:val="20"/>
          <w:highlight w:val="none"/>
          <w14:textFill>
            <w14:solidFill>
              <w14:schemeClr w14:val="tx1"/>
            </w14:solidFill>
          </w14:textFill>
        </w:rPr>
        <w:t>t/a。</w:t>
      </w:r>
    </w:p>
    <w:p w14:paraId="18FED3BD">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3</w:t>
      </w:r>
      <w:r>
        <w:rPr>
          <w:rFonts w:hint="eastAsia"/>
          <w:color w:val="000000" w:themeColor="text1"/>
          <w:kern w:val="0"/>
          <w:highlight w:val="none"/>
          <w14:textFill>
            <w14:solidFill>
              <w14:schemeClr w14:val="tx1"/>
            </w14:solidFill>
          </w14:textFill>
        </w:rPr>
        <w:t>）新建尾矿库扬尘</w:t>
      </w:r>
    </w:p>
    <w:p w14:paraId="78613BF6">
      <w:pPr>
        <w:overflowPunct w:val="0"/>
        <w:topLinePunct/>
        <w:ind w:firstLine="480"/>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新建尾矿</w:t>
      </w:r>
      <w:r>
        <w:rPr>
          <w:color w:val="000000" w:themeColor="text1"/>
          <w:kern w:val="0"/>
          <w:highlight w:val="none"/>
          <w14:textFill>
            <w14:solidFill>
              <w14:schemeClr w14:val="tx1"/>
            </w14:solidFill>
          </w14:textFill>
        </w:rPr>
        <w:t>库尾矿</w:t>
      </w:r>
      <w:r>
        <w:rPr>
          <w:rFonts w:hint="eastAsia"/>
          <w:color w:val="000000" w:themeColor="text1"/>
          <w:kern w:val="0"/>
          <w:highlight w:val="none"/>
          <w14:textFill>
            <w14:solidFill>
              <w14:schemeClr w14:val="tx1"/>
            </w14:solidFill>
          </w14:textFill>
        </w:rPr>
        <w:t>排矿方式为</w:t>
      </w:r>
      <w:r>
        <w:rPr>
          <w:rFonts w:hint="eastAsia"/>
          <w:color w:val="000000" w:themeColor="text1"/>
          <w:kern w:val="0"/>
          <w:highlight w:val="none"/>
          <w:lang w:eastAsia="zh-CN"/>
          <w14:textFill>
            <w14:solidFill>
              <w14:schemeClr w14:val="tx1"/>
            </w14:solidFill>
          </w14:textFill>
        </w:rPr>
        <w:t>干</w:t>
      </w:r>
      <w:r>
        <w:rPr>
          <w:rFonts w:hint="eastAsia"/>
          <w:color w:val="000000" w:themeColor="text1"/>
          <w:kern w:val="0"/>
          <w:highlight w:val="none"/>
          <w14:textFill>
            <w14:solidFill>
              <w14:schemeClr w14:val="tx1"/>
            </w14:solidFill>
          </w14:textFill>
        </w:rPr>
        <w:t>排，</w:t>
      </w:r>
      <w:r>
        <w:rPr>
          <w:rFonts w:hint="eastAsia"/>
          <w:color w:val="000000" w:themeColor="text1"/>
          <w:highlight w:val="none"/>
          <w14:textFill>
            <w14:solidFill>
              <w14:schemeClr w14:val="tx1"/>
            </w14:solidFill>
          </w14:textFill>
        </w:rPr>
        <w:t>尾</w:t>
      </w:r>
      <w:r>
        <w:rPr>
          <w:rFonts w:hint="eastAsia"/>
          <w:color w:val="000000" w:themeColor="text1"/>
          <w:highlight w:val="none"/>
          <w:lang w:val="en-US" w:eastAsia="zh-CN"/>
          <w14:textFill>
            <w14:solidFill>
              <w14:schemeClr w14:val="tx1"/>
            </w14:solidFill>
          </w14:textFill>
        </w:rPr>
        <w:t>矿</w:t>
      </w:r>
      <w:r>
        <w:rPr>
          <w:rFonts w:hint="eastAsia"/>
          <w:color w:val="000000" w:themeColor="text1"/>
          <w:highlight w:val="none"/>
          <w14:textFill>
            <w14:solidFill>
              <w14:schemeClr w14:val="tx1"/>
            </w14:solidFill>
          </w14:textFill>
        </w:rPr>
        <w:t>由固定式带式输送机送至尾矿库</w:t>
      </w:r>
      <w:r>
        <w:rPr>
          <w:rFonts w:hint="eastAsia"/>
          <w:color w:val="000000" w:themeColor="text1"/>
          <w:kern w:val="0"/>
          <w:highlight w:val="none"/>
          <w14:textFill>
            <w14:solidFill>
              <w14:schemeClr w14:val="tx1"/>
            </w14:solidFill>
          </w14:textFill>
        </w:rPr>
        <w:t>，</w:t>
      </w:r>
      <w:r>
        <w:rPr>
          <w:rFonts w:hint="eastAsia"/>
          <w:color w:val="000000" w:themeColor="text1"/>
          <w:highlight w:val="none"/>
          <w14:textFill>
            <w14:solidFill>
              <w14:schemeClr w14:val="tx1"/>
            </w14:solidFill>
          </w14:textFill>
        </w:rPr>
        <w:t>联合挖掘机尾矿在该分层作业平面内进行摊开、整平，尾渣要逐层压实</w:t>
      </w:r>
      <w:r>
        <w:rPr>
          <w:rFonts w:hint="eastAsia"/>
          <w:color w:val="000000" w:themeColor="text1"/>
          <w:highlight w:val="none"/>
          <w:lang w:eastAsia="zh-CN"/>
          <w14:textFill>
            <w14:solidFill>
              <w14:schemeClr w14:val="tx1"/>
            </w14:solidFill>
          </w14:textFill>
        </w:rPr>
        <w:t>。</w:t>
      </w:r>
      <w:r>
        <w:rPr>
          <w:rFonts w:hint="eastAsia"/>
          <w:color w:val="000000" w:themeColor="text1"/>
          <w:kern w:val="0"/>
          <w:highlight w:val="none"/>
          <w14:textFill>
            <w14:solidFill>
              <w14:schemeClr w14:val="tx1"/>
            </w14:solidFill>
          </w14:textFill>
        </w:rPr>
        <w:t>尾矿干重约</w:t>
      </w:r>
      <w:r>
        <w:rPr>
          <w:rFonts w:hint="eastAsia"/>
          <w:color w:val="000000" w:themeColor="text1"/>
          <w:kern w:val="0"/>
          <w:highlight w:val="none"/>
          <w:lang w:val="en-US" w:eastAsia="zh-CN"/>
          <w14:textFill>
            <w14:solidFill>
              <w14:schemeClr w14:val="tx1"/>
            </w14:solidFill>
          </w14:textFill>
        </w:rPr>
        <w:t>45.25</w:t>
      </w:r>
      <w:r>
        <w:rPr>
          <w:rFonts w:hint="eastAsia"/>
          <w:color w:val="000000" w:themeColor="text1"/>
          <w:highlight w:val="none"/>
          <w14:textFill>
            <w14:solidFill>
              <w14:schemeClr w14:val="tx1"/>
            </w14:solidFill>
          </w14:textFill>
        </w:rPr>
        <w:t>万</w:t>
      </w:r>
      <w:r>
        <w:rPr>
          <w:color w:val="000000" w:themeColor="text1"/>
          <w:kern w:val="0"/>
          <w:highlight w:val="none"/>
          <w14:textFill>
            <w14:solidFill>
              <w14:schemeClr w14:val="tx1"/>
            </w14:solidFill>
          </w14:textFill>
        </w:rPr>
        <w:t>t</w:t>
      </w:r>
      <w:r>
        <w:rPr>
          <w:rFonts w:hint="eastAsia"/>
          <w:color w:val="000000" w:themeColor="text1"/>
          <w:kern w:val="0"/>
          <w:highlight w:val="none"/>
          <w14:textFill>
            <w14:solidFill>
              <w14:schemeClr w14:val="tx1"/>
            </w14:solidFill>
          </w14:textFill>
        </w:rPr>
        <w:t>/a。</w:t>
      </w:r>
      <w:r>
        <w:rPr>
          <w:rFonts w:hint="eastAsia"/>
          <w:color w:val="000000" w:themeColor="text1"/>
          <w:highlight w:val="none"/>
          <w14:textFill>
            <w14:solidFill>
              <w14:schemeClr w14:val="tx1"/>
            </w14:solidFill>
          </w14:textFill>
        </w:rPr>
        <w:t>项目运营期，尾矿库的干坡面会产生扬尘，由于尾矿含有一定的水分，含水率约</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再辅助洒水降尘，</w:t>
      </w:r>
      <w:r>
        <w:rPr>
          <w:rFonts w:hint="eastAsia"/>
          <w:color w:val="000000" w:themeColor="text1"/>
          <w:highlight w:val="none"/>
          <w14:textFill>
            <w14:solidFill>
              <w14:schemeClr w14:val="tx1"/>
            </w14:solidFill>
          </w14:textFill>
        </w:rPr>
        <w:t>有效防止了尾矿起尘。</w:t>
      </w:r>
    </w:p>
    <w:p w14:paraId="36BE3277">
      <w:pPr>
        <w:pStyle w:val="10"/>
        <w:widowControl w:val="0"/>
        <w:overflowPunct w:val="0"/>
        <w:topLinePunct/>
        <w:spacing w:after="0"/>
        <w:ind w:firstLine="480"/>
        <w:jc w:val="center"/>
        <w:rPr>
          <w:rFonts w:ascii="Times New Roman" w:hAnsi="Times New Roman" w:cs="Times New Roman"/>
          <w:color w:val="000000" w:themeColor="text1"/>
          <w:kern w:val="2"/>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尾矿</w:t>
      </w:r>
      <w:r>
        <w:rPr>
          <w:rFonts w:hint="eastAsia" w:ascii="Times New Roman" w:hAnsi="Times New Roman" w:cs="Times New Roman"/>
          <w:color w:val="000000" w:themeColor="text1"/>
          <w:kern w:val="2"/>
          <w:highlight w:val="none"/>
          <w:lang w:eastAsia="zh-CN"/>
          <w14:textFill>
            <w14:solidFill>
              <w14:schemeClr w14:val="tx1"/>
            </w14:solidFill>
          </w14:textFill>
        </w:rPr>
        <w:t>库</w:t>
      </w:r>
      <w:r>
        <w:rPr>
          <w:rFonts w:ascii="Times New Roman" w:hAnsi="Times New Roman" w:cs="Times New Roman"/>
          <w:color w:val="000000" w:themeColor="text1"/>
          <w:kern w:val="2"/>
          <w:highlight w:val="none"/>
          <w14:textFill>
            <w14:solidFill>
              <w14:schemeClr w14:val="tx1"/>
            </w14:solidFill>
          </w14:textFill>
        </w:rPr>
        <w:t>起尘量的产生采用北京环科院与北大环境中心研究的经验公式，即：</w:t>
      </w:r>
    </w:p>
    <w:p w14:paraId="2D3FDFFB">
      <w:pPr>
        <w:pStyle w:val="10"/>
        <w:widowControl w:val="0"/>
        <w:overflowPunct w:val="0"/>
        <w:topLinePunct/>
        <w:spacing w:after="0"/>
        <w:ind w:firstLine="0" w:firstLineChars="0"/>
        <w:jc w:val="center"/>
        <w:rPr>
          <w:rFonts w:ascii="Times New Roman" w:hAnsi="Times New Roman" w:cs="Times New Roman"/>
          <w:color w:val="000000" w:themeColor="text1"/>
          <w:kern w:val="2"/>
          <w:highlight w:val="none"/>
          <w14:textFill>
            <w14:solidFill>
              <w14:schemeClr w14:val="tx1"/>
            </w14:solidFill>
          </w14:textFill>
        </w:rPr>
      </w:pPr>
      <w:r>
        <w:rPr>
          <w:rFonts w:hint="eastAsia" w:ascii="Times New Roman" w:hAnsi="Times New Roman" w:cs="Times New Roman"/>
          <w:color w:val="000000" w:themeColor="text1"/>
          <w:kern w:val="2"/>
          <w:highlight w:val="none"/>
          <w14:textFill>
            <w14:solidFill>
              <w14:schemeClr w14:val="tx1"/>
            </w14:solidFill>
          </w14:textFill>
        </w:rPr>
        <w:t>E=k（0.0008535）U</w:t>
      </w:r>
      <w:r>
        <w:rPr>
          <w:rFonts w:hint="eastAsia" w:ascii="Times New Roman" w:hAnsi="Times New Roman" w:cs="Times New Roman"/>
          <w:color w:val="000000" w:themeColor="text1"/>
          <w:kern w:val="2"/>
          <w:highlight w:val="none"/>
          <w:vertAlign w:val="superscript"/>
          <w14:textFill>
            <w14:solidFill>
              <w14:schemeClr w14:val="tx1"/>
            </w14:solidFill>
          </w14:textFill>
        </w:rPr>
        <w:t>3.22</w:t>
      </w:r>
      <w:r>
        <w:rPr>
          <w:rFonts w:hint="eastAsia" w:ascii="Times New Roman" w:hAnsi="Times New Roman" w:cs="Times New Roman"/>
          <w:color w:val="000000" w:themeColor="text1"/>
          <w:kern w:val="2"/>
          <w:highlight w:val="none"/>
          <w14:textFill>
            <w14:solidFill>
              <w14:schemeClr w14:val="tx1"/>
            </w14:solidFill>
          </w14:textFill>
        </w:rPr>
        <w:t>e</w:t>
      </w:r>
      <w:r>
        <w:rPr>
          <w:rFonts w:hint="eastAsia" w:ascii="Times New Roman" w:hAnsi="Times New Roman" w:cs="Times New Roman"/>
          <w:color w:val="000000" w:themeColor="text1"/>
          <w:kern w:val="2"/>
          <w:highlight w:val="none"/>
          <w:vertAlign w:val="superscript"/>
          <w14:textFill>
            <w14:solidFill>
              <w14:schemeClr w14:val="tx1"/>
            </w14:solidFill>
          </w14:textFill>
        </w:rPr>
        <w:t>-0.2W</w:t>
      </w:r>
    </w:p>
    <w:p w14:paraId="3BC718D2">
      <w:pPr>
        <w:pStyle w:val="10"/>
        <w:widowControl w:val="0"/>
        <w:overflowPunct w:val="0"/>
        <w:topLinePunct/>
        <w:spacing w:after="0"/>
        <w:ind w:firstLine="480"/>
        <w:jc w:val="both"/>
        <w:rPr>
          <w:rFonts w:ascii="Times New Roman" w:hAnsi="Times New Roman" w:cs="Times New Roman"/>
          <w:color w:val="000000" w:themeColor="text1"/>
          <w:kern w:val="2"/>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式中：E—起尘量，kg/t（物料）</w:t>
      </w:r>
    </w:p>
    <w:p w14:paraId="76075377">
      <w:pPr>
        <w:pStyle w:val="10"/>
        <w:widowControl w:val="0"/>
        <w:overflowPunct w:val="0"/>
        <w:topLinePunct/>
        <w:spacing w:after="0"/>
        <w:ind w:firstLine="1200" w:firstLineChars="500"/>
        <w:jc w:val="both"/>
        <w:rPr>
          <w:rFonts w:ascii="Times New Roman" w:hAnsi="Times New Roman" w:cs="Times New Roman"/>
          <w:color w:val="000000" w:themeColor="text1"/>
          <w:kern w:val="2"/>
          <w:highlight w:val="none"/>
          <w14:textFill>
            <w14:solidFill>
              <w14:schemeClr w14:val="tx1"/>
            </w14:solidFill>
          </w14:textFill>
        </w:rPr>
      </w:pPr>
      <w:r>
        <w:rPr>
          <w:rFonts w:hint="eastAsia" w:ascii="Times New Roman" w:hAnsi="Times New Roman" w:cs="Times New Roman"/>
          <w:color w:val="000000" w:themeColor="text1"/>
          <w:kern w:val="2"/>
          <w:highlight w:val="none"/>
          <w14:textFill>
            <w14:solidFill>
              <w14:schemeClr w14:val="tx1"/>
            </w14:solidFill>
          </w14:textFill>
        </w:rPr>
        <w:t>k</w:t>
      </w:r>
      <w:r>
        <w:rPr>
          <w:rFonts w:ascii="Times New Roman" w:hAnsi="Times New Roman" w:cs="Times New Roman"/>
          <w:color w:val="000000" w:themeColor="text1"/>
          <w:kern w:val="2"/>
          <w:highlight w:val="none"/>
          <w14:textFill>
            <w14:solidFill>
              <w14:schemeClr w14:val="tx1"/>
            </w14:solidFill>
          </w14:textFill>
        </w:rPr>
        <w:t>—输沙量；kg/m</w:t>
      </w:r>
      <w:r>
        <w:rPr>
          <w:rFonts w:hint="eastAsia" w:ascii="Times New Roman" w:hAnsi="Times New Roman" w:cs="Times New Roman"/>
          <w:color w:val="000000" w:themeColor="text1"/>
          <w:kern w:val="2"/>
          <w:highlight w:val="none"/>
          <w14:textFill>
            <w14:solidFill>
              <w14:schemeClr w14:val="tx1"/>
            </w14:solidFill>
          </w14:textFill>
        </w:rPr>
        <w:t>·</w:t>
      </w:r>
      <w:r>
        <w:rPr>
          <w:rFonts w:ascii="Times New Roman" w:hAnsi="Times New Roman" w:cs="Times New Roman"/>
          <w:color w:val="000000" w:themeColor="text1"/>
          <w:kern w:val="2"/>
          <w:highlight w:val="none"/>
          <w14:textFill>
            <w14:solidFill>
              <w14:schemeClr w14:val="tx1"/>
            </w14:solidFill>
          </w14:textFill>
        </w:rPr>
        <w:t>h</w:t>
      </w:r>
    </w:p>
    <w:p w14:paraId="6DEFDA26">
      <w:pPr>
        <w:pStyle w:val="10"/>
        <w:widowControl w:val="0"/>
        <w:overflowPunct w:val="0"/>
        <w:topLinePunct/>
        <w:spacing w:after="0"/>
        <w:ind w:firstLine="1200" w:firstLineChars="500"/>
        <w:jc w:val="both"/>
        <w:rPr>
          <w:rFonts w:ascii="Times New Roman" w:hAnsi="Times New Roman" w:cs="Times New Roman"/>
          <w:color w:val="000000" w:themeColor="text1"/>
          <w:kern w:val="2"/>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U—地面风速，m/s</w:t>
      </w:r>
    </w:p>
    <w:p w14:paraId="2C9631DA">
      <w:pPr>
        <w:pStyle w:val="10"/>
        <w:widowControl w:val="0"/>
        <w:overflowPunct w:val="0"/>
        <w:topLinePunct/>
        <w:spacing w:after="0"/>
        <w:ind w:firstLine="1200" w:firstLineChars="500"/>
        <w:jc w:val="both"/>
        <w:rPr>
          <w:rFonts w:ascii="Times New Roman" w:hAnsi="Times New Roman" w:cs="Times New Roman"/>
          <w:color w:val="000000" w:themeColor="text1"/>
          <w:kern w:val="2"/>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W—物料含水率，%</w:t>
      </w:r>
    </w:p>
    <w:p w14:paraId="3DF832C4">
      <w:pPr>
        <w:overflowPunct w:val="0"/>
        <w:topLinePunct/>
        <w:ind w:firstLine="480"/>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本次评价通过</w:t>
      </w:r>
      <w:r>
        <w:rPr>
          <w:color w:val="000000" w:themeColor="text1"/>
          <w:highlight w:val="none"/>
          <w14:textFill>
            <w14:solidFill>
              <w14:schemeClr w14:val="tx1"/>
            </w14:solidFill>
          </w14:textFill>
        </w:rPr>
        <w:t>类比同类尾矿砂的风洞试验，确定尾砂起动风速约为</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m/s，干滩尾矿砂含水率按1</w:t>
      </w:r>
      <w:r>
        <w:rPr>
          <w:rFonts w:hint="eastAsia"/>
          <w:color w:val="000000" w:themeColor="text1"/>
          <w:highlight w:val="none"/>
          <w:lang w:val="en-US" w:eastAsia="zh-CN"/>
          <w14:textFill>
            <w14:solidFill>
              <w14:schemeClr w14:val="tx1"/>
            </w14:solidFill>
          </w14:textFill>
        </w:rPr>
        <w:t>0</w:t>
      </w:r>
      <w:r>
        <w:rPr>
          <w:color w:val="000000" w:themeColor="text1"/>
          <w:highlight w:val="none"/>
          <w14:textFill>
            <w14:solidFill>
              <w14:schemeClr w14:val="tx1"/>
            </w14:solidFill>
          </w14:textFill>
        </w:rPr>
        <w:t>%计，不同风速下的输沙量见表</w:t>
      </w:r>
      <w:r>
        <w:rPr>
          <w:rFonts w:hint="eastAsia"/>
          <w:color w:val="000000" w:themeColor="text1"/>
          <w:highlight w:val="none"/>
          <w14:textFill>
            <w14:solidFill>
              <w14:schemeClr w14:val="tx1"/>
            </w14:solidFill>
          </w14:textFill>
        </w:rPr>
        <w:t>3.4-</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w:t>
      </w:r>
    </w:p>
    <w:p w14:paraId="192581DE">
      <w:pPr>
        <w:ind w:firstLine="0" w:firstLineChars="0"/>
        <w:jc w:val="center"/>
        <w:rPr>
          <w:b/>
          <w:color w:val="000000" w:themeColor="text1"/>
          <w:kern w:val="0"/>
          <w:highlight w:val="none"/>
          <w14:textFill>
            <w14:solidFill>
              <w14:schemeClr w14:val="tx1"/>
            </w14:solidFill>
          </w14:textFill>
        </w:rPr>
      </w:pPr>
      <w:r>
        <w:rPr>
          <w:rFonts w:hint="eastAsia"/>
          <w:b/>
          <w:color w:val="000000" w:themeColor="text1"/>
          <w:kern w:val="0"/>
          <w:highlight w:val="none"/>
          <w14:textFill>
            <w14:solidFill>
              <w14:schemeClr w14:val="tx1"/>
            </w14:solidFill>
          </w14:textFill>
        </w:rPr>
        <w:t>表</w:t>
      </w:r>
      <w:r>
        <w:rPr>
          <w:b/>
          <w:color w:val="000000" w:themeColor="text1"/>
          <w:kern w:val="0"/>
          <w:highlight w:val="none"/>
          <w14:textFill>
            <w14:solidFill>
              <w14:schemeClr w14:val="tx1"/>
            </w14:solidFill>
          </w14:textFill>
        </w:rPr>
        <w:t>3.</w:t>
      </w:r>
      <w:r>
        <w:rPr>
          <w:rFonts w:hint="eastAsia"/>
          <w:b/>
          <w:color w:val="000000" w:themeColor="text1"/>
          <w:kern w:val="0"/>
          <w:highlight w:val="none"/>
          <w14:textFill>
            <w14:solidFill>
              <w14:schemeClr w14:val="tx1"/>
            </w14:solidFill>
          </w14:textFill>
        </w:rPr>
        <w:t>4</w:t>
      </w:r>
      <w:r>
        <w:rPr>
          <w:b/>
          <w:color w:val="000000" w:themeColor="text1"/>
          <w:kern w:val="0"/>
          <w:highlight w:val="none"/>
          <w14:textFill>
            <w14:solidFill>
              <w14:schemeClr w14:val="tx1"/>
            </w14:solidFill>
          </w14:textFill>
        </w:rPr>
        <w:t>-</w:t>
      </w:r>
      <w:r>
        <w:rPr>
          <w:rFonts w:hint="eastAsia"/>
          <w:b/>
          <w:color w:val="000000" w:themeColor="text1"/>
          <w:kern w:val="0"/>
          <w:highlight w:val="none"/>
          <w:lang w:val="en-US" w:eastAsia="zh-CN"/>
          <w14:textFill>
            <w14:solidFill>
              <w14:schemeClr w14:val="tx1"/>
            </w14:solidFill>
          </w14:textFill>
        </w:rPr>
        <w:t>6</w:t>
      </w:r>
      <w:r>
        <w:rPr>
          <w:rFonts w:hint="eastAsia"/>
          <w:b/>
          <w:color w:val="000000" w:themeColor="text1"/>
          <w:kern w:val="0"/>
          <w:highlight w:val="none"/>
          <w14:textFill>
            <w14:solidFill>
              <w14:schemeClr w14:val="tx1"/>
            </w14:solidFill>
          </w14:textFill>
        </w:rPr>
        <w:t xml:space="preserve">    不同风速下的输沙量</w:t>
      </w:r>
    </w:p>
    <w:tbl>
      <w:tblPr>
        <w:tblStyle w:val="32"/>
        <w:tblW w:w="4998" w:type="pct"/>
        <w:jc w:val="center"/>
        <w:tblLayout w:type="autofit"/>
        <w:tblCellMar>
          <w:top w:w="0" w:type="dxa"/>
          <w:left w:w="0" w:type="dxa"/>
          <w:bottom w:w="0" w:type="dxa"/>
          <w:right w:w="0" w:type="dxa"/>
        </w:tblCellMar>
      </w:tblPr>
      <w:tblGrid>
        <w:gridCol w:w="1838"/>
        <w:gridCol w:w="1081"/>
        <w:gridCol w:w="1243"/>
        <w:gridCol w:w="1388"/>
        <w:gridCol w:w="1388"/>
        <w:gridCol w:w="1389"/>
      </w:tblGrid>
      <w:tr w14:paraId="37657225">
        <w:tblPrEx>
          <w:tblCellMar>
            <w:top w:w="0" w:type="dxa"/>
            <w:left w:w="0" w:type="dxa"/>
            <w:bottom w:w="0" w:type="dxa"/>
            <w:right w:w="0" w:type="dxa"/>
          </w:tblCellMar>
        </w:tblPrEx>
        <w:trPr>
          <w:trHeight w:val="340" w:hRule="atLeast"/>
          <w:jc w:val="center"/>
        </w:trPr>
        <w:tc>
          <w:tcPr>
            <w:tcW w:w="1103" w:type="pct"/>
            <w:tcBorders>
              <w:top w:val="single" w:color="000000" w:sz="12" w:space="0"/>
              <w:left w:val="single" w:color="000000" w:sz="12" w:space="0"/>
              <w:bottom w:val="single" w:color="000000" w:sz="6" w:space="0"/>
              <w:right w:val="single" w:color="000000" w:sz="6" w:space="0"/>
            </w:tcBorders>
            <w:vAlign w:val="center"/>
          </w:tcPr>
          <w:p w14:paraId="154EB11C">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风速（m/s）</w:t>
            </w:r>
          </w:p>
        </w:tc>
        <w:tc>
          <w:tcPr>
            <w:tcW w:w="649" w:type="pct"/>
            <w:tcBorders>
              <w:top w:val="single" w:color="000000" w:sz="12" w:space="0"/>
              <w:left w:val="single" w:color="000000" w:sz="6" w:space="0"/>
              <w:bottom w:val="single" w:color="000000" w:sz="6" w:space="0"/>
              <w:right w:val="single" w:color="000000" w:sz="6" w:space="0"/>
            </w:tcBorders>
            <w:vAlign w:val="center"/>
          </w:tcPr>
          <w:p w14:paraId="733AB05B">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746" w:type="pct"/>
            <w:tcBorders>
              <w:top w:val="single" w:color="000000" w:sz="12" w:space="0"/>
              <w:left w:val="single" w:color="000000" w:sz="6" w:space="0"/>
              <w:bottom w:val="single" w:color="000000" w:sz="6" w:space="0"/>
              <w:right w:val="single" w:color="000000" w:sz="6" w:space="0"/>
            </w:tcBorders>
            <w:vAlign w:val="center"/>
          </w:tcPr>
          <w:p w14:paraId="41D970E0">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p>
        </w:tc>
        <w:tc>
          <w:tcPr>
            <w:tcW w:w="833" w:type="pct"/>
            <w:tcBorders>
              <w:top w:val="single" w:color="000000" w:sz="12" w:space="0"/>
              <w:left w:val="single" w:color="000000" w:sz="6" w:space="0"/>
              <w:bottom w:val="single" w:color="000000" w:sz="6" w:space="0"/>
              <w:right w:val="single" w:color="000000" w:sz="6" w:space="0"/>
            </w:tcBorders>
            <w:vAlign w:val="center"/>
          </w:tcPr>
          <w:p w14:paraId="6B7056FC">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c>
          <w:tcPr>
            <w:tcW w:w="833" w:type="pct"/>
            <w:tcBorders>
              <w:top w:val="single" w:color="000000" w:sz="12" w:space="0"/>
              <w:left w:val="single" w:color="000000" w:sz="6" w:space="0"/>
              <w:bottom w:val="single" w:color="000000" w:sz="6" w:space="0"/>
              <w:right w:val="single" w:color="000000" w:sz="6" w:space="0"/>
            </w:tcBorders>
            <w:vAlign w:val="center"/>
          </w:tcPr>
          <w:p w14:paraId="2A917DAC">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12</w:t>
            </w:r>
          </w:p>
        </w:tc>
        <w:tc>
          <w:tcPr>
            <w:tcW w:w="834" w:type="pct"/>
            <w:tcBorders>
              <w:top w:val="single" w:color="000000" w:sz="12" w:space="0"/>
              <w:left w:val="single" w:color="000000" w:sz="6" w:space="0"/>
              <w:bottom w:val="single" w:color="000000" w:sz="6" w:space="0"/>
              <w:right w:val="single" w:color="000000" w:sz="12" w:space="0"/>
            </w:tcBorders>
            <w:vAlign w:val="center"/>
          </w:tcPr>
          <w:p w14:paraId="4C959166">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w:t>
            </w:r>
          </w:p>
        </w:tc>
      </w:tr>
      <w:tr w14:paraId="43DD79F7">
        <w:tblPrEx>
          <w:tblCellMar>
            <w:top w:w="0" w:type="dxa"/>
            <w:left w:w="0" w:type="dxa"/>
            <w:bottom w:w="0" w:type="dxa"/>
            <w:right w:w="0" w:type="dxa"/>
          </w:tblCellMar>
        </w:tblPrEx>
        <w:trPr>
          <w:trHeight w:val="340" w:hRule="atLeast"/>
          <w:jc w:val="center"/>
        </w:trPr>
        <w:tc>
          <w:tcPr>
            <w:tcW w:w="1103" w:type="pct"/>
            <w:tcBorders>
              <w:top w:val="single" w:color="000000" w:sz="6" w:space="0"/>
              <w:left w:val="single" w:color="000000" w:sz="12" w:space="0"/>
              <w:bottom w:val="single" w:color="000000" w:sz="12" w:space="0"/>
              <w:right w:val="single" w:color="000000" w:sz="6" w:space="0"/>
            </w:tcBorders>
            <w:vAlign w:val="center"/>
          </w:tcPr>
          <w:p w14:paraId="04CC4FC1">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输沙量</w:t>
            </w:r>
            <w:r>
              <w:rPr>
                <w:color w:val="000000" w:themeColor="text1"/>
                <w:spacing w:val="-1"/>
                <w:sz w:val="21"/>
                <w:szCs w:val="21"/>
                <w:highlight w:val="none"/>
                <w14:textFill>
                  <w14:solidFill>
                    <w14:schemeClr w14:val="tx1"/>
                  </w14:solidFill>
                </w14:textFill>
              </w:rPr>
              <w:t>（kg/m</w:t>
            </w:r>
            <w:r>
              <w:rPr>
                <w:rFonts w:hint="eastAsia"/>
                <w:color w:val="000000" w:themeColor="text1"/>
                <w:spacing w:val="-1"/>
                <w:sz w:val="21"/>
                <w:szCs w:val="21"/>
                <w:highlight w:val="none"/>
                <w:lang w:val="en-US" w:eastAsia="zh-CN"/>
                <w14:textFill>
                  <w14:solidFill>
                    <w14:schemeClr w14:val="tx1"/>
                  </w14:solidFill>
                </w14:textFill>
              </w:rPr>
              <w:t>·</w:t>
            </w:r>
            <w:r>
              <w:rPr>
                <w:color w:val="000000" w:themeColor="text1"/>
                <w:spacing w:val="-1"/>
                <w:sz w:val="21"/>
                <w:szCs w:val="21"/>
                <w:highlight w:val="none"/>
                <w14:textFill>
                  <w14:solidFill>
                    <w14:schemeClr w14:val="tx1"/>
                  </w14:solidFill>
                </w14:textFill>
              </w:rPr>
              <w:t>h）</w:t>
            </w:r>
          </w:p>
        </w:tc>
        <w:tc>
          <w:tcPr>
            <w:tcW w:w="649" w:type="pct"/>
            <w:tcBorders>
              <w:top w:val="single" w:color="000000" w:sz="6" w:space="0"/>
              <w:left w:val="single" w:color="000000" w:sz="6" w:space="0"/>
              <w:bottom w:val="single" w:color="000000" w:sz="12" w:space="0"/>
              <w:right w:val="single" w:color="000000" w:sz="6" w:space="0"/>
            </w:tcBorders>
            <w:vAlign w:val="center"/>
          </w:tcPr>
          <w:p w14:paraId="0CFE073E">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0.01</w:t>
            </w:r>
          </w:p>
        </w:tc>
        <w:tc>
          <w:tcPr>
            <w:tcW w:w="746" w:type="pct"/>
            <w:tcBorders>
              <w:top w:val="single" w:color="000000" w:sz="6" w:space="0"/>
              <w:left w:val="single" w:color="000000" w:sz="6" w:space="0"/>
              <w:bottom w:val="single" w:color="000000" w:sz="12" w:space="0"/>
              <w:right w:val="single" w:color="000000" w:sz="6" w:space="0"/>
            </w:tcBorders>
            <w:vAlign w:val="center"/>
          </w:tcPr>
          <w:p w14:paraId="5100299B">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5.20</w:t>
            </w:r>
          </w:p>
        </w:tc>
        <w:tc>
          <w:tcPr>
            <w:tcW w:w="833" w:type="pct"/>
            <w:tcBorders>
              <w:top w:val="single" w:color="000000" w:sz="6" w:space="0"/>
              <w:left w:val="single" w:color="000000" w:sz="6" w:space="0"/>
              <w:bottom w:val="single" w:color="000000" w:sz="12" w:space="0"/>
              <w:right w:val="single" w:color="000000" w:sz="6" w:space="0"/>
            </w:tcBorders>
            <w:vAlign w:val="center"/>
          </w:tcPr>
          <w:p w14:paraId="2FD04A79">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19.84</w:t>
            </w:r>
          </w:p>
        </w:tc>
        <w:tc>
          <w:tcPr>
            <w:tcW w:w="833" w:type="pct"/>
            <w:tcBorders>
              <w:top w:val="single" w:color="000000" w:sz="6" w:space="0"/>
              <w:left w:val="single" w:color="000000" w:sz="6" w:space="0"/>
              <w:bottom w:val="single" w:color="000000" w:sz="12" w:space="0"/>
              <w:right w:val="single" w:color="000000" w:sz="6" w:space="0"/>
            </w:tcBorders>
            <w:vAlign w:val="center"/>
          </w:tcPr>
          <w:p w14:paraId="5A404331">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44.0</w:t>
            </w:r>
          </w:p>
        </w:tc>
        <w:tc>
          <w:tcPr>
            <w:tcW w:w="834" w:type="pct"/>
            <w:tcBorders>
              <w:top w:val="single" w:color="000000" w:sz="6" w:space="0"/>
              <w:left w:val="single" w:color="000000" w:sz="6" w:space="0"/>
              <w:bottom w:val="single" w:color="000000" w:sz="12" w:space="0"/>
              <w:right w:val="single" w:color="000000" w:sz="12" w:space="0"/>
            </w:tcBorders>
            <w:vAlign w:val="center"/>
          </w:tcPr>
          <w:p w14:paraId="7AEEAAC6">
            <w:pPr>
              <w:pStyle w:val="45"/>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97.7</w:t>
            </w:r>
          </w:p>
        </w:tc>
      </w:tr>
    </w:tbl>
    <w:p w14:paraId="4EB9F10E">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highlight w:val="none"/>
          <w14:textFill>
            <w14:solidFill>
              <w14:schemeClr w14:val="tx1"/>
            </w14:solidFill>
          </w14:textFill>
        </w:rPr>
        <w:t>根据不同风速下的输沙量和本地区年主导风向发生的小时数，就可计算出尾矿库扬尘量。本项目所在区年平均风速为</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m/s，环评选用风速为6.0m/s时的输送量，其输沙量为0.01kg/（m·h），本尾矿库年排放尾砂量为</w:t>
      </w:r>
      <w:r>
        <w:rPr>
          <w:color w:val="000000" w:themeColor="text1"/>
          <w:highlight w:val="none"/>
          <w14:textFill>
            <w14:solidFill>
              <w14:schemeClr w14:val="tx1"/>
            </w14:solidFill>
          </w14:textFill>
        </w:rPr>
        <w:t>219.05</w:t>
      </w:r>
      <w:r>
        <w:rPr>
          <w:rFonts w:hint="eastAsia"/>
          <w:color w:val="000000" w:themeColor="text1"/>
          <w:highlight w:val="none"/>
          <w14:textFill>
            <w14:solidFill>
              <w14:schemeClr w14:val="tx1"/>
            </w14:solidFill>
          </w14:textFill>
        </w:rPr>
        <w:t>万t/a，由此计算出尾矿库起尘量为0.</w:t>
      </w:r>
      <w:r>
        <w:rPr>
          <w:rFonts w:hint="eastAsia"/>
          <w:color w:val="000000" w:themeColor="text1"/>
          <w:highlight w:val="none"/>
          <w:lang w:val="en-US" w:eastAsia="zh-CN"/>
          <w14:textFill>
            <w14:solidFill>
              <w14:schemeClr w14:val="tx1"/>
            </w14:solidFill>
          </w14:textFill>
        </w:rPr>
        <w:t>18</w:t>
      </w:r>
      <w:r>
        <w:rPr>
          <w:rFonts w:hint="eastAsia"/>
          <w:color w:val="000000" w:themeColor="text1"/>
          <w:highlight w:val="none"/>
          <w14:textFill>
            <w14:solidFill>
              <w14:schemeClr w14:val="tx1"/>
            </w14:solidFill>
          </w14:textFill>
        </w:rPr>
        <w:t>t/a。</w:t>
      </w:r>
    </w:p>
    <w:p w14:paraId="544A7A25">
      <w:pPr>
        <w:overflowPunct w:val="0"/>
        <w:topLinePunct/>
        <w:ind w:firstLine="480"/>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4）原矿仓粉尘</w:t>
      </w:r>
    </w:p>
    <w:p w14:paraId="5A5F7835">
      <w:pPr>
        <w:overflowPunct w:val="0"/>
        <w:topLinePunct/>
        <w:ind w:firstLine="480"/>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矿山采出原矿石在选矿厂原矿仓内临时储存，原矿仓封闭式设计。原矿仓堆存和装卸过程产生的颗粒物产生量参照《排放源统计调查产排污核算方法和系数手册》中的《固体物料堆存颗粒物产排污核算系数手册》的颗粒物产生量核算公式计算。</w:t>
      </w:r>
    </w:p>
    <w:p w14:paraId="49D016E5">
      <w:pPr>
        <w:pStyle w:val="7"/>
        <w:spacing w:line="480" w:lineRule="exact"/>
        <w:ind w:firstLine="480"/>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颗粒物产生量核算公式：</w:t>
      </w:r>
    </w:p>
    <w:p w14:paraId="034D882B">
      <w:pPr>
        <w:pStyle w:val="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4"/>
          <w:szCs w:val="24"/>
          <w:lang w:eastAsia="zh-C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drawing>
          <wp:inline distT="0" distB="0" distL="114300" distR="114300">
            <wp:extent cx="3914775" cy="281940"/>
            <wp:effectExtent l="0" t="0" r="1905" b="7620"/>
            <wp:docPr id="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0"/>
                    <pic:cNvPicPr>
                      <a:picLocks noChangeAspect="1"/>
                    </pic:cNvPicPr>
                  </pic:nvPicPr>
                  <pic:blipFill>
                    <a:blip r:embed="rId23"/>
                    <a:srcRect t="17681" b="17971"/>
                    <a:stretch>
                      <a:fillRect/>
                    </a:stretch>
                  </pic:blipFill>
                  <pic:spPr>
                    <a:xfrm>
                      <a:off x="0" y="0"/>
                      <a:ext cx="3914775" cy="281940"/>
                    </a:xfrm>
                    <a:prstGeom prst="rect">
                      <a:avLst/>
                    </a:prstGeom>
                    <a:noFill/>
                    <a:ln>
                      <a:noFill/>
                    </a:ln>
                  </pic:spPr>
                </pic:pic>
              </a:graphicData>
            </a:graphic>
          </wp:inline>
        </w:drawing>
      </w:r>
    </w:p>
    <w:p w14:paraId="73CF6C66">
      <w:pPr>
        <w:pStyle w:val="7"/>
        <w:spacing w:line="480" w:lineRule="exact"/>
        <w:ind w:firstLine="480"/>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计算参数：P——颗粒物产生量（t）；</w:t>
      </w:r>
    </w:p>
    <w:p w14:paraId="6F4DBFEF">
      <w:pPr>
        <w:pStyle w:val="7"/>
        <w:spacing w:line="480" w:lineRule="exact"/>
        <w:ind w:firstLine="480"/>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ZC</w:t>
      </w:r>
      <w:r>
        <w:rPr>
          <w:rFonts w:hint="eastAsia" w:ascii="Times New Roman" w:hAnsi="Times New Roman"/>
          <w:color w:val="000000" w:themeColor="text1"/>
          <w:sz w:val="24"/>
          <w:szCs w:val="24"/>
          <w:vertAlign w:val="subscript"/>
          <w14:textFill>
            <w14:solidFill>
              <w14:schemeClr w14:val="tx1"/>
            </w14:solidFill>
          </w14:textFill>
        </w:rPr>
        <w:t>y</w:t>
      </w:r>
      <w:r>
        <w:rPr>
          <w:rFonts w:hint="eastAsia" w:ascii="Times New Roman" w:hAnsi="Times New Roman"/>
          <w:color w:val="000000" w:themeColor="text1"/>
          <w:sz w:val="24"/>
          <w:szCs w:val="24"/>
          <w14:textFill>
            <w14:solidFill>
              <w14:schemeClr w14:val="tx1"/>
            </w14:solidFill>
          </w14:textFill>
        </w:rPr>
        <w:t>——装卸扬尘产生量（t）；</w:t>
      </w:r>
    </w:p>
    <w:p w14:paraId="13D8A1EE">
      <w:pPr>
        <w:pStyle w:val="7"/>
        <w:spacing w:line="480" w:lineRule="exact"/>
        <w:ind w:firstLine="480"/>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FC</w:t>
      </w:r>
      <w:r>
        <w:rPr>
          <w:rFonts w:hint="eastAsia" w:ascii="Times New Roman" w:hAnsi="Times New Roman"/>
          <w:color w:val="000000" w:themeColor="text1"/>
          <w:sz w:val="24"/>
          <w:szCs w:val="24"/>
          <w:vertAlign w:val="subscript"/>
          <w14:textFill>
            <w14:solidFill>
              <w14:schemeClr w14:val="tx1"/>
            </w14:solidFill>
          </w14:textFill>
        </w:rPr>
        <w:t>y</w:t>
      </w:r>
      <w:r>
        <w:rPr>
          <w:rFonts w:hint="eastAsia" w:ascii="Times New Roman" w:hAnsi="Times New Roman"/>
          <w:color w:val="000000" w:themeColor="text1"/>
          <w:sz w:val="24"/>
          <w:szCs w:val="24"/>
          <w14:textFill>
            <w14:solidFill>
              <w14:schemeClr w14:val="tx1"/>
            </w14:solidFill>
          </w14:textFill>
        </w:rPr>
        <w:t>——风蚀扬尘产生量（t）；</w:t>
      </w:r>
    </w:p>
    <w:p w14:paraId="2D308EE0">
      <w:pPr>
        <w:pStyle w:val="7"/>
        <w:spacing w:line="480" w:lineRule="exact"/>
        <w:ind w:firstLine="480"/>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N</w:t>
      </w:r>
      <w:r>
        <w:rPr>
          <w:rFonts w:hint="eastAsia" w:ascii="Times New Roman" w:hAnsi="Times New Roman"/>
          <w:color w:val="000000" w:themeColor="text1"/>
          <w:sz w:val="24"/>
          <w:szCs w:val="24"/>
          <w:vertAlign w:val="subscript"/>
          <w14:textFill>
            <w14:solidFill>
              <w14:schemeClr w14:val="tx1"/>
            </w14:solidFill>
          </w14:textFill>
        </w:rPr>
        <w:t>c</w:t>
      </w:r>
      <w:r>
        <w:rPr>
          <w:rFonts w:hint="eastAsia" w:ascii="Times New Roman" w:hAnsi="Times New Roman"/>
          <w:color w:val="000000" w:themeColor="text1"/>
          <w:sz w:val="24"/>
          <w:szCs w:val="24"/>
          <w14:textFill>
            <w14:solidFill>
              <w14:schemeClr w14:val="tx1"/>
            </w14:solidFill>
          </w14:textFill>
        </w:rPr>
        <w:t>——年物料运载车次（车）；</w:t>
      </w:r>
    </w:p>
    <w:p w14:paraId="35937B9D">
      <w:pPr>
        <w:pStyle w:val="7"/>
        <w:spacing w:line="480" w:lineRule="exact"/>
        <w:ind w:firstLine="480"/>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D——单车平均运载量（t/车）；</w:t>
      </w:r>
    </w:p>
    <w:p w14:paraId="49FE78B2">
      <w:pPr>
        <w:pStyle w:val="7"/>
        <w:spacing w:line="480" w:lineRule="exact"/>
        <w:ind w:firstLine="480"/>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（a/b）——装卸扬尘概化系数（kg/t），a指各省风速概化系数（查表取0.0011），b指物料含水率概化系数（查表取0.00</w:t>
      </w:r>
      <w:r>
        <w:rPr>
          <w:rFonts w:hint="eastAsia" w:ascii="Times New Roman" w:hAnsi="Times New Roman"/>
          <w:color w:val="000000" w:themeColor="text1"/>
          <w:sz w:val="24"/>
          <w:szCs w:val="24"/>
          <w:lang w:val="en-US" w:eastAsia="zh-CN"/>
          <w14:textFill>
            <w14:solidFill>
              <w14:schemeClr w14:val="tx1"/>
            </w14:solidFill>
          </w14:textFill>
        </w:rPr>
        <w:t>7</w:t>
      </w:r>
      <w:r>
        <w:rPr>
          <w:rFonts w:hint="eastAsia" w:ascii="Times New Roman" w:hAnsi="Times New Roman"/>
          <w:color w:val="000000" w:themeColor="text1"/>
          <w:sz w:val="24"/>
          <w:szCs w:val="24"/>
          <w14:textFill>
            <w14:solidFill>
              <w14:schemeClr w14:val="tx1"/>
            </w14:solidFill>
          </w14:textFill>
        </w:rPr>
        <w:t>4）；</w:t>
      </w:r>
    </w:p>
    <w:p w14:paraId="5B84590A">
      <w:pPr>
        <w:pStyle w:val="7"/>
        <w:spacing w:line="480" w:lineRule="exact"/>
        <w:ind w:firstLine="480"/>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E</w:t>
      </w:r>
      <w:r>
        <w:rPr>
          <w:rFonts w:hint="eastAsia" w:ascii="Times New Roman" w:hAnsi="Times New Roman"/>
          <w:color w:val="000000" w:themeColor="text1"/>
          <w:sz w:val="24"/>
          <w:szCs w:val="24"/>
          <w:vertAlign w:val="subscript"/>
          <w14:textFill>
            <w14:solidFill>
              <w14:schemeClr w14:val="tx1"/>
            </w14:solidFill>
          </w14:textFill>
        </w:rPr>
        <w:t>f</w:t>
      </w:r>
      <w:r>
        <w:rPr>
          <w:rFonts w:hint="eastAsia" w:ascii="Times New Roman" w:hAnsi="Times New Roman"/>
          <w:color w:val="000000" w:themeColor="text1"/>
          <w:sz w:val="24"/>
          <w:szCs w:val="24"/>
          <w14:textFill>
            <w14:solidFill>
              <w14:schemeClr w14:val="tx1"/>
            </w14:solidFill>
          </w14:textFill>
        </w:rPr>
        <w:t>——堆场风蚀扬尘概化系数（查表取0）；</w:t>
      </w:r>
    </w:p>
    <w:p w14:paraId="2E8BD5AF">
      <w:pPr>
        <w:overflowPunct w:val="0"/>
        <w:topLinePunct/>
        <w:ind w:firstLine="480"/>
        <w:rPr>
          <w:rFonts w:hint="eastAsia"/>
          <w:color w:val="000000" w:themeColor="text1"/>
          <w:kern w:val="0"/>
          <w:highlight w:val="none"/>
          <w:lang w:val="en-US" w:eastAsia="zh-CN"/>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S——堆场占地面积（m</w:t>
      </w:r>
      <w:r>
        <w:rPr>
          <w:rFonts w:hint="eastAsia" w:ascii="Times New Roman" w:hAnsi="Times New Roman"/>
          <w:color w:val="000000" w:themeColor="text1"/>
          <w:sz w:val="24"/>
          <w:szCs w:val="24"/>
          <w:vertAlign w:val="superscript"/>
          <w14:textFill>
            <w14:solidFill>
              <w14:schemeClr w14:val="tx1"/>
            </w14:solidFill>
          </w14:textFill>
        </w:rPr>
        <w:t>2</w: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取100</w:t>
      </w:r>
      <w:r>
        <w:rPr>
          <w:rFonts w:hint="eastAsia" w:ascii="Times New Roman" w:hAnsi="Times New Roman"/>
          <w:color w:val="000000" w:themeColor="text1"/>
          <w:sz w:val="24"/>
          <w:szCs w:val="24"/>
          <w14:textFill>
            <w14:solidFill>
              <w14:schemeClr w14:val="tx1"/>
            </w14:solidFill>
          </w14:textFill>
        </w:rPr>
        <w:t>。</w:t>
      </w:r>
    </w:p>
    <w:p w14:paraId="303EB1C9">
      <w:pPr>
        <w:overflowPunct w:val="0"/>
        <w:topLinePunct/>
        <w:ind w:firstLine="480"/>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本项目年装卸原矿量90万吨，经计算，本项目运营期原矿仓粉尘产生量约133.78t/a（18.58kg/h）。</w:t>
      </w:r>
    </w:p>
    <w:p w14:paraId="1D2DE75F">
      <w:pPr>
        <w:overflowPunct w:val="0"/>
        <w:topLinePunct/>
        <w:ind w:firstLine="480"/>
        <w:rPr>
          <w:rFonts w:hint="eastAsia"/>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工业企业固体物料堆场颗粒物排放量核算公式如下：</w:t>
      </w:r>
    </w:p>
    <w:p w14:paraId="2DAE68B3">
      <w:pPr>
        <w:overflowPunct w:val="0"/>
        <w:topLinePunct/>
        <w:ind w:left="0" w:leftChars="0" w:firstLine="0" w:firstLineChars="0"/>
        <w:jc w:val="center"/>
        <w:rPr>
          <w:rFonts w:hint="eastAsia"/>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U</w:t>
      </w:r>
      <w:r>
        <w:rPr>
          <w:rFonts w:hint="eastAsia"/>
          <w:color w:val="000000" w:themeColor="text1"/>
          <w:kern w:val="0"/>
          <w:highlight w:val="none"/>
          <w:vertAlign w:val="subscript"/>
          <w:lang w:val="en-US" w:eastAsia="zh-CN"/>
          <w14:textFill>
            <w14:solidFill>
              <w14:schemeClr w14:val="tx1"/>
            </w14:solidFill>
          </w14:textFill>
        </w:rPr>
        <w:t>c</w:t>
      </w:r>
      <w:r>
        <w:rPr>
          <w:rFonts w:hint="eastAsia"/>
          <w:color w:val="000000" w:themeColor="text1"/>
          <w:kern w:val="0"/>
          <w:highlight w:val="none"/>
          <w:lang w:val="en-US" w:eastAsia="zh-CN"/>
          <w14:textFill>
            <w14:solidFill>
              <w14:schemeClr w14:val="tx1"/>
            </w14:solidFill>
          </w14:textFill>
        </w:rPr>
        <w:t>=P×（1-C</w:t>
      </w:r>
      <w:r>
        <w:rPr>
          <w:rFonts w:hint="eastAsia"/>
          <w:color w:val="000000" w:themeColor="text1"/>
          <w:kern w:val="0"/>
          <w:highlight w:val="none"/>
          <w:vertAlign w:val="subscript"/>
          <w:lang w:val="en-US" w:eastAsia="zh-CN"/>
          <w14:textFill>
            <w14:solidFill>
              <w14:schemeClr w14:val="tx1"/>
            </w14:solidFill>
          </w14:textFill>
        </w:rPr>
        <w:t>m</w:t>
      </w:r>
      <w:r>
        <w:rPr>
          <w:rFonts w:hint="eastAsia"/>
          <w:color w:val="000000" w:themeColor="text1"/>
          <w:kern w:val="0"/>
          <w:highlight w:val="none"/>
          <w:lang w:val="en-US" w:eastAsia="zh-CN"/>
          <w14:textFill>
            <w14:solidFill>
              <w14:schemeClr w14:val="tx1"/>
            </w14:solidFill>
          </w14:textFill>
        </w:rPr>
        <w:t>）×（1-T</w:t>
      </w:r>
      <w:r>
        <w:rPr>
          <w:rFonts w:hint="eastAsia"/>
          <w:color w:val="000000" w:themeColor="text1"/>
          <w:kern w:val="0"/>
          <w:highlight w:val="none"/>
          <w:vertAlign w:val="subscript"/>
          <w:lang w:val="en-US" w:eastAsia="zh-CN"/>
          <w14:textFill>
            <w14:solidFill>
              <w14:schemeClr w14:val="tx1"/>
            </w14:solidFill>
          </w14:textFill>
        </w:rPr>
        <w:t>m</w:t>
      </w:r>
      <w:r>
        <w:rPr>
          <w:rFonts w:hint="eastAsia"/>
          <w:color w:val="000000" w:themeColor="text1"/>
          <w:kern w:val="0"/>
          <w:highlight w:val="none"/>
          <w:lang w:val="en-US" w:eastAsia="zh-CN"/>
          <w14:textFill>
            <w14:solidFill>
              <w14:schemeClr w14:val="tx1"/>
            </w14:solidFill>
          </w14:textFill>
        </w:rPr>
        <w:t>）</w:t>
      </w:r>
    </w:p>
    <w:p w14:paraId="7C2997D5">
      <w:pPr>
        <w:overflowPunct w:val="0"/>
        <w:topLinePunct/>
        <w:ind w:firstLine="480"/>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式中：P——颗粒物产生量（单位：吨）；</w:t>
      </w:r>
    </w:p>
    <w:p w14:paraId="139DC3EE">
      <w:pPr>
        <w:overflowPunct w:val="0"/>
        <w:topLinePunct/>
        <w:ind w:firstLine="480"/>
        <w:rPr>
          <w:rFonts w:hint="eastAsia"/>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U</w:t>
      </w:r>
      <w:r>
        <w:rPr>
          <w:rFonts w:hint="eastAsia"/>
          <w:color w:val="000000" w:themeColor="text1"/>
          <w:kern w:val="0"/>
          <w:highlight w:val="none"/>
          <w:vertAlign w:val="subscript"/>
          <w:lang w:val="en-US" w:eastAsia="zh-CN"/>
          <w14:textFill>
            <w14:solidFill>
              <w14:schemeClr w14:val="tx1"/>
            </w14:solidFill>
          </w14:textFill>
        </w:rPr>
        <w:t>c</w:t>
      </w:r>
      <w:r>
        <w:rPr>
          <w:rFonts w:hint="eastAsia"/>
          <w:color w:val="000000" w:themeColor="text1"/>
          <w:kern w:val="0"/>
          <w:highlight w:val="none"/>
          <w:lang w:val="en-US" w:eastAsia="zh-CN"/>
          <w14:textFill>
            <w14:solidFill>
              <w14:schemeClr w14:val="tx1"/>
            </w14:solidFill>
          </w14:textFill>
        </w:rPr>
        <w:t>——颗粒物排放量（单位：吨）；</w:t>
      </w:r>
    </w:p>
    <w:p w14:paraId="7064F228">
      <w:pPr>
        <w:overflowPunct w:val="0"/>
        <w:topLinePunct/>
        <w:ind w:firstLine="480"/>
        <w:rPr>
          <w:rFonts w:hint="eastAsia"/>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C</w:t>
      </w:r>
      <w:r>
        <w:rPr>
          <w:rFonts w:hint="eastAsia"/>
          <w:color w:val="000000" w:themeColor="text1"/>
          <w:kern w:val="0"/>
          <w:highlight w:val="none"/>
          <w:vertAlign w:val="subscript"/>
          <w:lang w:val="en-US" w:eastAsia="zh-CN"/>
          <w14:textFill>
            <w14:solidFill>
              <w14:schemeClr w14:val="tx1"/>
            </w14:solidFill>
          </w14:textFill>
        </w:rPr>
        <w:t>m</w:t>
      </w:r>
      <w:r>
        <w:rPr>
          <w:rFonts w:hint="eastAsia"/>
          <w:color w:val="000000" w:themeColor="text1"/>
          <w:kern w:val="0"/>
          <w:highlight w:val="none"/>
          <w:lang w:val="en-US" w:eastAsia="zh-CN"/>
          <w14:textFill>
            <w14:solidFill>
              <w14:schemeClr w14:val="tx1"/>
            </w14:solidFill>
          </w14:textFill>
        </w:rPr>
        <w:t>——颗粒物控制措施控制效率（单位：%），原矿仓采取洒水抑尘措施，粉尘控制效率取74%；</w:t>
      </w:r>
    </w:p>
    <w:p w14:paraId="5E16A716">
      <w:pPr>
        <w:overflowPunct w:val="0"/>
        <w:topLinePunct/>
        <w:ind w:firstLine="480"/>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T</w:t>
      </w:r>
      <w:r>
        <w:rPr>
          <w:rFonts w:hint="eastAsia"/>
          <w:color w:val="000000" w:themeColor="text1"/>
          <w:kern w:val="0"/>
          <w:highlight w:val="none"/>
          <w:vertAlign w:val="subscript"/>
          <w:lang w:val="en-US" w:eastAsia="zh-CN"/>
          <w14:textFill>
            <w14:solidFill>
              <w14:schemeClr w14:val="tx1"/>
            </w14:solidFill>
          </w14:textFill>
        </w:rPr>
        <w:t>m</w:t>
      </w:r>
      <w:r>
        <w:rPr>
          <w:rFonts w:hint="eastAsia"/>
          <w:color w:val="000000" w:themeColor="text1"/>
          <w:kern w:val="0"/>
          <w:highlight w:val="none"/>
          <w:lang w:val="en-US" w:eastAsia="zh-CN"/>
          <w14:textFill>
            <w14:solidFill>
              <w14:schemeClr w14:val="tx1"/>
            </w14:solidFill>
          </w14:textFill>
        </w:rPr>
        <w:t>——堆场类型控制效率（单位：%），封闭式取99%</w:t>
      </w:r>
    </w:p>
    <w:p w14:paraId="2DF60FA4">
      <w:pPr>
        <w:overflowPunct w:val="0"/>
        <w:topLinePunct/>
        <w:ind w:firstLine="480"/>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经计算，运营期原矿仓采取封闭设计、洒水抑尘措施的前提下，粉尘排放量约0.35t/a（0.05kg/h）。</w:t>
      </w:r>
    </w:p>
    <w:p w14:paraId="1787C357">
      <w:pPr>
        <w:overflowPunct w:val="0"/>
        <w:topLinePunct/>
        <w:ind w:firstLine="480"/>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5</w:t>
      </w: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精矿库粉尘</w:t>
      </w:r>
    </w:p>
    <w:p w14:paraId="3DD371E3">
      <w:pPr>
        <w:overflowPunct w:val="0"/>
        <w:topLinePunct/>
        <w:ind w:firstLine="480"/>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铁精粉在封闭式精矿库内储存，且精矿库地面全部硬化，精矿库主要出入口为电动门，确保作业时料场处于全封闭状态。铁精粉堆存及装卸过程产生的颗粒物产生量参照《排放源统计调查产排污核算方法和系数手册》中的《固体物料堆存颗粒物产排污核算系数手册》的颗粒物产生量核算公式计算（同原矿仓粉尘计算公式）。</w:t>
      </w:r>
    </w:p>
    <w:p w14:paraId="3A8FC607">
      <w:pPr>
        <w:overflowPunct w:val="0"/>
        <w:topLinePunct/>
        <w:ind w:firstLine="480"/>
        <w:rPr>
          <w:rFonts w:hint="default"/>
          <w:color w:val="000000" w:themeColor="text1"/>
          <w:kern w:val="0"/>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8"/>
          <w:lang w:val="en-US" w:eastAsia="zh-CN"/>
          <w14:textFill>
            <w14:solidFill>
              <w14:schemeClr w14:val="tx1"/>
            </w14:solidFill>
          </w14:textFill>
        </w:rPr>
        <w:t>本项目铁精粉年装卸量为30万吨，精矿库占地面积取10000m</w:t>
      </w:r>
      <w:r>
        <w:rPr>
          <w:rFonts w:hint="eastAsia" w:ascii="Times New Roman" w:hAnsi="Times New Roman" w:eastAsia="宋体"/>
          <w:color w:val="000000" w:themeColor="text1"/>
          <w:sz w:val="24"/>
          <w:szCs w:val="28"/>
          <w:vertAlign w:val="superscript"/>
          <w:lang w:val="en-US" w:eastAsia="zh-CN"/>
          <w14:textFill>
            <w14:solidFill>
              <w14:schemeClr w14:val="tx1"/>
            </w14:solidFill>
          </w14:textFill>
        </w:rPr>
        <w:t>2</w:t>
      </w:r>
      <w:r>
        <w:rPr>
          <w:rFonts w:hint="eastAsia" w:ascii="Times New Roman" w:hAnsi="Times New Roman" w:eastAsia="宋体"/>
          <w:color w:val="000000" w:themeColor="text1"/>
          <w:sz w:val="24"/>
          <w:szCs w:val="28"/>
          <w:lang w:val="en-US" w:eastAsia="zh-CN"/>
          <w14:textFill>
            <w14:solidFill>
              <w14:schemeClr w14:val="tx1"/>
            </w14:solidFill>
          </w14:textFill>
        </w:rPr>
        <w:t>，b取值0.0151（铁精粉含水率取10%，参照表土，b为0.0151），经计算，</w:t>
      </w:r>
      <w:r>
        <w:rPr>
          <w:rFonts w:hint="eastAsia"/>
          <w:color w:val="000000" w:themeColor="text1"/>
          <w:kern w:val="0"/>
          <w:highlight w:val="none"/>
          <w:lang w:val="en-US" w:eastAsia="zh-CN"/>
          <w14:textFill>
            <w14:solidFill>
              <w14:schemeClr w14:val="tx1"/>
            </w14:solidFill>
          </w14:textFill>
        </w:rPr>
        <w:t>精矿库粉尘产生量为21.85t/a（3.04kg/h），对精矿库采取封闭措施使粉尘排放量降至0.22t/a（0.05kg/h）。</w:t>
      </w:r>
    </w:p>
    <w:p w14:paraId="5D3C74C8">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6</w:t>
      </w:r>
      <w:r>
        <w:rPr>
          <w:rFonts w:hint="eastAsia"/>
          <w:color w:val="000000" w:themeColor="text1"/>
          <w:kern w:val="0"/>
          <w:highlight w:val="none"/>
          <w14:textFill>
            <w14:solidFill>
              <w14:schemeClr w14:val="tx1"/>
            </w14:solidFill>
          </w14:textFill>
        </w:rPr>
        <w:t>）道路</w:t>
      </w:r>
      <w:r>
        <w:rPr>
          <w:color w:val="000000" w:themeColor="text1"/>
          <w:kern w:val="0"/>
          <w:highlight w:val="none"/>
          <w14:textFill>
            <w14:solidFill>
              <w14:schemeClr w14:val="tx1"/>
            </w14:solidFill>
          </w14:textFill>
        </w:rPr>
        <w:t>运输扬尘</w:t>
      </w:r>
    </w:p>
    <w:p w14:paraId="1841EA06">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道路扬尘</w:t>
      </w:r>
      <w:r>
        <w:rPr>
          <w:color w:val="000000" w:themeColor="text1"/>
          <w:kern w:val="0"/>
          <w:highlight w:val="none"/>
          <w14:textFill>
            <w14:solidFill>
              <w14:schemeClr w14:val="tx1"/>
            </w14:solidFill>
          </w14:textFill>
        </w:rPr>
        <w:t>计算</w:t>
      </w:r>
      <w:r>
        <w:rPr>
          <w:color w:val="000000" w:themeColor="text1"/>
          <w:highlight w:val="none"/>
          <w14:textFill>
            <w14:solidFill>
              <w14:schemeClr w14:val="tx1"/>
            </w14:solidFill>
          </w14:textFill>
        </w:rPr>
        <w:t>公式：</w:t>
      </w:r>
    </w:p>
    <w:p w14:paraId="60E869BC">
      <w:pP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Q</w:t>
      </w:r>
      <w:r>
        <w:rPr>
          <w:color w:val="000000" w:themeColor="text1"/>
          <w:highlight w:val="none"/>
          <w:vertAlign w:val="subscript"/>
          <w14:textFill>
            <w14:solidFill>
              <w14:schemeClr w14:val="tx1"/>
            </w14:solidFill>
          </w14:textFill>
        </w:rPr>
        <w:t>p</w:t>
      </w:r>
      <w:r>
        <w:rPr>
          <w:color w:val="000000" w:themeColor="text1"/>
          <w:highlight w:val="none"/>
          <w14:textFill>
            <w14:solidFill>
              <w14:schemeClr w14:val="tx1"/>
            </w14:solidFill>
          </w14:textFill>
        </w:rPr>
        <w:t>=0.123(V/5)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(M/6.8)</w:t>
      </w:r>
      <w:r>
        <w:rPr>
          <w:color w:val="000000" w:themeColor="text1"/>
          <w:highlight w:val="none"/>
          <w:vertAlign w:val="superscript"/>
          <w14:textFill>
            <w14:solidFill>
              <w14:schemeClr w14:val="tx1"/>
            </w14:solidFill>
          </w14:textFill>
        </w:rPr>
        <w:t>0.85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(P/0.5)</w:t>
      </w:r>
      <w:r>
        <w:rPr>
          <w:color w:val="000000" w:themeColor="text1"/>
          <w:highlight w:val="none"/>
          <w:vertAlign w:val="superscript"/>
          <w14:textFill>
            <w14:solidFill>
              <w14:schemeClr w14:val="tx1"/>
            </w14:solidFill>
          </w14:textFill>
        </w:rPr>
        <w:t>0.72</w:t>
      </w:r>
    </w:p>
    <w:p w14:paraId="2A401F64">
      <w:pPr>
        <w:ind w:firstLine="0" w:firstLineChars="0"/>
        <w:jc w:val="center"/>
        <w:rPr>
          <w:color w:val="000000" w:themeColor="text1"/>
          <w:highlight w:val="none"/>
          <w:lang w:val="es-VE"/>
          <w14:textFill>
            <w14:solidFill>
              <w14:schemeClr w14:val="tx1"/>
            </w14:solidFill>
          </w14:textFill>
        </w:rPr>
      </w:pPr>
      <w:r>
        <w:rPr>
          <w:color w:val="000000" w:themeColor="text1"/>
          <w:highlight w:val="none"/>
          <w:lang w:val="es-VE"/>
          <w14:textFill>
            <w14:solidFill>
              <w14:schemeClr w14:val="tx1"/>
            </w14:solidFill>
          </w14:textFill>
        </w:rPr>
        <w:t>Q</w:t>
      </w:r>
      <w:r>
        <w:rPr>
          <w:color w:val="000000" w:themeColor="text1"/>
          <w:highlight w:val="none"/>
          <w14:textFill>
            <w14:solidFill>
              <w14:schemeClr w14:val="tx1"/>
            </w14:solidFill>
          </w14:textFill>
        </w:rPr>
        <w:t>′</w:t>
      </w:r>
      <w:r>
        <w:rPr>
          <w:color w:val="000000" w:themeColor="text1"/>
          <w:highlight w:val="none"/>
          <w:vertAlign w:val="subscript"/>
          <w:lang w:val="es-VE"/>
          <w14:textFill>
            <w14:solidFill>
              <w14:schemeClr w14:val="tx1"/>
            </w14:solidFill>
          </w14:textFill>
        </w:rPr>
        <w:t>p</w:t>
      </w:r>
      <w:r>
        <w:rPr>
          <w:color w:val="000000" w:themeColor="text1"/>
          <w:highlight w:val="none"/>
          <w:lang w:val="es-VE"/>
          <w14:textFill>
            <w14:solidFill>
              <w14:schemeClr w14:val="tx1"/>
            </w14:solidFill>
          </w14:textFill>
        </w:rPr>
        <w:t>=Q</w:t>
      </w:r>
      <w:r>
        <w:rPr>
          <w:color w:val="000000" w:themeColor="text1"/>
          <w:highlight w:val="none"/>
          <w:vertAlign w:val="subscript"/>
          <w:lang w:val="es-VE"/>
          <w14:textFill>
            <w14:solidFill>
              <w14:schemeClr w14:val="tx1"/>
            </w14:solidFill>
          </w14:textFill>
        </w:rPr>
        <w:t>p</w:t>
      </w:r>
      <w:r>
        <w:rPr>
          <w:rFonts w:hint="eastAsia"/>
          <w:color w:val="000000" w:themeColor="text1"/>
          <w:highlight w:val="none"/>
          <w14:textFill>
            <w14:solidFill>
              <w14:schemeClr w14:val="tx1"/>
            </w14:solidFill>
          </w14:textFill>
        </w:rPr>
        <w:t>·</w:t>
      </w:r>
      <w:r>
        <w:rPr>
          <w:color w:val="000000" w:themeColor="text1"/>
          <w:highlight w:val="none"/>
          <w:lang w:val="es-VE"/>
          <w14:textFill>
            <w14:solidFill>
              <w14:schemeClr w14:val="tx1"/>
            </w14:solidFill>
          </w14:textFill>
        </w:rPr>
        <w:t>L</w:t>
      </w:r>
      <w:r>
        <w:rPr>
          <w:rFonts w:hint="eastAsia"/>
          <w:color w:val="000000" w:themeColor="text1"/>
          <w:highlight w:val="none"/>
          <w14:textFill>
            <w14:solidFill>
              <w14:schemeClr w14:val="tx1"/>
            </w14:solidFill>
          </w14:textFill>
        </w:rPr>
        <w:t>·</w:t>
      </w:r>
      <w:r>
        <w:rPr>
          <w:color w:val="000000" w:themeColor="text1"/>
          <w:highlight w:val="none"/>
          <w:lang w:val="es-VE"/>
          <w14:textFill>
            <w14:solidFill>
              <w14:schemeClr w14:val="tx1"/>
            </w14:solidFill>
          </w14:textFill>
        </w:rPr>
        <w:t>Q/M</w:t>
      </w:r>
    </w:p>
    <w:p w14:paraId="0569BEB8">
      <w:pPr>
        <w:ind w:firstLine="460" w:firstLineChars="192"/>
        <w:rPr>
          <w:color w:val="000000" w:themeColor="text1"/>
          <w:highlight w:val="none"/>
          <w:lang w:val="es-VE"/>
          <w14:textFill>
            <w14:solidFill>
              <w14:schemeClr w14:val="tx1"/>
            </w14:solidFill>
          </w14:textFill>
        </w:rPr>
      </w:pPr>
      <w:r>
        <w:rPr>
          <w:color w:val="000000" w:themeColor="text1"/>
          <w:highlight w:val="none"/>
          <w14:textFill>
            <w14:solidFill>
              <w14:schemeClr w14:val="tx1"/>
            </w14:solidFill>
          </w14:textFill>
        </w:rPr>
        <w:t>计算参数</w:t>
      </w:r>
      <w:r>
        <w:rPr>
          <w:color w:val="000000" w:themeColor="text1"/>
          <w:highlight w:val="none"/>
          <w:lang w:val="es-VE"/>
          <w14:textFill>
            <w14:solidFill>
              <w14:schemeClr w14:val="tx1"/>
            </w14:solidFill>
          </w14:textFill>
        </w:rPr>
        <w:t>：Q</w:t>
      </w:r>
      <w:r>
        <w:rPr>
          <w:color w:val="000000" w:themeColor="text1"/>
          <w:highlight w:val="none"/>
          <w:vertAlign w:val="subscript"/>
          <w:lang w:val="es-VE"/>
          <w14:textFill>
            <w14:solidFill>
              <w14:schemeClr w14:val="tx1"/>
            </w14:solidFill>
          </w14:textFill>
        </w:rPr>
        <w:t>p</w:t>
      </w:r>
      <w:r>
        <w:rPr>
          <w:color w:val="000000" w:themeColor="text1"/>
          <w:highlight w:val="none"/>
          <w:lang w:val="es-VE"/>
          <w14:textFill>
            <w14:solidFill>
              <w14:schemeClr w14:val="tx1"/>
            </w14:solidFill>
          </w14:textFill>
        </w:rPr>
        <w:t>—</w:t>
      </w:r>
      <w:r>
        <w:rPr>
          <w:color w:val="000000" w:themeColor="text1"/>
          <w:highlight w:val="none"/>
          <w14:textFill>
            <w14:solidFill>
              <w14:schemeClr w14:val="tx1"/>
            </w14:solidFill>
          </w14:textFill>
        </w:rPr>
        <w:t>道路扬尘量</w:t>
      </w:r>
      <w:r>
        <w:rPr>
          <w:color w:val="000000" w:themeColor="text1"/>
          <w:highlight w:val="none"/>
          <w:lang w:val="es-VE"/>
          <w14:textFill>
            <w14:solidFill>
              <w14:schemeClr w14:val="tx1"/>
            </w14:solidFill>
          </w14:textFill>
        </w:rPr>
        <w:t>，</w:t>
      </w:r>
      <w:r>
        <w:rPr>
          <w:rFonts w:hint="eastAsia"/>
          <w:color w:val="000000" w:themeColor="text1"/>
          <w:highlight w:val="none"/>
          <w:lang w:val="es-VE"/>
          <w14:textFill>
            <w14:solidFill>
              <w14:schemeClr w14:val="tx1"/>
            </w14:solidFill>
          </w14:textFill>
        </w:rPr>
        <w:t>（</w:t>
      </w:r>
      <w:r>
        <w:rPr>
          <w:color w:val="000000" w:themeColor="text1"/>
          <w:highlight w:val="none"/>
          <w:lang w:val="es-VE"/>
          <w14:textFill>
            <w14:solidFill>
              <w14:schemeClr w14:val="tx1"/>
            </w14:solidFill>
          </w14:textFill>
        </w:rPr>
        <w:t>kg/km</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辆</w:t>
      </w:r>
      <w:r>
        <w:rPr>
          <w:rFonts w:hint="eastAsia"/>
          <w:color w:val="000000" w:themeColor="text1"/>
          <w:highlight w:val="none"/>
          <w:lang w:val="es-VE"/>
          <w14:textFill>
            <w14:solidFill>
              <w14:schemeClr w14:val="tx1"/>
            </w14:solidFill>
          </w14:textFill>
        </w:rPr>
        <w:t>）；</w:t>
      </w:r>
    </w:p>
    <w:p w14:paraId="553E2941">
      <w:pPr>
        <w:ind w:firstLine="1680" w:firstLineChars="700"/>
        <w:jc w:val="left"/>
        <w:rPr>
          <w:color w:val="000000" w:themeColor="text1"/>
          <w:highlight w:val="none"/>
          <w:lang w:val="es-VE"/>
          <w14:textFill>
            <w14:solidFill>
              <w14:schemeClr w14:val="tx1"/>
            </w14:solidFill>
          </w14:textFill>
        </w:rPr>
      </w:pPr>
      <w:r>
        <w:rPr>
          <w:color w:val="000000" w:themeColor="text1"/>
          <w:highlight w:val="none"/>
          <w:lang w:val="es-VE"/>
          <w14:textFill>
            <w14:solidFill>
              <w14:schemeClr w14:val="tx1"/>
            </w14:solidFill>
          </w14:textFill>
        </w:rPr>
        <w:t>Q′</w:t>
      </w:r>
      <w:r>
        <w:rPr>
          <w:color w:val="000000" w:themeColor="text1"/>
          <w:highlight w:val="none"/>
          <w:vertAlign w:val="subscript"/>
          <w:lang w:val="es-VE"/>
          <w14:textFill>
            <w14:solidFill>
              <w14:schemeClr w14:val="tx1"/>
            </w14:solidFill>
          </w14:textFill>
        </w:rPr>
        <w:t>p</w:t>
      </w:r>
      <w:r>
        <w:rPr>
          <w:color w:val="000000" w:themeColor="text1"/>
          <w:highlight w:val="none"/>
          <w:lang w:val="es-VE"/>
          <w14:textFill>
            <w14:solidFill>
              <w14:schemeClr w14:val="tx1"/>
            </w14:solidFill>
          </w14:textFill>
        </w:rPr>
        <w:t>—</w:t>
      </w:r>
      <w:r>
        <w:rPr>
          <w:color w:val="000000" w:themeColor="text1"/>
          <w:highlight w:val="none"/>
          <w14:textFill>
            <w14:solidFill>
              <w14:schemeClr w14:val="tx1"/>
            </w14:solidFill>
          </w14:textFill>
        </w:rPr>
        <w:t>总扬尘量</w:t>
      </w:r>
      <w:r>
        <w:rPr>
          <w:color w:val="000000" w:themeColor="text1"/>
          <w:highlight w:val="none"/>
          <w:lang w:val="es-VE"/>
          <w14:textFill>
            <w14:solidFill>
              <w14:schemeClr w14:val="tx1"/>
            </w14:solidFill>
          </w14:textFill>
        </w:rPr>
        <w:t>，</w:t>
      </w:r>
      <w:r>
        <w:rPr>
          <w:rFonts w:hint="eastAsia"/>
          <w:color w:val="000000" w:themeColor="text1"/>
          <w:highlight w:val="none"/>
          <w:lang w:val="es-VE"/>
          <w14:textFill>
            <w14:solidFill>
              <w14:schemeClr w14:val="tx1"/>
            </w14:solidFill>
          </w14:textFill>
        </w:rPr>
        <w:t>（</w:t>
      </w:r>
      <w:r>
        <w:rPr>
          <w:color w:val="000000" w:themeColor="text1"/>
          <w:highlight w:val="none"/>
          <w:lang w:val="es-VE"/>
          <w14:textFill>
            <w14:solidFill>
              <w14:schemeClr w14:val="tx1"/>
            </w14:solidFill>
          </w14:textFill>
        </w:rPr>
        <w:t>kg/a</w:t>
      </w:r>
      <w:r>
        <w:rPr>
          <w:rFonts w:hint="eastAsia"/>
          <w:color w:val="000000" w:themeColor="text1"/>
          <w:highlight w:val="none"/>
          <w:lang w:val="es-VE"/>
          <w14:textFill>
            <w14:solidFill>
              <w14:schemeClr w14:val="tx1"/>
            </w14:solidFill>
          </w14:textFill>
        </w:rPr>
        <w:t>）</w:t>
      </w:r>
      <w:r>
        <w:rPr>
          <w:color w:val="000000" w:themeColor="text1"/>
          <w:highlight w:val="none"/>
          <w:lang w:val="es-VE"/>
          <w14:textFill>
            <w14:solidFill>
              <w14:schemeClr w14:val="tx1"/>
            </w14:solidFill>
          </w14:textFill>
        </w:rPr>
        <w:t>；</w:t>
      </w:r>
    </w:p>
    <w:p w14:paraId="39EEB6A4">
      <w:pPr>
        <w:ind w:firstLine="1680" w:firstLineChars="700"/>
        <w:rPr>
          <w:color w:val="000000" w:themeColor="text1"/>
          <w:highlight w:val="none"/>
          <w:lang w:val="es-VE"/>
          <w14:textFill>
            <w14:solidFill>
              <w14:schemeClr w14:val="tx1"/>
            </w14:solidFill>
          </w14:textFill>
        </w:rPr>
      </w:pPr>
      <w:r>
        <w:rPr>
          <w:color w:val="000000" w:themeColor="text1"/>
          <w:highlight w:val="none"/>
          <w:lang w:val="es-VE"/>
          <w14:textFill>
            <w14:solidFill>
              <w14:schemeClr w14:val="tx1"/>
            </w14:solidFill>
          </w14:textFill>
        </w:rPr>
        <w:t>V—</w:t>
      </w:r>
      <w:r>
        <w:rPr>
          <w:color w:val="000000" w:themeColor="text1"/>
          <w:highlight w:val="none"/>
          <w14:textFill>
            <w14:solidFill>
              <w14:schemeClr w14:val="tx1"/>
            </w14:solidFill>
          </w14:textFill>
        </w:rPr>
        <w:t>车辆速度</w:t>
      </w:r>
      <w:r>
        <w:rPr>
          <w:color w:val="000000" w:themeColor="text1"/>
          <w:highlight w:val="none"/>
          <w:lang w:val="es-VE"/>
          <w14:textFill>
            <w14:solidFill>
              <w14:schemeClr w14:val="tx1"/>
            </w14:solidFill>
          </w14:textFill>
        </w:rPr>
        <w:t>，</w:t>
      </w:r>
      <w:r>
        <w:rPr>
          <w:rFonts w:hint="eastAsia"/>
          <w:color w:val="000000" w:themeColor="text1"/>
          <w:highlight w:val="none"/>
          <w:lang w:val="es-VE"/>
          <w14:textFill>
            <w14:solidFill>
              <w14:schemeClr w14:val="tx1"/>
            </w14:solidFill>
          </w14:textFill>
        </w:rPr>
        <w:t>（</w:t>
      </w:r>
      <w:r>
        <w:rPr>
          <w:color w:val="000000" w:themeColor="text1"/>
          <w:highlight w:val="none"/>
          <w:lang w:val="es-VE"/>
          <w14:textFill>
            <w14:solidFill>
              <w14:schemeClr w14:val="tx1"/>
            </w14:solidFill>
          </w14:textFill>
        </w:rPr>
        <w:t>20km/h</w:t>
      </w:r>
      <w:r>
        <w:rPr>
          <w:rFonts w:hint="eastAsia"/>
          <w:color w:val="000000" w:themeColor="text1"/>
          <w:highlight w:val="none"/>
          <w:lang w:val="es-VE"/>
          <w14:textFill>
            <w14:solidFill>
              <w14:schemeClr w14:val="tx1"/>
            </w14:solidFill>
          </w14:textFill>
        </w:rPr>
        <w:t>）</w:t>
      </w:r>
      <w:r>
        <w:rPr>
          <w:color w:val="000000" w:themeColor="text1"/>
          <w:highlight w:val="none"/>
          <w:lang w:val="es-VE"/>
          <w14:textFill>
            <w14:solidFill>
              <w14:schemeClr w14:val="tx1"/>
            </w14:solidFill>
          </w14:textFill>
        </w:rPr>
        <w:t>；</w:t>
      </w:r>
    </w:p>
    <w:p w14:paraId="193FDF8C">
      <w:pPr>
        <w:ind w:firstLine="1680" w:firstLineChars="7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M—车辆载重，</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0t/辆；</w:t>
      </w:r>
    </w:p>
    <w:p w14:paraId="0402A343">
      <w:pPr>
        <w:ind w:firstLine="1680" w:firstLineChars="7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P—路面灰尘覆盖率，0.</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kg/m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p>
    <w:p w14:paraId="4CE54755">
      <w:pPr>
        <w:ind w:firstLine="1680" w:firstLineChars="700"/>
        <w:rPr>
          <w:color w:val="000000" w:themeColor="text1"/>
          <w:highlight w:val="none"/>
          <w:lang w:val="es-VE"/>
          <w14:textFill>
            <w14:solidFill>
              <w14:schemeClr w14:val="tx1"/>
            </w14:solidFill>
          </w14:textFill>
        </w:rPr>
      </w:pPr>
      <w:r>
        <w:rPr>
          <w:color w:val="000000" w:themeColor="text1"/>
          <w:highlight w:val="none"/>
          <w:lang w:val="es-VE"/>
          <w14:textFill>
            <w14:solidFill>
              <w14:schemeClr w14:val="tx1"/>
            </w14:solidFill>
          </w14:textFill>
        </w:rPr>
        <w:t>L—运距，</w:t>
      </w:r>
      <w:r>
        <w:rPr>
          <w:rFonts w:hint="eastAsia"/>
          <w:color w:val="000000" w:themeColor="text1"/>
          <w:highlight w:val="none"/>
          <w:lang w:val="es-VE"/>
          <w14:textFill>
            <w14:solidFill>
              <w14:schemeClr w14:val="tx1"/>
            </w14:solidFill>
          </w14:textFill>
        </w:rPr>
        <w:t>（</w:t>
      </w:r>
      <w:r>
        <w:rPr>
          <w:rFonts w:hint="eastAsia"/>
          <w:color w:val="000000" w:themeColor="text1"/>
          <w:highlight w:val="none"/>
          <w:lang w:val="es-VE" w:eastAsia="zh-CN"/>
          <w14:textFill>
            <w14:solidFill>
              <w14:schemeClr w14:val="tx1"/>
            </w14:solidFill>
          </w14:textFill>
        </w:rPr>
        <w:t>矿</w:t>
      </w:r>
      <w:r>
        <w:rPr>
          <w:color w:val="000000" w:themeColor="text1"/>
          <w:highlight w:val="none"/>
          <w:lang w:val="es-VE"/>
          <w14:textFill>
            <w14:solidFill>
              <w14:schemeClr w14:val="tx1"/>
            </w14:solidFill>
          </w14:textFill>
        </w:rPr>
        <w:t>区内运距约</w:t>
      </w:r>
      <w:r>
        <w:rPr>
          <w:rFonts w:hint="eastAsia"/>
          <w:color w:val="000000" w:themeColor="text1"/>
          <w:highlight w:val="none"/>
          <w14:textFill>
            <w14:solidFill>
              <w14:schemeClr w14:val="tx1"/>
            </w14:solidFill>
          </w14:textFill>
        </w:rPr>
        <w:t>1k</w:t>
      </w:r>
      <w:r>
        <w:rPr>
          <w:color w:val="000000" w:themeColor="text1"/>
          <w:highlight w:val="none"/>
          <w:lang w:val="es-VE"/>
          <w14:textFill>
            <w14:solidFill>
              <w14:schemeClr w14:val="tx1"/>
            </w14:solidFill>
          </w14:textFill>
        </w:rPr>
        <w:t>m</w:t>
      </w:r>
      <w:r>
        <w:rPr>
          <w:rFonts w:hint="eastAsia"/>
          <w:color w:val="000000" w:themeColor="text1"/>
          <w:highlight w:val="none"/>
          <w:lang w:val="es-VE"/>
          <w14:textFill>
            <w14:solidFill>
              <w14:schemeClr w14:val="tx1"/>
            </w14:solidFill>
          </w14:textFill>
        </w:rPr>
        <w:t>）</w:t>
      </w:r>
      <w:r>
        <w:rPr>
          <w:color w:val="000000" w:themeColor="text1"/>
          <w:highlight w:val="none"/>
          <w:lang w:val="es-VE"/>
          <w14:textFill>
            <w14:solidFill>
              <w14:schemeClr w14:val="tx1"/>
            </w14:solidFill>
          </w14:textFill>
        </w:rPr>
        <w:t>；</w:t>
      </w:r>
    </w:p>
    <w:p w14:paraId="74BC6C52">
      <w:pPr>
        <w:ind w:firstLine="1680" w:firstLineChars="700"/>
        <w:rPr>
          <w:color w:val="000000" w:themeColor="text1"/>
          <w:highlight w:val="none"/>
          <w:lang w:val="es-VE"/>
          <w14:textFill>
            <w14:solidFill>
              <w14:schemeClr w14:val="tx1"/>
            </w14:solidFill>
          </w14:textFill>
        </w:rPr>
      </w:pPr>
      <w:r>
        <w:rPr>
          <w:color w:val="000000" w:themeColor="text1"/>
          <w:highlight w:val="none"/>
          <w:lang w:val="es-VE"/>
          <w14:textFill>
            <w14:solidFill>
              <w14:schemeClr w14:val="tx1"/>
            </w14:solidFill>
          </w14:textFill>
        </w:rPr>
        <w:t>Q—运输量，</w:t>
      </w:r>
      <w:r>
        <w:rPr>
          <w:rFonts w:hint="eastAsia"/>
          <w:color w:val="000000" w:themeColor="text1"/>
          <w:highlight w:val="none"/>
          <w:lang w:val="es-VE"/>
          <w14:textFill>
            <w14:solidFill>
              <w14:schemeClr w14:val="tx1"/>
            </w14:solidFill>
          </w14:textFill>
        </w:rPr>
        <w:t>（</w:t>
      </w:r>
      <w:r>
        <w:rPr>
          <w:color w:val="000000" w:themeColor="text1"/>
          <w:highlight w:val="none"/>
          <w:lang w:val="es-VE"/>
          <w14:textFill>
            <w14:solidFill>
              <w14:schemeClr w14:val="tx1"/>
            </w14:solidFill>
          </w14:textFill>
        </w:rPr>
        <w:t>原矿</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0</w:t>
      </w:r>
      <w:r>
        <w:rPr>
          <w:color w:val="000000" w:themeColor="text1"/>
          <w:highlight w:val="none"/>
          <w:lang w:val="es-VE"/>
          <w14:textFill>
            <w14:solidFill>
              <w14:schemeClr w14:val="tx1"/>
            </w14:solidFill>
          </w14:textFill>
        </w:rPr>
        <w:t>万t/a</w:t>
      </w:r>
      <w:r>
        <w:rPr>
          <w:rFonts w:hint="eastAsia"/>
          <w:color w:val="000000" w:themeColor="text1"/>
          <w:highlight w:val="none"/>
          <w:lang w:val="es-VE"/>
          <w14:textFill>
            <w14:solidFill>
              <w14:schemeClr w14:val="tx1"/>
            </w14:solidFill>
          </w14:textFill>
        </w:rPr>
        <w:t>）</w:t>
      </w:r>
      <w:r>
        <w:rPr>
          <w:color w:val="000000" w:themeColor="text1"/>
          <w:highlight w:val="none"/>
          <w:lang w:val="es-VE"/>
          <w14:textFill>
            <w14:solidFill>
              <w14:schemeClr w14:val="tx1"/>
            </w14:solidFill>
          </w14:textFill>
        </w:rPr>
        <w:t>。</w:t>
      </w:r>
    </w:p>
    <w:p w14:paraId="562401C0">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cs="Times New Roman"/>
          <w:color w:val="000000" w:themeColor="text1"/>
          <w:kern w:val="0"/>
          <w:highlight w:val="none"/>
          <w14:textFill>
            <w14:solidFill>
              <w14:schemeClr w14:val="tx1"/>
            </w14:solidFill>
          </w14:textFill>
        </w:rPr>
        <w:t>矿石在</w:t>
      </w:r>
      <w:r>
        <w:rPr>
          <w:rFonts w:hint="eastAsia" w:cs="Times New Roman"/>
          <w:color w:val="000000" w:themeColor="text1"/>
          <w:kern w:val="0"/>
          <w:highlight w:val="none"/>
          <w:lang w:eastAsia="zh-CN"/>
          <w14:textFill>
            <w14:solidFill>
              <w14:schemeClr w14:val="tx1"/>
            </w14:solidFill>
          </w14:textFill>
        </w:rPr>
        <w:t>矿</w:t>
      </w:r>
      <w:r>
        <w:rPr>
          <w:rFonts w:cs="Times New Roman"/>
          <w:color w:val="000000" w:themeColor="text1"/>
          <w:kern w:val="0"/>
          <w:highlight w:val="none"/>
          <w14:textFill>
            <w14:solidFill>
              <w14:schemeClr w14:val="tx1"/>
            </w14:solidFill>
          </w14:textFill>
        </w:rPr>
        <w:t>区内运输过程中的产尘量为</w:t>
      </w:r>
      <w:r>
        <w:rPr>
          <w:rFonts w:hint="eastAsia" w:cs="Times New Roman"/>
          <w:color w:val="000000" w:themeColor="text1"/>
          <w:kern w:val="0"/>
          <w:highlight w:val="none"/>
          <w:lang w:val="en-US" w:eastAsia="zh-CN"/>
          <w14:textFill>
            <w14:solidFill>
              <w14:schemeClr w14:val="tx1"/>
            </w14:solidFill>
          </w14:textFill>
        </w:rPr>
        <w:t>25.8</w:t>
      </w:r>
      <w:r>
        <w:rPr>
          <w:rFonts w:cs="Times New Roman"/>
          <w:color w:val="000000" w:themeColor="text1"/>
          <w:kern w:val="0"/>
          <w:highlight w:val="none"/>
          <w14:textFill>
            <w14:solidFill>
              <w14:schemeClr w14:val="tx1"/>
            </w14:solidFill>
          </w14:textFill>
        </w:rPr>
        <w:t>t/a，在采取路面硬化、道路洒水降尘等措施后，可以抑制扬尘量约80%，采取措施后运输扬尘量</w:t>
      </w:r>
      <w:r>
        <w:rPr>
          <w:rFonts w:hint="eastAsia" w:cs="Times New Roman"/>
          <w:color w:val="000000" w:themeColor="text1"/>
          <w:kern w:val="0"/>
          <w:highlight w:val="none"/>
          <w14:textFill>
            <w14:solidFill>
              <w14:schemeClr w14:val="tx1"/>
            </w14:solidFill>
          </w14:textFill>
        </w:rPr>
        <w:t>约</w:t>
      </w:r>
      <w:r>
        <w:rPr>
          <w:rFonts w:cs="Times New Roman"/>
          <w:color w:val="000000" w:themeColor="text1"/>
          <w:kern w:val="0"/>
          <w:highlight w:val="none"/>
          <w14:textFill>
            <w14:solidFill>
              <w14:schemeClr w14:val="tx1"/>
            </w14:solidFill>
          </w14:textFill>
        </w:rPr>
        <w:t>为</w:t>
      </w:r>
      <w:r>
        <w:rPr>
          <w:rFonts w:hint="eastAsia" w:cs="Times New Roman"/>
          <w:color w:val="000000" w:themeColor="text1"/>
          <w:kern w:val="0"/>
          <w:highlight w:val="none"/>
          <w:lang w:val="en-US" w:eastAsia="zh-CN"/>
          <w14:textFill>
            <w14:solidFill>
              <w14:schemeClr w14:val="tx1"/>
            </w14:solidFill>
          </w14:textFill>
        </w:rPr>
        <w:t>5.16</w:t>
      </w:r>
      <w:r>
        <w:rPr>
          <w:rFonts w:cs="Times New Roman"/>
          <w:color w:val="000000" w:themeColor="text1"/>
          <w:kern w:val="0"/>
          <w:highlight w:val="none"/>
          <w14:textFill>
            <w14:solidFill>
              <w14:schemeClr w14:val="tx1"/>
            </w14:solidFill>
          </w14:textFill>
        </w:rPr>
        <w:t>t/a。</w:t>
      </w:r>
    </w:p>
    <w:p w14:paraId="0F90F0B1">
      <w:pPr>
        <w:pStyle w:val="41"/>
        <w:overflowPunct w:val="0"/>
        <w:topLinePunct/>
        <w:spacing w:line="480" w:lineRule="exact"/>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）汽车尾气</w:t>
      </w:r>
    </w:p>
    <w:p w14:paraId="1D656928">
      <w:pPr>
        <w:overflowPunct w:val="0"/>
        <w:topLinePunct/>
        <w:ind w:firstLine="480"/>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汽车尾气中主要污染物为</w:t>
      </w:r>
      <w:r>
        <w:rPr>
          <w:color w:val="000000" w:themeColor="text1"/>
          <w:kern w:val="0"/>
          <w:highlight w:val="none"/>
          <w14:textFill>
            <w14:solidFill>
              <w14:schemeClr w14:val="tx1"/>
            </w14:solidFill>
          </w14:textFill>
        </w:rPr>
        <w:t>CO</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C</w:t>
      </w:r>
      <w:r>
        <w:rPr>
          <w:color w:val="000000" w:themeColor="text1"/>
          <w:highlight w:val="none"/>
          <w:vertAlign w:val="subscript"/>
          <w14:textFill>
            <w14:solidFill>
              <w14:schemeClr w14:val="tx1"/>
            </w14:solidFill>
          </w14:textFill>
        </w:rPr>
        <w:t>n</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m</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X</w:t>
      </w:r>
      <w:r>
        <w:rPr>
          <w:rFonts w:hint="eastAsia"/>
          <w:color w:val="000000" w:themeColor="text1"/>
          <w:highlight w:val="none"/>
          <w14:textFill>
            <w14:solidFill>
              <w14:schemeClr w14:val="tx1"/>
            </w14:solidFill>
          </w14:textFill>
        </w:rPr>
        <w:t>，本项目运输量约为</w:t>
      </w:r>
      <w:r>
        <w:rPr>
          <w:rFonts w:hint="eastAsia"/>
          <w:color w:val="000000" w:themeColor="text1"/>
          <w:highlight w:val="none"/>
          <w:lang w:val="en-US" w:eastAsia="zh-CN"/>
          <w14:textFill>
            <w14:solidFill>
              <w14:schemeClr w14:val="tx1"/>
            </w14:solidFill>
          </w14:textFill>
        </w:rPr>
        <w:t>120</w:t>
      </w:r>
      <w:r>
        <w:rPr>
          <w:rFonts w:hint="eastAsia"/>
          <w:color w:val="000000" w:themeColor="text1"/>
          <w:highlight w:val="none"/>
          <w14:textFill>
            <w14:solidFill>
              <w14:schemeClr w14:val="tx1"/>
            </w14:solidFill>
          </w14:textFill>
        </w:rPr>
        <w:t>万</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（原矿</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0万t/a、精矿共计</w:t>
      </w:r>
      <w:r>
        <w:rPr>
          <w:rFonts w:hint="eastAsia"/>
          <w:color w:val="000000" w:themeColor="text1"/>
          <w:highlight w:val="none"/>
          <w:lang w:val="en-US" w:eastAsia="zh-CN"/>
          <w14:textFill>
            <w14:solidFill>
              <w14:schemeClr w14:val="tx1"/>
            </w14:solidFill>
          </w14:textFill>
        </w:rPr>
        <w:t>30</w:t>
      </w:r>
      <w:r>
        <w:rPr>
          <w:rFonts w:hint="eastAsia"/>
          <w:color w:val="000000" w:themeColor="text1"/>
          <w:highlight w:val="none"/>
          <w14:textFill>
            <w14:solidFill>
              <w14:schemeClr w14:val="tx1"/>
            </w14:solidFill>
          </w14:textFill>
        </w:rPr>
        <w:t>万t/a），按</w:t>
      </w:r>
      <w:r>
        <w:rPr>
          <w:color w:val="000000" w:themeColor="text1"/>
          <w:highlight w:val="none"/>
          <w14:textFill>
            <w14:solidFill>
              <w14:schemeClr w14:val="tx1"/>
            </w14:solidFill>
          </w14:textFill>
        </w:rPr>
        <w:t>40t/</w:t>
      </w:r>
      <w:r>
        <w:rPr>
          <w:rFonts w:hint="eastAsia"/>
          <w:color w:val="000000" w:themeColor="text1"/>
          <w:highlight w:val="none"/>
          <w14:textFill>
            <w14:solidFill>
              <w14:schemeClr w14:val="tx1"/>
            </w14:solidFill>
          </w14:textFill>
        </w:rPr>
        <w:t>车，每年将有</w:t>
      </w:r>
      <w:r>
        <w:rPr>
          <w:rFonts w:hint="eastAsia"/>
          <w:color w:val="000000" w:themeColor="text1"/>
          <w:highlight w:val="none"/>
          <w:lang w:val="en-US" w:eastAsia="zh-CN"/>
          <w14:textFill>
            <w14:solidFill>
              <w14:schemeClr w14:val="tx1"/>
            </w14:solidFill>
          </w14:textFill>
        </w:rPr>
        <w:t>300</w:t>
      </w:r>
      <w:r>
        <w:rPr>
          <w:rFonts w:hint="eastAsia"/>
          <w:color w:val="000000" w:themeColor="text1"/>
          <w:highlight w:val="none"/>
          <w14:textFill>
            <w14:solidFill>
              <w14:schemeClr w14:val="tx1"/>
            </w14:solidFill>
          </w14:textFill>
        </w:rPr>
        <w:t>00车次的运输量，汽车在运行过程中排放尾气和引起</w:t>
      </w:r>
      <w:r>
        <w:rPr>
          <w:rFonts w:hint="eastAsia"/>
          <w:color w:val="000000" w:themeColor="text1"/>
          <w:kern w:val="0"/>
          <w:highlight w:val="none"/>
          <w14:textFill>
            <w14:solidFill>
              <w14:schemeClr w14:val="tx1"/>
            </w14:solidFill>
          </w14:textFill>
        </w:rPr>
        <w:t>路面</w:t>
      </w:r>
      <w:r>
        <w:rPr>
          <w:rFonts w:hint="eastAsia"/>
          <w:color w:val="000000" w:themeColor="text1"/>
          <w:highlight w:val="none"/>
          <w14:textFill>
            <w14:solidFill>
              <w14:schemeClr w14:val="tx1"/>
            </w14:solidFill>
          </w14:textFill>
        </w:rPr>
        <w:t>扬尘，汽车尾气中主要污染物为</w:t>
      </w:r>
      <w:r>
        <w:rPr>
          <w:color w:val="000000" w:themeColor="text1"/>
          <w:highlight w:val="none"/>
          <w14:textFill>
            <w14:solidFill>
              <w14:schemeClr w14:val="tx1"/>
            </w14:solidFill>
          </w14:textFill>
        </w:rPr>
        <w:t>CO</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CnHm</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X</w:t>
      </w:r>
      <w:r>
        <w:rPr>
          <w:rFonts w:hint="eastAsia"/>
          <w:color w:val="000000" w:themeColor="text1"/>
          <w:highlight w:val="none"/>
          <w14:textFill>
            <w14:solidFill>
              <w14:schemeClr w14:val="tx1"/>
            </w14:solidFill>
          </w14:textFill>
        </w:rPr>
        <w:t>。</w:t>
      </w:r>
    </w:p>
    <w:p w14:paraId="098EEACB">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根据机动车在</w:t>
      </w:r>
      <w:r>
        <w:rPr>
          <w:rFonts w:hint="eastAsia"/>
          <w:color w:val="000000" w:themeColor="text1"/>
          <w:kern w:val="0"/>
          <w:highlight w:val="none"/>
          <w14:textFill>
            <w14:solidFill>
              <w14:schemeClr w14:val="tx1"/>
            </w14:solidFill>
          </w14:textFill>
        </w:rPr>
        <w:t>低速</w:t>
      </w:r>
      <w:r>
        <w:rPr>
          <w:rFonts w:hint="eastAsia"/>
          <w:color w:val="000000" w:themeColor="text1"/>
          <w:highlight w:val="none"/>
          <w14:textFill>
            <w14:solidFill>
              <w14:schemeClr w14:val="tx1"/>
            </w14:solidFill>
          </w14:textFill>
        </w:rPr>
        <w:t>下（</w:t>
      </w:r>
      <w:r>
        <w:rPr>
          <w:color w:val="000000" w:themeColor="text1"/>
          <w:highlight w:val="none"/>
          <w14:textFill>
            <w14:solidFill>
              <w14:schemeClr w14:val="tx1"/>
            </w14:solidFill>
          </w14:textFill>
        </w:rPr>
        <w:t>20km/h</w:t>
      </w:r>
      <w:r>
        <w:rPr>
          <w:rFonts w:hint="eastAsia"/>
          <w:color w:val="000000" w:themeColor="text1"/>
          <w:highlight w:val="none"/>
          <w14:textFill>
            <w14:solidFill>
              <w14:schemeClr w14:val="tx1"/>
            </w14:solidFill>
          </w14:textFill>
        </w:rPr>
        <w:t>）的测试计算，大气污染物排放因子为：</w:t>
      </w:r>
    </w:p>
    <w:p w14:paraId="1D628B57">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71.95g/km·</w:t>
      </w:r>
      <w:r>
        <w:rPr>
          <w:rFonts w:hint="eastAsia"/>
          <w:color w:val="000000" w:themeColor="text1"/>
          <w:highlight w:val="none"/>
          <w14:textFill>
            <w14:solidFill>
              <w14:schemeClr w14:val="tx1"/>
            </w14:solidFill>
          </w14:textFill>
        </w:rPr>
        <w:t>辆</w:t>
      </w:r>
    </w:p>
    <w:p w14:paraId="67287FE4">
      <w:pPr>
        <w:overflowPunct w:val="0"/>
        <w:topLinePunct/>
        <w:ind w:firstLine="480"/>
        <w:rPr>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CnHm</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11.44g/km·</w:t>
      </w:r>
      <w:r>
        <w:rPr>
          <w:rFonts w:hint="eastAsia"/>
          <w:color w:val="000000" w:themeColor="text1"/>
          <w:highlight w:val="none"/>
          <w14:textFill>
            <w14:solidFill>
              <w14:schemeClr w14:val="tx1"/>
            </w14:solidFill>
          </w14:textFill>
        </w:rPr>
        <w:t>辆</w:t>
      </w:r>
    </w:p>
    <w:p w14:paraId="31E08B26">
      <w:pPr>
        <w:overflowPunct w:val="0"/>
        <w:topLinePunct/>
        <w:ind w:firstLine="480"/>
        <w:rPr>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NOx</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2.37g/km·</w:t>
      </w:r>
      <w:r>
        <w:rPr>
          <w:rFonts w:hint="eastAsia"/>
          <w:color w:val="000000" w:themeColor="text1"/>
          <w:highlight w:val="none"/>
          <w14:textFill>
            <w14:solidFill>
              <w14:schemeClr w14:val="tx1"/>
            </w14:solidFill>
          </w14:textFill>
        </w:rPr>
        <w:t>辆</w:t>
      </w:r>
    </w:p>
    <w:p w14:paraId="2588D936">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项目运输道路约1.0</w:t>
      </w:r>
      <w:r>
        <w:rPr>
          <w:color w:val="000000" w:themeColor="text1"/>
          <w:highlight w:val="none"/>
          <w14:textFill>
            <w14:solidFill>
              <w14:schemeClr w14:val="tx1"/>
            </w14:solidFill>
          </w14:textFill>
        </w:rPr>
        <w:t>km</w:t>
      </w:r>
      <w:r>
        <w:rPr>
          <w:rFonts w:hint="eastAsia"/>
          <w:color w:val="000000" w:themeColor="text1"/>
          <w:highlight w:val="none"/>
          <w14:textFill>
            <w14:solidFill>
              <w14:schemeClr w14:val="tx1"/>
            </w14:solidFill>
          </w14:textFill>
        </w:rPr>
        <w:t>，根据本项目道路情况，预测汽车尾气中污染物排放量见表</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w:t>
      </w:r>
    </w:p>
    <w:p w14:paraId="22CE4934">
      <w:pPr>
        <w:spacing w:line="360" w:lineRule="exact"/>
        <w:ind w:firstLine="0" w:firstLineChars="0"/>
        <w:jc w:val="center"/>
        <w:rPr>
          <w:b/>
          <w:color w:val="000000" w:themeColor="text1"/>
          <w:kern w:val="0"/>
          <w:highlight w:val="none"/>
          <w14:textFill>
            <w14:solidFill>
              <w14:schemeClr w14:val="tx1"/>
            </w14:solidFill>
          </w14:textFill>
        </w:rPr>
      </w:pPr>
      <w:r>
        <w:rPr>
          <w:rFonts w:hint="eastAsia"/>
          <w:b/>
          <w:color w:val="000000" w:themeColor="text1"/>
          <w:kern w:val="0"/>
          <w:highlight w:val="none"/>
          <w14:textFill>
            <w14:solidFill>
              <w14:schemeClr w14:val="tx1"/>
            </w14:solidFill>
          </w14:textFill>
        </w:rPr>
        <w:t>表</w:t>
      </w:r>
      <w:r>
        <w:rPr>
          <w:b/>
          <w:color w:val="000000" w:themeColor="text1"/>
          <w:kern w:val="0"/>
          <w:highlight w:val="none"/>
          <w14:textFill>
            <w14:solidFill>
              <w14:schemeClr w14:val="tx1"/>
            </w14:solidFill>
          </w14:textFill>
        </w:rPr>
        <w:t>3.</w:t>
      </w:r>
      <w:r>
        <w:rPr>
          <w:rFonts w:hint="eastAsia"/>
          <w:b/>
          <w:color w:val="000000" w:themeColor="text1"/>
          <w:kern w:val="0"/>
          <w:highlight w:val="none"/>
          <w14:textFill>
            <w14:solidFill>
              <w14:schemeClr w14:val="tx1"/>
            </w14:solidFill>
          </w14:textFill>
        </w:rPr>
        <w:t>4</w:t>
      </w:r>
      <w:r>
        <w:rPr>
          <w:b/>
          <w:color w:val="000000" w:themeColor="text1"/>
          <w:kern w:val="0"/>
          <w:highlight w:val="none"/>
          <w14:textFill>
            <w14:solidFill>
              <w14:schemeClr w14:val="tx1"/>
            </w14:solidFill>
          </w14:textFill>
        </w:rPr>
        <w:t>-</w:t>
      </w:r>
      <w:r>
        <w:rPr>
          <w:rFonts w:hint="eastAsia"/>
          <w:b/>
          <w:color w:val="000000" w:themeColor="text1"/>
          <w:kern w:val="0"/>
          <w:highlight w:val="none"/>
          <w:lang w:val="en-US" w:eastAsia="zh-CN"/>
          <w14:textFill>
            <w14:solidFill>
              <w14:schemeClr w14:val="tx1"/>
            </w14:solidFill>
          </w14:textFill>
        </w:rPr>
        <w:t>7</w:t>
      </w:r>
      <w:r>
        <w:rPr>
          <w:b/>
          <w:color w:val="000000" w:themeColor="text1"/>
          <w:kern w:val="0"/>
          <w:highlight w:val="none"/>
          <w14:textFill>
            <w14:solidFill>
              <w14:schemeClr w14:val="tx1"/>
            </w14:solidFill>
          </w14:textFill>
        </w:rPr>
        <w:t xml:space="preserve">    </w:t>
      </w:r>
      <w:r>
        <w:rPr>
          <w:rFonts w:hint="eastAsia"/>
          <w:b/>
          <w:color w:val="000000" w:themeColor="text1"/>
          <w:kern w:val="0"/>
          <w:highlight w:val="none"/>
          <w14:textFill>
            <w14:solidFill>
              <w14:schemeClr w14:val="tx1"/>
            </w14:solidFill>
          </w14:textFill>
        </w:rPr>
        <w:t>汽车尾气污染物源强及预测排放总量</w:t>
      </w:r>
    </w:p>
    <w:tbl>
      <w:tblPr>
        <w:tblStyle w:val="3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27"/>
        <w:gridCol w:w="1928"/>
        <w:gridCol w:w="1929"/>
        <w:gridCol w:w="1929"/>
      </w:tblGrid>
      <w:tr w14:paraId="2A1AA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1" w:type="pct"/>
            <w:tcBorders>
              <w:top w:val="single" w:color="auto" w:sz="12" w:space="0"/>
              <w:left w:val="single" w:color="auto" w:sz="12" w:space="0"/>
              <w:bottom w:val="single" w:color="auto" w:sz="4" w:space="0"/>
              <w:right w:val="single" w:color="auto" w:sz="4" w:space="0"/>
            </w:tcBorders>
            <w:vAlign w:val="center"/>
          </w:tcPr>
          <w:p w14:paraId="411756E3">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污染物</w:t>
            </w:r>
          </w:p>
        </w:tc>
        <w:tc>
          <w:tcPr>
            <w:tcW w:w="1132" w:type="pct"/>
            <w:tcBorders>
              <w:top w:val="single" w:color="auto" w:sz="12" w:space="0"/>
              <w:left w:val="single" w:color="auto" w:sz="4" w:space="0"/>
              <w:bottom w:val="single" w:color="auto" w:sz="4" w:space="0"/>
              <w:right w:val="single" w:color="auto" w:sz="4" w:space="0"/>
            </w:tcBorders>
            <w:vAlign w:val="center"/>
          </w:tcPr>
          <w:p w14:paraId="16005791">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CO</w:t>
            </w:r>
          </w:p>
        </w:tc>
        <w:tc>
          <w:tcPr>
            <w:tcW w:w="1132" w:type="pct"/>
            <w:tcBorders>
              <w:top w:val="single" w:color="auto" w:sz="12" w:space="0"/>
              <w:left w:val="single" w:color="auto" w:sz="4" w:space="0"/>
              <w:bottom w:val="single" w:color="auto" w:sz="4" w:space="0"/>
              <w:right w:val="single" w:color="auto" w:sz="4" w:space="0"/>
            </w:tcBorders>
            <w:vAlign w:val="center"/>
          </w:tcPr>
          <w:p w14:paraId="112BEE7F">
            <w:pPr>
              <w:spacing w:line="360" w:lineRule="exact"/>
              <w:ind w:firstLine="0" w:firstLineChars="0"/>
              <w:jc w:val="center"/>
              <w:rPr>
                <w:b/>
                <w:bCs/>
                <w:color w:val="000000" w:themeColor="text1"/>
                <w:sz w:val="21"/>
                <w:szCs w:val="21"/>
                <w:highlight w:val="none"/>
                <w:vertAlign w:val="subscript"/>
                <w14:textFill>
                  <w14:solidFill>
                    <w14:schemeClr w14:val="tx1"/>
                  </w14:solidFill>
                </w14:textFill>
              </w:rPr>
            </w:pPr>
            <w:r>
              <w:rPr>
                <w:b/>
                <w:bCs/>
                <w:color w:val="000000" w:themeColor="text1"/>
                <w:sz w:val="21"/>
                <w:szCs w:val="21"/>
                <w:highlight w:val="none"/>
                <w14:textFill>
                  <w14:solidFill>
                    <w14:schemeClr w14:val="tx1"/>
                  </w14:solidFill>
                </w14:textFill>
              </w:rPr>
              <w:t>C</w:t>
            </w:r>
            <w:r>
              <w:rPr>
                <w:b/>
                <w:bCs/>
                <w:color w:val="000000" w:themeColor="text1"/>
                <w:sz w:val="21"/>
                <w:szCs w:val="21"/>
                <w:highlight w:val="none"/>
                <w:vertAlign w:val="subscript"/>
                <w14:textFill>
                  <w14:solidFill>
                    <w14:schemeClr w14:val="tx1"/>
                  </w14:solidFill>
                </w14:textFill>
              </w:rPr>
              <w:t>n</w:t>
            </w:r>
            <w:r>
              <w:rPr>
                <w:b/>
                <w:bCs/>
                <w:color w:val="000000" w:themeColor="text1"/>
                <w:sz w:val="21"/>
                <w:szCs w:val="21"/>
                <w:highlight w:val="none"/>
                <w14:textFill>
                  <w14:solidFill>
                    <w14:schemeClr w14:val="tx1"/>
                  </w14:solidFill>
                </w14:textFill>
              </w:rPr>
              <w:t>H</w:t>
            </w:r>
            <w:r>
              <w:rPr>
                <w:b/>
                <w:bCs/>
                <w:color w:val="000000" w:themeColor="text1"/>
                <w:sz w:val="21"/>
                <w:szCs w:val="21"/>
                <w:highlight w:val="none"/>
                <w:vertAlign w:val="subscript"/>
                <w14:textFill>
                  <w14:solidFill>
                    <w14:schemeClr w14:val="tx1"/>
                  </w14:solidFill>
                </w14:textFill>
              </w:rPr>
              <w:t>m</w:t>
            </w:r>
          </w:p>
        </w:tc>
        <w:tc>
          <w:tcPr>
            <w:tcW w:w="1132" w:type="pct"/>
            <w:tcBorders>
              <w:top w:val="single" w:color="auto" w:sz="12" w:space="0"/>
              <w:left w:val="single" w:color="auto" w:sz="4" w:space="0"/>
              <w:bottom w:val="single" w:color="auto" w:sz="4" w:space="0"/>
              <w:right w:val="single" w:color="auto" w:sz="12" w:space="0"/>
            </w:tcBorders>
            <w:vAlign w:val="center"/>
          </w:tcPr>
          <w:p w14:paraId="3B8ABF4C">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NO</w:t>
            </w:r>
            <w:r>
              <w:rPr>
                <w:b/>
                <w:bCs/>
                <w:color w:val="000000" w:themeColor="text1"/>
                <w:sz w:val="21"/>
                <w:szCs w:val="21"/>
                <w:highlight w:val="none"/>
                <w:vertAlign w:val="subscript"/>
                <w14:textFill>
                  <w14:solidFill>
                    <w14:schemeClr w14:val="tx1"/>
                  </w14:solidFill>
                </w14:textFill>
              </w:rPr>
              <w:t>X</w:t>
            </w:r>
          </w:p>
        </w:tc>
      </w:tr>
      <w:tr w14:paraId="4E1B7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601" w:type="pct"/>
            <w:tcBorders>
              <w:top w:val="single" w:color="auto" w:sz="4" w:space="0"/>
              <w:left w:val="single" w:color="auto" w:sz="12" w:space="0"/>
              <w:bottom w:val="single" w:color="auto" w:sz="4" w:space="0"/>
              <w:right w:val="single" w:color="auto" w:sz="4" w:space="0"/>
            </w:tcBorders>
            <w:vAlign w:val="center"/>
          </w:tcPr>
          <w:p w14:paraId="07A579A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污染物源强（</w:t>
            </w:r>
            <w:r>
              <w:rPr>
                <w:color w:val="000000" w:themeColor="text1"/>
                <w:sz w:val="21"/>
                <w:szCs w:val="21"/>
                <w:highlight w:val="none"/>
                <w14:textFill>
                  <w14:solidFill>
                    <w14:schemeClr w14:val="tx1"/>
                  </w14:solidFill>
                </w14:textFill>
              </w:rPr>
              <w:t>g/km·</w:t>
            </w:r>
            <w:r>
              <w:rPr>
                <w:rFonts w:hint="eastAsia"/>
                <w:color w:val="000000" w:themeColor="text1"/>
                <w:sz w:val="21"/>
                <w:szCs w:val="21"/>
                <w:highlight w:val="none"/>
                <w14:textFill>
                  <w14:solidFill>
                    <w14:schemeClr w14:val="tx1"/>
                  </w14:solidFill>
                </w14:textFill>
              </w:rPr>
              <w:t>辆）</w:t>
            </w:r>
          </w:p>
        </w:tc>
        <w:tc>
          <w:tcPr>
            <w:tcW w:w="1132" w:type="pct"/>
            <w:tcBorders>
              <w:top w:val="single" w:color="auto" w:sz="4" w:space="0"/>
              <w:left w:val="single" w:color="auto" w:sz="4" w:space="0"/>
              <w:bottom w:val="single" w:color="auto" w:sz="4" w:space="0"/>
              <w:right w:val="single" w:color="auto" w:sz="4" w:space="0"/>
            </w:tcBorders>
            <w:vAlign w:val="center"/>
          </w:tcPr>
          <w:p w14:paraId="4BF211C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71.95</w:t>
            </w:r>
          </w:p>
        </w:tc>
        <w:tc>
          <w:tcPr>
            <w:tcW w:w="1132" w:type="pct"/>
            <w:tcBorders>
              <w:top w:val="single" w:color="auto" w:sz="4" w:space="0"/>
              <w:left w:val="single" w:color="auto" w:sz="4" w:space="0"/>
              <w:bottom w:val="single" w:color="auto" w:sz="4" w:space="0"/>
              <w:right w:val="single" w:color="auto" w:sz="4" w:space="0"/>
            </w:tcBorders>
            <w:vAlign w:val="center"/>
          </w:tcPr>
          <w:p w14:paraId="7F24AE8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11.44</w:t>
            </w:r>
          </w:p>
        </w:tc>
        <w:tc>
          <w:tcPr>
            <w:tcW w:w="1132" w:type="pct"/>
            <w:tcBorders>
              <w:top w:val="single" w:color="auto" w:sz="4" w:space="0"/>
              <w:left w:val="single" w:color="auto" w:sz="4" w:space="0"/>
              <w:bottom w:val="single" w:color="auto" w:sz="4" w:space="0"/>
              <w:right w:val="single" w:color="auto" w:sz="12" w:space="0"/>
            </w:tcBorders>
            <w:vAlign w:val="center"/>
          </w:tcPr>
          <w:p w14:paraId="2A9E2B8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2.37</w:t>
            </w:r>
          </w:p>
        </w:tc>
      </w:tr>
      <w:tr w14:paraId="7C572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601" w:type="pct"/>
            <w:tcBorders>
              <w:top w:val="single" w:color="auto" w:sz="4" w:space="0"/>
              <w:left w:val="single" w:color="auto" w:sz="12" w:space="0"/>
              <w:bottom w:val="single" w:color="auto" w:sz="12" w:space="0"/>
              <w:right w:val="single" w:color="auto" w:sz="4" w:space="0"/>
            </w:tcBorders>
            <w:vAlign w:val="center"/>
          </w:tcPr>
          <w:p w14:paraId="42BE09A0">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污染物排放量（</w:t>
            </w:r>
            <w:r>
              <w:rPr>
                <w:color w:val="000000" w:themeColor="text1"/>
                <w:sz w:val="21"/>
                <w:szCs w:val="21"/>
                <w:highlight w:val="none"/>
                <w14:textFill>
                  <w14:solidFill>
                    <w14:schemeClr w14:val="tx1"/>
                  </w14:solidFill>
                </w14:textFill>
              </w:rPr>
              <w:t>t/a</w:t>
            </w:r>
            <w:r>
              <w:rPr>
                <w:rFonts w:hint="eastAsia"/>
                <w:color w:val="000000" w:themeColor="text1"/>
                <w:sz w:val="21"/>
                <w:szCs w:val="21"/>
                <w:highlight w:val="none"/>
                <w14:textFill>
                  <w14:solidFill>
                    <w14:schemeClr w14:val="tx1"/>
                  </w14:solidFill>
                </w14:textFill>
              </w:rPr>
              <w:t>）</w:t>
            </w:r>
          </w:p>
        </w:tc>
        <w:tc>
          <w:tcPr>
            <w:tcW w:w="1132" w:type="pct"/>
            <w:tcBorders>
              <w:top w:val="single" w:color="auto" w:sz="4" w:space="0"/>
              <w:left w:val="single" w:color="auto" w:sz="4" w:space="0"/>
              <w:bottom w:val="single" w:color="auto" w:sz="12" w:space="0"/>
              <w:right w:val="single" w:color="auto" w:sz="4" w:space="0"/>
            </w:tcBorders>
            <w:vAlign w:val="center"/>
          </w:tcPr>
          <w:p w14:paraId="6DF2E6CC">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2.15</w:t>
            </w:r>
          </w:p>
        </w:tc>
        <w:tc>
          <w:tcPr>
            <w:tcW w:w="1132" w:type="pct"/>
            <w:tcBorders>
              <w:top w:val="single" w:color="auto" w:sz="4" w:space="0"/>
              <w:left w:val="single" w:color="auto" w:sz="4" w:space="0"/>
              <w:bottom w:val="single" w:color="auto" w:sz="12" w:space="0"/>
              <w:right w:val="single" w:color="auto" w:sz="4" w:space="0"/>
            </w:tcBorders>
            <w:vAlign w:val="center"/>
          </w:tcPr>
          <w:p w14:paraId="7636DDC3">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w:t>
            </w:r>
          </w:p>
        </w:tc>
        <w:tc>
          <w:tcPr>
            <w:tcW w:w="1132" w:type="pct"/>
            <w:tcBorders>
              <w:top w:val="single" w:color="auto" w:sz="4" w:space="0"/>
              <w:left w:val="single" w:color="auto" w:sz="4" w:space="0"/>
              <w:bottom w:val="single" w:color="auto" w:sz="12" w:space="0"/>
              <w:right w:val="single" w:color="auto" w:sz="12" w:space="0"/>
            </w:tcBorders>
            <w:vAlign w:val="center"/>
          </w:tcPr>
          <w:p w14:paraId="15BA6637">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07</w:t>
            </w:r>
          </w:p>
        </w:tc>
      </w:tr>
    </w:tbl>
    <w:p w14:paraId="03758ABD">
      <w:pPr>
        <w:topLinePunct/>
        <w:ind w:firstLine="480"/>
        <w:rPr>
          <w:color w:val="000000" w:themeColor="text1"/>
          <w:kern w:val="0"/>
          <w:highlight w:val="none"/>
          <w14:textFill>
            <w14:solidFill>
              <w14:schemeClr w14:val="tx1"/>
            </w14:solidFill>
          </w14:textFill>
        </w:rPr>
      </w:pPr>
      <w:r>
        <w:rPr>
          <w:rFonts w:hint="eastAsia"/>
          <w:color w:val="000000" w:themeColor="text1"/>
          <w:highlight w:val="none"/>
          <w14:textFill>
            <w14:solidFill>
              <w14:schemeClr w14:val="tx1"/>
            </w14:solidFill>
          </w14:textFill>
        </w:rPr>
        <w:t>车辆在工作时产生的废气量少，很快会稀释、扩散，废气中有害物质对区域环境的影响轻微。</w:t>
      </w:r>
    </w:p>
    <w:p w14:paraId="7A49EF5B">
      <w:pPr>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3</w:t>
      </w:r>
      <w:r>
        <w:rPr>
          <w:rFonts w:hint="eastAsia"/>
          <w:color w:val="000000" w:themeColor="text1"/>
          <w:kern w:val="0"/>
          <w:highlight w:val="none"/>
          <w14:textFill>
            <w14:solidFill>
              <w14:schemeClr w14:val="tx1"/>
            </w14:solidFill>
          </w14:textFill>
        </w:rPr>
        <w:t>）小结</w:t>
      </w:r>
    </w:p>
    <w:p w14:paraId="6B7F495A">
      <w:pPr>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本项目运营期主要大气污染物排放情况见表</w:t>
      </w:r>
      <w:r>
        <w:rPr>
          <w:color w:val="000000" w:themeColor="text1"/>
          <w:kern w:val="0"/>
          <w:highlight w:val="none"/>
          <w14:textFill>
            <w14:solidFill>
              <w14:schemeClr w14:val="tx1"/>
            </w14:solidFill>
          </w14:textFill>
        </w:rPr>
        <w:t>3.</w:t>
      </w:r>
      <w:r>
        <w:rPr>
          <w:rFonts w:hint="eastAsia"/>
          <w:color w:val="000000" w:themeColor="text1"/>
          <w:kern w:val="0"/>
          <w:highlight w:val="none"/>
          <w14:textFill>
            <w14:solidFill>
              <w14:schemeClr w14:val="tx1"/>
            </w14:solidFill>
          </w14:textFill>
        </w:rPr>
        <w:t>4</w:t>
      </w:r>
      <w:r>
        <w:rPr>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8</w:t>
      </w:r>
      <w:r>
        <w:rPr>
          <w:rFonts w:hint="eastAsia"/>
          <w:color w:val="000000" w:themeColor="text1"/>
          <w:kern w:val="0"/>
          <w:highlight w:val="none"/>
          <w14:textFill>
            <w14:solidFill>
              <w14:schemeClr w14:val="tx1"/>
            </w14:solidFill>
          </w14:textFill>
        </w:rPr>
        <w:t>和表</w:t>
      </w:r>
      <w:r>
        <w:rPr>
          <w:color w:val="000000" w:themeColor="text1"/>
          <w:kern w:val="0"/>
          <w:highlight w:val="none"/>
          <w14:textFill>
            <w14:solidFill>
              <w14:schemeClr w14:val="tx1"/>
            </w14:solidFill>
          </w14:textFill>
        </w:rPr>
        <w:t>3.</w:t>
      </w:r>
      <w:r>
        <w:rPr>
          <w:rFonts w:hint="eastAsia"/>
          <w:color w:val="000000" w:themeColor="text1"/>
          <w:kern w:val="0"/>
          <w:highlight w:val="none"/>
          <w14:textFill>
            <w14:solidFill>
              <w14:schemeClr w14:val="tx1"/>
            </w14:solidFill>
          </w14:textFill>
        </w:rPr>
        <w:t>4</w:t>
      </w:r>
      <w:r>
        <w:rPr>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9</w:t>
      </w:r>
      <w:r>
        <w:rPr>
          <w:rFonts w:hint="eastAsia"/>
          <w:color w:val="000000" w:themeColor="text1"/>
          <w:kern w:val="0"/>
          <w:highlight w:val="none"/>
          <w14:textFill>
            <w14:solidFill>
              <w14:schemeClr w14:val="tx1"/>
            </w14:solidFill>
          </w14:textFill>
        </w:rPr>
        <w:t>。</w:t>
      </w:r>
    </w:p>
    <w:p w14:paraId="4D57E930">
      <w:pPr>
        <w:ind w:firstLine="0" w:firstLineChars="0"/>
        <w:jc w:val="center"/>
        <w:rPr>
          <w:b/>
          <w:color w:val="000000" w:themeColor="text1"/>
          <w:kern w:val="0"/>
          <w:highlight w:val="none"/>
          <w14:textFill>
            <w14:solidFill>
              <w14:schemeClr w14:val="tx1"/>
            </w14:solidFill>
          </w14:textFill>
        </w:rPr>
      </w:pPr>
      <w:r>
        <w:rPr>
          <w:rFonts w:hint="eastAsia"/>
          <w:b/>
          <w:color w:val="000000" w:themeColor="text1"/>
          <w:kern w:val="0"/>
          <w:highlight w:val="none"/>
          <w14:textFill>
            <w14:solidFill>
              <w14:schemeClr w14:val="tx1"/>
            </w14:solidFill>
          </w14:textFill>
        </w:rPr>
        <w:t>表</w:t>
      </w:r>
      <w:r>
        <w:rPr>
          <w:b/>
          <w:color w:val="000000" w:themeColor="text1"/>
          <w:kern w:val="0"/>
          <w:highlight w:val="none"/>
          <w14:textFill>
            <w14:solidFill>
              <w14:schemeClr w14:val="tx1"/>
            </w14:solidFill>
          </w14:textFill>
        </w:rPr>
        <w:t>3.</w:t>
      </w:r>
      <w:r>
        <w:rPr>
          <w:rFonts w:hint="eastAsia"/>
          <w:b/>
          <w:color w:val="000000" w:themeColor="text1"/>
          <w:kern w:val="0"/>
          <w:highlight w:val="none"/>
          <w14:textFill>
            <w14:solidFill>
              <w14:schemeClr w14:val="tx1"/>
            </w14:solidFill>
          </w14:textFill>
        </w:rPr>
        <w:t>4</w:t>
      </w:r>
      <w:r>
        <w:rPr>
          <w:b/>
          <w:color w:val="000000" w:themeColor="text1"/>
          <w:kern w:val="0"/>
          <w:highlight w:val="none"/>
          <w14:textFill>
            <w14:solidFill>
              <w14:schemeClr w14:val="tx1"/>
            </w14:solidFill>
          </w14:textFill>
        </w:rPr>
        <w:t>-</w:t>
      </w:r>
      <w:r>
        <w:rPr>
          <w:rFonts w:hint="eastAsia"/>
          <w:b/>
          <w:color w:val="000000" w:themeColor="text1"/>
          <w:kern w:val="0"/>
          <w:highlight w:val="none"/>
          <w:lang w:val="en-US" w:eastAsia="zh-CN"/>
          <w14:textFill>
            <w14:solidFill>
              <w14:schemeClr w14:val="tx1"/>
            </w14:solidFill>
          </w14:textFill>
        </w:rPr>
        <w:t>8</w:t>
      </w:r>
      <w:r>
        <w:rPr>
          <w:b/>
          <w:color w:val="000000" w:themeColor="text1"/>
          <w:kern w:val="0"/>
          <w:highlight w:val="none"/>
          <w14:textFill>
            <w14:solidFill>
              <w14:schemeClr w14:val="tx1"/>
            </w14:solidFill>
          </w14:textFill>
        </w:rPr>
        <w:t xml:space="preserve">    </w:t>
      </w:r>
      <w:r>
        <w:rPr>
          <w:rFonts w:hint="eastAsia"/>
          <w:b/>
          <w:color w:val="000000" w:themeColor="text1"/>
          <w:kern w:val="0"/>
          <w:highlight w:val="none"/>
          <w14:textFill>
            <w14:solidFill>
              <w14:schemeClr w14:val="tx1"/>
            </w14:solidFill>
          </w14:textFill>
        </w:rPr>
        <w:t>项目主要大气污染物排放情况</w:t>
      </w:r>
    </w:p>
    <w:tbl>
      <w:tblPr>
        <w:tblStyle w:val="32"/>
        <w:tblW w:w="503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13"/>
        <w:gridCol w:w="2508"/>
        <w:gridCol w:w="1149"/>
        <w:gridCol w:w="1226"/>
        <w:gridCol w:w="963"/>
        <w:gridCol w:w="1114"/>
        <w:gridCol w:w="1014"/>
      </w:tblGrid>
      <w:tr w14:paraId="036349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1741" w:type="pct"/>
            <w:gridSpan w:val="2"/>
            <w:vMerge w:val="restart"/>
            <w:vAlign w:val="center"/>
          </w:tcPr>
          <w:p w14:paraId="33120A6C">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排放源</w:t>
            </w:r>
          </w:p>
        </w:tc>
        <w:tc>
          <w:tcPr>
            <w:tcW w:w="685" w:type="pct"/>
            <w:vMerge w:val="restart"/>
            <w:vAlign w:val="center"/>
          </w:tcPr>
          <w:p w14:paraId="4F61DA77">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污染物名称</w:t>
            </w:r>
          </w:p>
        </w:tc>
        <w:tc>
          <w:tcPr>
            <w:tcW w:w="1305" w:type="pct"/>
            <w:gridSpan w:val="2"/>
            <w:vAlign w:val="center"/>
          </w:tcPr>
          <w:p w14:paraId="62480C58">
            <w:pPr>
              <w:spacing w:line="360" w:lineRule="exact"/>
              <w:ind w:firstLine="0" w:firstLineChars="0"/>
              <w:jc w:val="center"/>
              <w:rPr>
                <w:rFonts w:hint="default"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产生情况</w:t>
            </w:r>
          </w:p>
        </w:tc>
        <w:tc>
          <w:tcPr>
            <w:tcW w:w="1268" w:type="pct"/>
            <w:gridSpan w:val="2"/>
            <w:vAlign w:val="center"/>
          </w:tcPr>
          <w:p w14:paraId="6425FAF3">
            <w:pPr>
              <w:spacing w:line="360" w:lineRule="exact"/>
              <w:ind w:firstLine="0" w:firstLineChars="0"/>
              <w:jc w:val="center"/>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排放情况</w:t>
            </w:r>
          </w:p>
        </w:tc>
      </w:tr>
      <w:tr w14:paraId="323918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1741" w:type="pct"/>
            <w:gridSpan w:val="2"/>
            <w:vMerge w:val="continue"/>
            <w:vAlign w:val="center"/>
          </w:tcPr>
          <w:p w14:paraId="64C703F2">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p>
        </w:tc>
        <w:tc>
          <w:tcPr>
            <w:tcW w:w="685" w:type="pct"/>
            <w:vMerge w:val="continue"/>
            <w:vAlign w:val="center"/>
          </w:tcPr>
          <w:p w14:paraId="41EAF6B5">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p>
        </w:tc>
        <w:tc>
          <w:tcPr>
            <w:tcW w:w="731" w:type="pct"/>
            <w:vAlign w:val="center"/>
          </w:tcPr>
          <w:p w14:paraId="1A0FDA9E">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产生浓度</w:t>
            </w:r>
            <w:r>
              <w:rPr>
                <w:rFonts w:hint="eastAsia"/>
                <w:b/>
                <w:bCs/>
                <w:color w:val="000000" w:themeColor="text1"/>
                <w:sz w:val="21"/>
                <w:szCs w:val="21"/>
                <w:highlight w:val="none"/>
                <w:lang w:eastAsia="zh-CN"/>
                <w14:textFill>
                  <w14:solidFill>
                    <w14:schemeClr w14:val="tx1"/>
                  </w14:solidFill>
                </w14:textFill>
              </w:rPr>
              <w:t>（</w:t>
            </w:r>
            <w:r>
              <w:rPr>
                <w:b/>
                <w:bCs/>
                <w:color w:val="000000" w:themeColor="text1"/>
                <w:sz w:val="21"/>
                <w:szCs w:val="21"/>
                <w:highlight w:val="none"/>
                <w14:textFill>
                  <w14:solidFill>
                    <w14:schemeClr w14:val="tx1"/>
                  </w14:solidFill>
                </w14:textFill>
              </w:rPr>
              <w:t>mg/m</w:t>
            </w:r>
            <w:r>
              <w:rPr>
                <w:b/>
                <w:bCs/>
                <w:color w:val="000000" w:themeColor="text1"/>
                <w:sz w:val="21"/>
                <w:szCs w:val="21"/>
                <w:highlight w:val="none"/>
                <w:vertAlign w:val="superscript"/>
                <w14:textFill>
                  <w14:solidFill>
                    <w14:schemeClr w14:val="tx1"/>
                  </w14:solidFill>
                </w14:textFill>
              </w:rPr>
              <w:t>3</w:t>
            </w:r>
            <w:r>
              <w:rPr>
                <w:rFonts w:hint="eastAsia"/>
                <w:b/>
                <w:bCs/>
                <w:color w:val="000000" w:themeColor="text1"/>
                <w:sz w:val="21"/>
                <w:szCs w:val="21"/>
                <w:highlight w:val="none"/>
                <w:lang w:eastAsia="zh-CN"/>
                <w14:textFill>
                  <w14:solidFill>
                    <w14:schemeClr w14:val="tx1"/>
                  </w14:solidFill>
                </w14:textFill>
              </w:rPr>
              <w:t>）</w:t>
            </w:r>
          </w:p>
        </w:tc>
        <w:tc>
          <w:tcPr>
            <w:tcW w:w="574" w:type="pct"/>
            <w:vAlign w:val="center"/>
          </w:tcPr>
          <w:p w14:paraId="081BAC92">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产生量</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t/a</w:t>
            </w:r>
            <w:r>
              <w:rPr>
                <w:rFonts w:hint="eastAsia"/>
                <w:b/>
                <w:bCs/>
                <w:color w:val="000000" w:themeColor="text1"/>
                <w:sz w:val="21"/>
                <w:szCs w:val="21"/>
                <w:highlight w:val="none"/>
                <w:lang w:eastAsia="zh-CN"/>
                <w14:textFill>
                  <w14:solidFill>
                    <w14:schemeClr w14:val="tx1"/>
                  </w14:solidFill>
                </w14:textFill>
              </w:rPr>
              <w:t>）</w:t>
            </w:r>
          </w:p>
        </w:tc>
        <w:tc>
          <w:tcPr>
            <w:tcW w:w="664" w:type="pct"/>
            <w:vAlign w:val="center"/>
          </w:tcPr>
          <w:p w14:paraId="01C8159D">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排放浓度</w:t>
            </w:r>
            <w:r>
              <w:rPr>
                <w:rFonts w:hint="eastAsia"/>
                <w:b/>
                <w:bCs/>
                <w:color w:val="000000" w:themeColor="text1"/>
                <w:sz w:val="21"/>
                <w:szCs w:val="21"/>
                <w:highlight w:val="none"/>
                <w:lang w:eastAsia="zh-CN"/>
                <w14:textFill>
                  <w14:solidFill>
                    <w14:schemeClr w14:val="tx1"/>
                  </w14:solidFill>
                </w14:textFill>
              </w:rPr>
              <w:t>（</w:t>
            </w:r>
            <w:r>
              <w:rPr>
                <w:b/>
                <w:bCs/>
                <w:color w:val="000000" w:themeColor="text1"/>
                <w:sz w:val="21"/>
                <w:szCs w:val="21"/>
                <w:highlight w:val="none"/>
                <w14:textFill>
                  <w14:solidFill>
                    <w14:schemeClr w14:val="tx1"/>
                  </w14:solidFill>
                </w14:textFill>
              </w:rPr>
              <w:t>mg/m</w:t>
            </w:r>
            <w:r>
              <w:rPr>
                <w:b/>
                <w:bCs/>
                <w:color w:val="000000" w:themeColor="text1"/>
                <w:sz w:val="21"/>
                <w:szCs w:val="21"/>
                <w:highlight w:val="none"/>
                <w:vertAlign w:val="superscript"/>
                <w14:textFill>
                  <w14:solidFill>
                    <w14:schemeClr w14:val="tx1"/>
                  </w14:solidFill>
                </w14:textFill>
              </w:rPr>
              <w:t>3</w:t>
            </w:r>
            <w:r>
              <w:rPr>
                <w:rFonts w:hint="eastAsia"/>
                <w:b/>
                <w:bCs/>
                <w:color w:val="000000" w:themeColor="text1"/>
                <w:sz w:val="21"/>
                <w:szCs w:val="21"/>
                <w:highlight w:val="none"/>
                <w:lang w:eastAsia="zh-CN"/>
                <w14:textFill>
                  <w14:solidFill>
                    <w14:schemeClr w14:val="tx1"/>
                  </w14:solidFill>
                </w14:textFill>
              </w:rPr>
              <w:t>）</w:t>
            </w:r>
          </w:p>
        </w:tc>
        <w:tc>
          <w:tcPr>
            <w:tcW w:w="604" w:type="pct"/>
            <w:vAlign w:val="center"/>
          </w:tcPr>
          <w:p w14:paraId="0A6D4CCA">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排放量</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t/a</w:t>
            </w:r>
            <w:r>
              <w:rPr>
                <w:rFonts w:hint="eastAsia"/>
                <w:b/>
                <w:bCs/>
                <w:color w:val="000000" w:themeColor="text1"/>
                <w:sz w:val="21"/>
                <w:szCs w:val="21"/>
                <w:highlight w:val="none"/>
                <w:lang w:eastAsia="zh-CN"/>
                <w14:textFill>
                  <w14:solidFill>
                    <w14:schemeClr w14:val="tx1"/>
                  </w14:solidFill>
                </w14:textFill>
              </w:rPr>
              <w:t>）</w:t>
            </w:r>
          </w:p>
        </w:tc>
      </w:tr>
      <w:tr w14:paraId="002CC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6" w:type="pct"/>
            <w:vMerge w:val="restart"/>
            <w:vAlign w:val="center"/>
          </w:tcPr>
          <w:p w14:paraId="3F4B95BB">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有组织</w:t>
            </w:r>
          </w:p>
        </w:tc>
        <w:tc>
          <w:tcPr>
            <w:tcW w:w="1494" w:type="pct"/>
            <w:vAlign w:val="center"/>
          </w:tcPr>
          <w:p w14:paraId="284FF833">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破碎筛分工序</w:t>
            </w:r>
            <w:r>
              <w:rPr>
                <w:rFonts w:hint="eastAsia"/>
                <w:color w:val="000000" w:themeColor="text1"/>
                <w:sz w:val="21"/>
                <w:szCs w:val="21"/>
                <w:highlight w:val="none"/>
                <w14:textFill>
                  <w14:solidFill>
                    <w14:schemeClr w14:val="tx1"/>
                  </w14:solidFill>
                </w14:textFill>
              </w:rPr>
              <w:t>排气筒</w:t>
            </w:r>
            <w:r>
              <w:rPr>
                <w:rFonts w:hint="eastAsia"/>
                <w:color w:val="000000" w:themeColor="text1"/>
                <w:sz w:val="21"/>
                <w:szCs w:val="21"/>
                <w:highlight w:val="none"/>
                <w:lang w:val="en-US" w:eastAsia="zh-CN"/>
                <w14:textFill>
                  <w14:solidFill>
                    <w14:schemeClr w14:val="tx1"/>
                  </w14:solidFill>
                </w14:textFill>
              </w:rPr>
              <w:t>DA001</w:t>
            </w:r>
          </w:p>
        </w:tc>
        <w:tc>
          <w:tcPr>
            <w:tcW w:w="685" w:type="pct"/>
            <w:vAlign w:val="center"/>
          </w:tcPr>
          <w:p w14:paraId="001864B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731" w:type="pct"/>
            <w:vAlign w:val="center"/>
          </w:tcPr>
          <w:p w14:paraId="5A269C3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1034.69</w:t>
            </w:r>
          </w:p>
        </w:tc>
        <w:tc>
          <w:tcPr>
            <w:tcW w:w="574" w:type="pct"/>
            <w:vAlign w:val="center"/>
          </w:tcPr>
          <w:p w14:paraId="58670D67">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446.985</w:t>
            </w:r>
          </w:p>
        </w:tc>
        <w:tc>
          <w:tcPr>
            <w:tcW w:w="664" w:type="pct"/>
            <w:vAlign w:val="center"/>
          </w:tcPr>
          <w:p w14:paraId="089F5B5B">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1.03</w:t>
            </w:r>
          </w:p>
        </w:tc>
        <w:tc>
          <w:tcPr>
            <w:tcW w:w="604" w:type="pct"/>
            <w:vAlign w:val="center"/>
          </w:tcPr>
          <w:p w14:paraId="74EB6B9C">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0.45</w:t>
            </w:r>
          </w:p>
        </w:tc>
      </w:tr>
      <w:tr w14:paraId="7A9E20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6" w:type="pct"/>
            <w:vMerge w:val="continue"/>
            <w:vAlign w:val="center"/>
          </w:tcPr>
          <w:p w14:paraId="0FAE054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494" w:type="pct"/>
            <w:vAlign w:val="center"/>
          </w:tcPr>
          <w:p w14:paraId="30520F94">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磁选工序排气筒DA002</w:t>
            </w:r>
          </w:p>
        </w:tc>
        <w:tc>
          <w:tcPr>
            <w:tcW w:w="685" w:type="pct"/>
            <w:vAlign w:val="center"/>
          </w:tcPr>
          <w:p w14:paraId="3A9BBD2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731" w:type="pct"/>
            <w:vAlign w:val="center"/>
          </w:tcPr>
          <w:p w14:paraId="0FAE1EAD">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2012.38</w:t>
            </w:r>
          </w:p>
        </w:tc>
        <w:tc>
          <w:tcPr>
            <w:tcW w:w="574" w:type="pct"/>
            <w:shd w:val="clear" w:color="auto" w:fill="auto"/>
            <w:vAlign w:val="center"/>
          </w:tcPr>
          <w:p w14:paraId="3410C20A">
            <w:pPr>
              <w:keepNext w:val="0"/>
              <w:keepLines w:val="0"/>
              <w:pageBreakBefore w:val="0"/>
              <w:widowControl w:val="0"/>
              <w:kinsoku/>
              <w:wordWrap/>
              <w:overflowPunct/>
              <w:topLinePunct w:val="0"/>
              <w:autoSpaceDE w:val="0"/>
              <w:autoSpaceDN w:val="0"/>
              <w:bidi w:val="0"/>
              <w:adjustRightInd/>
              <w:snapToGrid/>
              <w:spacing w:line="360" w:lineRule="exact"/>
              <w:ind w:left="-120" w:leftChars="-50" w:right="-120"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1158.098</w:t>
            </w:r>
          </w:p>
        </w:tc>
        <w:tc>
          <w:tcPr>
            <w:tcW w:w="664" w:type="pct"/>
            <w:vAlign w:val="center"/>
          </w:tcPr>
          <w:p w14:paraId="4F90F65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2.01</w:t>
            </w:r>
          </w:p>
        </w:tc>
        <w:tc>
          <w:tcPr>
            <w:tcW w:w="604" w:type="pct"/>
            <w:vAlign w:val="center"/>
          </w:tcPr>
          <w:p w14:paraId="19869711">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1.16</w:t>
            </w:r>
          </w:p>
        </w:tc>
      </w:tr>
      <w:tr w14:paraId="3C3EF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6" w:type="pct"/>
            <w:vMerge w:val="restart"/>
            <w:vAlign w:val="center"/>
          </w:tcPr>
          <w:p w14:paraId="6635B29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无组织</w:t>
            </w:r>
          </w:p>
        </w:tc>
        <w:tc>
          <w:tcPr>
            <w:tcW w:w="1494" w:type="pct"/>
            <w:vAlign w:val="center"/>
          </w:tcPr>
          <w:p w14:paraId="1A512F3C">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破碎筛分</w:t>
            </w:r>
            <w:r>
              <w:rPr>
                <w:rFonts w:hint="eastAsia"/>
                <w:color w:val="000000" w:themeColor="text1"/>
                <w:sz w:val="21"/>
                <w:szCs w:val="21"/>
                <w:highlight w:val="none"/>
                <w14:textFill>
                  <w14:solidFill>
                    <w14:schemeClr w14:val="tx1"/>
                  </w14:solidFill>
                </w14:textFill>
              </w:rPr>
              <w:t>车间</w:t>
            </w:r>
          </w:p>
        </w:tc>
        <w:tc>
          <w:tcPr>
            <w:tcW w:w="685" w:type="pct"/>
            <w:vAlign w:val="center"/>
          </w:tcPr>
          <w:p w14:paraId="4ABD9453">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731" w:type="pct"/>
            <w:vAlign w:val="center"/>
          </w:tcPr>
          <w:p w14:paraId="65692728">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74" w:type="pct"/>
            <w:vAlign w:val="center"/>
          </w:tcPr>
          <w:p w14:paraId="4E4190C0">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49.665</w:t>
            </w:r>
          </w:p>
        </w:tc>
        <w:tc>
          <w:tcPr>
            <w:tcW w:w="664" w:type="pct"/>
            <w:vAlign w:val="center"/>
          </w:tcPr>
          <w:p w14:paraId="60E9B85B">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04" w:type="pct"/>
            <w:vAlign w:val="center"/>
          </w:tcPr>
          <w:p w14:paraId="5D5FC78C">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0.50</w:t>
            </w:r>
          </w:p>
        </w:tc>
      </w:tr>
      <w:tr w14:paraId="1F762A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6" w:type="pct"/>
            <w:vMerge w:val="continue"/>
            <w:vAlign w:val="center"/>
          </w:tcPr>
          <w:p w14:paraId="497E9CFB">
            <w:pPr>
              <w:spacing w:line="360" w:lineRule="exact"/>
              <w:ind w:firstLine="0" w:firstLineChars="0"/>
              <w:jc w:val="center"/>
              <w:rPr>
                <w:rFonts w:hint="eastAsia"/>
                <w:color w:val="000000" w:themeColor="text1"/>
                <w:sz w:val="21"/>
                <w:szCs w:val="21"/>
                <w:highlight w:val="none"/>
                <w14:textFill>
                  <w14:solidFill>
                    <w14:schemeClr w14:val="tx1"/>
                  </w14:solidFill>
                </w14:textFill>
              </w:rPr>
            </w:pPr>
          </w:p>
        </w:tc>
        <w:tc>
          <w:tcPr>
            <w:tcW w:w="1494" w:type="pct"/>
            <w:vAlign w:val="center"/>
          </w:tcPr>
          <w:p w14:paraId="1F505A74">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磁选</w:t>
            </w:r>
            <w:r>
              <w:rPr>
                <w:rFonts w:hint="eastAsia"/>
                <w:color w:val="000000" w:themeColor="text1"/>
                <w:sz w:val="21"/>
                <w:szCs w:val="21"/>
                <w:highlight w:val="none"/>
                <w14:textFill>
                  <w14:solidFill>
                    <w14:schemeClr w14:val="tx1"/>
                  </w14:solidFill>
                </w14:textFill>
              </w:rPr>
              <w:t>车间</w:t>
            </w:r>
          </w:p>
        </w:tc>
        <w:tc>
          <w:tcPr>
            <w:tcW w:w="685" w:type="pct"/>
            <w:vAlign w:val="center"/>
          </w:tcPr>
          <w:p w14:paraId="2DFAAA12">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731" w:type="pct"/>
            <w:vAlign w:val="center"/>
          </w:tcPr>
          <w:p w14:paraId="0817C4EA">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74" w:type="pct"/>
            <w:vAlign w:val="center"/>
          </w:tcPr>
          <w:p w14:paraId="68C95E5D">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128.678</w:t>
            </w:r>
          </w:p>
        </w:tc>
        <w:tc>
          <w:tcPr>
            <w:tcW w:w="664" w:type="pct"/>
            <w:vAlign w:val="center"/>
          </w:tcPr>
          <w:p w14:paraId="30616A39">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04" w:type="pct"/>
            <w:vAlign w:val="center"/>
          </w:tcPr>
          <w:p w14:paraId="76EF4101">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1.29</w:t>
            </w:r>
          </w:p>
        </w:tc>
      </w:tr>
      <w:tr w14:paraId="654CD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6" w:type="pct"/>
            <w:vMerge w:val="continue"/>
            <w:vAlign w:val="center"/>
          </w:tcPr>
          <w:p w14:paraId="2892086B">
            <w:pPr>
              <w:widowControl/>
              <w:spacing w:line="240" w:lineRule="auto"/>
              <w:ind w:firstLine="0" w:firstLineChars="0"/>
              <w:jc w:val="left"/>
              <w:rPr>
                <w:color w:val="000000" w:themeColor="text1"/>
                <w:sz w:val="21"/>
                <w:szCs w:val="21"/>
                <w:highlight w:val="none"/>
                <w14:textFill>
                  <w14:solidFill>
                    <w14:schemeClr w14:val="tx1"/>
                  </w14:solidFill>
                </w14:textFill>
              </w:rPr>
            </w:pPr>
          </w:p>
        </w:tc>
        <w:tc>
          <w:tcPr>
            <w:tcW w:w="1494" w:type="pct"/>
            <w:vAlign w:val="center"/>
          </w:tcPr>
          <w:p w14:paraId="3D501AC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尾矿库</w:t>
            </w:r>
          </w:p>
        </w:tc>
        <w:tc>
          <w:tcPr>
            <w:tcW w:w="685" w:type="pct"/>
            <w:vAlign w:val="center"/>
          </w:tcPr>
          <w:p w14:paraId="62D026A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731" w:type="pct"/>
            <w:vAlign w:val="center"/>
          </w:tcPr>
          <w:p w14:paraId="3ADFFD1F">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74" w:type="pct"/>
            <w:vAlign w:val="center"/>
          </w:tcPr>
          <w:p w14:paraId="397FE2DF">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w:t>
            </w:r>
          </w:p>
        </w:tc>
        <w:tc>
          <w:tcPr>
            <w:tcW w:w="664" w:type="pct"/>
            <w:vAlign w:val="center"/>
          </w:tcPr>
          <w:p w14:paraId="0A224793">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04" w:type="pct"/>
            <w:vAlign w:val="center"/>
          </w:tcPr>
          <w:p w14:paraId="013EBCB3">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w:t>
            </w:r>
          </w:p>
        </w:tc>
      </w:tr>
      <w:tr w14:paraId="48457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6" w:type="pct"/>
            <w:vMerge w:val="continue"/>
            <w:vAlign w:val="center"/>
          </w:tcPr>
          <w:p w14:paraId="5840CDB3">
            <w:pPr>
              <w:widowControl/>
              <w:spacing w:line="240" w:lineRule="auto"/>
              <w:ind w:firstLine="0" w:firstLineChars="0"/>
              <w:jc w:val="left"/>
              <w:rPr>
                <w:color w:val="000000" w:themeColor="text1"/>
                <w:sz w:val="21"/>
                <w:szCs w:val="21"/>
                <w:highlight w:val="none"/>
                <w14:textFill>
                  <w14:solidFill>
                    <w14:schemeClr w14:val="tx1"/>
                  </w14:solidFill>
                </w14:textFill>
              </w:rPr>
            </w:pPr>
          </w:p>
        </w:tc>
        <w:tc>
          <w:tcPr>
            <w:tcW w:w="1494" w:type="pct"/>
            <w:vAlign w:val="center"/>
          </w:tcPr>
          <w:p w14:paraId="452ED196">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原矿仓</w:t>
            </w:r>
          </w:p>
        </w:tc>
        <w:tc>
          <w:tcPr>
            <w:tcW w:w="685" w:type="pct"/>
            <w:vAlign w:val="center"/>
          </w:tcPr>
          <w:p w14:paraId="1B17A28D">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731" w:type="pct"/>
            <w:vAlign w:val="center"/>
          </w:tcPr>
          <w:p w14:paraId="29DE053B">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74" w:type="pct"/>
            <w:vAlign w:val="center"/>
          </w:tcPr>
          <w:p w14:paraId="659F50D5">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133.78</w:t>
            </w:r>
          </w:p>
        </w:tc>
        <w:tc>
          <w:tcPr>
            <w:tcW w:w="664" w:type="pct"/>
            <w:vAlign w:val="center"/>
          </w:tcPr>
          <w:p w14:paraId="4F572772">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04" w:type="pct"/>
            <w:vAlign w:val="center"/>
          </w:tcPr>
          <w:p w14:paraId="04F55D42">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0.35</w:t>
            </w:r>
          </w:p>
        </w:tc>
      </w:tr>
      <w:tr w14:paraId="7A9C4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6" w:type="pct"/>
            <w:vMerge w:val="continue"/>
            <w:vAlign w:val="center"/>
          </w:tcPr>
          <w:p w14:paraId="1496B4AB">
            <w:pPr>
              <w:widowControl/>
              <w:spacing w:line="240" w:lineRule="auto"/>
              <w:ind w:firstLine="0" w:firstLineChars="0"/>
              <w:jc w:val="left"/>
              <w:rPr>
                <w:color w:val="000000" w:themeColor="text1"/>
                <w:sz w:val="21"/>
                <w:szCs w:val="21"/>
                <w:highlight w:val="none"/>
                <w14:textFill>
                  <w14:solidFill>
                    <w14:schemeClr w14:val="tx1"/>
                  </w14:solidFill>
                </w14:textFill>
              </w:rPr>
            </w:pPr>
          </w:p>
        </w:tc>
        <w:tc>
          <w:tcPr>
            <w:tcW w:w="1494" w:type="pct"/>
            <w:vAlign w:val="center"/>
          </w:tcPr>
          <w:p w14:paraId="7552FA0D">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精矿库</w:t>
            </w:r>
          </w:p>
        </w:tc>
        <w:tc>
          <w:tcPr>
            <w:tcW w:w="685" w:type="pct"/>
            <w:vAlign w:val="center"/>
          </w:tcPr>
          <w:p w14:paraId="759888AE">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731" w:type="pct"/>
            <w:vAlign w:val="center"/>
          </w:tcPr>
          <w:p w14:paraId="01376954">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74" w:type="pct"/>
            <w:vAlign w:val="center"/>
          </w:tcPr>
          <w:p w14:paraId="5FCA3501">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21.85</w:t>
            </w:r>
          </w:p>
        </w:tc>
        <w:tc>
          <w:tcPr>
            <w:tcW w:w="664" w:type="pct"/>
            <w:vAlign w:val="center"/>
          </w:tcPr>
          <w:p w14:paraId="5BE9BC35">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04" w:type="pct"/>
            <w:vAlign w:val="center"/>
          </w:tcPr>
          <w:p w14:paraId="74C33E16">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0.22</w:t>
            </w:r>
          </w:p>
        </w:tc>
      </w:tr>
      <w:tr w14:paraId="15B83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6" w:type="pct"/>
            <w:vMerge w:val="continue"/>
            <w:vAlign w:val="center"/>
          </w:tcPr>
          <w:p w14:paraId="1D084194">
            <w:pPr>
              <w:widowControl/>
              <w:spacing w:line="240" w:lineRule="auto"/>
              <w:ind w:firstLine="0" w:firstLineChars="0"/>
              <w:jc w:val="left"/>
              <w:rPr>
                <w:color w:val="000000" w:themeColor="text1"/>
                <w:sz w:val="21"/>
                <w:szCs w:val="21"/>
                <w:highlight w:val="none"/>
                <w14:textFill>
                  <w14:solidFill>
                    <w14:schemeClr w14:val="tx1"/>
                  </w14:solidFill>
                </w14:textFill>
              </w:rPr>
            </w:pPr>
          </w:p>
        </w:tc>
        <w:tc>
          <w:tcPr>
            <w:tcW w:w="1494" w:type="pct"/>
            <w:vAlign w:val="center"/>
          </w:tcPr>
          <w:p w14:paraId="69053DB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道路扬尘</w:t>
            </w:r>
          </w:p>
        </w:tc>
        <w:tc>
          <w:tcPr>
            <w:tcW w:w="685" w:type="pct"/>
          </w:tcPr>
          <w:p w14:paraId="7D88090E">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731" w:type="pct"/>
            <w:shd w:val="clear" w:color="auto" w:fill="auto"/>
            <w:vAlign w:val="center"/>
          </w:tcPr>
          <w:p w14:paraId="3EB309C7">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74" w:type="pct"/>
            <w:vAlign w:val="center"/>
          </w:tcPr>
          <w:p w14:paraId="3CC1BCDE">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25.8</w:t>
            </w:r>
          </w:p>
        </w:tc>
        <w:tc>
          <w:tcPr>
            <w:tcW w:w="664" w:type="pct"/>
            <w:shd w:val="clear" w:color="auto" w:fill="auto"/>
            <w:vAlign w:val="center"/>
          </w:tcPr>
          <w:p w14:paraId="1DC2787C">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04" w:type="pct"/>
            <w:vAlign w:val="center"/>
          </w:tcPr>
          <w:p w14:paraId="383FB6F7">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5.16</w:t>
            </w:r>
          </w:p>
        </w:tc>
      </w:tr>
      <w:tr w14:paraId="77AD1F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6" w:type="pct"/>
            <w:vMerge w:val="continue"/>
            <w:vAlign w:val="center"/>
          </w:tcPr>
          <w:p w14:paraId="30AD5DC5">
            <w:pPr>
              <w:widowControl/>
              <w:spacing w:line="240" w:lineRule="auto"/>
              <w:ind w:firstLine="0" w:firstLineChars="0"/>
              <w:jc w:val="left"/>
              <w:rPr>
                <w:color w:val="000000" w:themeColor="text1"/>
                <w:sz w:val="21"/>
                <w:szCs w:val="21"/>
                <w:highlight w:val="none"/>
                <w14:textFill>
                  <w14:solidFill>
                    <w14:schemeClr w14:val="tx1"/>
                  </w14:solidFill>
                </w14:textFill>
              </w:rPr>
            </w:pPr>
          </w:p>
        </w:tc>
        <w:tc>
          <w:tcPr>
            <w:tcW w:w="1494" w:type="pct"/>
            <w:vMerge w:val="restart"/>
            <w:vAlign w:val="center"/>
          </w:tcPr>
          <w:p w14:paraId="4EF1DA91">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汽车尾气</w:t>
            </w:r>
          </w:p>
        </w:tc>
        <w:tc>
          <w:tcPr>
            <w:tcW w:w="685" w:type="pct"/>
            <w:vAlign w:val="center"/>
          </w:tcPr>
          <w:p w14:paraId="59E4EC8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w:t>
            </w:r>
          </w:p>
        </w:tc>
        <w:tc>
          <w:tcPr>
            <w:tcW w:w="731" w:type="pct"/>
            <w:shd w:val="clear" w:color="auto" w:fill="auto"/>
            <w:vAlign w:val="center"/>
          </w:tcPr>
          <w:p w14:paraId="33007739">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74" w:type="pct"/>
            <w:shd w:val="clear" w:color="auto" w:fill="auto"/>
            <w:vAlign w:val="center"/>
          </w:tcPr>
          <w:p w14:paraId="654759B9">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2.15</w:t>
            </w:r>
          </w:p>
        </w:tc>
        <w:tc>
          <w:tcPr>
            <w:tcW w:w="664" w:type="pct"/>
            <w:shd w:val="clear" w:color="auto" w:fill="auto"/>
            <w:vAlign w:val="center"/>
          </w:tcPr>
          <w:p w14:paraId="714A8940">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04" w:type="pct"/>
            <w:shd w:val="clear" w:color="auto" w:fill="auto"/>
            <w:vAlign w:val="center"/>
          </w:tcPr>
          <w:p w14:paraId="7FB9D6C9">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2.15</w:t>
            </w:r>
          </w:p>
        </w:tc>
      </w:tr>
      <w:tr w14:paraId="29A670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6" w:type="pct"/>
            <w:vMerge w:val="continue"/>
            <w:vAlign w:val="center"/>
          </w:tcPr>
          <w:p w14:paraId="28625169">
            <w:pPr>
              <w:widowControl/>
              <w:spacing w:line="240" w:lineRule="auto"/>
              <w:ind w:firstLine="0" w:firstLineChars="0"/>
              <w:jc w:val="left"/>
              <w:rPr>
                <w:color w:val="000000" w:themeColor="text1"/>
                <w:sz w:val="21"/>
                <w:szCs w:val="21"/>
                <w:highlight w:val="none"/>
                <w14:textFill>
                  <w14:solidFill>
                    <w14:schemeClr w14:val="tx1"/>
                  </w14:solidFill>
                </w14:textFill>
              </w:rPr>
            </w:pPr>
          </w:p>
        </w:tc>
        <w:tc>
          <w:tcPr>
            <w:tcW w:w="1494" w:type="pct"/>
            <w:vMerge w:val="continue"/>
            <w:vAlign w:val="center"/>
          </w:tcPr>
          <w:p w14:paraId="3A5F2CEA">
            <w:pPr>
              <w:widowControl/>
              <w:spacing w:line="240" w:lineRule="auto"/>
              <w:ind w:firstLine="0" w:firstLineChars="0"/>
              <w:jc w:val="left"/>
              <w:rPr>
                <w:color w:val="000000" w:themeColor="text1"/>
                <w:sz w:val="21"/>
                <w:szCs w:val="21"/>
                <w:highlight w:val="none"/>
                <w14:textFill>
                  <w14:solidFill>
                    <w14:schemeClr w14:val="tx1"/>
                  </w14:solidFill>
                </w14:textFill>
              </w:rPr>
            </w:pPr>
          </w:p>
        </w:tc>
        <w:tc>
          <w:tcPr>
            <w:tcW w:w="685" w:type="pct"/>
            <w:vAlign w:val="center"/>
          </w:tcPr>
          <w:p w14:paraId="13905E2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n</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m</w:t>
            </w:r>
          </w:p>
        </w:tc>
        <w:tc>
          <w:tcPr>
            <w:tcW w:w="731" w:type="pct"/>
            <w:shd w:val="clear" w:color="auto" w:fill="auto"/>
            <w:vAlign w:val="center"/>
          </w:tcPr>
          <w:p w14:paraId="4811CA31">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74" w:type="pct"/>
            <w:shd w:val="clear" w:color="auto" w:fill="auto"/>
            <w:vAlign w:val="center"/>
          </w:tcPr>
          <w:p w14:paraId="1AF892E7">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w:t>
            </w:r>
          </w:p>
        </w:tc>
        <w:tc>
          <w:tcPr>
            <w:tcW w:w="664" w:type="pct"/>
            <w:shd w:val="clear" w:color="auto" w:fill="auto"/>
            <w:vAlign w:val="center"/>
          </w:tcPr>
          <w:p w14:paraId="30FB1C97">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04" w:type="pct"/>
            <w:shd w:val="clear" w:color="auto" w:fill="auto"/>
            <w:vAlign w:val="center"/>
          </w:tcPr>
          <w:p w14:paraId="754BC55F">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w:t>
            </w:r>
          </w:p>
        </w:tc>
      </w:tr>
      <w:tr w14:paraId="68D75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6" w:type="pct"/>
            <w:vMerge w:val="continue"/>
            <w:vAlign w:val="center"/>
          </w:tcPr>
          <w:p w14:paraId="0B33497F">
            <w:pPr>
              <w:widowControl/>
              <w:spacing w:line="240" w:lineRule="auto"/>
              <w:ind w:firstLine="0" w:firstLineChars="0"/>
              <w:jc w:val="left"/>
              <w:rPr>
                <w:color w:val="000000" w:themeColor="text1"/>
                <w:sz w:val="21"/>
                <w:szCs w:val="21"/>
                <w:highlight w:val="none"/>
                <w14:textFill>
                  <w14:solidFill>
                    <w14:schemeClr w14:val="tx1"/>
                  </w14:solidFill>
                </w14:textFill>
              </w:rPr>
            </w:pPr>
          </w:p>
        </w:tc>
        <w:tc>
          <w:tcPr>
            <w:tcW w:w="1494" w:type="pct"/>
            <w:vMerge w:val="continue"/>
            <w:vAlign w:val="center"/>
          </w:tcPr>
          <w:p w14:paraId="4D07A7C7">
            <w:pPr>
              <w:widowControl/>
              <w:spacing w:line="240" w:lineRule="auto"/>
              <w:ind w:firstLine="0" w:firstLineChars="0"/>
              <w:jc w:val="left"/>
              <w:rPr>
                <w:color w:val="000000" w:themeColor="text1"/>
                <w:sz w:val="21"/>
                <w:szCs w:val="21"/>
                <w:highlight w:val="none"/>
                <w14:textFill>
                  <w14:solidFill>
                    <w14:schemeClr w14:val="tx1"/>
                  </w14:solidFill>
                </w14:textFill>
              </w:rPr>
            </w:pPr>
          </w:p>
        </w:tc>
        <w:tc>
          <w:tcPr>
            <w:tcW w:w="685" w:type="pct"/>
            <w:vAlign w:val="center"/>
          </w:tcPr>
          <w:p w14:paraId="4A2D70E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NOx</w:t>
            </w:r>
          </w:p>
        </w:tc>
        <w:tc>
          <w:tcPr>
            <w:tcW w:w="731" w:type="pct"/>
            <w:shd w:val="clear" w:color="auto" w:fill="auto"/>
            <w:vAlign w:val="center"/>
          </w:tcPr>
          <w:p w14:paraId="67D81329">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74" w:type="pct"/>
            <w:shd w:val="clear" w:color="auto" w:fill="auto"/>
            <w:vAlign w:val="center"/>
          </w:tcPr>
          <w:p w14:paraId="41974DD1">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14:textFill>
                  <w14:solidFill>
                    <w14:schemeClr w14:val="tx1"/>
                  </w14:solidFill>
                </w14:textFill>
              </w:rPr>
              <w:t>7</w:t>
            </w:r>
          </w:p>
        </w:tc>
        <w:tc>
          <w:tcPr>
            <w:tcW w:w="664" w:type="pct"/>
            <w:shd w:val="clear" w:color="auto" w:fill="auto"/>
            <w:vAlign w:val="center"/>
          </w:tcPr>
          <w:p w14:paraId="404F0B52">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04" w:type="pct"/>
            <w:shd w:val="clear" w:color="auto" w:fill="auto"/>
            <w:vAlign w:val="center"/>
          </w:tcPr>
          <w:p w14:paraId="0DA8AF62">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14:textFill>
                  <w14:solidFill>
                    <w14:schemeClr w14:val="tx1"/>
                  </w14:solidFill>
                </w14:textFill>
              </w:rPr>
              <w:t>7</w:t>
            </w:r>
          </w:p>
        </w:tc>
      </w:tr>
    </w:tbl>
    <w:p w14:paraId="16E77781">
      <w:pPr>
        <w:ind w:firstLine="0" w:firstLineChars="0"/>
        <w:jc w:val="center"/>
        <w:rPr>
          <w:b/>
          <w:color w:val="000000" w:themeColor="text1"/>
          <w:kern w:val="0"/>
          <w:szCs w:val="21"/>
          <w:highlight w:val="none"/>
          <w14:textFill>
            <w14:solidFill>
              <w14:schemeClr w14:val="tx1"/>
            </w14:solidFill>
          </w14:textFill>
        </w:rPr>
      </w:pPr>
      <w:r>
        <w:rPr>
          <w:rFonts w:hint="eastAsia"/>
          <w:b/>
          <w:color w:val="000000" w:themeColor="text1"/>
          <w:kern w:val="0"/>
          <w:highlight w:val="none"/>
          <w14:textFill>
            <w14:solidFill>
              <w14:schemeClr w14:val="tx1"/>
            </w14:solidFill>
          </w14:textFill>
        </w:rPr>
        <w:t>表</w:t>
      </w:r>
      <w:r>
        <w:rPr>
          <w:b/>
          <w:color w:val="000000" w:themeColor="text1"/>
          <w:kern w:val="0"/>
          <w:highlight w:val="none"/>
          <w14:textFill>
            <w14:solidFill>
              <w14:schemeClr w14:val="tx1"/>
            </w14:solidFill>
          </w14:textFill>
        </w:rPr>
        <w:t>3.</w:t>
      </w:r>
      <w:r>
        <w:rPr>
          <w:rFonts w:hint="eastAsia"/>
          <w:b/>
          <w:color w:val="000000" w:themeColor="text1"/>
          <w:kern w:val="0"/>
          <w:highlight w:val="none"/>
          <w14:textFill>
            <w14:solidFill>
              <w14:schemeClr w14:val="tx1"/>
            </w14:solidFill>
          </w14:textFill>
        </w:rPr>
        <w:t>4</w:t>
      </w:r>
      <w:r>
        <w:rPr>
          <w:b/>
          <w:color w:val="000000" w:themeColor="text1"/>
          <w:kern w:val="0"/>
          <w:highlight w:val="none"/>
          <w14:textFill>
            <w14:solidFill>
              <w14:schemeClr w14:val="tx1"/>
            </w14:solidFill>
          </w14:textFill>
        </w:rPr>
        <w:t>-</w:t>
      </w:r>
      <w:r>
        <w:rPr>
          <w:rFonts w:hint="eastAsia"/>
          <w:b/>
          <w:color w:val="000000" w:themeColor="text1"/>
          <w:kern w:val="0"/>
          <w:highlight w:val="none"/>
          <w:lang w:val="en-US" w:eastAsia="zh-CN"/>
          <w14:textFill>
            <w14:solidFill>
              <w14:schemeClr w14:val="tx1"/>
            </w14:solidFill>
          </w14:textFill>
        </w:rPr>
        <w:t>9</w:t>
      </w:r>
      <w:r>
        <w:rPr>
          <w:b/>
          <w:color w:val="000000" w:themeColor="text1"/>
          <w:kern w:val="0"/>
          <w:highlight w:val="none"/>
          <w14:textFill>
            <w14:solidFill>
              <w14:schemeClr w14:val="tx1"/>
            </w14:solidFill>
          </w14:textFill>
        </w:rPr>
        <w:t xml:space="preserve">    </w:t>
      </w:r>
      <w:r>
        <w:rPr>
          <w:rFonts w:hint="eastAsia"/>
          <w:b/>
          <w:color w:val="000000" w:themeColor="text1"/>
          <w:kern w:val="0"/>
          <w:highlight w:val="none"/>
          <w14:textFill>
            <w14:solidFill>
              <w14:schemeClr w14:val="tx1"/>
            </w14:solidFill>
          </w14:textFill>
        </w:rPr>
        <w:t>项目主要大气污染物排放总量</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91"/>
        <w:gridCol w:w="1608"/>
        <w:gridCol w:w="1549"/>
        <w:gridCol w:w="1823"/>
        <w:gridCol w:w="2256"/>
      </w:tblGrid>
      <w:tr w14:paraId="582E3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55" w:type="pct"/>
            <w:tcBorders>
              <w:tl2br w:val="nil"/>
              <w:tr2bl w:val="nil"/>
            </w:tcBorders>
            <w:vAlign w:val="center"/>
          </w:tcPr>
          <w:p w14:paraId="465130CE">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排放源</w:t>
            </w:r>
          </w:p>
        </w:tc>
        <w:tc>
          <w:tcPr>
            <w:tcW w:w="965" w:type="pct"/>
            <w:tcBorders>
              <w:tl2br w:val="nil"/>
              <w:tr2bl w:val="nil"/>
            </w:tcBorders>
            <w:vAlign w:val="center"/>
          </w:tcPr>
          <w:p w14:paraId="006CBF6A">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污染物名称</w:t>
            </w:r>
          </w:p>
        </w:tc>
        <w:tc>
          <w:tcPr>
            <w:tcW w:w="930" w:type="pct"/>
            <w:tcBorders>
              <w:tl2br w:val="nil"/>
              <w:tr2bl w:val="nil"/>
            </w:tcBorders>
            <w:vAlign w:val="center"/>
          </w:tcPr>
          <w:p w14:paraId="41E07D50">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产生量</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t/a</w:t>
            </w:r>
            <w:r>
              <w:rPr>
                <w:rFonts w:hint="eastAsia"/>
                <w:b/>
                <w:bCs/>
                <w:color w:val="000000" w:themeColor="text1"/>
                <w:sz w:val="21"/>
                <w:szCs w:val="21"/>
                <w:highlight w:val="none"/>
                <w:lang w:eastAsia="zh-CN"/>
                <w14:textFill>
                  <w14:solidFill>
                    <w14:schemeClr w14:val="tx1"/>
                  </w14:solidFill>
                </w14:textFill>
              </w:rPr>
              <w:t>）</w:t>
            </w:r>
          </w:p>
        </w:tc>
        <w:tc>
          <w:tcPr>
            <w:tcW w:w="1094" w:type="pct"/>
            <w:tcBorders>
              <w:tl2br w:val="nil"/>
              <w:tr2bl w:val="nil"/>
            </w:tcBorders>
            <w:vAlign w:val="center"/>
          </w:tcPr>
          <w:p w14:paraId="1658AAC8">
            <w:pPr>
              <w:spacing w:line="360" w:lineRule="exact"/>
              <w:ind w:firstLine="0" w:firstLineChars="0"/>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削减量</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t/a</w:t>
            </w:r>
            <w:r>
              <w:rPr>
                <w:rFonts w:hint="eastAsia"/>
                <w:b/>
                <w:bCs/>
                <w:color w:val="000000" w:themeColor="text1"/>
                <w:sz w:val="21"/>
                <w:szCs w:val="21"/>
                <w:highlight w:val="none"/>
                <w:lang w:eastAsia="zh-CN"/>
                <w14:textFill>
                  <w14:solidFill>
                    <w14:schemeClr w14:val="tx1"/>
                  </w14:solidFill>
                </w14:textFill>
              </w:rPr>
              <w:t>）</w:t>
            </w:r>
          </w:p>
        </w:tc>
        <w:tc>
          <w:tcPr>
            <w:tcW w:w="1354" w:type="pct"/>
            <w:tcBorders>
              <w:tl2br w:val="nil"/>
              <w:tr2bl w:val="nil"/>
            </w:tcBorders>
            <w:vAlign w:val="center"/>
          </w:tcPr>
          <w:p w14:paraId="3595CDF6">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排放量</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t/a</w:t>
            </w:r>
            <w:r>
              <w:rPr>
                <w:rFonts w:hint="eastAsia"/>
                <w:b/>
                <w:bCs/>
                <w:color w:val="000000" w:themeColor="text1"/>
                <w:sz w:val="21"/>
                <w:szCs w:val="21"/>
                <w:highlight w:val="none"/>
                <w:lang w:eastAsia="zh-CN"/>
                <w14:textFill>
                  <w14:solidFill>
                    <w14:schemeClr w14:val="tx1"/>
                  </w14:solidFill>
                </w14:textFill>
              </w:rPr>
              <w:t>）</w:t>
            </w:r>
          </w:p>
        </w:tc>
      </w:tr>
      <w:tr w14:paraId="35AEC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tcBorders>
              <w:tl2br w:val="nil"/>
              <w:tr2bl w:val="nil"/>
            </w:tcBorders>
            <w:vAlign w:val="center"/>
          </w:tcPr>
          <w:p w14:paraId="346EA1BD">
            <w:pPr>
              <w:spacing w:line="360" w:lineRule="exact"/>
              <w:ind w:firstLine="0" w:firstLineChars="0"/>
              <w:jc w:val="center"/>
              <w:rPr>
                <w:color w:val="000000" w:themeColor="text1"/>
                <w:sz w:val="21"/>
                <w:szCs w:val="21"/>
                <w:highlight w:val="none"/>
                <w14:textFill>
                  <w14:solidFill>
                    <w14:schemeClr w14:val="tx1"/>
                  </w14:solidFill>
                </w14:textFill>
              </w:rPr>
            </w:pPr>
            <w:bookmarkStart w:id="520" w:name="_Hlk384899458"/>
            <w:r>
              <w:rPr>
                <w:rFonts w:hint="eastAsia"/>
                <w:color w:val="000000" w:themeColor="text1"/>
                <w:sz w:val="21"/>
                <w:szCs w:val="21"/>
                <w:highlight w:val="none"/>
                <w14:textFill>
                  <w14:solidFill>
                    <w14:schemeClr w14:val="tx1"/>
                  </w14:solidFill>
                </w14:textFill>
              </w:rPr>
              <w:t>有组织</w:t>
            </w:r>
          </w:p>
        </w:tc>
        <w:tc>
          <w:tcPr>
            <w:tcW w:w="965" w:type="pct"/>
            <w:tcBorders>
              <w:tl2br w:val="nil"/>
              <w:tr2bl w:val="nil"/>
            </w:tcBorders>
            <w:vAlign w:val="center"/>
          </w:tcPr>
          <w:p w14:paraId="3CC0E54D">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930" w:type="pct"/>
            <w:tcBorders>
              <w:tl2br w:val="nil"/>
              <w:tr2bl w:val="nil"/>
            </w:tcBorders>
            <w:vAlign w:val="center"/>
          </w:tcPr>
          <w:p w14:paraId="571FA030">
            <w:pPr>
              <w:spacing w:line="360" w:lineRule="exact"/>
              <w:ind w:firstLine="0" w:firstLineChars="0"/>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1605.083</w:t>
            </w:r>
          </w:p>
        </w:tc>
        <w:tc>
          <w:tcPr>
            <w:tcW w:w="1094" w:type="pct"/>
            <w:tcBorders>
              <w:tl2br w:val="nil"/>
              <w:tr2bl w:val="nil"/>
            </w:tcBorders>
            <w:vAlign w:val="center"/>
          </w:tcPr>
          <w:p w14:paraId="08954845">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1603.473</w:t>
            </w:r>
          </w:p>
        </w:tc>
        <w:tc>
          <w:tcPr>
            <w:tcW w:w="1354" w:type="pct"/>
            <w:tcBorders>
              <w:tl2br w:val="nil"/>
              <w:tr2bl w:val="nil"/>
            </w:tcBorders>
            <w:vAlign w:val="center"/>
          </w:tcPr>
          <w:p w14:paraId="60D5B353">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1.61</w:t>
            </w:r>
          </w:p>
        </w:tc>
      </w:tr>
      <w:bookmarkEnd w:id="520"/>
      <w:tr w14:paraId="00C95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vMerge w:val="restart"/>
            <w:tcBorders>
              <w:tl2br w:val="nil"/>
              <w:tr2bl w:val="nil"/>
            </w:tcBorders>
            <w:vAlign w:val="center"/>
          </w:tcPr>
          <w:p w14:paraId="5304DC8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无组织</w:t>
            </w:r>
          </w:p>
        </w:tc>
        <w:tc>
          <w:tcPr>
            <w:tcW w:w="965" w:type="pct"/>
            <w:tcBorders>
              <w:tl2br w:val="nil"/>
              <w:tr2bl w:val="nil"/>
            </w:tcBorders>
            <w:vAlign w:val="center"/>
          </w:tcPr>
          <w:p w14:paraId="6B35065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930" w:type="pct"/>
            <w:tcBorders>
              <w:tl2br w:val="nil"/>
              <w:tr2bl w:val="nil"/>
            </w:tcBorders>
            <w:vAlign w:val="center"/>
          </w:tcPr>
          <w:p w14:paraId="50CE8398">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359.953</w:t>
            </w:r>
          </w:p>
        </w:tc>
        <w:tc>
          <w:tcPr>
            <w:tcW w:w="1094" w:type="pct"/>
            <w:tcBorders>
              <w:tl2br w:val="nil"/>
              <w:tr2bl w:val="nil"/>
            </w:tcBorders>
            <w:vAlign w:val="center"/>
          </w:tcPr>
          <w:p w14:paraId="6460F29A">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352.253</w:t>
            </w:r>
          </w:p>
        </w:tc>
        <w:tc>
          <w:tcPr>
            <w:tcW w:w="1354" w:type="pct"/>
            <w:tcBorders>
              <w:tl2br w:val="nil"/>
              <w:tr2bl w:val="nil"/>
            </w:tcBorders>
            <w:vAlign w:val="center"/>
          </w:tcPr>
          <w:p w14:paraId="3121C6B4">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7.70</w:t>
            </w:r>
          </w:p>
        </w:tc>
      </w:tr>
      <w:tr w14:paraId="17F9A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vMerge w:val="continue"/>
            <w:tcBorders>
              <w:tl2br w:val="nil"/>
              <w:tr2bl w:val="nil"/>
            </w:tcBorders>
            <w:vAlign w:val="center"/>
          </w:tcPr>
          <w:p w14:paraId="1CAD2CD3">
            <w:pPr>
              <w:widowControl/>
              <w:spacing w:line="240" w:lineRule="auto"/>
              <w:ind w:firstLine="0" w:firstLineChars="0"/>
              <w:jc w:val="left"/>
              <w:rPr>
                <w:color w:val="000000" w:themeColor="text1"/>
                <w:sz w:val="21"/>
                <w:szCs w:val="21"/>
                <w:highlight w:val="none"/>
                <w14:textFill>
                  <w14:solidFill>
                    <w14:schemeClr w14:val="tx1"/>
                  </w14:solidFill>
                </w14:textFill>
              </w:rPr>
            </w:pPr>
          </w:p>
        </w:tc>
        <w:tc>
          <w:tcPr>
            <w:tcW w:w="965" w:type="pct"/>
            <w:tcBorders>
              <w:tl2br w:val="nil"/>
              <w:tr2bl w:val="nil"/>
            </w:tcBorders>
            <w:vAlign w:val="center"/>
          </w:tcPr>
          <w:p w14:paraId="3E14498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w:t>
            </w:r>
          </w:p>
        </w:tc>
        <w:tc>
          <w:tcPr>
            <w:tcW w:w="930" w:type="pct"/>
            <w:tcBorders>
              <w:tl2br w:val="nil"/>
              <w:tr2bl w:val="nil"/>
            </w:tcBorders>
            <w:vAlign w:val="center"/>
          </w:tcPr>
          <w:p w14:paraId="4D4D1AA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2.15</w:t>
            </w:r>
          </w:p>
        </w:tc>
        <w:tc>
          <w:tcPr>
            <w:tcW w:w="1094" w:type="pct"/>
            <w:tcBorders>
              <w:tl2br w:val="nil"/>
              <w:tr2bl w:val="nil"/>
            </w:tcBorders>
            <w:vAlign w:val="center"/>
          </w:tcPr>
          <w:p w14:paraId="0E995926">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1354" w:type="pct"/>
            <w:tcBorders>
              <w:tl2br w:val="nil"/>
              <w:tr2bl w:val="nil"/>
            </w:tcBorders>
            <w:vAlign w:val="center"/>
          </w:tcPr>
          <w:p w14:paraId="47118503">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2.15</w:t>
            </w:r>
          </w:p>
        </w:tc>
      </w:tr>
      <w:tr w14:paraId="3294C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vMerge w:val="continue"/>
            <w:tcBorders>
              <w:tl2br w:val="nil"/>
              <w:tr2bl w:val="nil"/>
            </w:tcBorders>
            <w:vAlign w:val="center"/>
          </w:tcPr>
          <w:p w14:paraId="0CCE1B37">
            <w:pPr>
              <w:widowControl/>
              <w:spacing w:line="240" w:lineRule="auto"/>
              <w:ind w:firstLine="0" w:firstLineChars="0"/>
              <w:jc w:val="left"/>
              <w:rPr>
                <w:color w:val="000000" w:themeColor="text1"/>
                <w:sz w:val="21"/>
                <w:szCs w:val="21"/>
                <w:highlight w:val="none"/>
                <w14:textFill>
                  <w14:solidFill>
                    <w14:schemeClr w14:val="tx1"/>
                  </w14:solidFill>
                </w14:textFill>
              </w:rPr>
            </w:pPr>
          </w:p>
        </w:tc>
        <w:tc>
          <w:tcPr>
            <w:tcW w:w="965" w:type="pct"/>
            <w:tcBorders>
              <w:tl2br w:val="nil"/>
              <w:tr2bl w:val="nil"/>
            </w:tcBorders>
            <w:vAlign w:val="center"/>
          </w:tcPr>
          <w:p w14:paraId="6ADAB7A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n</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m</w:t>
            </w:r>
          </w:p>
        </w:tc>
        <w:tc>
          <w:tcPr>
            <w:tcW w:w="930" w:type="pct"/>
            <w:tcBorders>
              <w:tl2br w:val="nil"/>
              <w:tr2bl w:val="nil"/>
            </w:tcBorders>
            <w:vAlign w:val="center"/>
          </w:tcPr>
          <w:p w14:paraId="52705F0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w:t>
            </w:r>
          </w:p>
        </w:tc>
        <w:tc>
          <w:tcPr>
            <w:tcW w:w="1094" w:type="pct"/>
            <w:tcBorders>
              <w:tl2br w:val="nil"/>
              <w:tr2bl w:val="nil"/>
            </w:tcBorders>
            <w:vAlign w:val="center"/>
          </w:tcPr>
          <w:p w14:paraId="56777133">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1354" w:type="pct"/>
            <w:tcBorders>
              <w:tl2br w:val="nil"/>
              <w:tr2bl w:val="nil"/>
            </w:tcBorders>
            <w:vAlign w:val="center"/>
          </w:tcPr>
          <w:p w14:paraId="4EF6331A">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w:t>
            </w:r>
          </w:p>
        </w:tc>
      </w:tr>
      <w:tr w14:paraId="31893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vMerge w:val="continue"/>
            <w:tcBorders>
              <w:tl2br w:val="nil"/>
              <w:tr2bl w:val="nil"/>
            </w:tcBorders>
            <w:vAlign w:val="center"/>
          </w:tcPr>
          <w:p w14:paraId="19CCB006">
            <w:pPr>
              <w:widowControl/>
              <w:spacing w:line="240" w:lineRule="auto"/>
              <w:ind w:firstLine="0" w:firstLineChars="0"/>
              <w:jc w:val="left"/>
              <w:rPr>
                <w:color w:val="000000" w:themeColor="text1"/>
                <w:sz w:val="21"/>
                <w:szCs w:val="21"/>
                <w:highlight w:val="none"/>
                <w14:textFill>
                  <w14:solidFill>
                    <w14:schemeClr w14:val="tx1"/>
                  </w14:solidFill>
                </w14:textFill>
              </w:rPr>
            </w:pPr>
          </w:p>
        </w:tc>
        <w:tc>
          <w:tcPr>
            <w:tcW w:w="965" w:type="pct"/>
            <w:tcBorders>
              <w:tl2br w:val="nil"/>
              <w:tr2bl w:val="nil"/>
            </w:tcBorders>
            <w:vAlign w:val="center"/>
          </w:tcPr>
          <w:p w14:paraId="48A8983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NOx</w:t>
            </w:r>
          </w:p>
        </w:tc>
        <w:tc>
          <w:tcPr>
            <w:tcW w:w="930" w:type="pct"/>
            <w:tcBorders>
              <w:tl2br w:val="nil"/>
              <w:tr2bl w:val="nil"/>
            </w:tcBorders>
            <w:vAlign w:val="center"/>
          </w:tcPr>
          <w:p w14:paraId="4C730F5A">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14:textFill>
                  <w14:solidFill>
                    <w14:schemeClr w14:val="tx1"/>
                  </w14:solidFill>
                </w14:textFill>
              </w:rPr>
              <w:t>7</w:t>
            </w:r>
          </w:p>
        </w:tc>
        <w:tc>
          <w:tcPr>
            <w:tcW w:w="1094" w:type="pct"/>
            <w:tcBorders>
              <w:tl2br w:val="nil"/>
              <w:tr2bl w:val="nil"/>
            </w:tcBorders>
            <w:vAlign w:val="center"/>
          </w:tcPr>
          <w:p w14:paraId="75791D2C">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1354" w:type="pct"/>
            <w:tcBorders>
              <w:tl2br w:val="nil"/>
              <w:tr2bl w:val="nil"/>
            </w:tcBorders>
            <w:vAlign w:val="center"/>
          </w:tcPr>
          <w:p w14:paraId="38D9999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14:textFill>
                  <w14:solidFill>
                    <w14:schemeClr w14:val="tx1"/>
                  </w14:solidFill>
                </w14:textFill>
              </w:rPr>
              <w:t>7</w:t>
            </w:r>
          </w:p>
        </w:tc>
      </w:tr>
    </w:tbl>
    <w:p w14:paraId="6C58EACD">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4.2.2水</w:t>
      </w:r>
      <w:r>
        <w:rPr>
          <w:color w:val="000000" w:themeColor="text1"/>
          <w:highlight w:val="none"/>
          <w14:textFill>
            <w14:solidFill>
              <w14:schemeClr w14:val="tx1"/>
            </w14:solidFill>
          </w14:textFill>
        </w:rPr>
        <w:t>污染源</w:t>
      </w:r>
    </w:p>
    <w:p w14:paraId="54DFE6AE">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项目运营期废水主要</w:t>
      </w:r>
      <w:r>
        <w:rPr>
          <w:color w:val="000000" w:themeColor="text1"/>
          <w:highlight w:val="none"/>
          <w14:textFill>
            <w14:solidFill>
              <w14:schemeClr w14:val="tx1"/>
            </w14:solidFill>
          </w14:textFill>
        </w:rPr>
        <w:t>为选矿工艺产生的选矿废水</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办公生活区产生的少量生活污水</w:t>
      </w:r>
      <w:r>
        <w:rPr>
          <w:rFonts w:hint="eastAsia"/>
          <w:color w:val="000000" w:themeColor="text1"/>
          <w:kern w:val="0"/>
          <w:highlight w:val="none"/>
          <w14:textFill>
            <w14:solidFill>
              <w14:schemeClr w14:val="tx1"/>
            </w14:solidFill>
          </w14:textFill>
        </w:rPr>
        <w:t>。</w:t>
      </w:r>
    </w:p>
    <w:p w14:paraId="6B9514A9">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（1）选矿废水</w:t>
      </w:r>
    </w:p>
    <w:p w14:paraId="5A3F265C">
      <w:pPr>
        <w:overflowPunct w:val="0"/>
        <w:topLinePunct/>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本项目运营期选矿废水产生于选矿过程中，选矿废水量约为</w:t>
      </w:r>
      <w:r>
        <w:rPr>
          <w:rFonts w:hint="eastAsia"/>
          <w:color w:val="000000" w:themeColor="text1"/>
          <w:highlight w:val="none"/>
          <w:lang w:val="zh-CN"/>
          <w14:textFill>
            <w14:solidFill>
              <w14:schemeClr w14:val="tx1"/>
            </w14:solidFill>
          </w14:textFill>
        </w:rPr>
        <w:t>4371.4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131.14</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r>
        <w:rPr>
          <w:rFonts w:hint="eastAsia"/>
          <w:color w:val="000000" w:themeColor="text1"/>
          <w:kern w:val="0"/>
          <w:highlight w:val="none"/>
          <w14:textFill>
            <w14:solidFill>
              <w14:schemeClr w14:val="tx1"/>
            </w14:solidFill>
          </w14:textFill>
        </w:rPr>
        <w:t>主要污染因子为</w:t>
      </w:r>
      <w:r>
        <w:rPr>
          <w:color w:val="000000" w:themeColor="text1"/>
          <w:kern w:val="0"/>
          <w:highlight w:val="none"/>
          <w14:textFill>
            <w14:solidFill>
              <w14:schemeClr w14:val="tx1"/>
            </w14:solidFill>
          </w14:textFill>
        </w:rPr>
        <w:t>pH</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COD</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SS</w:t>
      </w:r>
      <w:r>
        <w:rPr>
          <w:rFonts w:hint="eastAsia"/>
          <w:color w:val="000000" w:themeColor="text1"/>
          <w:kern w:val="0"/>
          <w:highlight w:val="none"/>
          <w14:textFill>
            <w14:solidFill>
              <w14:schemeClr w14:val="tx1"/>
            </w14:solidFill>
          </w14:textFill>
        </w:rPr>
        <w:t>及少量金属等</w:t>
      </w:r>
      <w:r>
        <w:rPr>
          <w:rFonts w:hint="eastAsia"/>
          <w:color w:val="000000" w:themeColor="text1"/>
          <w:highlight w:val="none"/>
          <w14:textFill>
            <w14:solidFill>
              <w14:schemeClr w14:val="tx1"/>
            </w14:solidFill>
          </w14:textFill>
        </w:rPr>
        <w:t>。选矿废水部分被铁精粉带走，精矿过滤水、尾矿浓缩压滤溢流水返回生产工序循环利用，尾矿库设有回水系统，使用水泵将库内澄清水通过管道泵送至选矿厂生产回水池，供选矿循环使用，实现生产废水“闭路循环”，不外排。</w:t>
      </w:r>
      <w:r>
        <w:rPr>
          <w:rFonts w:hint="eastAsia"/>
          <w:color w:val="000000" w:themeColor="text1"/>
          <w:highlight w:val="none"/>
          <w:lang w:val="en-US" w:eastAsia="zh-CN"/>
          <w14:textFill>
            <w14:solidFill>
              <w14:schemeClr w14:val="tx1"/>
            </w14:solidFill>
          </w14:textFill>
        </w:rPr>
        <w:t>各污染物浓度及产生情况见下表。</w:t>
      </w:r>
    </w:p>
    <w:p w14:paraId="58C3546F">
      <w:pPr>
        <w:overflowPunct w:val="0"/>
        <w:topLinePunct/>
        <w:ind w:left="0" w:leftChars="0" w:firstLine="0" w:firstLineChars="0"/>
        <w:jc w:val="center"/>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 xml:space="preserve">表3.4-10    </w:t>
      </w:r>
      <w:r>
        <w:rPr>
          <w:rFonts w:hint="eastAsia"/>
          <w:b/>
          <w:bCs/>
          <w:color w:val="000000" w:themeColor="text1"/>
          <w:highlight w:val="none"/>
          <w14:textFill>
            <w14:solidFill>
              <w14:schemeClr w14:val="tx1"/>
            </w14:solidFill>
          </w14:textFill>
        </w:rPr>
        <w:t>本项目运营期选矿废水</w:t>
      </w:r>
      <w:r>
        <w:rPr>
          <w:rFonts w:hint="eastAsia"/>
          <w:b/>
          <w:bCs/>
          <w:color w:val="000000" w:themeColor="text1"/>
          <w:highlight w:val="none"/>
          <w:lang w:val="en-US" w:eastAsia="zh-CN"/>
          <w14:textFill>
            <w14:solidFill>
              <w14:schemeClr w14:val="tx1"/>
            </w14:solidFill>
          </w14:textFill>
        </w:rPr>
        <w:t>污染物产生情况表</w:t>
      </w:r>
    </w:p>
    <w:tbl>
      <w:tblPr>
        <w:tblStyle w:val="10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63"/>
        <w:gridCol w:w="901"/>
        <w:gridCol w:w="1393"/>
        <w:gridCol w:w="1228"/>
        <w:gridCol w:w="1394"/>
        <w:gridCol w:w="1356"/>
        <w:gridCol w:w="892"/>
      </w:tblGrid>
      <w:tr w14:paraId="48F9EC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698" w:type="pct"/>
            <w:vMerge w:val="restart"/>
            <w:tcBorders>
              <w:tl2br w:val="nil"/>
              <w:tr2bl w:val="nil"/>
            </w:tcBorders>
            <w:noWrap w:val="0"/>
            <w:vAlign w:val="center"/>
          </w:tcPr>
          <w:p w14:paraId="149B3C47">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排放源</w:t>
            </w:r>
          </w:p>
        </w:tc>
        <w:tc>
          <w:tcPr>
            <w:tcW w:w="541" w:type="pct"/>
            <w:vMerge w:val="restart"/>
            <w:tcBorders>
              <w:tl2br w:val="nil"/>
              <w:tr2bl w:val="nil"/>
            </w:tcBorders>
            <w:noWrap w:val="0"/>
            <w:vAlign w:val="center"/>
          </w:tcPr>
          <w:p w14:paraId="64932ADA">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w:t>
            </w:r>
          </w:p>
        </w:tc>
        <w:tc>
          <w:tcPr>
            <w:tcW w:w="2410" w:type="pct"/>
            <w:gridSpan w:val="3"/>
            <w:tcBorders>
              <w:tl2br w:val="nil"/>
              <w:tr2bl w:val="nil"/>
            </w:tcBorders>
            <w:noWrap w:val="0"/>
            <w:vAlign w:val="center"/>
          </w:tcPr>
          <w:p w14:paraId="0FDD72D3">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污染物产生情况</w:t>
            </w:r>
          </w:p>
        </w:tc>
        <w:tc>
          <w:tcPr>
            <w:tcW w:w="814" w:type="pct"/>
            <w:vMerge w:val="restart"/>
            <w:tcBorders>
              <w:tl2br w:val="nil"/>
              <w:tr2bl w:val="nil"/>
            </w:tcBorders>
            <w:noWrap w:val="0"/>
            <w:vAlign w:val="center"/>
          </w:tcPr>
          <w:p w14:paraId="72A4117E">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处置措施</w:t>
            </w:r>
          </w:p>
        </w:tc>
        <w:tc>
          <w:tcPr>
            <w:tcW w:w="535" w:type="pct"/>
            <w:vMerge w:val="restart"/>
            <w:tcBorders>
              <w:tl2br w:val="nil"/>
              <w:tr2bl w:val="nil"/>
            </w:tcBorders>
            <w:noWrap w:val="0"/>
            <w:vAlign w:val="center"/>
          </w:tcPr>
          <w:p w14:paraId="0DF48915">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排放</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量</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t/a</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r>
      <w:tr w14:paraId="646783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698" w:type="pct"/>
            <w:vMerge w:val="continue"/>
            <w:tcBorders>
              <w:tl2br w:val="nil"/>
              <w:tr2bl w:val="nil"/>
            </w:tcBorders>
            <w:noWrap w:val="0"/>
            <w:vAlign w:val="center"/>
          </w:tcPr>
          <w:p w14:paraId="0E43101E">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1" w:type="pct"/>
            <w:vMerge w:val="continue"/>
            <w:tcBorders>
              <w:tl2br w:val="nil"/>
              <w:tr2bl w:val="nil"/>
            </w:tcBorders>
            <w:noWrap w:val="0"/>
            <w:vAlign w:val="center"/>
          </w:tcPr>
          <w:p w14:paraId="3510A2B5">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6" w:type="pct"/>
            <w:tcBorders>
              <w:tl2br w:val="nil"/>
              <w:tr2bl w:val="nil"/>
            </w:tcBorders>
            <w:noWrap w:val="0"/>
            <w:vAlign w:val="center"/>
          </w:tcPr>
          <w:p w14:paraId="0D2E46AF">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废水产生量</w:t>
            </w:r>
          </w:p>
          <w:p w14:paraId="1A861790">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（万m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/a）</w:t>
            </w:r>
          </w:p>
        </w:tc>
        <w:tc>
          <w:tcPr>
            <w:tcW w:w="737" w:type="pct"/>
            <w:tcBorders>
              <w:tl2br w:val="nil"/>
              <w:tr2bl w:val="nil"/>
            </w:tcBorders>
            <w:noWrap w:val="0"/>
            <w:vAlign w:val="center"/>
          </w:tcPr>
          <w:p w14:paraId="57D79AE6">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产生浓度（mg/L）</w:t>
            </w:r>
          </w:p>
        </w:tc>
        <w:tc>
          <w:tcPr>
            <w:tcW w:w="836" w:type="pct"/>
            <w:tcBorders>
              <w:tl2br w:val="nil"/>
              <w:tr2bl w:val="nil"/>
            </w:tcBorders>
            <w:noWrap w:val="0"/>
            <w:vAlign w:val="center"/>
          </w:tcPr>
          <w:p w14:paraId="095D3156">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产生量（</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t/a</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814" w:type="pct"/>
            <w:vMerge w:val="continue"/>
            <w:tcBorders>
              <w:tl2br w:val="nil"/>
              <w:tr2bl w:val="nil"/>
            </w:tcBorders>
            <w:noWrap w:val="0"/>
            <w:vAlign w:val="center"/>
          </w:tcPr>
          <w:p w14:paraId="1FC39744">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35" w:type="pct"/>
            <w:vMerge w:val="continue"/>
            <w:tcBorders>
              <w:tl2br w:val="nil"/>
              <w:tr2bl w:val="nil"/>
            </w:tcBorders>
            <w:noWrap w:val="0"/>
            <w:vAlign w:val="center"/>
          </w:tcPr>
          <w:p w14:paraId="33DCC873">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15BC9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698" w:type="pct"/>
            <w:vMerge w:val="restart"/>
            <w:tcBorders>
              <w:tl2br w:val="nil"/>
              <w:tr2bl w:val="nil"/>
            </w:tcBorders>
            <w:noWrap w:val="0"/>
            <w:vAlign w:val="center"/>
          </w:tcPr>
          <w:p w14:paraId="0CE24C6B">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选矿废水</w:t>
            </w:r>
          </w:p>
        </w:tc>
        <w:tc>
          <w:tcPr>
            <w:tcW w:w="541" w:type="pct"/>
            <w:tcBorders>
              <w:tl2br w:val="nil"/>
              <w:tr2bl w:val="nil"/>
            </w:tcBorders>
            <w:noWrap w:val="0"/>
            <w:vAlign w:val="center"/>
          </w:tcPr>
          <w:p w14:paraId="026403CA">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COD</w:t>
            </w:r>
          </w:p>
        </w:tc>
        <w:tc>
          <w:tcPr>
            <w:tcW w:w="836" w:type="pct"/>
            <w:vMerge w:val="restart"/>
            <w:tcBorders>
              <w:tl2br w:val="nil"/>
              <w:tr2bl w:val="nil"/>
            </w:tcBorders>
            <w:noWrap w:val="0"/>
            <w:vAlign w:val="center"/>
          </w:tcPr>
          <w:p w14:paraId="46C4787F">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131.14</w:t>
            </w:r>
          </w:p>
        </w:tc>
        <w:tc>
          <w:tcPr>
            <w:tcW w:w="737" w:type="pct"/>
            <w:tcBorders>
              <w:tl2br w:val="nil"/>
              <w:tr2bl w:val="nil"/>
            </w:tcBorders>
            <w:noWrap w:val="0"/>
            <w:vAlign w:val="center"/>
          </w:tcPr>
          <w:p w14:paraId="1BF7B5C2">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150</w:t>
            </w:r>
          </w:p>
        </w:tc>
        <w:tc>
          <w:tcPr>
            <w:tcW w:w="836" w:type="pct"/>
            <w:tcBorders>
              <w:tl2br w:val="nil"/>
              <w:tr2bl w:val="nil"/>
            </w:tcBorders>
            <w:noWrap w:val="0"/>
            <w:vAlign w:val="center"/>
          </w:tcPr>
          <w:p w14:paraId="053FCFEB">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196.71</w:t>
            </w:r>
          </w:p>
        </w:tc>
        <w:tc>
          <w:tcPr>
            <w:tcW w:w="814" w:type="pct"/>
            <w:vMerge w:val="restart"/>
            <w:tcBorders>
              <w:tl2br w:val="nil"/>
              <w:tr2bl w:val="nil"/>
            </w:tcBorders>
            <w:noWrap w:val="0"/>
            <w:vAlign w:val="center"/>
          </w:tcPr>
          <w:p w14:paraId="46A5806E">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闭路循环，不外排</w:t>
            </w:r>
          </w:p>
        </w:tc>
        <w:tc>
          <w:tcPr>
            <w:tcW w:w="535" w:type="pct"/>
            <w:tcBorders>
              <w:tl2br w:val="nil"/>
              <w:tr2bl w:val="nil"/>
            </w:tcBorders>
            <w:noWrap w:val="0"/>
            <w:vAlign w:val="center"/>
          </w:tcPr>
          <w:p w14:paraId="0387D99F">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r>
      <w:tr w14:paraId="195979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698" w:type="pct"/>
            <w:vMerge w:val="continue"/>
            <w:tcBorders>
              <w:tl2br w:val="nil"/>
              <w:tr2bl w:val="nil"/>
            </w:tcBorders>
            <w:noWrap w:val="0"/>
            <w:vAlign w:val="center"/>
          </w:tcPr>
          <w:p w14:paraId="1657241B">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41" w:type="pct"/>
            <w:tcBorders>
              <w:tl2br w:val="nil"/>
              <w:tr2bl w:val="nil"/>
            </w:tcBorders>
            <w:noWrap w:val="0"/>
            <w:vAlign w:val="center"/>
          </w:tcPr>
          <w:p w14:paraId="3794665F">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SS</w:t>
            </w:r>
          </w:p>
        </w:tc>
        <w:tc>
          <w:tcPr>
            <w:tcW w:w="836" w:type="pct"/>
            <w:vMerge w:val="continue"/>
            <w:tcBorders>
              <w:tl2br w:val="nil"/>
              <w:tr2bl w:val="nil"/>
            </w:tcBorders>
            <w:noWrap w:val="0"/>
            <w:vAlign w:val="center"/>
          </w:tcPr>
          <w:p w14:paraId="1308E6B1">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37" w:type="pct"/>
            <w:tcBorders>
              <w:tl2br w:val="nil"/>
              <w:tr2bl w:val="nil"/>
            </w:tcBorders>
            <w:noWrap w:val="0"/>
            <w:vAlign w:val="center"/>
          </w:tcPr>
          <w:p w14:paraId="5DD1CBDA">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1000</w:t>
            </w:r>
          </w:p>
        </w:tc>
        <w:tc>
          <w:tcPr>
            <w:tcW w:w="836" w:type="pct"/>
            <w:tcBorders>
              <w:tl2br w:val="nil"/>
              <w:tr2bl w:val="nil"/>
            </w:tcBorders>
            <w:noWrap w:val="0"/>
            <w:vAlign w:val="center"/>
          </w:tcPr>
          <w:p w14:paraId="1AC6E46F">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1311.4</w:t>
            </w:r>
          </w:p>
        </w:tc>
        <w:tc>
          <w:tcPr>
            <w:tcW w:w="814" w:type="pct"/>
            <w:vMerge w:val="continue"/>
            <w:tcBorders>
              <w:tl2br w:val="nil"/>
              <w:tr2bl w:val="nil"/>
            </w:tcBorders>
            <w:noWrap w:val="0"/>
            <w:vAlign w:val="center"/>
          </w:tcPr>
          <w:p w14:paraId="15248F6C">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535" w:type="pct"/>
            <w:tcBorders>
              <w:tl2br w:val="nil"/>
              <w:tr2bl w:val="nil"/>
            </w:tcBorders>
            <w:noWrap w:val="0"/>
            <w:vAlign w:val="center"/>
          </w:tcPr>
          <w:p w14:paraId="5A88CA14">
            <w:pPr>
              <w:keepNext w:val="0"/>
              <w:keepLines w:val="0"/>
              <w:pageBreakBefore w:val="0"/>
              <w:widowControl w:val="0"/>
              <w:kinsoku/>
              <w:wordWrap/>
              <w:overflowPunct w:val="0"/>
              <w:topLinePunct/>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w:t>
            </w:r>
          </w:p>
        </w:tc>
      </w:tr>
    </w:tbl>
    <w:p w14:paraId="74BF6417">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kern w:val="0"/>
          <w:highlight w:val="none"/>
          <w14:textFill>
            <w14:solidFill>
              <w14:schemeClr w14:val="tx1"/>
            </w14:solidFill>
          </w14:textFill>
        </w:rPr>
        <w:t>生活污水</w:t>
      </w:r>
    </w:p>
    <w:p w14:paraId="4C46357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生活污水主要为洗浴、食堂、卫生间以及洗衣等产生的，属于一般性生活污水，主要污染物为</w:t>
      </w:r>
      <w:r>
        <w:rPr>
          <w:color w:val="000000" w:themeColor="text1"/>
          <w:highlight w:val="none"/>
          <w14:textFill>
            <w14:solidFill>
              <w14:schemeClr w14:val="tx1"/>
            </w14:solidFill>
          </w14:textFill>
        </w:rPr>
        <w:t>SS</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COD</w:t>
      </w:r>
      <w:r>
        <w:rPr>
          <w:rFonts w:hint="eastAsia"/>
          <w:color w:val="000000" w:themeColor="text1"/>
          <w:highlight w:val="none"/>
          <w14:textFill>
            <w14:solidFill>
              <w14:schemeClr w14:val="tx1"/>
            </w14:solidFill>
          </w14:textFill>
        </w:rPr>
        <w:t>、氨氮及动植物油等，选矿厂生活污水产生量为</w:t>
      </w:r>
      <w:r>
        <w:rPr>
          <w:rFonts w:hint="eastAsia"/>
          <w:color w:val="000000" w:themeColor="text1"/>
          <w:highlight w:val="none"/>
          <w:lang w:val="en-US" w:eastAsia="zh-CN"/>
          <w14:textFill>
            <w14:solidFill>
              <w14:schemeClr w14:val="tx1"/>
            </w14:solidFill>
          </w14:textFill>
        </w:rPr>
        <w:t>4.25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1275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/a）。生活污水污染物浓度及产生量为</w:t>
      </w:r>
      <w:r>
        <w:rPr>
          <w:color w:val="000000" w:themeColor="text1"/>
          <w:highlight w:val="none"/>
          <w14:textFill>
            <w14:solidFill>
              <w14:schemeClr w14:val="tx1"/>
            </w14:solidFill>
          </w14:textFill>
        </w:rPr>
        <w:t>SS</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220mg/L</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28</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COD</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300mg/L</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0.38</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200mg/L</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25</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）、氨氮：</w:t>
      </w:r>
      <w:r>
        <w:rPr>
          <w:color w:val="000000" w:themeColor="text1"/>
          <w:highlight w:val="none"/>
          <w14:textFill>
            <w14:solidFill>
              <w14:schemeClr w14:val="tx1"/>
            </w14:solidFill>
          </w14:textFill>
        </w:rPr>
        <w:t>30mg/L</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038</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）、动植物油</w:t>
      </w:r>
      <w:r>
        <w:rPr>
          <w:color w:val="000000" w:themeColor="text1"/>
          <w:highlight w:val="none"/>
          <w14:textFill>
            <w14:solidFill>
              <w14:schemeClr w14:val="tx1"/>
            </w14:solidFill>
          </w14:textFill>
        </w:rPr>
        <w:t>100mg/L</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12</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p>
    <w:p w14:paraId="559BF573">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本项目生活污水排入新建的地埋式一体化污水处理设施处理。鉴于当地蒸发量较大，为节约用水，项目餐饮废水经隔油池预处理后与盥洗废水等一同排入地埋式一体化污水处理设施（处理规模1m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/h）处理达到《农村生活污水处理排放标准》（DB65 4275-2019）表2规定的A级排放限值以及《城市污水再生利用 城市杂用水水质》（GB/T18920-2020）中的城市绿化、道路清扫、消防、建筑施工限值后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灌溉期用于选矿厂绿化，非灌溉期</w:t>
      </w:r>
      <w:r>
        <w:rPr>
          <w:rFonts w:hint="eastAsia" w:ascii="宋体" w:hAnsi="宋体" w:cs="宋体"/>
          <w:color w:val="000000" w:themeColor="text1"/>
          <w:spacing w:val="-1"/>
          <w:highlight w:val="none"/>
          <w14:textFill>
            <w14:solidFill>
              <w14:schemeClr w14:val="tx1"/>
            </w14:solidFill>
          </w14:textFill>
        </w:rPr>
        <w:t>用于选矿生产</w:t>
      </w:r>
      <w:r>
        <w:rPr>
          <w:rFonts w:hint="eastAsia"/>
          <w:color w:val="000000" w:themeColor="text1"/>
          <w:highlight w:val="none"/>
          <w14:textFill>
            <w14:solidFill>
              <w14:schemeClr w14:val="tx1"/>
            </w14:solidFill>
          </w14:textFill>
        </w:rPr>
        <w:t>，不外排。</w:t>
      </w:r>
    </w:p>
    <w:p w14:paraId="6BD5A8AB">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4.2.3噪声</w:t>
      </w:r>
    </w:p>
    <w:p w14:paraId="53F87AC2">
      <w:pPr>
        <w:overflowPunct w:val="0"/>
        <w:topLinePunct/>
        <w:ind w:firstLine="480"/>
        <w:rPr>
          <w:rFonts w:hint="eastAsia"/>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本项目运营期的主要设备有</w:t>
      </w:r>
      <w:r>
        <w:rPr>
          <w:rFonts w:hint="eastAsia"/>
          <w:color w:val="000000" w:themeColor="text1"/>
          <w:kern w:val="0"/>
          <w:highlight w:val="none"/>
          <w:lang w:eastAsia="zh-CN"/>
          <w14:textFill>
            <w14:solidFill>
              <w14:schemeClr w14:val="tx1"/>
            </w14:solidFill>
          </w14:textFill>
        </w:rPr>
        <w:t>破碎机、高压辊磨机、</w:t>
      </w:r>
      <w:r>
        <w:rPr>
          <w:rFonts w:hint="eastAsia"/>
          <w:color w:val="000000" w:themeColor="text1"/>
          <w:kern w:val="0"/>
          <w:highlight w:val="none"/>
          <w14:textFill>
            <w14:solidFill>
              <w14:schemeClr w14:val="tx1"/>
            </w14:solidFill>
          </w14:textFill>
        </w:rPr>
        <w:t>球磨机、分级机、磁选机及水泵等，噪声源的声压级及防治措施见表</w:t>
      </w:r>
      <w:r>
        <w:rPr>
          <w:color w:val="000000" w:themeColor="text1"/>
          <w:kern w:val="0"/>
          <w:highlight w:val="none"/>
          <w14:textFill>
            <w14:solidFill>
              <w14:schemeClr w14:val="tx1"/>
            </w14:solidFill>
          </w14:textFill>
        </w:rPr>
        <w:t>3.</w:t>
      </w:r>
      <w:r>
        <w:rPr>
          <w:rFonts w:hint="eastAsia"/>
          <w:color w:val="000000" w:themeColor="text1"/>
          <w:kern w:val="0"/>
          <w:highlight w:val="none"/>
          <w14:textFill>
            <w14:solidFill>
              <w14:schemeClr w14:val="tx1"/>
            </w14:solidFill>
          </w14:textFill>
        </w:rPr>
        <w:t>4</w:t>
      </w:r>
      <w:r>
        <w:rPr>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11</w:t>
      </w:r>
      <w:r>
        <w:rPr>
          <w:rFonts w:hint="eastAsia"/>
          <w:color w:val="000000" w:themeColor="text1"/>
          <w:kern w:val="0"/>
          <w:highlight w:val="none"/>
          <w14:textFill>
            <w14:solidFill>
              <w14:schemeClr w14:val="tx1"/>
            </w14:solidFill>
          </w14:textFill>
        </w:rPr>
        <w:t>。</w:t>
      </w:r>
    </w:p>
    <w:p w14:paraId="175A9CD1">
      <w:pPr>
        <w:ind w:firstLine="0" w:firstLineChars="0"/>
        <w:jc w:val="center"/>
        <w:rPr>
          <w:rFonts w:hint="eastAsia"/>
          <w:b/>
          <w:color w:val="000000" w:themeColor="text1"/>
          <w:kern w:val="0"/>
          <w:highlight w:val="none"/>
          <w14:textFill>
            <w14:solidFill>
              <w14:schemeClr w14:val="tx1"/>
            </w14:solidFill>
          </w14:textFill>
        </w:rPr>
      </w:pPr>
      <w:r>
        <w:rPr>
          <w:rFonts w:hint="eastAsia"/>
          <w:b/>
          <w:color w:val="000000" w:themeColor="text1"/>
          <w:kern w:val="0"/>
          <w:highlight w:val="none"/>
          <w14:textFill>
            <w14:solidFill>
              <w14:schemeClr w14:val="tx1"/>
            </w14:solidFill>
          </w14:textFill>
        </w:rPr>
        <w:t>表</w:t>
      </w:r>
      <w:r>
        <w:rPr>
          <w:b/>
          <w:color w:val="000000" w:themeColor="text1"/>
          <w:kern w:val="0"/>
          <w:highlight w:val="none"/>
          <w14:textFill>
            <w14:solidFill>
              <w14:schemeClr w14:val="tx1"/>
            </w14:solidFill>
          </w14:textFill>
        </w:rPr>
        <w:t>3.</w:t>
      </w:r>
      <w:r>
        <w:rPr>
          <w:rFonts w:hint="eastAsia"/>
          <w:b/>
          <w:color w:val="000000" w:themeColor="text1"/>
          <w:kern w:val="0"/>
          <w:highlight w:val="none"/>
          <w14:textFill>
            <w14:solidFill>
              <w14:schemeClr w14:val="tx1"/>
            </w14:solidFill>
          </w14:textFill>
        </w:rPr>
        <w:t>4</w:t>
      </w:r>
      <w:r>
        <w:rPr>
          <w:b/>
          <w:color w:val="000000" w:themeColor="text1"/>
          <w:kern w:val="0"/>
          <w:highlight w:val="none"/>
          <w14:textFill>
            <w14:solidFill>
              <w14:schemeClr w14:val="tx1"/>
            </w14:solidFill>
          </w14:textFill>
        </w:rPr>
        <w:t>-1</w:t>
      </w:r>
      <w:r>
        <w:rPr>
          <w:rFonts w:hint="eastAsia"/>
          <w:b/>
          <w:color w:val="000000" w:themeColor="text1"/>
          <w:kern w:val="0"/>
          <w:highlight w:val="none"/>
          <w:lang w:val="en-US" w:eastAsia="zh-CN"/>
          <w14:textFill>
            <w14:solidFill>
              <w14:schemeClr w14:val="tx1"/>
            </w14:solidFill>
          </w14:textFill>
        </w:rPr>
        <w:t>1</w:t>
      </w:r>
      <w:r>
        <w:rPr>
          <w:b/>
          <w:color w:val="000000" w:themeColor="text1"/>
          <w:kern w:val="0"/>
          <w:highlight w:val="none"/>
          <w14:textFill>
            <w14:solidFill>
              <w14:schemeClr w14:val="tx1"/>
            </w14:solidFill>
          </w14:textFill>
        </w:rPr>
        <w:t xml:space="preserve">    </w:t>
      </w:r>
      <w:r>
        <w:rPr>
          <w:rFonts w:hint="eastAsia"/>
          <w:b/>
          <w:color w:val="000000" w:themeColor="text1"/>
          <w:kern w:val="0"/>
          <w:highlight w:val="none"/>
          <w14:textFill>
            <w14:solidFill>
              <w14:schemeClr w14:val="tx1"/>
            </w14:solidFill>
          </w14:textFill>
        </w:rPr>
        <w:t>主要噪声源噪声级及采取的措施</w:t>
      </w:r>
    </w:p>
    <w:tbl>
      <w:tblPr>
        <w:tblStyle w:val="32"/>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888"/>
        <w:gridCol w:w="1135"/>
        <w:gridCol w:w="468"/>
        <w:gridCol w:w="867"/>
        <w:gridCol w:w="1898"/>
        <w:gridCol w:w="1344"/>
        <w:gridCol w:w="693"/>
        <w:gridCol w:w="751"/>
      </w:tblGrid>
      <w:tr w14:paraId="7C7835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5" w:hRule="atLeast"/>
          <w:tblHeader/>
          <w:jc w:val="center"/>
        </w:trPr>
        <w:tc>
          <w:tcPr>
            <w:tcW w:w="273" w:type="pct"/>
            <w:vMerge w:val="restart"/>
            <w:tcBorders>
              <w:tl2br w:val="nil"/>
              <w:tr2bl w:val="nil"/>
            </w:tcBorders>
            <w:noWrap w:val="0"/>
            <w:vAlign w:val="center"/>
          </w:tcPr>
          <w:p w14:paraId="5C021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b/>
                <w:bCs/>
                <w:color w:val="000000" w:themeColor="text1"/>
                <w:sz w:val="21"/>
                <w:szCs w:val="21"/>
                <w:highlight w:val="none"/>
                <w14:textFill>
                  <w14:solidFill>
                    <w14:schemeClr w14:val="tx1"/>
                  </w14:solidFill>
                </w14:textFill>
              </w:rPr>
            </w:pPr>
            <w:r>
              <w:rPr>
                <w:rFonts w:hint="default" w:ascii="Times New Roman"/>
                <w:b/>
                <w:bCs/>
                <w:color w:val="000000" w:themeColor="text1"/>
                <w:sz w:val="21"/>
                <w:szCs w:val="21"/>
                <w:highlight w:val="none"/>
                <w14:textFill>
                  <w14:solidFill>
                    <w14:schemeClr w14:val="tx1"/>
                  </w14:solidFill>
                </w14:textFill>
              </w:rPr>
              <w:t>序号</w:t>
            </w:r>
          </w:p>
        </w:tc>
        <w:tc>
          <w:tcPr>
            <w:tcW w:w="521" w:type="pct"/>
            <w:vMerge w:val="restart"/>
            <w:tcBorders>
              <w:tl2br w:val="nil"/>
              <w:tr2bl w:val="nil"/>
            </w:tcBorders>
            <w:noWrap w:val="0"/>
            <w:vAlign w:val="center"/>
          </w:tcPr>
          <w:p w14:paraId="525A8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b/>
                <w:bCs/>
                <w:color w:val="000000" w:themeColor="text1"/>
                <w:sz w:val="21"/>
                <w:szCs w:val="21"/>
                <w:highlight w:val="none"/>
                <w14:textFill>
                  <w14:solidFill>
                    <w14:schemeClr w14:val="tx1"/>
                  </w14:solidFill>
                </w14:textFill>
              </w:rPr>
            </w:pPr>
            <w:r>
              <w:rPr>
                <w:rFonts w:hint="default" w:ascii="Times New Roman"/>
                <w:b/>
                <w:bCs/>
                <w:color w:val="000000" w:themeColor="text1"/>
                <w:sz w:val="21"/>
                <w:szCs w:val="21"/>
                <w:highlight w:val="none"/>
                <w14:textFill>
                  <w14:solidFill>
                    <w14:schemeClr w14:val="tx1"/>
                  </w14:solidFill>
                </w14:textFill>
              </w:rPr>
              <w:t>车间或工段</w:t>
            </w:r>
          </w:p>
        </w:tc>
        <w:tc>
          <w:tcPr>
            <w:tcW w:w="666" w:type="pct"/>
            <w:vMerge w:val="restart"/>
            <w:tcBorders>
              <w:tl2br w:val="nil"/>
              <w:tr2bl w:val="nil"/>
            </w:tcBorders>
            <w:noWrap w:val="0"/>
            <w:vAlign w:val="center"/>
          </w:tcPr>
          <w:p w14:paraId="0E6EB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b/>
                <w:bCs/>
                <w:color w:val="000000" w:themeColor="text1"/>
                <w:sz w:val="21"/>
                <w:szCs w:val="21"/>
                <w:highlight w:val="none"/>
                <w14:textFill>
                  <w14:solidFill>
                    <w14:schemeClr w14:val="tx1"/>
                  </w14:solidFill>
                </w14:textFill>
              </w:rPr>
            </w:pPr>
            <w:r>
              <w:rPr>
                <w:rFonts w:hint="default" w:ascii="Times New Roman"/>
                <w:b/>
                <w:bCs/>
                <w:color w:val="000000" w:themeColor="text1"/>
                <w:sz w:val="21"/>
                <w:szCs w:val="21"/>
                <w:highlight w:val="none"/>
                <w14:textFill>
                  <w14:solidFill>
                    <w14:schemeClr w14:val="tx1"/>
                  </w14:solidFill>
                </w14:textFill>
              </w:rPr>
              <w:t>设备名称</w:t>
            </w:r>
          </w:p>
        </w:tc>
        <w:tc>
          <w:tcPr>
            <w:tcW w:w="275" w:type="pct"/>
            <w:vMerge w:val="restart"/>
            <w:tcBorders>
              <w:tl2br w:val="nil"/>
              <w:tr2bl w:val="nil"/>
            </w:tcBorders>
            <w:noWrap w:val="0"/>
            <w:vAlign w:val="center"/>
          </w:tcPr>
          <w:p w14:paraId="7C42E8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b/>
                <w:bCs/>
                <w:color w:val="000000" w:themeColor="text1"/>
                <w:sz w:val="21"/>
                <w:szCs w:val="21"/>
                <w:highlight w:val="none"/>
                <w14:textFill>
                  <w14:solidFill>
                    <w14:schemeClr w14:val="tx1"/>
                  </w14:solidFill>
                </w14:textFill>
              </w:rPr>
            </w:pPr>
            <w:r>
              <w:rPr>
                <w:rFonts w:hint="default" w:ascii="Times New Roman"/>
                <w:b/>
                <w:bCs/>
                <w:color w:val="000000" w:themeColor="text1"/>
                <w:sz w:val="21"/>
                <w:szCs w:val="21"/>
                <w:highlight w:val="none"/>
                <w14:textFill>
                  <w14:solidFill>
                    <w14:schemeClr w14:val="tx1"/>
                  </w14:solidFill>
                </w14:textFill>
              </w:rPr>
              <w:t>台数</w:t>
            </w:r>
          </w:p>
        </w:tc>
        <w:tc>
          <w:tcPr>
            <w:tcW w:w="509" w:type="pct"/>
            <w:vMerge w:val="restart"/>
            <w:tcBorders>
              <w:tl2br w:val="nil"/>
              <w:tr2bl w:val="nil"/>
            </w:tcBorders>
            <w:noWrap w:val="0"/>
            <w:vAlign w:val="center"/>
          </w:tcPr>
          <w:p w14:paraId="123CD8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b/>
                <w:bCs/>
                <w:color w:val="000000" w:themeColor="text1"/>
                <w:sz w:val="21"/>
                <w:szCs w:val="21"/>
                <w:highlight w:val="none"/>
                <w14:textFill>
                  <w14:solidFill>
                    <w14:schemeClr w14:val="tx1"/>
                  </w14:solidFill>
                </w14:textFill>
              </w:rPr>
            </w:pPr>
            <w:r>
              <w:rPr>
                <w:rFonts w:hint="default" w:ascii="Times New Roman"/>
                <w:b/>
                <w:bCs/>
                <w:color w:val="000000" w:themeColor="text1"/>
                <w:sz w:val="21"/>
                <w:szCs w:val="21"/>
                <w:highlight w:val="none"/>
                <w14:textFill>
                  <w14:solidFill>
                    <w14:schemeClr w14:val="tx1"/>
                  </w14:solidFill>
                </w14:textFill>
              </w:rPr>
              <w:t>声压级</w:t>
            </w:r>
          </w:p>
          <w:p w14:paraId="723BAC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b/>
                <w:bCs/>
                <w:color w:val="000000" w:themeColor="text1"/>
                <w:sz w:val="21"/>
                <w:szCs w:val="21"/>
                <w:highlight w:val="none"/>
                <w14:textFill>
                  <w14:solidFill>
                    <w14:schemeClr w14:val="tx1"/>
                  </w14:solidFill>
                </w14:textFill>
              </w:rPr>
            </w:pPr>
            <w:r>
              <w:rPr>
                <w:rFonts w:hint="default" w:ascii="Times New Roman"/>
                <w:b/>
                <w:bCs/>
                <w:color w:val="000000" w:themeColor="text1"/>
                <w:sz w:val="21"/>
                <w:szCs w:val="21"/>
                <w:highlight w:val="none"/>
                <w14:textFill>
                  <w14:solidFill>
                    <w14:schemeClr w14:val="tx1"/>
                  </w14:solidFill>
                </w14:textFill>
              </w:rPr>
              <w:t>dB（A）</w:t>
            </w:r>
          </w:p>
        </w:tc>
        <w:tc>
          <w:tcPr>
            <w:tcW w:w="1114" w:type="pct"/>
            <w:vMerge w:val="restart"/>
            <w:tcBorders>
              <w:tl2br w:val="nil"/>
              <w:tr2bl w:val="nil"/>
            </w:tcBorders>
            <w:noWrap w:val="0"/>
            <w:vAlign w:val="center"/>
          </w:tcPr>
          <w:p w14:paraId="7E3D58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b/>
                <w:bCs/>
                <w:color w:val="000000" w:themeColor="text1"/>
                <w:sz w:val="21"/>
                <w:szCs w:val="21"/>
                <w:highlight w:val="none"/>
                <w14:textFill>
                  <w14:solidFill>
                    <w14:schemeClr w14:val="tx1"/>
                  </w14:solidFill>
                </w14:textFill>
              </w:rPr>
            </w:pPr>
            <w:r>
              <w:rPr>
                <w:rFonts w:hint="default" w:ascii="Times New Roman"/>
                <w:b/>
                <w:bCs/>
                <w:color w:val="000000" w:themeColor="text1"/>
                <w:sz w:val="21"/>
                <w:szCs w:val="21"/>
                <w:highlight w:val="none"/>
                <w14:textFill>
                  <w14:solidFill>
                    <w14:schemeClr w14:val="tx1"/>
                  </w14:solidFill>
                </w14:textFill>
              </w:rPr>
              <w:t>防治措施</w:t>
            </w:r>
          </w:p>
        </w:tc>
        <w:tc>
          <w:tcPr>
            <w:tcW w:w="789" w:type="pct"/>
            <w:vMerge w:val="restart"/>
            <w:tcBorders>
              <w:tl2br w:val="nil"/>
              <w:tr2bl w:val="nil"/>
            </w:tcBorders>
            <w:noWrap w:val="0"/>
            <w:vAlign w:val="center"/>
          </w:tcPr>
          <w:p w14:paraId="7C6468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b/>
                <w:bCs/>
                <w:color w:val="000000" w:themeColor="text1"/>
                <w:sz w:val="21"/>
                <w:szCs w:val="21"/>
                <w:highlight w:val="none"/>
                <w14:textFill>
                  <w14:solidFill>
                    <w14:schemeClr w14:val="tx1"/>
                  </w14:solidFill>
                </w14:textFill>
              </w:rPr>
            </w:pPr>
            <w:r>
              <w:rPr>
                <w:rFonts w:hint="default" w:ascii="Times New Roman"/>
                <w:b/>
                <w:bCs/>
                <w:color w:val="000000" w:themeColor="text1"/>
                <w:sz w:val="21"/>
                <w:szCs w:val="21"/>
                <w:highlight w:val="none"/>
                <w14:textFill>
                  <w14:solidFill>
                    <w14:schemeClr w14:val="tx1"/>
                  </w14:solidFill>
                </w14:textFill>
              </w:rPr>
              <w:t>采取措施后排放声压级dB（A）</w:t>
            </w:r>
          </w:p>
        </w:tc>
        <w:tc>
          <w:tcPr>
            <w:tcW w:w="407" w:type="pct"/>
            <w:vMerge w:val="restart"/>
            <w:tcBorders>
              <w:tl2br w:val="nil"/>
              <w:tr2bl w:val="nil"/>
            </w:tcBorders>
            <w:noWrap w:val="0"/>
            <w:vAlign w:val="center"/>
          </w:tcPr>
          <w:p w14:paraId="5C6186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b/>
                <w:bCs/>
                <w:color w:val="000000" w:themeColor="text1"/>
                <w:sz w:val="21"/>
                <w:szCs w:val="21"/>
                <w:highlight w:val="none"/>
                <w14:textFill>
                  <w14:solidFill>
                    <w14:schemeClr w14:val="tx1"/>
                  </w14:solidFill>
                </w14:textFill>
              </w:rPr>
            </w:pPr>
            <w:r>
              <w:rPr>
                <w:rFonts w:hint="default" w:ascii="Times New Roman"/>
                <w:b/>
                <w:bCs/>
                <w:color w:val="000000" w:themeColor="text1"/>
                <w:sz w:val="21"/>
                <w:szCs w:val="21"/>
                <w:highlight w:val="none"/>
                <w14:textFill>
                  <w14:solidFill>
                    <w14:schemeClr w14:val="tx1"/>
                  </w14:solidFill>
                </w14:textFill>
              </w:rPr>
              <w:t>排放规律</w:t>
            </w:r>
          </w:p>
        </w:tc>
        <w:tc>
          <w:tcPr>
            <w:tcW w:w="441" w:type="pct"/>
            <w:vMerge w:val="restart"/>
            <w:tcBorders>
              <w:tl2br w:val="nil"/>
              <w:tr2bl w:val="nil"/>
            </w:tcBorders>
            <w:noWrap w:val="0"/>
            <w:vAlign w:val="center"/>
          </w:tcPr>
          <w:p w14:paraId="5BFED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b/>
                <w:bCs/>
                <w:color w:val="000000" w:themeColor="text1"/>
                <w:sz w:val="21"/>
                <w:szCs w:val="21"/>
                <w:highlight w:val="none"/>
                <w14:textFill>
                  <w14:solidFill>
                    <w14:schemeClr w14:val="tx1"/>
                  </w14:solidFill>
                </w14:textFill>
              </w:rPr>
            </w:pPr>
            <w:r>
              <w:rPr>
                <w:rFonts w:hint="default" w:ascii="Times New Roman"/>
                <w:b/>
                <w:bCs/>
                <w:color w:val="000000" w:themeColor="text1"/>
                <w:sz w:val="21"/>
                <w:szCs w:val="21"/>
                <w:highlight w:val="none"/>
                <w14:textFill>
                  <w14:solidFill>
                    <w14:schemeClr w14:val="tx1"/>
                  </w14:solidFill>
                </w14:textFill>
              </w:rPr>
              <w:t>室内/室外</w:t>
            </w:r>
          </w:p>
        </w:tc>
      </w:tr>
      <w:tr w14:paraId="17A77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5" w:hRule="atLeast"/>
          <w:tblHeader/>
          <w:jc w:val="center"/>
        </w:trPr>
        <w:tc>
          <w:tcPr>
            <w:tcW w:w="273" w:type="pct"/>
            <w:vMerge w:val="continue"/>
            <w:tcBorders>
              <w:tl2br w:val="nil"/>
              <w:tr2bl w:val="nil"/>
            </w:tcBorders>
            <w:noWrap w:val="0"/>
            <w:vAlign w:val="center"/>
          </w:tcPr>
          <w:p w14:paraId="1B179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olor w:val="000000" w:themeColor="text1"/>
                <w:highlight w:val="none"/>
                <w14:textFill>
                  <w14:solidFill>
                    <w14:schemeClr w14:val="tx1"/>
                  </w14:solidFill>
                </w14:textFill>
              </w:rPr>
            </w:pPr>
          </w:p>
        </w:tc>
        <w:tc>
          <w:tcPr>
            <w:tcW w:w="521" w:type="pct"/>
            <w:vMerge w:val="continue"/>
            <w:tcBorders>
              <w:tl2br w:val="nil"/>
              <w:tr2bl w:val="nil"/>
            </w:tcBorders>
            <w:noWrap w:val="0"/>
            <w:vAlign w:val="center"/>
          </w:tcPr>
          <w:p w14:paraId="11A6A6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olor w:val="000000" w:themeColor="text1"/>
                <w:highlight w:val="none"/>
                <w14:textFill>
                  <w14:solidFill>
                    <w14:schemeClr w14:val="tx1"/>
                  </w14:solidFill>
                </w14:textFill>
              </w:rPr>
            </w:pPr>
          </w:p>
        </w:tc>
        <w:tc>
          <w:tcPr>
            <w:tcW w:w="666" w:type="pct"/>
            <w:vMerge w:val="continue"/>
            <w:tcBorders>
              <w:tl2br w:val="nil"/>
              <w:tr2bl w:val="nil"/>
            </w:tcBorders>
            <w:noWrap w:val="0"/>
            <w:vAlign w:val="center"/>
          </w:tcPr>
          <w:p w14:paraId="71253F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olor w:val="000000" w:themeColor="text1"/>
                <w:highlight w:val="none"/>
                <w14:textFill>
                  <w14:solidFill>
                    <w14:schemeClr w14:val="tx1"/>
                  </w14:solidFill>
                </w14:textFill>
              </w:rPr>
            </w:pPr>
          </w:p>
        </w:tc>
        <w:tc>
          <w:tcPr>
            <w:tcW w:w="275" w:type="pct"/>
            <w:vMerge w:val="continue"/>
            <w:tcBorders>
              <w:tl2br w:val="nil"/>
              <w:tr2bl w:val="nil"/>
            </w:tcBorders>
            <w:noWrap w:val="0"/>
            <w:vAlign w:val="center"/>
          </w:tcPr>
          <w:p w14:paraId="2084E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olor w:val="000000" w:themeColor="text1"/>
                <w:highlight w:val="none"/>
                <w14:textFill>
                  <w14:solidFill>
                    <w14:schemeClr w14:val="tx1"/>
                  </w14:solidFill>
                </w14:textFill>
              </w:rPr>
            </w:pPr>
          </w:p>
        </w:tc>
        <w:tc>
          <w:tcPr>
            <w:tcW w:w="509" w:type="pct"/>
            <w:vMerge w:val="continue"/>
            <w:tcBorders>
              <w:tl2br w:val="nil"/>
              <w:tr2bl w:val="nil"/>
            </w:tcBorders>
            <w:noWrap w:val="0"/>
            <w:vAlign w:val="center"/>
          </w:tcPr>
          <w:p w14:paraId="5B7536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olor w:val="000000" w:themeColor="text1"/>
                <w:highlight w:val="none"/>
                <w14:textFill>
                  <w14:solidFill>
                    <w14:schemeClr w14:val="tx1"/>
                  </w14:solidFill>
                </w14:textFill>
              </w:rPr>
            </w:pPr>
          </w:p>
        </w:tc>
        <w:tc>
          <w:tcPr>
            <w:tcW w:w="1114" w:type="pct"/>
            <w:vMerge w:val="continue"/>
            <w:tcBorders>
              <w:tl2br w:val="nil"/>
              <w:tr2bl w:val="nil"/>
            </w:tcBorders>
            <w:noWrap w:val="0"/>
            <w:vAlign w:val="center"/>
          </w:tcPr>
          <w:p w14:paraId="42DD6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olor w:val="000000" w:themeColor="text1"/>
                <w:highlight w:val="none"/>
                <w14:textFill>
                  <w14:solidFill>
                    <w14:schemeClr w14:val="tx1"/>
                  </w14:solidFill>
                </w14:textFill>
              </w:rPr>
            </w:pPr>
          </w:p>
        </w:tc>
        <w:tc>
          <w:tcPr>
            <w:tcW w:w="789" w:type="pct"/>
            <w:vMerge w:val="continue"/>
            <w:tcBorders>
              <w:tl2br w:val="nil"/>
              <w:tr2bl w:val="nil"/>
            </w:tcBorders>
            <w:noWrap w:val="0"/>
            <w:vAlign w:val="center"/>
          </w:tcPr>
          <w:p w14:paraId="184B71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olor w:val="000000" w:themeColor="text1"/>
                <w:highlight w:val="none"/>
                <w14:textFill>
                  <w14:solidFill>
                    <w14:schemeClr w14:val="tx1"/>
                  </w14:solidFill>
                </w14:textFill>
              </w:rPr>
            </w:pPr>
          </w:p>
        </w:tc>
        <w:tc>
          <w:tcPr>
            <w:tcW w:w="407" w:type="pct"/>
            <w:vMerge w:val="continue"/>
            <w:tcBorders>
              <w:tl2br w:val="nil"/>
              <w:tr2bl w:val="nil"/>
            </w:tcBorders>
            <w:noWrap w:val="0"/>
            <w:vAlign w:val="center"/>
          </w:tcPr>
          <w:p w14:paraId="6E742E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olor w:val="000000" w:themeColor="text1"/>
                <w:highlight w:val="none"/>
                <w14:textFill>
                  <w14:solidFill>
                    <w14:schemeClr w14:val="tx1"/>
                  </w14:solidFill>
                </w14:textFill>
              </w:rPr>
            </w:pPr>
          </w:p>
        </w:tc>
        <w:tc>
          <w:tcPr>
            <w:tcW w:w="441" w:type="pct"/>
            <w:vMerge w:val="continue"/>
            <w:tcBorders>
              <w:tl2br w:val="nil"/>
              <w:tr2bl w:val="nil"/>
            </w:tcBorders>
            <w:noWrap w:val="0"/>
            <w:vAlign w:val="center"/>
          </w:tcPr>
          <w:p w14:paraId="2859B4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olor w:val="000000" w:themeColor="text1"/>
                <w:highlight w:val="none"/>
                <w14:textFill>
                  <w14:solidFill>
                    <w14:schemeClr w14:val="tx1"/>
                  </w14:solidFill>
                </w14:textFill>
              </w:rPr>
            </w:pPr>
          </w:p>
        </w:tc>
      </w:tr>
      <w:tr w14:paraId="5DAFC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3" w:type="pct"/>
            <w:vMerge w:val="restart"/>
            <w:tcBorders>
              <w:tl2br w:val="nil"/>
              <w:tr2bl w:val="nil"/>
            </w:tcBorders>
            <w:noWrap w:val="0"/>
            <w:vAlign w:val="center"/>
          </w:tcPr>
          <w:p w14:paraId="004CA0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1</w:t>
            </w:r>
          </w:p>
        </w:tc>
        <w:tc>
          <w:tcPr>
            <w:tcW w:w="521" w:type="pct"/>
            <w:vMerge w:val="restart"/>
            <w:tcBorders>
              <w:tl2br w:val="nil"/>
              <w:tr2bl w:val="nil"/>
            </w:tcBorders>
            <w:noWrap w:val="0"/>
            <w:vAlign w:val="center"/>
          </w:tcPr>
          <w:p w14:paraId="18532C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破碎、筛分工段</w:t>
            </w:r>
          </w:p>
        </w:tc>
        <w:tc>
          <w:tcPr>
            <w:tcW w:w="666" w:type="pct"/>
            <w:tcBorders>
              <w:tl2br w:val="nil"/>
              <w:tr2bl w:val="nil"/>
            </w:tcBorders>
            <w:noWrap w:val="0"/>
            <w:vAlign w:val="center"/>
          </w:tcPr>
          <w:p w14:paraId="11889E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破碎机</w:t>
            </w:r>
          </w:p>
        </w:tc>
        <w:tc>
          <w:tcPr>
            <w:tcW w:w="275" w:type="pct"/>
            <w:tcBorders>
              <w:tl2br w:val="nil"/>
              <w:tr2bl w:val="nil"/>
            </w:tcBorders>
            <w:noWrap w:val="0"/>
            <w:vAlign w:val="center"/>
          </w:tcPr>
          <w:p w14:paraId="3AD494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2</w:t>
            </w:r>
          </w:p>
        </w:tc>
        <w:tc>
          <w:tcPr>
            <w:tcW w:w="509" w:type="pct"/>
            <w:tcBorders>
              <w:tl2br w:val="nil"/>
              <w:tr2bl w:val="nil"/>
            </w:tcBorders>
            <w:noWrap w:val="0"/>
            <w:vAlign w:val="center"/>
          </w:tcPr>
          <w:p w14:paraId="690D20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95</w:t>
            </w:r>
          </w:p>
        </w:tc>
        <w:tc>
          <w:tcPr>
            <w:tcW w:w="1114" w:type="pct"/>
            <w:tcBorders>
              <w:tl2br w:val="nil"/>
              <w:tr2bl w:val="nil"/>
            </w:tcBorders>
            <w:noWrap w:val="0"/>
            <w:vAlign w:val="center"/>
          </w:tcPr>
          <w:p w14:paraId="41E13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eastAsia" w:ascii="Times New Roman" w:eastAsia="宋体"/>
                <w:color w:val="000000" w:themeColor="text1"/>
                <w:sz w:val="21"/>
                <w:szCs w:val="21"/>
                <w:highlight w:val="none"/>
                <w:lang w:eastAsia="zh-CN"/>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基础减振</w:t>
            </w:r>
            <w:r>
              <w:rPr>
                <w:rFonts w:hint="eastAsia" w:ascii="Times New Roman"/>
                <w:color w:val="000000" w:themeColor="text1"/>
                <w:sz w:val="21"/>
                <w:szCs w:val="21"/>
                <w:highlight w:val="none"/>
                <w:lang w:eastAsia="zh-CN"/>
                <w14:textFill>
                  <w14:solidFill>
                    <w14:schemeClr w14:val="tx1"/>
                  </w14:solidFill>
                </w14:textFill>
              </w:rPr>
              <w:t>、厂房隔声</w:t>
            </w:r>
          </w:p>
        </w:tc>
        <w:tc>
          <w:tcPr>
            <w:tcW w:w="1448" w:type="dxa"/>
            <w:tcBorders>
              <w:tl2br w:val="nil"/>
              <w:tr2bl w:val="nil"/>
            </w:tcBorders>
            <w:noWrap w:val="0"/>
            <w:vAlign w:val="center"/>
          </w:tcPr>
          <w:p w14:paraId="6890F826">
            <w:pPr>
              <w:spacing w:line="360" w:lineRule="exact"/>
              <w:ind w:firstLine="0" w:firstLineChars="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75</w:t>
            </w:r>
          </w:p>
        </w:tc>
        <w:tc>
          <w:tcPr>
            <w:tcW w:w="407" w:type="pct"/>
            <w:tcBorders>
              <w:tl2br w:val="nil"/>
              <w:tr2bl w:val="nil"/>
            </w:tcBorders>
            <w:noWrap w:val="0"/>
            <w:vAlign w:val="center"/>
          </w:tcPr>
          <w:p w14:paraId="77CA22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连续</w:t>
            </w:r>
          </w:p>
        </w:tc>
        <w:tc>
          <w:tcPr>
            <w:tcW w:w="441" w:type="pct"/>
            <w:tcBorders>
              <w:tl2br w:val="nil"/>
              <w:tr2bl w:val="nil"/>
            </w:tcBorders>
            <w:noWrap w:val="0"/>
            <w:vAlign w:val="center"/>
          </w:tcPr>
          <w:p w14:paraId="6D9B4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000000" w:themeColor="text1"/>
                <w:sz w:val="21"/>
                <w:szCs w:val="21"/>
                <w:highlight w:val="none"/>
                <w:lang w:eastAsia="zh-CN"/>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室</w:t>
            </w:r>
            <w:r>
              <w:rPr>
                <w:rFonts w:hint="eastAsia" w:ascii="Times New Roman"/>
                <w:color w:val="000000" w:themeColor="text1"/>
                <w:sz w:val="21"/>
                <w:szCs w:val="21"/>
                <w:highlight w:val="none"/>
                <w:lang w:eastAsia="zh-CN"/>
                <w14:textFill>
                  <w14:solidFill>
                    <w14:schemeClr w14:val="tx1"/>
                  </w14:solidFill>
                </w14:textFill>
              </w:rPr>
              <w:t>内</w:t>
            </w:r>
          </w:p>
        </w:tc>
      </w:tr>
      <w:tr w14:paraId="72C65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3" w:type="pct"/>
            <w:vMerge w:val="continue"/>
            <w:tcBorders>
              <w:tl2br w:val="nil"/>
              <w:tr2bl w:val="nil"/>
            </w:tcBorders>
            <w:noWrap w:val="0"/>
            <w:vAlign w:val="center"/>
          </w:tcPr>
          <w:p w14:paraId="3A144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521" w:type="pct"/>
            <w:vMerge w:val="continue"/>
            <w:tcBorders>
              <w:tl2br w:val="nil"/>
              <w:tr2bl w:val="nil"/>
            </w:tcBorders>
            <w:noWrap w:val="0"/>
            <w:vAlign w:val="center"/>
          </w:tcPr>
          <w:p w14:paraId="1E0D3B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000000" w:themeColor="text1"/>
                <w:sz w:val="21"/>
                <w:szCs w:val="21"/>
                <w:highlight w:val="none"/>
                <w:lang w:val="en-US" w:eastAsia="zh-CN"/>
                <w14:textFill>
                  <w14:solidFill>
                    <w14:schemeClr w14:val="tx1"/>
                  </w14:solidFill>
                </w14:textFill>
              </w:rPr>
            </w:pPr>
          </w:p>
        </w:tc>
        <w:tc>
          <w:tcPr>
            <w:tcW w:w="666" w:type="pct"/>
            <w:tcBorders>
              <w:tl2br w:val="nil"/>
              <w:tr2bl w:val="nil"/>
            </w:tcBorders>
            <w:noWrap w:val="0"/>
            <w:vAlign w:val="center"/>
          </w:tcPr>
          <w:p w14:paraId="33E3F5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筛分机</w:t>
            </w:r>
          </w:p>
        </w:tc>
        <w:tc>
          <w:tcPr>
            <w:tcW w:w="275" w:type="pct"/>
            <w:tcBorders>
              <w:tl2br w:val="nil"/>
              <w:tr2bl w:val="nil"/>
            </w:tcBorders>
            <w:noWrap w:val="0"/>
            <w:vAlign w:val="center"/>
          </w:tcPr>
          <w:p w14:paraId="25816A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2</w:t>
            </w:r>
          </w:p>
        </w:tc>
        <w:tc>
          <w:tcPr>
            <w:tcW w:w="509" w:type="pct"/>
            <w:tcBorders>
              <w:tl2br w:val="nil"/>
              <w:tr2bl w:val="nil"/>
            </w:tcBorders>
            <w:noWrap w:val="0"/>
            <w:vAlign w:val="center"/>
          </w:tcPr>
          <w:p w14:paraId="664BC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90</w:t>
            </w:r>
          </w:p>
        </w:tc>
        <w:tc>
          <w:tcPr>
            <w:tcW w:w="1114" w:type="pct"/>
            <w:tcBorders>
              <w:tl2br w:val="nil"/>
              <w:tr2bl w:val="nil"/>
            </w:tcBorders>
            <w:noWrap w:val="0"/>
            <w:vAlign w:val="center"/>
          </w:tcPr>
          <w:p w14:paraId="3F7EF9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基础减振</w:t>
            </w:r>
            <w:r>
              <w:rPr>
                <w:rFonts w:hint="eastAsia" w:ascii="Times New Roman"/>
                <w:color w:val="000000" w:themeColor="text1"/>
                <w:sz w:val="21"/>
                <w:szCs w:val="21"/>
                <w:highlight w:val="none"/>
                <w:lang w:eastAsia="zh-CN"/>
                <w14:textFill>
                  <w14:solidFill>
                    <w14:schemeClr w14:val="tx1"/>
                  </w14:solidFill>
                </w14:textFill>
              </w:rPr>
              <w:t>、厂房隔声</w:t>
            </w:r>
          </w:p>
        </w:tc>
        <w:tc>
          <w:tcPr>
            <w:tcW w:w="1448" w:type="dxa"/>
            <w:tcBorders>
              <w:tl2br w:val="nil"/>
              <w:tr2bl w:val="nil"/>
            </w:tcBorders>
            <w:noWrap w:val="0"/>
            <w:vAlign w:val="center"/>
          </w:tcPr>
          <w:p w14:paraId="03217FF4">
            <w:pPr>
              <w:spacing w:line="360" w:lineRule="exact"/>
              <w:ind w:firstLine="0" w:firstLineChars="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70</w:t>
            </w:r>
          </w:p>
        </w:tc>
        <w:tc>
          <w:tcPr>
            <w:tcW w:w="407" w:type="pct"/>
            <w:tcBorders>
              <w:tl2br w:val="nil"/>
              <w:tr2bl w:val="nil"/>
            </w:tcBorders>
            <w:noWrap w:val="0"/>
            <w:vAlign w:val="center"/>
          </w:tcPr>
          <w:p w14:paraId="7F3584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连续</w:t>
            </w:r>
          </w:p>
        </w:tc>
        <w:tc>
          <w:tcPr>
            <w:tcW w:w="441" w:type="pct"/>
            <w:tcBorders>
              <w:tl2br w:val="nil"/>
              <w:tr2bl w:val="nil"/>
            </w:tcBorders>
            <w:noWrap w:val="0"/>
            <w:vAlign w:val="center"/>
          </w:tcPr>
          <w:p w14:paraId="099DC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室</w:t>
            </w:r>
            <w:r>
              <w:rPr>
                <w:rFonts w:hint="eastAsia" w:ascii="Times New Roman"/>
                <w:color w:val="000000" w:themeColor="text1"/>
                <w:sz w:val="21"/>
                <w:szCs w:val="21"/>
                <w:highlight w:val="none"/>
                <w:lang w:eastAsia="zh-CN"/>
                <w14:textFill>
                  <w14:solidFill>
                    <w14:schemeClr w14:val="tx1"/>
                  </w14:solidFill>
                </w14:textFill>
              </w:rPr>
              <w:t>内</w:t>
            </w:r>
          </w:p>
        </w:tc>
      </w:tr>
      <w:tr w14:paraId="39C5B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3" w:type="pct"/>
            <w:vMerge w:val="restart"/>
            <w:tcBorders>
              <w:tl2br w:val="nil"/>
              <w:tr2bl w:val="nil"/>
            </w:tcBorders>
            <w:noWrap w:val="0"/>
            <w:vAlign w:val="center"/>
          </w:tcPr>
          <w:p w14:paraId="00998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2</w:t>
            </w:r>
          </w:p>
        </w:tc>
        <w:tc>
          <w:tcPr>
            <w:tcW w:w="521" w:type="pct"/>
            <w:vMerge w:val="restart"/>
            <w:tcBorders>
              <w:tl2br w:val="nil"/>
              <w:tr2bl w:val="nil"/>
            </w:tcBorders>
            <w:noWrap w:val="0"/>
            <w:vAlign w:val="center"/>
          </w:tcPr>
          <w:p w14:paraId="258FB8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高压辊磨工段</w:t>
            </w:r>
          </w:p>
        </w:tc>
        <w:tc>
          <w:tcPr>
            <w:tcW w:w="666" w:type="pct"/>
            <w:tcBorders>
              <w:tl2br w:val="nil"/>
              <w:tr2bl w:val="nil"/>
            </w:tcBorders>
            <w:noWrap w:val="0"/>
            <w:vAlign w:val="center"/>
          </w:tcPr>
          <w:p w14:paraId="53EEA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lang w:val="en-US" w:eastAsia="zh-CN"/>
                <w14:textFill>
                  <w14:solidFill>
                    <w14:schemeClr w14:val="tx1"/>
                  </w14:solidFill>
                </w14:textFill>
              </w:rPr>
              <w:t>高压辊磨机</w:t>
            </w:r>
          </w:p>
        </w:tc>
        <w:tc>
          <w:tcPr>
            <w:tcW w:w="275" w:type="pct"/>
            <w:tcBorders>
              <w:tl2br w:val="nil"/>
              <w:tr2bl w:val="nil"/>
            </w:tcBorders>
            <w:noWrap w:val="0"/>
            <w:vAlign w:val="center"/>
          </w:tcPr>
          <w:p w14:paraId="33E07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1</w:t>
            </w:r>
          </w:p>
        </w:tc>
        <w:tc>
          <w:tcPr>
            <w:tcW w:w="509" w:type="pct"/>
            <w:tcBorders>
              <w:tl2br w:val="nil"/>
              <w:tr2bl w:val="nil"/>
            </w:tcBorders>
            <w:noWrap w:val="0"/>
            <w:vAlign w:val="center"/>
          </w:tcPr>
          <w:p w14:paraId="7CB65F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95</w:t>
            </w:r>
          </w:p>
        </w:tc>
        <w:tc>
          <w:tcPr>
            <w:tcW w:w="1114" w:type="pct"/>
            <w:tcBorders>
              <w:tl2br w:val="nil"/>
              <w:tr2bl w:val="nil"/>
            </w:tcBorders>
            <w:noWrap w:val="0"/>
            <w:vAlign w:val="center"/>
          </w:tcPr>
          <w:p w14:paraId="0222E8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基础减振</w:t>
            </w:r>
            <w:r>
              <w:rPr>
                <w:rFonts w:hint="eastAsia" w:ascii="Times New Roman"/>
                <w:color w:val="000000" w:themeColor="text1"/>
                <w:sz w:val="21"/>
                <w:szCs w:val="21"/>
                <w:highlight w:val="none"/>
                <w:lang w:eastAsia="zh-CN"/>
                <w14:textFill>
                  <w14:solidFill>
                    <w14:schemeClr w14:val="tx1"/>
                  </w14:solidFill>
                </w14:textFill>
              </w:rPr>
              <w:t>、厂房隔声</w:t>
            </w:r>
          </w:p>
        </w:tc>
        <w:tc>
          <w:tcPr>
            <w:tcW w:w="1448" w:type="dxa"/>
            <w:tcBorders>
              <w:tl2br w:val="nil"/>
              <w:tr2bl w:val="nil"/>
            </w:tcBorders>
            <w:noWrap w:val="0"/>
            <w:vAlign w:val="center"/>
          </w:tcPr>
          <w:p w14:paraId="60260388">
            <w:pPr>
              <w:spacing w:line="360" w:lineRule="exact"/>
              <w:ind w:firstLine="0" w:firstLineChars="0"/>
              <w:jc w:val="center"/>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2"/>
                <w:szCs w:val="22"/>
                <w:highlight w:val="none"/>
                <w14:textFill>
                  <w14:solidFill>
                    <w14:schemeClr w14:val="tx1"/>
                  </w14:solidFill>
                </w14:textFill>
              </w:rPr>
              <w:t>7</w:t>
            </w:r>
            <w:r>
              <w:rPr>
                <w:rFonts w:hint="eastAsia"/>
                <w:color w:val="000000" w:themeColor="text1"/>
                <w:sz w:val="22"/>
                <w:szCs w:val="22"/>
                <w:highlight w:val="none"/>
                <w:lang w:val="en-US" w:eastAsia="zh-CN"/>
                <w14:textFill>
                  <w14:solidFill>
                    <w14:schemeClr w14:val="tx1"/>
                  </w14:solidFill>
                </w14:textFill>
              </w:rPr>
              <w:t>5</w:t>
            </w:r>
          </w:p>
        </w:tc>
        <w:tc>
          <w:tcPr>
            <w:tcW w:w="407" w:type="pct"/>
            <w:tcBorders>
              <w:tl2br w:val="nil"/>
              <w:tr2bl w:val="nil"/>
            </w:tcBorders>
            <w:noWrap w:val="0"/>
            <w:vAlign w:val="center"/>
          </w:tcPr>
          <w:p w14:paraId="37101D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连续</w:t>
            </w:r>
          </w:p>
        </w:tc>
        <w:tc>
          <w:tcPr>
            <w:tcW w:w="441" w:type="pct"/>
            <w:tcBorders>
              <w:tl2br w:val="nil"/>
              <w:tr2bl w:val="nil"/>
            </w:tcBorders>
            <w:noWrap w:val="0"/>
            <w:vAlign w:val="center"/>
          </w:tcPr>
          <w:p w14:paraId="42A2AF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室</w:t>
            </w:r>
            <w:r>
              <w:rPr>
                <w:rFonts w:hint="eastAsia" w:ascii="Times New Roman"/>
                <w:color w:val="000000" w:themeColor="text1"/>
                <w:sz w:val="21"/>
                <w:szCs w:val="21"/>
                <w:highlight w:val="none"/>
                <w:lang w:eastAsia="zh-CN"/>
                <w14:textFill>
                  <w14:solidFill>
                    <w14:schemeClr w14:val="tx1"/>
                  </w14:solidFill>
                </w14:textFill>
              </w:rPr>
              <w:t>内</w:t>
            </w:r>
          </w:p>
        </w:tc>
      </w:tr>
      <w:tr w14:paraId="0D5FD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3" w:type="pct"/>
            <w:vMerge w:val="continue"/>
            <w:tcBorders>
              <w:tl2br w:val="nil"/>
              <w:tr2bl w:val="nil"/>
            </w:tcBorders>
            <w:noWrap w:val="0"/>
            <w:vAlign w:val="center"/>
          </w:tcPr>
          <w:p w14:paraId="68B52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521" w:type="pct"/>
            <w:vMerge w:val="continue"/>
            <w:tcBorders>
              <w:tl2br w:val="nil"/>
              <w:tr2bl w:val="nil"/>
            </w:tcBorders>
            <w:noWrap w:val="0"/>
            <w:vAlign w:val="center"/>
          </w:tcPr>
          <w:p w14:paraId="1E117D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287B09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筛分机</w:t>
            </w:r>
          </w:p>
        </w:tc>
        <w:tc>
          <w:tcPr>
            <w:tcW w:w="275" w:type="pct"/>
            <w:tcBorders>
              <w:tl2br w:val="nil"/>
              <w:tr2bl w:val="nil"/>
            </w:tcBorders>
            <w:noWrap w:val="0"/>
            <w:vAlign w:val="center"/>
          </w:tcPr>
          <w:p w14:paraId="464C6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1</w:t>
            </w:r>
          </w:p>
        </w:tc>
        <w:tc>
          <w:tcPr>
            <w:tcW w:w="509" w:type="pct"/>
            <w:tcBorders>
              <w:tl2br w:val="nil"/>
              <w:tr2bl w:val="nil"/>
            </w:tcBorders>
            <w:noWrap w:val="0"/>
            <w:vAlign w:val="center"/>
          </w:tcPr>
          <w:p w14:paraId="686B0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90</w:t>
            </w:r>
          </w:p>
        </w:tc>
        <w:tc>
          <w:tcPr>
            <w:tcW w:w="1114" w:type="pct"/>
            <w:tcBorders>
              <w:tl2br w:val="nil"/>
              <w:tr2bl w:val="nil"/>
            </w:tcBorders>
            <w:noWrap w:val="0"/>
            <w:vAlign w:val="center"/>
          </w:tcPr>
          <w:p w14:paraId="6F963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基础减振</w:t>
            </w:r>
            <w:r>
              <w:rPr>
                <w:rFonts w:hint="eastAsia" w:ascii="Times New Roman"/>
                <w:color w:val="000000" w:themeColor="text1"/>
                <w:sz w:val="21"/>
                <w:szCs w:val="21"/>
                <w:highlight w:val="none"/>
                <w:lang w:eastAsia="zh-CN"/>
                <w14:textFill>
                  <w14:solidFill>
                    <w14:schemeClr w14:val="tx1"/>
                  </w14:solidFill>
                </w14:textFill>
              </w:rPr>
              <w:t>、厂房隔声</w:t>
            </w:r>
          </w:p>
        </w:tc>
        <w:tc>
          <w:tcPr>
            <w:tcW w:w="1448" w:type="dxa"/>
            <w:tcBorders>
              <w:tl2br w:val="nil"/>
              <w:tr2bl w:val="nil"/>
            </w:tcBorders>
            <w:noWrap w:val="0"/>
            <w:vAlign w:val="center"/>
          </w:tcPr>
          <w:p w14:paraId="0B8D208A">
            <w:pPr>
              <w:spacing w:line="360" w:lineRule="exact"/>
              <w:ind w:firstLine="0" w:firstLineChars="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70</w:t>
            </w:r>
          </w:p>
        </w:tc>
        <w:tc>
          <w:tcPr>
            <w:tcW w:w="407" w:type="pct"/>
            <w:tcBorders>
              <w:tl2br w:val="nil"/>
              <w:tr2bl w:val="nil"/>
            </w:tcBorders>
            <w:noWrap w:val="0"/>
            <w:vAlign w:val="center"/>
          </w:tcPr>
          <w:p w14:paraId="101BB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连续</w:t>
            </w:r>
          </w:p>
        </w:tc>
        <w:tc>
          <w:tcPr>
            <w:tcW w:w="441" w:type="pct"/>
            <w:tcBorders>
              <w:tl2br w:val="nil"/>
              <w:tr2bl w:val="nil"/>
            </w:tcBorders>
            <w:noWrap w:val="0"/>
            <w:vAlign w:val="center"/>
          </w:tcPr>
          <w:p w14:paraId="58A3C9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室</w:t>
            </w:r>
            <w:r>
              <w:rPr>
                <w:rFonts w:hint="eastAsia" w:ascii="Times New Roman"/>
                <w:color w:val="000000" w:themeColor="text1"/>
                <w:sz w:val="21"/>
                <w:szCs w:val="21"/>
                <w:highlight w:val="none"/>
                <w:lang w:eastAsia="zh-CN"/>
                <w14:textFill>
                  <w14:solidFill>
                    <w14:schemeClr w14:val="tx1"/>
                  </w14:solidFill>
                </w14:textFill>
              </w:rPr>
              <w:t>内</w:t>
            </w:r>
          </w:p>
        </w:tc>
      </w:tr>
      <w:tr w14:paraId="397D5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3" w:type="pct"/>
            <w:vMerge w:val="restart"/>
            <w:tcBorders>
              <w:tl2br w:val="nil"/>
              <w:tr2bl w:val="nil"/>
            </w:tcBorders>
            <w:noWrap w:val="0"/>
            <w:vAlign w:val="center"/>
          </w:tcPr>
          <w:p w14:paraId="2D5B6A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3</w:t>
            </w:r>
          </w:p>
        </w:tc>
        <w:tc>
          <w:tcPr>
            <w:tcW w:w="521" w:type="pct"/>
            <w:vMerge w:val="restart"/>
            <w:tcBorders>
              <w:tl2br w:val="nil"/>
              <w:tr2bl w:val="nil"/>
            </w:tcBorders>
            <w:noWrap w:val="0"/>
            <w:vAlign w:val="center"/>
          </w:tcPr>
          <w:p w14:paraId="16391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磨矿工段</w:t>
            </w:r>
          </w:p>
        </w:tc>
        <w:tc>
          <w:tcPr>
            <w:tcW w:w="666" w:type="pct"/>
            <w:tcBorders>
              <w:tl2br w:val="nil"/>
              <w:tr2bl w:val="nil"/>
            </w:tcBorders>
            <w:noWrap w:val="0"/>
            <w:vAlign w:val="center"/>
          </w:tcPr>
          <w:p w14:paraId="420B40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磁选机</w:t>
            </w:r>
          </w:p>
        </w:tc>
        <w:tc>
          <w:tcPr>
            <w:tcW w:w="275" w:type="pct"/>
            <w:tcBorders>
              <w:tl2br w:val="nil"/>
              <w:tr2bl w:val="nil"/>
            </w:tcBorders>
            <w:noWrap w:val="0"/>
            <w:vAlign w:val="center"/>
          </w:tcPr>
          <w:p w14:paraId="15E290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14</w:t>
            </w:r>
          </w:p>
        </w:tc>
        <w:tc>
          <w:tcPr>
            <w:tcW w:w="509" w:type="pct"/>
            <w:tcBorders>
              <w:tl2br w:val="nil"/>
              <w:tr2bl w:val="nil"/>
            </w:tcBorders>
            <w:noWrap w:val="0"/>
            <w:vAlign w:val="center"/>
          </w:tcPr>
          <w:p w14:paraId="18ED5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90</w:t>
            </w:r>
          </w:p>
        </w:tc>
        <w:tc>
          <w:tcPr>
            <w:tcW w:w="1114" w:type="pct"/>
            <w:tcBorders>
              <w:tl2br w:val="nil"/>
              <w:tr2bl w:val="nil"/>
            </w:tcBorders>
            <w:noWrap w:val="0"/>
            <w:vAlign w:val="center"/>
          </w:tcPr>
          <w:p w14:paraId="66CD2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基础减振</w:t>
            </w:r>
            <w:r>
              <w:rPr>
                <w:rFonts w:hint="eastAsia" w:ascii="Times New Roman"/>
                <w:color w:val="000000" w:themeColor="text1"/>
                <w:sz w:val="21"/>
                <w:szCs w:val="21"/>
                <w:highlight w:val="none"/>
                <w:lang w:eastAsia="zh-CN"/>
                <w14:textFill>
                  <w14:solidFill>
                    <w14:schemeClr w14:val="tx1"/>
                  </w14:solidFill>
                </w14:textFill>
              </w:rPr>
              <w:t>、厂房隔声</w:t>
            </w:r>
          </w:p>
        </w:tc>
        <w:tc>
          <w:tcPr>
            <w:tcW w:w="1448" w:type="dxa"/>
            <w:tcBorders>
              <w:tl2br w:val="nil"/>
              <w:tr2bl w:val="nil"/>
            </w:tcBorders>
            <w:noWrap w:val="0"/>
            <w:vAlign w:val="center"/>
          </w:tcPr>
          <w:p w14:paraId="20D67A3A">
            <w:pPr>
              <w:spacing w:line="360" w:lineRule="exact"/>
              <w:ind w:firstLine="0" w:firstLineChars="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70</w:t>
            </w:r>
          </w:p>
        </w:tc>
        <w:tc>
          <w:tcPr>
            <w:tcW w:w="407" w:type="pct"/>
            <w:tcBorders>
              <w:tl2br w:val="nil"/>
              <w:tr2bl w:val="nil"/>
            </w:tcBorders>
            <w:noWrap w:val="0"/>
            <w:vAlign w:val="center"/>
          </w:tcPr>
          <w:p w14:paraId="43FC59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连续</w:t>
            </w:r>
          </w:p>
        </w:tc>
        <w:tc>
          <w:tcPr>
            <w:tcW w:w="441" w:type="pct"/>
            <w:tcBorders>
              <w:tl2br w:val="nil"/>
              <w:tr2bl w:val="nil"/>
            </w:tcBorders>
            <w:noWrap w:val="0"/>
            <w:vAlign w:val="center"/>
          </w:tcPr>
          <w:p w14:paraId="7F2AF8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室</w:t>
            </w:r>
            <w:r>
              <w:rPr>
                <w:rFonts w:hint="eastAsia" w:ascii="Times New Roman"/>
                <w:color w:val="000000" w:themeColor="text1"/>
                <w:sz w:val="21"/>
                <w:szCs w:val="21"/>
                <w:highlight w:val="none"/>
                <w:lang w:eastAsia="zh-CN"/>
                <w14:textFill>
                  <w14:solidFill>
                    <w14:schemeClr w14:val="tx1"/>
                  </w14:solidFill>
                </w14:textFill>
              </w:rPr>
              <w:t>内</w:t>
            </w:r>
          </w:p>
        </w:tc>
      </w:tr>
      <w:tr w14:paraId="6F901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3" w:type="pct"/>
            <w:vMerge w:val="continue"/>
            <w:tcBorders>
              <w:tl2br w:val="nil"/>
              <w:tr2bl w:val="nil"/>
            </w:tcBorders>
            <w:noWrap w:val="0"/>
            <w:vAlign w:val="center"/>
          </w:tcPr>
          <w:p w14:paraId="1DC428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521" w:type="pct"/>
            <w:vMerge w:val="continue"/>
            <w:tcBorders>
              <w:tl2br w:val="nil"/>
              <w:tr2bl w:val="nil"/>
            </w:tcBorders>
            <w:noWrap w:val="0"/>
            <w:vAlign w:val="center"/>
          </w:tcPr>
          <w:p w14:paraId="5B9B9A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7BBCBC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球磨机</w:t>
            </w:r>
          </w:p>
        </w:tc>
        <w:tc>
          <w:tcPr>
            <w:tcW w:w="275" w:type="pct"/>
            <w:tcBorders>
              <w:tl2br w:val="nil"/>
              <w:tr2bl w:val="nil"/>
            </w:tcBorders>
            <w:noWrap w:val="0"/>
            <w:vAlign w:val="center"/>
          </w:tcPr>
          <w:p w14:paraId="5D25F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4</w:t>
            </w:r>
          </w:p>
        </w:tc>
        <w:tc>
          <w:tcPr>
            <w:tcW w:w="509" w:type="pct"/>
            <w:tcBorders>
              <w:tl2br w:val="nil"/>
              <w:tr2bl w:val="nil"/>
            </w:tcBorders>
            <w:noWrap w:val="0"/>
            <w:vAlign w:val="center"/>
          </w:tcPr>
          <w:p w14:paraId="2380E3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95</w:t>
            </w:r>
          </w:p>
        </w:tc>
        <w:tc>
          <w:tcPr>
            <w:tcW w:w="1114" w:type="pct"/>
            <w:tcBorders>
              <w:tl2br w:val="nil"/>
              <w:tr2bl w:val="nil"/>
            </w:tcBorders>
            <w:noWrap w:val="0"/>
            <w:vAlign w:val="center"/>
          </w:tcPr>
          <w:p w14:paraId="4839E4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基础减振</w:t>
            </w:r>
            <w:r>
              <w:rPr>
                <w:rFonts w:hint="eastAsia" w:ascii="Times New Roman"/>
                <w:color w:val="000000" w:themeColor="text1"/>
                <w:sz w:val="21"/>
                <w:szCs w:val="21"/>
                <w:highlight w:val="none"/>
                <w:lang w:eastAsia="zh-CN"/>
                <w14:textFill>
                  <w14:solidFill>
                    <w14:schemeClr w14:val="tx1"/>
                  </w14:solidFill>
                </w14:textFill>
              </w:rPr>
              <w:t>、厂房隔声</w:t>
            </w:r>
          </w:p>
        </w:tc>
        <w:tc>
          <w:tcPr>
            <w:tcW w:w="1448" w:type="dxa"/>
            <w:tcBorders>
              <w:tl2br w:val="nil"/>
              <w:tr2bl w:val="nil"/>
            </w:tcBorders>
            <w:noWrap w:val="0"/>
            <w:vAlign w:val="center"/>
          </w:tcPr>
          <w:p w14:paraId="2B84F797">
            <w:pPr>
              <w:spacing w:line="360" w:lineRule="exact"/>
              <w:ind w:firstLine="0" w:firstLineChars="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75</w:t>
            </w:r>
          </w:p>
        </w:tc>
        <w:tc>
          <w:tcPr>
            <w:tcW w:w="407" w:type="pct"/>
            <w:tcBorders>
              <w:tl2br w:val="nil"/>
              <w:tr2bl w:val="nil"/>
            </w:tcBorders>
            <w:noWrap w:val="0"/>
            <w:vAlign w:val="center"/>
          </w:tcPr>
          <w:p w14:paraId="1E6560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连续</w:t>
            </w:r>
          </w:p>
        </w:tc>
        <w:tc>
          <w:tcPr>
            <w:tcW w:w="441" w:type="pct"/>
            <w:tcBorders>
              <w:tl2br w:val="nil"/>
              <w:tr2bl w:val="nil"/>
            </w:tcBorders>
            <w:noWrap w:val="0"/>
            <w:vAlign w:val="center"/>
          </w:tcPr>
          <w:p w14:paraId="5736D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室</w:t>
            </w:r>
            <w:r>
              <w:rPr>
                <w:rFonts w:hint="eastAsia" w:ascii="Times New Roman"/>
                <w:color w:val="000000" w:themeColor="text1"/>
                <w:sz w:val="21"/>
                <w:szCs w:val="21"/>
                <w:highlight w:val="none"/>
                <w:lang w:eastAsia="zh-CN"/>
                <w14:textFill>
                  <w14:solidFill>
                    <w14:schemeClr w14:val="tx1"/>
                  </w14:solidFill>
                </w14:textFill>
              </w:rPr>
              <w:t>内</w:t>
            </w:r>
          </w:p>
        </w:tc>
      </w:tr>
      <w:tr w14:paraId="0D8B5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3" w:type="pct"/>
            <w:vMerge w:val="continue"/>
            <w:tcBorders>
              <w:tl2br w:val="nil"/>
              <w:tr2bl w:val="nil"/>
            </w:tcBorders>
            <w:noWrap w:val="0"/>
            <w:vAlign w:val="center"/>
          </w:tcPr>
          <w:p w14:paraId="4B1656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521" w:type="pct"/>
            <w:vMerge w:val="continue"/>
            <w:tcBorders>
              <w:tl2br w:val="nil"/>
              <w:tr2bl w:val="nil"/>
            </w:tcBorders>
            <w:noWrap w:val="0"/>
            <w:vAlign w:val="center"/>
          </w:tcPr>
          <w:p w14:paraId="061C95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042694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分级机</w:t>
            </w:r>
          </w:p>
        </w:tc>
        <w:tc>
          <w:tcPr>
            <w:tcW w:w="275" w:type="pct"/>
            <w:tcBorders>
              <w:tl2br w:val="nil"/>
              <w:tr2bl w:val="nil"/>
            </w:tcBorders>
            <w:noWrap w:val="0"/>
            <w:vAlign w:val="center"/>
          </w:tcPr>
          <w:p w14:paraId="34A1B2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2</w:t>
            </w:r>
          </w:p>
        </w:tc>
        <w:tc>
          <w:tcPr>
            <w:tcW w:w="509" w:type="pct"/>
            <w:tcBorders>
              <w:tl2br w:val="nil"/>
              <w:tr2bl w:val="nil"/>
            </w:tcBorders>
            <w:noWrap w:val="0"/>
            <w:vAlign w:val="center"/>
          </w:tcPr>
          <w:p w14:paraId="56D759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90</w:t>
            </w:r>
          </w:p>
        </w:tc>
        <w:tc>
          <w:tcPr>
            <w:tcW w:w="1114" w:type="pct"/>
            <w:tcBorders>
              <w:tl2br w:val="nil"/>
              <w:tr2bl w:val="nil"/>
            </w:tcBorders>
            <w:noWrap w:val="0"/>
            <w:vAlign w:val="center"/>
          </w:tcPr>
          <w:p w14:paraId="147B3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基础减振</w:t>
            </w:r>
            <w:r>
              <w:rPr>
                <w:rFonts w:hint="eastAsia" w:ascii="Times New Roman"/>
                <w:color w:val="000000" w:themeColor="text1"/>
                <w:sz w:val="21"/>
                <w:szCs w:val="21"/>
                <w:highlight w:val="none"/>
                <w:lang w:eastAsia="zh-CN"/>
                <w14:textFill>
                  <w14:solidFill>
                    <w14:schemeClr w14:val="tx1"/>
                  </w14:solidFill>
                </w14:textFill>
              </w:rPr>
              <w:t>、厂房隔声</w:t>
            </w:r>
          </w:p>
        </w:tc>
        <w:tc>
          <w:tcPr>
            <w:tcW w:w="1448" w:type="dxa"/>
            <w:tcBorders>
              <w:tl2br w:val="nil"/>
              <w:tr2bl w:val="nil"/>
            </w:tcBorders>
            <w:noWrap w:val="0"/>
            <w:vAlign w:val="center"/>
          </w:tcPr>
          <w:p w14:paraId="1A75BB46">
            <w:pPr>
              <w:spacing w:line="360" w:lineRule="exact"/>
              <w:ind w:firstLine="0" w:firstLineChars="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75</w:t>
            </w:r>
          </w:p>
        </w:tc>
        <w:tc>
          <w:tcPr>
            <w:tcW w:w="407" w:type="pct"/>
            <w:tcBorders>
              <w:tl2br w:val="nil"/>
              <w:tr2bl w:val="nil"/>
            </w:tcBorders>
            <w:noWrap w:val="0"/>
            <w:vAlign w:val="center"/>
          </w:tcPr>
          <w:p w14:paraId="6902B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连续</w:t>
            </w:r>
          </w:p>
        </w:tc>
        <w:tc>
          <w:tcPr>
            <w:tcW w:w="441" w:type="pct"/>
            <w:tcBorders>
              <w:tl2br w:val="nil"/>
              <w:tr2bl w:val="nil"/>
            </w:tcBorders>
            <w:noWrap w:val="0"/>
            <w:vAlign w:val="center"/>
          </w:tcPr>
          <w:p w14:paraId="5747C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室</w:t>
            </w:r>
            <w:r>
              <w:rPr>
                <w:rFonts w:hint="eastAsia" w:ascii="Times New Roman"/>
                <w:color w:val="000000" w:themeColor="text1"/>
                <w:sz w:val="21"/>
                <w:szCs w:val="21"/>
                <w:highlight w:val="none"/>
                <w:lang w:eastAsia="zh-CN"/>
                <w14:textFill>
                  <w14:solidFill>
                    <w14:schemeClr w14:val="tx1"/>
                  </w14:solidFill>
                </w14:textFill>
              </w:rPr>
              <w:t>内</w:t>
            </w:r>
          </w:p>
        </w:tc>
      </w:tr>
      <w:tr w14:paraId="3F2F9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3" w:type="pct"/>
            <w:vMerge w:val="continue"/>
            <w:tcBorders>
              <w:tl2br w:val="nil"/>
              <w:tr2bl w:val="nil"/>
            </w:tcBorders>
            <w:noWrap w:val="0"/>
            <w:vAlign w:val="center"/>
          </w:tcPr>
          <w:p w14:paraId="7DABB2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521" w:type="pct"/>
            <w:vMerge w:val="continue"/>
            <w:tcBorders>
              <w:tl2br w:val="nil"/>
              <w:tr2bl w:val="nil"/>
            </w:tcBorders>
            <w:noWrap w:val="0"/>
            <w:vAlign w:val="center"/>
          </w:tcPr>
          <w:p w14:paraId="244B2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437E7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旋流器</w:t>
            </w:r>
          </w:p>
        </w:tc>
        <w:tc>
          <w:tcPr>
            <w:tcW w:w="275" w:type="pct"/>
            <w:tcBorders>
              <w:tl2br w:val="nil"/>
              <w:tr2bl w:val="nil"/>
            </w:tcBorders>
            <w:noWrap w:val="0"/>
            <w:vAlign w:val="center"/>
          </w:tcPr>
          <w:p w14:paraId="34635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2</w:t>
            </w:r>
          </w:p>
        </w:tc>
        <w:tc>
          <w:tcPr>
            <w:tcW w:w="509" w:type="pct"/>
            <w:tcBorders>
              <w:tl2br w:val="nil"/>
              <w:tr2bl w:val="nil"/>
            </w:tcBorders>
            <w:noWrap w:val="0"/>
            <w:vAlign w:val="center"/>
          </w:tcPr>
          <w:p w14:paraId="538CEC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80</w:t>
            </w:r>
          </w:p>
        </w:tc>
        <w:tc>
          <w:tcPr>
            <w:tcW w:w="1114" w:type="pct"/>
            <w:tcBorders>
              <w:tl2br w:val="nil"/>
              <w:tr2bl w:val="nil"/>
            </w:tcBorders>
            <w:noWrap w:val="0"/>
            <w:vAlign w:val="center"/>
          </w:tcPr>
          <w:p w14:paraId="0EC176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基础减振</w:t>
            </w:r>
            <w:r>
              <w:rPr>
                <w:rFonts w:hint="eastAsia" w:ascii="Times New Roman"/>
                <w:color w:val="000000" w:themeColor="text1"/>
                <w:sz w:val="21"/>
                <w:szCs w:val="21"/>
                <w:highlight w:val="none"/>
                <w:lang w:eastAsia="zh-CN"/>
                <w14:textFill>
                  <w14:solidFill>
                    <w14:schemeClr w14:val="tx1"/>
                  </w14:solidFill>
                </w14:textFill>
              </w:rPr>
              <w:t>、厂房隔声</w:t>
            </w:r>
          </w:p>
        </w:tc>
        <w:tc>
          <w:tcPr>
            <w:tcW w:w="1448" w:type="dxa"/>
            <w:tcBorders>
              <w:tl2br w:val="nil"/>
              <w:tr2bl w:val="nil"/>
            </w:tcBorders>
            <w:noWrap w:val="0"/>
            <w:vAlign w:val="center"/>
          </w:tcPr>
          <w:p w14:paraId="5EAB2E40">
            <w:pPr>
              <w:spacing w:line="360" w:lineRule="exact"/>
              <w:ind w:firstLine="0" w:firstLineChars="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60</w:t>
            </w:r>
          </w:p>
        </w:tc>
        <w:tc>
          <w:tcPr>
            <w:tcW w:w="407" w:type="pct"/>
            <w:tcBorders>
              <w:tl2br w:val="nil"/>
              <w:tr2bl w:val="nil"/>
            </w:tcBorders>
            <w:noWrap w:val="0"/>
            <w:vAlign w:val="center"/>
          </w:tcPr>
          <w:p w14:paraId="0861F9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连续</w:t>
            </w:r>
          </w:p>
        </w:tc>
        <w:tc>
          <w:tcPr>
            <w:tcW w:w="441" w:type="pct"/>
            <w:tcBorders>
              <w:tl2br w:val="nil"/>
              <w:tr2bl w:val="nil"/>
            </w:tcBorders>
            <w:noWrap w:val="0"/>
            <w:vAlign w:val="center"/>
          </w:tcPr>
          <w:p w14:paraId="723E3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室</w:t>
            </w:r>
            <w:r>
              <w:rPr>
                <w:rFonts w:hint="eastAsia" w:ascii="Times New Roman"/>
                <w:color w:val="000000" w:themeColor="text1"/>
                <w:sz w:val="21"/>
                <w:szCs w:val="21"/>
                <w:highlight w:val="none"/>
                <w:lang w:eastAsia="zh-CN"/>
                <w14:textFill>
                  <w14:solidFill>
                    <w14:schemeClr w14:val="tx1"/>
                  </w14:solidFill>
                </w14:textFill>
              </w:rPr>
              <w:t>内</w:t>
            </w:r>
          </w:p>
        </w:tc>
      </w:tr>
      <w:tr w14:paraId="52358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3" w:type="pct"/>
            <w:vMerge w:val="continue"/>
            <w:tcBorders>
              <w:tl2br w:val="nil"/>
              <w:tr2bl w:val="nil"/>
            </w:tcBorders>
            <w:noWrap w:val="0"/>
            <w:vAlign w:val="center"/>
          </w:tcPr>
          <w:p w14:paraId="63ED2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521" w:type="pct"/>
            <w:vMerge w:val="continue"/>
            <w:tcBorders>
              <w:tl2br w:val="nil"/>
              <w:tr2bl w:val="nil"/>
            </w:tcBorders>
            <w:noWrap w:val="0"/>
            <w:vAlign w:val="center"/>
          </w:tcPr>
          <w:p w14:paraId="3229C2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0A741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渣浆泵</w:t>
            </w:r>
          </w:p>
        </w:tc>
        <w:tc>
          <w:tcPr>
            <w:tcW w:w="275" w:type="pct"/>
            <w:tcBorders>
              <w:tl2br w:val="nil"/>
              <w:tr2bl w:val="nil"/>
            </w:tcBorders>
            <w:noWrap w:val="0"/>
            <w:vAlign w:val="center"/>
          </w:tcPr>
          <w:p w14:paraId="41B9E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4</w:t>
            </w:r>
          </w:p>
        </w:tc>
        <w:tc>
          <w:tcPr>
            <w:tcW w:w="509" w:type="pct"/>
            <w:tcBorders>
              <w:tl2br w:val="nil"/>
              <w:tr2bl w:val="nil"/>
            </w:tcBorders>
            <w:noWrap w:val="0"/>
            <w:vAlign w:val="center"/>
          </w:tcPr>
          <w:p w14:paraId="21DAC9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85</w:t>
            </w:r>
          </w:p>
        </w:tc>
        <w:tc>
          <w:tcPr>
            <w:tcW w:w="1114" w:type="pct"/>
            <w:tcBorders>
              <w:tl2br w:val="nil"/>
              <w:tr2bl w:val="nil"/>
            </w:tcBorders>
            <w:noWrap w:val="0"/>
            <w:vAlign w:val="center"/>
          </w:tcPr>
          <w:p w14:paraId="25F716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eastAsia" w:ascii="Times New Roman" w:eastAsia="宋体"/>
                <w:color w:val="000000" w:themeColor="text1"/>
                <w:sz w:val="21"/>
                <w:szCs w:val="21"/>
                <w:highlight w:val="none"/>
                <w:lang w:eastAsia="zh-CN"/>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基础减振</w:t>
            </w:r>
            <w:r>
              <w:rPr>
                <w:rFonts w:hint="eastAsia" w:ascii="Times New Roman"/>
                <w:color w:val="000000" w:themeColor="text1"/>
                <w:sz w:val="21"/>
                <w:szCs w:val="21"/>
                <w:highlight w:val="none"/>
                <w:lang w:eastAsia="zh-CN"/>
                <w14:textFill>
                  <w14:solidFill>
                    <w14:schemeClr w14:val="tx1"/>
                  </w14:solidFill>
                </w14:textFill>
              </w:rPr>
              <w:t>、</w:t>
            </w:r>
            <w:r>
              <w:rPr>
                <w:rFonts w:hint="default" w:ascii="Times New Roman"/>
                <w:color w:val="000000" w:themeColor="text1"/>
                <w:sz w:val="21"/>
                <w:szCs w:val="21"/>
                <w:highlight w:val="none"/>
                <w14:textFill>
                  <w14:solidFill>
                    <w14:schemeClr w14:val="tx1"/>
                  </w14:solidFill>
                </w14:textFill>
              </w:rPr>
              <w:t>进出风口设消声器</w:t>
            </w:r>
            <w:r>
              <w:rPr>
                <w:rFonts w:hint="eastAsia" w:ascii="Times New Roman"/>
                <w:color w:val="000000" w:themeColor="text1"/>
                <w:sz w:val="21"/>
                <w:szCs w:val="21"/>
                <w:highlight w:val="none"/>
                <w:lang w:eastAsia="zh-CN"/>
                <w14:textFill>
                  <w14:solidFill>
                    <w14:schemeClr w14:val="tx1"/>
                  </w14:solidFill>
                </w14:textFill>
              </w:rPr>
              <w:t>、厂房隔声</w:t>
            </w:r>
          </w:p>
        </w:tc>
        <w:tc>
          <w:tcPr>
            <w:tcW w:w="1448" w:type="dxa"/>
            <w:tcBorders>
              <w:tl2br w:val="nil"/>
              <w:tr2bl w:val="nil"/>
            </w:tcBorders>
            <w:noWrap w:val="0"/>
            <w:vAlign w:val="center"/>
          </w:tcPr>
          <w:p w14:paraId="48A85D8F">
            <w:pPr>
              <w:spacing w:line="360" w:lineRule="exact"/>
              <w:ind w:firstLine="0" w:firstLineChars="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65</w:t>
            </w:r>
          </w:p>
        </w:tc>
        <w:tc>
          <w:tcPr>
            <w:tcW w:w="407" w:type="pct"/>
            <w:tcBorders>
              <w:tl2br w:val="nil"/>
              <w:tr2bl w:val="nil"/>
            </w:tcBorders>
            <w:noWrap w:val="0"/>
            <w:vAlign w:val="center"/>
          </w:tcPr>
          <w:p w14:paraId="58D94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连续</w:t>
            </w:r>
          </w:p>
        </w:tc>
        <w:tc>
          <w:tcPr>
            <w:tcW w:w="441" w:type="pct"/>
            <w:tcBorders>
              <w:tl2br w:val="nil"/>
              <w:tr2bl w:val="nil"/>
            </w:tcBorders>
            <w:noWrap w:val="0"/>
            <w:vAlign w:val="center"/>
          </w:tcPr>
          <w:p w14:paraId="3F4BB6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室</w:t>
            </w:r>
            <w:r>
              <w:rPr>
                <w:rFonts w:hint="eastAsia" w:ascii="Times New Roman"/>
                <w:color w:val="000000" w:themeColor="text1"/>
                <w:sz w:val="21"/>
                <w:szCs w:val="21"/>
                <w:highlight w:val="none"/>
                <w:lang w:eastAsia="zh-CN"/>
                <w14:textFill>
                  <w14:solidFill>
                    <w14:schemeClr w14:val="tx1"/>
                  </w14:solidFill>
                </w14:textFill>
              </w:rPr>
              <w:t>内</w:t>
            </w:r>
          </w:p>
        </w:tc>
      </w:tr>
      <w:tr w14:paraId="6B1C5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3" w:type="pct"/>
            <w:vMerge w:val="restart"/>
            <w:tcBorders>
              <w:tl2br w:val="nil"/>
              <w:tr2bl w:val="nil"/>
            </w:tcBorders>
            <w:noWrap w:val="0"/>
            <w:vAlign w:val="center"/>
          </w:tcPr>
          <w:p w14:paraId="364F4B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4</w:t>
            </w:r>
          </w:p>
        </w:tc>
        <w:tc>
          <w:tcPr>
            <w:tcW w:w="521" w:type="pct"/>
            <w:vMerge w:val="restart"/>
            <w:tcBorders>
              <w:tl2br w:val="nil"/>
              <w:tr2bl w:val="nil"/>
            </w:tcBorders>
            <w:noWrap w:val="0"/>
            <w:vAlign w:val="center"/>
          </w:tcPr>
          <w:p w14:paraId="780684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精矿脱水</w:t>
            </w:r>
          </w:p>
        </w:tc>
        <w:tc>
          <w:tcPr>
            <w:tcW w:w="666" w:type="pct"/>
            <w:tcBorders>
              <w:tl2br w:val="nil"/>
              <w:tr2bl w:val="nil"/>
            </w:tcBorders>
            <w:noWrap w:val="0"/>
            <w:vAlign w:val="center"/>
          </w:tcPr>
          <w:p w14:paraId="2FF70A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过滤机</w:t>
            </w:r>
          </w:p>
        </w:tc>
        <w:tc>
          <w:tcPr>
            <w:tcW w:w="275" w:type="pct"/>
            <w:tcBorders>
              <w:tl2br w:val="nil"/>
              <w:tr2bl w:val="nil"/>
            </w:tcBorders>
            <w:noWrap w:val="0"/>
            <w:vAlign w:val="center"/>
          </w:tcPr>
          <w:p w14:paraId="611A4F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4</w:t>
            </w:r>
          </w:p>
        </w:tc>
        <w:tc>
          <w:tcPr>
            <w:tcW w:w="509" w:type="pct"/>
            <w:tcBorders>
              <w:tl2br w:val="nil"/>
              <w:tr2bl w:val="nil"/>
            </w:tcBorders>
            <w:noWrap w:val="0"/>
            <w:vAlign w:val="center"/>
          </w:tcPr>
          <w:p w14:paraId="6462C5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80</w:t>
            </w:r>
          </w:p>
        </w:tc>
        <w:tc>
          <w:tcPr>
            <w:tcW w:w="1114" w:type="pct"/>
            <w:tcBorders>
              <w:tl2br w:val="nil"/>
              <w:tr2bl w:val="nil"/>
            </w:tcBorders>
            <w:noWrap w:val="0"/>
            <w:vAlign w:val="center"/>
          </w:tcPr>
          <w:p w14:paraId="74B4D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基础减振</w:t>
            </w:r>
            <w:r>
              <w:rPr>
                <w:rFonts w:hint="eastAsia" w:ascii="Times New Roman"/>
                <w:color w:val="000000" w:themeColor="text1"/>
                <w:sz w:val="21"/>
                <w:szCs w:val="21"/>
                <w:highlight w:val="none"/>
                <w:lang w:eastAsia="zh-CN"/>
                <w14:textFill>
                  <w14:solidFill>
                    <w14:schemeClr w14:val="tx1"/>
                  </w14:solidFill>
                </w14:textFill>
              </w:rPr>
              <w:t>、厂房隔声</w:t>
            </w:r>
          </w:p>
        </w:tc>
        <w:tc>
          <w:tcPr>
            <w:tcW w:w="1448" w:type="dxa"/>
            <w:tcBorders>
              <w:tl2br w:val="nil"/>
              <w:tr2bl w:val="nil"/>
            </w:tcBorders>
            <w:noWrap w:val="0"/>
            <w:vAlign w:val="center"/>
          </w:tcPr>
          <w:p w14:paraId="7F6E94C8">
            <w:pPr>
              <w:spacing w:line="360" w:lineRule="exact"/>
              <w:ind w:firstLine="0" w:firstLineChars="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60</w:t>
            </w:r>
          </w:p>
        </w:tc>
        <w:tc>
          <w:tcPr>
            <w:tcW w:w="407" w:type="pct"/>
            <w:tcBorders>
              <w:tl2br w:val="nil"/>
              <w:tr2bl w:val="nil"/>
            </w:tcBorders>
            <w:noWrap w:val="0"/>
            <w:vAlign w:val="center"/>
          </w:tcPr>
          <w:p w14:paraId="0181A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连续</w:t>
            </w:r>
          </w:p>
        </w:tc>
        <w:tc>
          <w:tcPr>
            <w:tcW w:w="441" w:type="pct"/>
            <w:tcBorders>
              <w:tl2br w:val="nil"/>
              <w:tr2bl w:val="nil"/>
            </w:tcBorders>
            <w:noWrap w:val="0"/>
            <w:vAlign w:val="center"/>
          </w:tcPr>
          <w:p w14:paraId="554653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室</w:t>
            </w:r>
            <w:r>
              <w:rPr>
                <w:rFonts w:hint="eastAsia" w:ascii="Times New Roman"/>
                <w:color w:val="000000" w:themeColor="text1"/>
                <w:sz w:val="21"/>
                <w:szCs w:val="21"/>
                <w:highlight w:val="none"/>
                <w:lang w:eastAsia="zh-CN"/>
                <w14:textFill>
                  <w14:solidFill>
                    <w14:schemeClr w14:val="tx1"/>
                  </w14:solidFill>
                </w14:textFill>
              </w:rPr>
              <w:t>内</w:t>
            </w:r>
          </w:p>
        </w:tc>
      </w:tr>
      <w:tr w14:paraId="1EF24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3" w:type="pct"/>
            <w:vMerge w:val="continue"/>
            <w:tcBorders>
              <w:tl2br w:val="nil"/>
              <w:tr2bl w:val="nil"/>
            </w:tcBorders>
            <w:noWrap w:val="0"/>
            <w:vAlign w:val="center"/>
          </w:tcPr>
          <w:p w14:paraId="0B3AD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521" w:type="pct"/>
            <w:vMerge w:val="continue"/>
            <w:tcBorders>
              <w:tl2br w:val="nil"/>
              <w:tr2bl w:val="nil"/>
            </w:tcBorders>
            <w:noWrap w:val="0"/>
            <w:vAlign w:val="center"/>
          </w:tcPr>
          <w:p w14:paraId="67F450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369897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渣浆泵</w:t>
            </w:r>
          </w:p>
        </w:tc>
        <w:tc>
          <w:tcPr>
            <w:tcW w:w="275" w:type="pct"/>
            <w:tcBorders>
              <w:tl2br w:val="nil"/>
              <w:tr2bl w:val="nil"/>
            </w:tcBorders>
            <w:noWrap w:val="0"/>
            <w:vAlign w:val="center"/>
          </w:tcPr>
          <w:p w14:paraId="2B3B2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2</w:t>
            </w:r>
          </w:p>
        </w:tc>
        <w:tc>
          <w:tcPr>
            <w:tcW w:w="509" w:type="pct"/>
            <w:tcBorders>
              <w:tl2br w:val="nil"/>
              <w:tr2bl w:val="nil"/>
            </w:tcBorders>
            <w:noWrap w:val="0"/>
            <w:vAlign w:val="center"/>
          </w:tcPr>
          <w:p w14:paraId="59648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85</w:t>
            </w:r>
          </w:p>
        </w:tc>
        <w:tc>
          <w:tcPr>
            <w:tcW w:w="1114" w:type="pct"/>
            <w:tcBorders>
              <w:tl2br w:val="nil"/>
              <w:tr2bl w:val="nil"/>
            </w:tcBorders>
            <w:noWrap w:val="0"/>
            <w:vAlign w:val="center"/>
          </w:tcPr>
          <w:p w14:paraId="70E252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基础减振</w:t>
            </w:r>
            <w:r>
              <w:rPr>
                <w:rFonts w:hint="eastAsia" w:ascii="Times New Roman"/>
                <w:color w:val="000000" w:themeColor="text1"/>
                <w:sz w:val="21"/>
                <w:szCs w:val="21"/>
                <w:highlight w:val="none"/>
                <w:lang w:eastAsia="zh-CN"/>
                <w14:textFill>
                  <w14:solidFill>
                    <w14:schemeClr w14:val="tx1"/>
                  </w14:solidFill>
                </w14:textFill>
              </w:rPr>
              <w:t>、</w:t>
            </w:r>
            <w:r>
              <w:rPr>
                <w:rFonts w:hint="default" w:ascii="Times New Roman"/>
                <w:color w:val="000000" w:themeColor="text1"/>
                <w:sz w:val="21"/>
                <w:szCs w:val="21"/>
                <w:highlight w:val="none"/>
                <w14:textFill>
                  <w14:solidFill>
                    <w14:schemeClr w14:val="tx1"/>
                  </w14:solidFill>
                </w14:textFill>
              </w:rPr>
              <w:t>进出风口设消声器</w:t>
            </w:r>
            <w:r>
              <w:rPr>
                <w:rFonts w:hint="eastAsia" w:ascii="Times New Roman"/>
                <w:color w:val="000000" w:themeColor="text1"/>
                <w:sz w:val="21"/>
                <w:szCs w:val="21"/>
                <w:highlight w:val="none"/>
                <w:lang w:eastAsia="zh-CN"/>
                <w14:textFill>
                  <w14:solidFill>
                    <w14:schemeClr w14:val="tx1"/>
                  </w14:solidFill>
                </w14:textFill>
              </w:rPr>
              <w:t>、厂房隔声</w:t>
            </w:r>
          </w:p>
        </w:tc>
        <w:tc>
          <w:tcPr>
            <w:tcW w:w="1448" w:type="dxa"/>
            <w:tcBorders>
              <w:tl2br w:val="nil"/>
              <w:tr2bl w:val="nil"/>
            </w:tcBorders>
            <w:noWrap w:val="0"/>
            <w:vAlign w:val="center"/>
          </w:tcPr>
          <w:p w14:paraId="3EA77271">
            <w:pPr>
              <w:spacing w:line="360" w:lineRule="exact"/>
              <w:ind w:firstLine="0" w:firstLineChars="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65</w:t>
            </w:r>
          </w:p>
        </w:tc>
        <w:tc>
          <w:tcPr>
            <w:tcW w:w="407" w:type="pct"/>
            <w:tcBorders>
              <w:tl2br w:val="nil"/>
              <w:tr2bl w:val="nil"/>
            </w:tcBorders>
            <w:noWrap w:val="0"/>
            <w:vAlign w:val="center"/>
          </w:tcPr>
          <w:p w14:paraId="171D9A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连续</w:t>
            </w:r>
          </w:p>
        </w:tc>
        <w:tc>
          <w:tcPr>
            <w:tcW w:w="441" w:type="pct"/>
            <w:tcBorders>
              <w:tl2br w:val="nil"/>
              <w:tr2bl w:val="nil"/>
            </w:tcBorders>
            <w:noWrap w:val="0"/>
            <w:vAlign w:val="center"/>
          </w:tcPr>
          <w:p w14:paraId="207BB8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室</w:t>
            </w:r>
            <w:r>
              <w:rPr>
                <w:rFonts w:hint="eastAsia" w:ascii="Times New Roman"/>
                <w:color w:val="000000" w:themeColor="text1"/>
                <w:sz w:val="21"/>
                <w:szCs w:val="21"/>
                <w:highlight w:val="none"/>
                <w:lang w:eastAsia="zh-CN"/>
                <w14:textFill>
                  <w14:solidFill>
                    <w14:schemeClr w14:val="tx1"/>
                  </w14:solidFill>
                </w14:textFill>
              </w:rPr>
              <w:t>内</w:t>
            </w:r>
          </w:p>
        </w:tc>
      </w:tr>
      <w:tr w14:paraId="3356F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3" w:type="pct"/>
            <w:vMerge w:val="continue"/>
            <w:tcBorders>
              <w:tl2br w:val="nil"/>
              <w:tr2bl w:val="nil"/>
            </w:tcBorders>
            <w:noWrap w:val="0"/>
            <w:vAlign w:val="center"/>
          </w:tcPr>
          <w:p w14:paraId="0DC141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521" w:type="pct"/>
            <w:vMerge w:val="continue"/>
            <w:tcBorders>
              <w:tl2br w:val="nil"/>
              <w:tr2bl w:val="nil"/>
            </w:tcBorders>
            <w:noWrap w:val="0"/>
            <w:vAlign w:val="center"/>
          </w:tcPr>
          <w:p w14:paraId="56A2A3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181CE9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脱水筛</w:t>
            </w:r>
          </w:p>
        </w:tc>
        <w:tc>
          <w:tcPr>
            <w:tcW w:w="275" w:type="pct"/>
            <w:tcBorders>
              <w:tl2br w:val="nil"/>
              <w:tr2bl w:val="nil"/>
            </w:tcBorders>
            <w:noWrap w:val="0"/>
            <w:vAlign w:val="center"/>
          </w:tcPr>
          <w:p w14:paraId="7CAB08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2</w:t>
            </w:r>
          </w:p>
        </w:tc>
        <w:tc>
          <w:tcPr>
            <w:tcW w:w="509" w:type="pct"/>
            <w:tcBorders>
              <w:tl2br w:val="nil"/>
              <w:tr2bl w:val="nil"/>
            </w:tcBorders>
            <w:noWrap w:val="0"/>
            <w:vAlign w:val="center"/>
          </w:tcPr>
          <w:p w14:paraId="6D000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80</w:t>
            </w:r>
          </w:p>
        </w:tc>
        <w:tc>
          <w:tcPr>
            <w:tcW w:w="1114" w:type="pct"/>
            <w:tcBorders>
              <w:tl2br w:val="nil"/>
              <w:tr2bl w:val="nil"/>
            </w:tcBorders>
            <w:noWrap w:val="0"/>
            <w:vAlign w:val="center"/>
          </w:tcPr>
          <w:p w14:paraId="7580B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基础减振</w:t>
            </w:r>
            <w:r>
              <w:rPr>
                <w:rFonts w:hint="eastAsia" w:ascii="Times New Roman"/>
                <w:color w:val="000000" w:themeColor="text1"/>
                <w:sz w:val="21"/>
                <w:szCs w:val="21"/>
                <w:highlight w:val="none"/>
                <w:lang w:eastAsia="zh-CN"/>
                <w14:textFill>
                  <w14:solidFill>
                    <w14:schemeClr w14:val="tx1"/>
                  </w14:solidFill>
                </w14:textFill>
              </w:rPr>
              <w:t>、厂房隔声</w:t>
            </w:r>
          </w:p>
        </w:tc>
        <w:tc>
          <w:tcPr>
            <w:tcW w:w="1448" w:type="dxa"/>
            <w:tcBorders>
              <w:tl2br w:val="nil"/>
              <w:tr2bl w:val="nil"/>
            </w:tcBorders>
            <w:noWrap w:val="0"/>
            <w:vAlign w:val="center"/>
          </w:tcPr>
          <w:p w14:paraId="14A277F7">
            <w:pPr>
              <w:spacing w:line="360" w:lineRule="exact"/>
              <w:ind w:firstLine="0" w:firstLineChars="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60</w:t>
            </w:r>
          </w:p>
        </w:tc>
        <w:tc>
          <w:tcPr>
            <w:tcW w:w="407" w:type="pct"/>
            <w:tcBorders>
              <w:tl2br w:val="nil"/>
              <w:tr2bl w:val="nil"/>
            </w:tcBorders>
            <w:noWrap w:val="0"/>
            <w:vAlign w:val="center"/>
          </w:tcPr>
          <w:p w14:paraId="5AFEB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连续</w:t>
            </w:r>
          </w:p>
        </w:tc>
        <w:tc>
          <w:tcPr>
            <w:tcW w:w="441" w:type="pct"/>
            <w:tcBorders>
              <w:tl2br w:val="nil"/>
              <w:tr2bl w:val="nil"/>
            </w:tcBorders>
            <w:noWrap w:val="0"/>
            <w:vAlign w:val="center"/>
          </w:tcPr>
          <w:p w14:paraId="0F9CAA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室</w:t>
            </w:r>
            <w:r>
              <w:rPr>
                <w:rFonts w:hint="eastAsia" w:ascii="Times New Roman"/>
                <w:color w:val="000000" w:themeColor="text1"/>
                <w:sz w:val="21"/>
                <w:szCs w:val="21"/>
                <w:highlight w:val="none"/>
                <w:lang w:eastAsia="zh-CN"/>
                <w14:textFill>
                  <w14:solidFill>
                    <w14:schemeClr w14:val="tx1"/>
                  </w14:solidFill>
                </w14:textFill>
              </w:rPr>
              <w:t>内</w:t>
            </w:r>
          </w:p>
        </w:tc>
      </w:tr>
      <w:tr w14:paraId="21D36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73" w:type="pct"/>
            <w:tcBorders>
              <w:tl2br w:val="nil"/>
              <w:tr2bl w:val="nil"/>
            </w:tcBorders>
            <w:noWrap w:val="0"/>
            <w:vAlign w:val="center"/>
          </w:tcPr>
          <w:p w14:paraId="15DE0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5</w:t>
            </w:r>
          </w:p>
        </w:tc>
        <w:tc>
          <w:tcPr>
            <w:tcW w:w="521" w:type="pct"/>
            <w:tcBorders>
              <w:tl2br w:val="nil"/>
              <w:tr2bl w:val="nil"/>
            </w:tcBorders>
            <w:noWrap w:val="0"/>
            <w:vAlign w:val="center"/>
          </w:tcPr>
          <w:p w14:paraId="42B60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eastAsia" w:ascii="Times New Roman" w:eastAsia="宋体"/>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尾矿浓缩</w:t>
            </w:r>
          </w:p>
        </w:tc>
        <w:tc>
          <w:tcPr>
            <w:tcW w:w="666" w:type="pct"/>
            <w:tcBorders>
              <w:tl2br w:val="nil"/>
              <w:tr2bl w:val="nil"/>
            </w:tcBorders>
            <w:noWrap w:val="0"/>
            <w:vAlign w:val="center"/>
          </w:tcPr>
          <w:p w14:paraId="06B01F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color w:val="000000" w:themeColor="text1"/>
                <w:sz w:val="21"/>
                <w:szCs w:val="21"/>
                <w:highlight w:val="none"/>
                <w:lang w:eastAsia="zh-CN"/>
                <w14:textFill>
                  <w14:solidFill>
                    <w14:schemeClr w14:val="tx1"/>
                  </w14:solidFill>
                </w14:textFill>
              </w:rPr>
            </w:pPr>
            <w:r>
              <w:rPr>
                <w:rFonts w:hint="eastAsia" w:ascii="Times New Roman"/>
                <w:color w:val="000000" w:themeColor="text1"/>
                <w:sz w:val="21"/>
                <w:szCs w:val="21"/>
                <w:highlight w:val="none"/>
                <w:lang w:eastAsia="zh-CN"/>
                <w14:textFill>
                  <w14:solidFill>
                    <w14:schemeClr w14:val="tx1"/>
                  </w14:solidFill>
                </w14:textFill>
              </w:rPr>
              <w:t>浓缩机</w:t>
            </w:r>
          </w:p>
        </w:tc>
        <w:tc>
          <w:tcPr>
            <w:tcW w:w="275" w:type="pct"/>
            <w:tcBorders>
              <w:tl2br w:val="nil"/>
              <w:tr2bl w:val="nil"/>
            </w:tcBorders>
            <w:noWrap w:val="0"/>
            <w:vAlign w:val="center"/>
          </w:tcPr>
          <w:p w14:paraId="53EED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1</w:t>
            </w:r>
          </w:p>
        </w:tc>
        <w:tc>
          <w:tcPr>
            <w:tcW w:w="509" w:type="pct"/>
            <w:tcBorders>
              <w:tl2br w:val="nil"/>
              <w:tr2bl w:val="nil"/>
            </w:tcBorders>
            <w:noWrap w:val="0"/>
            <w:vAlign w:val="center"/>
          </w:tcPr>
          <w:p w14:paraId="51179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70</w:t>
            </w:r>
          </w:p>
        </w:tc>
        <w:tc>
          <w:tcPr>
            <w:tcW w:w="1114" w:type="pct"/>
            <w:tcBorders>
              <w:tl2br w:val="nil"/>
              <w:tr2bl w:val="nil"/>
            </w:tcBorders>
            <w:noWrap w:val="0"/>
            <w:vAlign w:val="center"/>
          </w:tcPr>
          <w:p w14:paraId="1FC217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基础减振</w:t>
            </w:r>
          </w:p>
        </w:tc>
        <w:tc>
          <w:tcPr>
            <w:tcW w:w="1448" w:type="dxa"/>
            <w:tcBorders>
              <w:tl2br w:val="nil"/>
              <w:tr2bl w:val="nil"/>
            </w:tcBorders>
            <w:noWrap w:val="0"/>
            <w:vAlign w:val="center"/>
          </w:tcPr>
          <w:p w14:paraId="4296BA28">
            <w:pPr>
              <w:spacing w:line="360" w:lineRule="exact"/>
              <w:ind w:firstLine="0" w:firstLineChars="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55</w:t>
            </w:r>
          </w:p>
        </w:tc>
        <w:tc>
          <w:tcPr>
            <w:tcW w:w="407" w:type="pct"/>
            <w:tcBorders>
              <w:tl2br w:val="nil"/>
              <w:tr2bl w:val="nil"/>
            </w:tcBorders>
            <w:noWrap w:val="0"/>
            <w:vAlign w:val="center"/>
          </w:tcPr>
          <w:p w14:paraId="789F8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连续</w:t>
            </w:r>
          </w:p>
        </w:tc>
        <w:tc>
          <w:tcPr>
            <w:tcW w:w="441" w:type="pct"/>
            <w:tcBorders>
              <w:tl2br w:val="nil"/>
              <w:tr2bl w:val="nil"/>
            </w:tcBorders>
            <w:noWrap w:val="0"/>
            <w:vAlign w:val="center"/>
          </w:tcPr>
          <w:p w14:paraId="1243CA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color w:val="000000" w:themeColor="text1"/>
                <w:sz w:val="21"/>
                <w:szCs w:val="21"/>
                <w:highlight w:val="none"/>
                <w14:textFill>
                  <w14:solidFill>
                    <w14:schemeClr w14:val="tx1"/>
                  </w14:solidFill>
                </w14:textFill>
              </w:rPr>
            </w:pPr>
            <w:r>
              <w:rPr>
                <w:rFonts w:hint="default" w:ascii="Times New Roman"/>
                <w:color w:val="000000" w:themeColor="text1"/>
                <w:sz w:val="21"/>
                <w:szCs w:val="21"/>
                <w:highlight w:val="none"/>
                <w14:textFill>
                  <w14:solidFill>
                    <w14:schemeClr w14:val="tx1"/>
                  </w14:solidFill>
                </w14:textFill>
              </w:rPr>
              <w:t>室</w:t>
            </w:r>
            <w:r>
              <w:rPr>
                <w:rFonts w:hint="eastAsia" w:ascii="Times New Roman"/>
                <w:color w:val="000000" w:themeColor="text1"/>
                <w:sz w:val="21"/>
                <w:szCs w:val="21"/>
                <w:highlight w:val="none"/>
                <w:lang w:eastAsia="zh-CN"/>
                <w14:textFill>
                  <w14:solidFill>
                    <w14:schemeClr w14:val="tx1"/>
                  </w14:solidFill>
                </w14:textFill>
              </w:rPr>
              <w:t>外</w:t>
            </w:r>
          </w:p>
        </w:tc>
      </w:tr>
    </w:tbl>
    <w:p w14:paraId="354C5823">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4.2.4固体废物</w:t>
      </w:r>
    </w:p>
    <w:p w14:paraId="40BC0951">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运营期固体废物主要来源于选矿工序产生的尾矿砂</w:t>
      </w:r>
      <w:r>
        <w:rPr>
          <w:rFonts w:hint="eastAsia"/>
          <w:color w:val="000000" w:themeColor="text1"/>
          <w:kern w:val="0"/>
          <w:highlight w:val="none"/>
          <w:lang w:eastAsia="zh-CN"/>
          <w14:textFill>
            <w14:solidFill>
              <w14:schemeClr w14:val="tx1"/>
            </w14:solidFill>
          </w14:textFill>
        </w:rPr>
        <w:t>、干选废石</w:t>
      </w:r>
      <w:r>
        <w:rPr>
          <w:rFonts w:hint="eastAsia"/>
          <w:color w:val="000000" w:themeColor="text1"/>
          <w:kern w:val="0"/>
          <w:highlight w:val="none"/>
          <w14:textFill>
            <w14:solidFill>
              <w14:schemeClr w14:val="tx1"/>
            </w14:solidFill>
          </w14:textFill>
        </w:rPr>
        <w:t>、除尘灰（除尘器收集的粉尘）、生活</w:t>
      </w:r>
      <w:r>
        <w:rPr>
          <w:rFonts w:hint="eastAsia"/>
          <w:color w:val="000000" w:themeColor="text1"/>
          <w:highlight w:val="none"/>
          <w14:textFill>
            <w14:solidFill>
              <w14:schemeClr w14:val="tx1"/>
            </w14:solidFill>
          </w14:textFill>
        </w:rPr>
        <w:t>污水处理设施底泥、</w:t>
      </w:r>
      <w:r>
        <w:rPr>
          <w:rFonts w:hint="eastAsia"/>
          <w:color w:val="000000" w:themeColor="text1"/>
          <w:kern w:val="0"/>
          <w:highlight w:val="none"/>
          <w14:textFill>
            <w14:solidFill>
              <w14:schemeClr w14:val="tx1"/>
            </w14:solidFill>
          </w14:textFill>
        </w:rPr>
        <w:t>废布袋、循环水池底泥、生活垃圾及少量废机油、废油桶等。</w:t>
      </w:r>
    </w:p>
    <w:p w14:paraId="2208D95A">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1</w:t>
      </w:r>
      <w:r>
        <w:rPr>
          <w:rFonts w:hint="eastAsia"/>
          <w:color w:val="000000" w:themeColor="text1"/>
          <w:kern w:val="0"/>
          <w:highlight w:val="none"/>
          <w14:textFill>
            <w14:solidFill>
              <w14:schemeClr w14:val="tx1"/>
            </w14:solidFill>
          </w14:textFill>
        </w:rPr>
        <w:t>）尾矿砂</w:t>
      </w:r>
    </w:p>
    <w:p w14:paraId="4505C8F5">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本项目尾矿主要为磨矿选别过程中产生的尾矿砂，尾矿砂产生量</w:t>
      </w:r>
      <w:r>
        <w:rPr>
          <w:rFonts w:hint="eastAsia"/>
          <w:color w:val="000000" w:themeColor="text1"/>
          <w:kern w:val="0"/>
          <w:highlight w:val="none"/>
          <w:lang w:val="en-US" w:eastAsia="zh-CN"/>
          <w14:textFill>
            <w14:solidFill>
              <w14:schemeClr w14:val="tx1"/>
            </w14:solidFill>
          </w14:textFill>
        </w:rPr>
        <w:t>45.25</w:t>
      </w:r>
      <w:r>
        <w:rPr>
          <w:rFonts w:hint="eastAsia"/>
          <w:color w:val="000000" w:themeColor="text1"/>
          <w:kern w:val="0"/>
          <w:highlight w:val="none"/>
          <w14:textFill>
            <w14:solidFill>
              <w14:schemeClr w14:val="tx1"/>
            </w14:solidFill>
          </w14:textFill>
        </w:rPr>
        <w:t>万</w:t>
      </w:r>
      <w:r>
        <w:rPr>
          <w:color w:val="000000" w:themeColor="text1"/>
          <w:kern w:val="0"/>
          <w:highlight w:val="none"/>
          <w14:textFill>
            <w14:solidFill>
              <w14:schemeClr w14:val="tx1"/>
            </w14:solidFill>
          </w14:textFill>
        </w:rPr>
        <w:t>t/a</w:t>
      </w:r>
      <w:r>
        <w:rPr>
          <w:rFonts w:hint="eastAsia"/>
          <w:color w:val="000000" w:themeColor="text1"/>
          <w:kern w:val="0"/>
          <w:highlight w:val="none"/>
          <w14:textFill>
            <w14:solidFill>
              <w14:schemeClr w14:val="tx1"/>
            </w14:solidFill>
          </w14:textFill>
        </w:rPr>
        <w:t>，</w:t>
      </w:r>
      <w:r>
        <w:rPr>
          <w:color w:val="000000" w:themeColor="text1"/>
          <w:kern w:val="0"/>
          <w:highlight w:val="none"/>
          <w:lang w:val="zh-CN"/>
          <w14:textFill>
            <w14:solidFill>
              <w14:schemeClr w14:val="tx1"/>
            </w14:solidFill>
          </w14:textFill>
        </w:rPr>
        <w:t>为一般固体废物</w:t>
      </w:r>
      <w:r>
        <w:rPr>
          <w:color w:val="000000" w:themeColor="text1"/>
          <w:kern w:val="0"/>
          <w:highlight w:val="none"/>
          <w14:textFill>
            <w14:solidFill>
              <w14:schemeClr w14:val="tx1"/>
            </w14:solidFill>
          </w14:textFill>
        </w:rPr>
        <w:t>，输送至尾矿库</w:t>
      </w:r>
      <w:r>
        <w:rPr>
          <w:rFonts w:hint="eastAsia"/>
          <w:color w:val="000000" w:themeColor="text1"/>
          <w:kern w:val="0"/>
          <w:highlight w:val="none"/>
          <w:lang w:eastAsia="zh-CN"/>
          <w14:textFill>
            <w14:solidFill>
              <w14:schemeClr w14:val="tx1"/>
            </w14:solidFill>
          </w14:textFill>
        </w:rPr>
        <w:t>堆存。</w:t>
      </w:r>
      <w:r>
        <w:rPr>
          <w:rFonts w:cs="Times New Roman"/>
          <w:color w:val="000000" w:themeColor="text1"/>
          <w:szCs w:val="24"/>
          <w:highlight w:val="none"/>
          <w14:textFill>
            <w14:solidFill>
              <w14:schemeClr w14:val="tx1"/>
            </w14:solidFill>
          </w14:textFill>
        </w:rPr>
        <w:t>核工业</w:t>
      </w:r>
      <w:r>
        <w:rPr>
          <w:rFonts w:hint="eastAsia" w:cs="Times New Roman"/>
          <w:color w:val="000000" w:themeColor="text1"/>
          <w:szCs w:val="24"/>
          <w:highlight w:val="none"/>
          <w:lang w:eastAsia="zh-CN"/>
          <w14:textFill>
            <w14:solidFill>
              <w14:schemeClr w14:val="tx1"/>
            </w14:solidFill>
          </w14:textFill>
        </w:rPr>
        <w:t>二〇三研究所分析测试中心</w:t>
      </w:r>
      <w:r>
        <w:rPr>
          <w:rFonts w:cs="Times New Roman"/>
          <w:color w:val="000000" w:themeColor="text1"/>
          <w:szCs w:val="24"/>
          <w:highlight w:val="none"/>
          <w14:textFill>
            <w14:solidFill>
              <w14:schemeClr w14:val="tx1"/>
            </w14:solidFill>
          </w14:textFill>
        </w:rPr>
        <w:t>于</w:t>
      </w:r>
      <w:r>
        <w:rPr>
          <w:rFonts w:hint="eastAsia" w:cs="Times New Roman"/>
          <w:color w:val="000000" w:themeColor="text1"/>
          <w:szCs w:val="24"/>
          <w:highlight w:val="none"/>
          <w14:textFill>
            <w14:solidFill>
              <w14:schemeClr w14:val="tx1"/>
            </w14:solidFill>
          </w14:textFill>
        </w:rPr>
        <w:t>202</w:t>
      </w:r>
      <w:r>
        <w:rPr>
          <w:rFonts w:hint="eastAsia" w:cs="Times New Roman"/>
          <w:color w:val="000000" w:themeColor="text1"/>
          <w:szCs w:val="24"/>
          <w:highlight w:val="none"/>
          <w:lang w:val="en-US" w:eastAsia="zh-CN"/>
          <w14:textFill>
            <w14:solidFill>
              <w14:schemeClr w14:val="tx1"/>
            </w14:solidFill>
          </w14:textFill>
        </w:rPr>
        <w:t>2</w:t>
      </w:r>
      <w:r>
        <w:rPr>
          <w:rFonts w:hint="eastAsia" w:cs="Times New Roman"/>
          <w:color w:val="000000" w:themeColor="text1"/>
          <w:szCs w:val="24"/>
          <w:highlight w:val="none"/>
          <w14:textFill>
            <w14:solidFill>
              <w14:schemeClr w14:val="tx1"/>
            </w14:solidFill>
          </w14:textFill>
        </w:rPr>
        <w:t>年</w:t>
      </w:r>
      <w:r>
        <w:rPr>
          <w:rFonts w:hint="eastAsia" w:cs="Times New Roman"/>
          <w:color w:val="000000" w:themeColor="text1"/>
          <w:szCs w:val="24"/>
          <w:highlight w:val="none"/>
          <w:lang w:val="en-US" w:eastAsia="zh-CN"/>
          <w14:textFill>
            <w14:solidFill>
              <w14:schemeClr w14:val="tx1"/>
            </w14:solidFill>
          </w14:textFill>
        </w:rPr>
        <w:t>9</w:t>
      </w:r>
      <w:r>
        <w:rPr>
          <w:rFonts w:hint="eastAsia" w:cs="Times New Roman"/>
          <w:color w:val="000000" w:themeColor="text1"/>
          <w:szCs w:val="24"/>
          <w:highlight w:val="none"/>
          <w14:textFill>
            <w14:solidFill>
              <w14:schemeClr w14:val="tx1"/>
            </w14:solidFill>
          </w14:textFill>
        </w:rPr>
        <w:t>月</w:t>
      </w:r>
      <w:r>
        <w:rPr>
          <w:rFonts w:hint="eastAsia" w:cs="Times New Roman"/>
          <w:color w:val="000000" w:themeColor="text1"/>
          <w:szCs w:val="24"/>
          <w:highlight w:val="none"/>
          <w:lang w:val="en-US" w:eastAsia="zh-CN"/>
          <w14:textFill>
            <w14:solidFill>
              <w14:schemeClr w14:val="tx1"/>
            </w14:solidFill>
          </w14:textFill>
        </w:rPr>
        <w:t>14</w:t>
      </w:r>
      <w:r>
        <w:rPr>
          <w:rFonts w:hint="eastAsia" w:cs="Times New Roman"/>
          <w:color w:val="000000" w:themeColor="text1"/>
          <w:szCs w:val="24"/>
          <w:highlight w:val="none"/>
          <w14:textFill>
            <w14:solidFill>
              <w14:schemeClr w14:val="tx1"/>
            </w14:solidFill>
          </w14:textFill>
        </w:rPr>
        <w:t>日对</w:t>
      </w:r>
      <w:r>
        <w:rPr>
          <w:rFonts w:hint="eastAsia" w:cs="Times New Roman"/>
          <w:color w:val="000000" w:themeColor="text1"/>
          <w:szCs w:val="24"/>
          <w:highlight w:val="none"/>
          <w:lang w:eastAsia="zh-CN"/>
          <w14:textFill>
            <w14:solidFill>
              <w14:schemeClr w14:val="tx1"/>
            </w14:solidFill>
          </w14:textFill>
        </w:rPr>
        <w:t>原有尾矿</w:t>
      </w:r>
      <w:r>
        <w:rPr>
          <w:rFonts w:cs="Times New Roman"/>
          <w:color w:val="000000" w:themeColor="text1"/>
          <w:szCs w:val="24"/>
          <w:highlight w:val="none"/>
          <w14:textFill>
            <w14:solidFill>
              <w14:schemeClr w14:val="tx1"/>
            </w14:solidFill>
          </w14:textFill>
        </w:rPr>
        <w:t>样进行了铀（钍）系单个核素活度浓度检测，结果显示</w:t>
      </w:r>
      <w:r>
        <w:rPr>
          <w:rFonts w:cs="Times New Roman"/>
          <w:color w:val="000000" w:themeColor="text1"/>
          <w:szCs w:val="24"/>
          <w:highlight w:val="none"/>
          <w:vertAlign w:val="superscript"/>
          <w14:textFill>
            <w14:solidFill>
              <w14:schemeClr w14:val="tx1"/>
            </w14:solidFill>
          </w14:textFill>
        </w:rPr>
        <w:t>238</w:t>
      </w:r>
      <w:r>
        <w:rPr>
          <w:rFonts w:cs="Times New Roman"/>
          <w:color w:val="000000" w:themeColor="text1"/>
          <w:szCs w:val="24"/>
          <w:highlight w:val="none"/>
          <w14:textFill>
            <w14:solidFill>
              <w14:schemeClr w14:val="tx1"/>
            </w14:solidFill>
          </w14:textFill>
        </w:rPr>
        <w:t>U、</w:t>
      </w:r>
      <w:r>
        <w:rPr>
          <w:rFonts w:cs="Times New Roman"/>
          <w:color w:val="000000" w:themeColor="text1"/>
          <w:szCs w:val="24"/>
          <w:highlight w:val="none"/>
          <w:vertAlign w:val="superscript"/>
          <w14:textFill>
            <w14:solidFill>
              <w14:schemeClr w14:val="tx1"/>
            </w14:solidFill>
          </w14:textFill>
        </w:rPr>
        <w:t>226</w:t>
      </w:r>
      <w:r>
        <w:rPr>
          <w:rFonts w:cs="Times New Roman"/>
          <w:color w:val="000000" w:themeColor="text1"/>
          <w:szCs w:val="24"/>
          <w:highlight w:val="none"/>
          <w14:textFill>
            <w14:solidFill>
              <w14:schemeClr w14:val="tx1"/>
            </w14:solidFill>
          </w14:textFill>
        </w:rPr>
        <w:t>Ra、</w:t>
      </w:r>
      <w:r>
        <w:rPr>
          <w:rFonts w:cs="Times New Roman"/>
          <w:color w:val="000000" w:themeColor="text1"/>
          <w:szCs w:val="24"/>
          <w:highlight w:val="none"/>
          <w:vertAlign w:val="superscript"/>
          <w14:textFill>
            <w14:solidFill>
              <w14:schemeClr w14:val="tx1"/>
            </w14:solidFill>
          </w14:textFill>
        </w:rPr>
        <w:t>232</w:t>
      </w:r>
      <w:r>
        <w:rPr>
          <w:rFonts w:cs="Times New Roman"/>
          <w:color w:val="000000" w:themeColor="text1"/>
          <w:szCs w:val="24"/>
          <w:highlight w:val="none"/>
          <w14:textFill>
            <w14:solidFill>
              <w14:schemeClr w14:val="tx1"/>
            </w14:solidFill>
          </w14:textFill>
        </w:rPr>
        <w:t>Th、</w:t>
      </w:r>
      <w:r>
        <w:rPr>
          <w:rFonts w:cs="Times New Roman"/>
          <w:color w:val="000000" w:themeColor="text1"/>
          <w:szCs w:val="24"/>
          <w:highlight w:val="none"/>
          <w:vertAlign w:val="superscript"/>
          <w14:textFill>
            <w14:solidFill>
              <w14:schemeClr w14:val="tx1"/>
            </w14:solidFill>
          </w14:textFill>
        </w:rPr>
        <w:t>40</w:t>
      </w:r>
      <w:r>
        <w:rPr>
          <w:rFonts w:cs="Times New Roman"/>
          <w:color w:val="000000" w:themeColor="text1"/>
          <w:szCs w:val="24"/>
          <w:highlight w:val="none"/>
          <w14:textFill>
            <w14:solidFill>
              <w14:schemeClr w14:val="tx1"/>
            </w14:solidFill>
          </w14:textFill>
        </w:rPr>
        <w:t>K等元素活度浓度均未超过1贝克/克（Bq/g），检测报告详见附件。</w:t>
      </w:r>
    </w:p>
    <w:p w14:paraId="760D4E00">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（2）生活垃圾</w:t>
      </w:r>
    </w:p>
    <w:p w14:paraId="14518AAB">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highlight w:val="none"/>
          <w14:textFill>
            <w14:solidFill>
              <w14:schemeClr w14:val="tx1"/>
            </w14:solidFill>
          </w14:textFill>
        </w:rPr>
        <w:t>本项目劳动定员</w:t>
      </w:r>
      <w:r>
        <w:rPr>
          <w:rFonts w:hint="eastAsia"/>
          <w:color w:val="000000" w:themeColor="text1"/>
          <w:highlight w:val="none"/>
          <w:lang w:val="en-US" w:eastAsia="zh-CN"/>
          <w14:textFill>
            <w14:solidFill>
              <w14:schemeClr w14:val="tx1"/>
            </w14:solidFill>
          </w14:textFill>
        </w:rPr>
        <w:t>50</w:t>
      </w:r>
      <w:r>
        <w:rPr>
          <w:rFonts w:hint="eastAsia"/>
          <w:color w:val="000000" w:themeColor="text1"/>
          <w:highlight w:val="none"/>
          <w14:textFill>
            <w14:solidFill>
              <w14:schemeClr w14:val="tx1"/>
            </w14:solidFill>
          </w14:textFill>
        </w:rPr>
        <w:t>人，</w:t>
      </w:r>
      <w:r>
        <w:rPr>
          <w:rFonts w:hint="eastAsia"/>
          <w:color w:val="000000" w:themeColor="text1"/>
          <w:kern w:val="0"/>
          <w:highlight w:val="none"/>
          <w14:textFill>
            <w14:solidFill>
              <w14:schemeClr w14:val="tx1"/>
            </w14:solidFill>
          </w14:textFill>
        </w:rPr>
        <w:t>生活垃圾的产生量按</w:t>
      </w:r>
      <w:r>
        <w:rPr>
          <w:color w:val="000000" w:themeColor="text1"/>
          <w:kern w:val="0"/>
          <w:highlight w:val="none"/>
          <w14:textFill>
            <w14:solidFill>
              <w14:schemeClr w14:val="tx1"/>
            </w14:solidFill>
          </w14:textFill>
        </w:rPr>
        <w:t>1.0kg/d·</w:t>
      </w:r>
      <w:r>
        <w:rPr>
          <w:rFonts w:hint="eastAsia"/>
          <w:color w:val="000000" w:themeColor="text1"/>
          <w:kern w:val="0"/>
          <w:highlight w:val="none"/>
          <w14:textFill>
            <w14:solidFill>
              <w14:schemeClr w14:val="tx1"/>
            </w14:solidFill>
          </w14:textFill>
        </w:rPr>
        <w:t>人计，则生活垃圾产生量为</w:t>
      </w:r>
      <w:r>
        <w:rPr>
          <w:rFonts w:hint="eastAsia"/>
          <w:color w:val="000000" w:themeColor="text1"/>
          <w:kern w:val="0"/>
          <w:highlight w:val="none"/>
          <w:lang w:val="en-US" w:eastAsia="zh-CN"/>
          <w14:textFill>
            <w14:solidFill>
              <w14:schemeClr w14:val="tx1"/>
            </w14:solidFill>
          </w14:textFill>
        </w:rPr>
        <w:t>50</w:t>
      </w:r>
      <w:r>
        <w:rPr>
          <w:color w:val="000000" w:themeColor="text1"/>
          <w:kern w:val="0"/>
          <w:highlight w:val="none"/>
          <w14:textFill>
            <w14:solidFill>
              <w14:schemeClr w14:val="tx1"/>
            </w14:solidFill>
          </w14:textFill>
        </w:rPr>
        <w:t>kg/d</w:t>
      </w: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15</w:t>
      </w:r>
      <w:r>
        <w:rPr>
          <w:color w:val="000000" w:themeColor="text1"/>
          <w:kern w:val="0"/>
          <w:highlight w:val="none"/>
          <w14:textFill>
            <w14:solidFill>
              <w14:schemeClr w14:val="tx1"/>
            </w14:solidFill>
          </w14:textFill>
        </w:rPr>
        <w:t>t/a</w:t>
      </w:r>
      <w:r>
        <w:rPr>
          <w:rFonts w:hint="eastAsia"/>
          <w:color w:val="000000" w:themeColor="text1"/>
          <w:kern w:val="0"/>
          <w:highlight w:val="none"/>
          <w14:textFill>
            <w14:solidFill>
              <w14:schemeClr w14:val="tx1"/>
            </w14:solidFill>
          </w14:textFill>
        </w:rPr>
        <w:t>）。</w:t>
      </w:r>
    </w:p>
    <w:p w14:paraId="20670ED9">
      <w:pPr>
        <w:overflowPunct w:val="0"/>
        <w:topLinePunct/>
        <w:ind w:firstLine="480"/>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highlight w:val="none"/>
          <w14:textFill>
            <w14:solidFill>
              <w14:schemeClr w14:val="tx1"/>
            </w14:solidFill>
          </w14:textFill>
        </w:rPr>
        <w:t>（3）</w:t>
      </w:r>
      <w:r>
        <w:rPr>
          <w:rFonts w:hint="eastAsia"/>
          <w:color w:val="000000" w:themeColor="text1"/>
          <w:highlight w:val="none"/>
          <w:lang w:eastAsia="zh-CN"/>
          <w14:textFill>
            <w14:solidFill>
              <w14:schemeClr w14:val="tx1"/>
            </w14:solidFill>
          </w14:textFill>
        </w:rPr>
        <w:t>干选废石</w:t>
      </w:r>
    </w:p>
    <w:p w14:paraId="1C9D1D83">
      <w:pPr>
        <w:pStyle w:val="41"/>
        <w:overflowPunct w:val="0"/>
        <w:topLinePunct/>
        <w:spacing w:line="480" w:lineRule="exact"/>
        <w:ind w:firstLine="480"/>
        <w:rPr>
          <w:rFonts w:hint="default" w:eastAsia="宋体" w:cs="Times New Roman"/>
          <w:color w:val="000000" w:themeColor="text1"/>
          <w:szCs w:val="24"/>
          <w:highlight w:val="none"/>
          <w:lang w:val="en-US" w:eastAsia="zh-CN"/>
          <w14:textFill>
            <w14:solidFill>
              <w14:schemeClr w14:val="tx1"/>
            </w14:solidFill>
          </w14:textFill>
        </w:rPr>
      </w:pPr>
      <w:r>
        <w:rPr>
          <w:rFonts w:hint="eastAsia" w:cs="Times New Roman"/>
          <w:color w:val="000000" w:themeColor="text1"/>
          <w:szCs w:val="24"/>
          <w:highlight w:val="none"/>
          <w:lang w:eastAsia="zh-CN"/>
          <w14:textFill>
            <w14:solidFill>
              <w14:schemeClr w14:val="tx1"/>
            </w14:solidFill>
          </w14:textFill>
        </w:rPr>
        <w:t>本项目干选工序会产生废石，废石产生量为</w:t>
      </w:r>
      <w:r>
        <w:rPr>
          <w:rFonts w:hint="eastAsia" w:cs="Times New Roman"/>
          <w:color w:val="000000" w:themeColor="text1"/>
          <w:szCs w:val="24"/>
          <w:highlight w:val="none"/>
          <w:lang w:val="en-US" w:eastAsia="zh-CN"/>
          <w14:textFill>
            <w14:solidFill>
              <w14:schemeClr w14:val="tx1"/>
            </w14:solidFill>
          </w14:textFill>
        </w:rPr>
        <w:t>14.75万t/a，</w:t>
      </w:r>
      <w:r>
        <w:rPr>
          <w:color w:val="000000" w:themeColor="text1"/>
          <w:kern w:val="0"/>
          <w:highlight w:val="none"/>
          <w:lang w:val="zh-CN"/>
          <w14:textFill>
            <w14:solidFill>
              <w14:schemeClr w14:val="tx1"/>
            </w14:solidFill>
          </w14:textFill>
        </w:rPr>
        <w:t>为一般固体废物</w:t>
      </w:r>
      <w:r>
        <w:rPr>
          <w:rFonts w:hint="eastAsia" w:cs="Times New Roman"/>
          <w:color w:val="000000" w:themeColor="text1"/>
          <w:szCs w:val="24"/>
          <w:highlight w:val="none"/>
          <w:lang w:val="en-US" w:eastAsia="zh-CN"/>
          <w14:textFill>
            <w14:solidFill>
              <w14:schemeClr w14:val="tx1"/>
            </w14:solidFill>
          </w14:textFill>
        </w:rPr>
        <w:t>，运至采矿区废石堆场堆放。</w:t>
      </w:r>
    </w:p>
    <w:p w14:paraId="5A3D1B6C">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4</w:t>
      </w:r>
      <w:r>
        <w:rPr>
          <w:rFonts w:hint="eastAsia"/>
          <w:color w:val="000000" w:themeColor="text1"/>
          <w:kern w:val="0"/>
          <w:highlight w:val="none"/>
          <w14:textFill>
            <w14:solidFill>
              <w14:schemeClr w14:val="tx1"/>
            </w14:solidFill>
          </w14:textFill>
        </w:rPr>
        <w:t>）废机油及废油桶</w:t>
      </w:r>
    </w:p>
    <w:p w14:paraId="5451934B">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项目运营过程中会产生少量废机油及废油桶，属于危险废物（</w:t>
      </w:r>
      <w:r>
        <w:rPr>
          <w:color w:val="000000" w:themeColor="text1"/>
          <w:kern w:val="0"/>
          <w:highlight w:val="none"/>
          <w14:textFill>
            <w14:solidFill>
              <w14:schemeClr w14:val="tx1"/>
            </w14:solidFill>
          </w14:textFill>
        </w:rPr>
        <w:t>HW08</w:t>
      </w:r>
      <w:r>
        <w:rPr>
          <w:rFonts w:hint="eastAsia"/>
          <w:color w:val="000000" w:themeColor="text1"/>
          <w:kern w:val="0"/>
          <w:highlight w:val="none"/>
          <w14:textFill>
            <w14:solidFill>
              <w14:schemeClr w14:val="tx1"/>
            </w14:solidFill>
          </w14:textFill>
        </w:rPr>
        <w:t>），主要来源于工程机械和大型设备润滑、维护、检修。</w:t>
      </w:r>
      <w:r>
        <w:rPr>
          <w:color w:val="000000" w:themeColor="text1"/>
          <w:highlight w:val="none"/>
          <w14:textFill>
            <w14:solidFill>
              <w14:schemeClr w14:val="tx1"/>
            </w14:solidFill>
          </w14:textFill>
        </w:rPr>
        <w:t>废油桶产生量为</w:t>
      </w:r>
      <w:r>
        <w:rPr>
          <w:rFonts w:hint="eastAsia"/>
          <w:color w:val="000000" w:themeColor="text1"/>
          <w:highlight w:val="none"/>
          <w:lang w:val="en-US" w:eastAsia="zh-CN"/>
          <w14:textFill>
            <w14:solidFill>
              <w14:schemeClr w14:val="tx1"/>
            </w14:solidFill>
          </w14:textFill>
        </w:rPr>
        <w:t>50桶</w:t>
      </w:r>
      <w:r>
        <w:rPr>
          <w:color w:val="000000" w:themeColor="text1"/>
          <w:highlight w:val="none"/>
          <w14:textFill>
            <w14:solidFill>
              <w14:schemeClr w14:val="tx1"/>
            </w14:solidFill>
          </w14:textFill>
        </w:rPr>
        <w:t>/年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约1.2t/a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kern w:val="0"/>
          <w:highlight w:val="none"/>
          <w14:textFill>
            <w14:solidFill>
              <w14:schemeClr w14:val="tx1"/>
            </w14:solidFill>
          </w14:textFill>
        </w:rPr>
        <w:t>废机油产生量约</w:t>
      </w:r>
      <w:r>
        <w:rPr>
          <w:rFonts w:hint="eastAsia"/>
          <w:color w:val="000000" w:themeColor="text1"/>
          <w:kern w:val="0"/>
          <w:highlight w:val="none"/>
          <w:lang w:val="en-US" w:eastAsia="zh-CN"/>
          <w14:textFill>
            <w14:solidFill>
              <w14:schemeClr w14:val="tx1"/>
            </w14:solidFill>
          </w14:textFill>
        </w:rPr>
        <w:t>1.5</w:t>
      </w:r>
      <w:r>
        <w:rPr>
          <w:color w:val="000000" w:themeColor="text1"/>
          <w:kern w:val="0"/>
          <w:highlight w:val="none"/>
          <w14:textFill>
            <w14:solidFill>
              <w14:schemeClr w14:val="tx1"/>
            </w14:solidFill>
          </w14:textFill>
        </w:rPr>
        <w:t>t/a</w:t>
      </w:r>
      <w:r>
        <w:rPr>
          <w:rFonts w:hint="eastAsia"/>
          <w:color w:val="000000" w:themeColor="text1"/>
          <w:kern w:val="0"/>
          <w:highlight w:val="none"/>
          <w14:textFill>
            <w14:solidFill>
              <w14:schemeClr w14:val="tx1"/>
            </w14:solidFill>
          </w14:textFill>
        </w:rPr>
        <w:t>。</w:t>
      </w:r>
    </w:p>
    <w:p w14:paraId="4A583DAA">
      <w:pPr>
        <w:pStyle w:val="28"/>
        <w:widowControl w:val="0"/>
        <w:overflowPunct w:val="0"/>
        <w:topLinePunct/>
        <w:spacing w:before="0" w:beforeAutospacing="0" w:after="0" w:afterAutospacing="0"/>
        <w:ind w:firstLine="480"/>
        <w:jc w:val="both"/>
        <w:rPr>
          <w:rFonts w:ascii="Times New Roman" w:hAnsi="Times New Roman" w:cs="Times New Roman"/>
          <w:bCs/>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lang w:bidi="ar"/>
          <w14:textFill>
            <w14:solidFill>
              <w14:schemeClr w14:val="tx1"/>
            </w14:solidFill>
          </w14:textFill>
        </w:rPr>
        <w:t>哈密市西成矿业有限责任公司</w:t>
      </w:r>
      <w:r>
        <w:rPr>
          <w:rFonts w:hint="eastAsia" w:ascii="Times New Roman" w:hAnsi="Times New Roman"/>
          <w:color w:val="000000" w:themeColor="text1"/>
          <w:sz w:val="24"/>
          <w:highlight w:val="none"/>
          <w:lang w:val="en-US" w:eastAsia="zh-CN" w:bidi="ar"/>
          <w14:textFill>
            <w14:solidFill>
              <w14:schemeClr w14:val="tx1"/>
            </w14:solidFill>
          </w14:textFill>
        </w:rPr>
        <w:t>采矿区内拟建一间危废贮存点（20m</w:t>
      </w:r>
      <w:r>
        <w:rPr>
          <w:rFonts w:hint="eastAsia" w:ascii="Times New Roman" w:hAnsi="Times New Roman"/>
          <w:color w:val="000000" w:themeColor="text1"/>
          <w:sz w:val="24"/>
          <w:highlight w:val="none"/>
          <w:vertAlign w:val="superscript"/>
          <w:lang w:val="en-US" w:eastAsia="zh-CN" w:bidi="ar"/>
          <w14:textFill>
            <w14:solidFill>
              <w14:schemeClr w14:val="tx1"/>
            </w14:solidFill>
          </w14:textFill>
        </w:rPr>
        <w:t>2</w:t>
      </w:r>
      <w:r>
        <w:rPr>
          <w:rFonts w:hint="eastAsia" w:ascii="Times New Roman" w:hAnsi="Times New Roman"/>
          <w:color w:val="000000" w:themeColor="text1"/>
          <w:sz w:val="24"/>
          <w:highlight w:val="none"/>
          <w:lang w:val="en-US" w:eastAsia="zh-CN" w:bidi="ar"/>
          <w14:textFill>
            <w14:solidFill>
              <w14:schemeClr w14:val="tx1"/>
            </w14:solidFill>
          </w14:textFill>
        </w:rPr>
        <w:t>），本项目</w:t>
      </w:r>
      <w:r>
        <w:rPr>
          <w:rFonts w:hint="eastAsia" w:ascii="Times New Roman" w:hAnsi="Times New Roman" w:cs="Times New Roman"/>
          <w:color w:val="000000" w:themeColor="text1"/>
          <w:sz w:val="24"/>
          <w:highlight w:val="none"/>
          <w:lang w:eastAsia="zh-CN"/>
          <w14:textFill>
            <w14:solidFill>
              <w14:schemeClr w14:val="tx1"/>
            </w14:solidFill>
          </w14:textFill>
        </w:rPr>
        <w:t>依托</w:t>
      </w:r>
      <w:r>
        <w:rPr>
          <w:rFonts w:hint="eastAsia" w:ascii="Times New Roman" w:hAnsi="Times New Roman" w:cs="Times New Roman"/>
          <w:color w:val="000000" w:themeColor="text1"/>
          <w:sz w:val="24"/>
          <w:highlight w:val="none"/>
          <w:lang w:val="en-US" w:eastAsia="zh-CN"/>
          <w14:textFill>
            <w14:solidFill>
              <w14:schemeClr w14:val="tx1"/>
            </w14:solidFill>
          </w14:textFill>
        </w:rPr>
        <w:t>采</w:t>
      </w:r>
      <w:r>
        <w:rPr>
          <w:rFonts w:hint="eastAsia" w:ascii="Times New Roman" w:hAnsi="Times New Roman" w:cs="Times New Roman"/>
          <w:color w:val="000000" w:themeColor="text1"/>
          <w:sz w:val="24"/>
          <w:highlight w:val="none"/>
          <w:lang w:eastAsia="zh-CN"/>
          <w14:textFill>
            <w14:solidFill>
              <w14:schemeClr w14:val="tx1"/>
            </w14:solidFill>
          </w14:textFill>
        </w:rPr>
        <w:t>矿区危废贮存点贮</w:t>
      </w:r>
      <w:r>
        <w:rPr>
          <w:rFonts w:hint="eastAsia" w:ascii="Times New Roman" w:hAnsi="Times New Roman" w:cs="Times New Roman"/>
          <w:color w:val="000000" w:themeColor="text1"/>
          <w:sz w:val="24"/>
          <w:highlight w:val="none"/>
          <w14:textFill>
            <w14:solidFill>
              <w14:schemeClr w14:val="tx1"/>
            </w14:solidFill>
          </w14:textFill>
        </w:rPr>
        <w:t>存于</w:t>
      </w:r>
      <w:r>
        <w:rPr>
          <w:rFonts w:hint="eastAsia" w:ascii="Times New Roman" w:hAnsi="Times New Roman"/>
          <w:color w:val="000000" w:themeColor="text1"/>
          <w:kern w:val="0"/>
          <w:sz w:val="24"/>
          <w:highlight w:val="none"/>
          <w14:textFill>
            <w14:solidFill>
              <w14:schemeClr w14:val="tx1"/>
            </w14:solidFill>
          </w14:textFill>
        </w:rPr>
        <w:t>废机油及废油桶</w:t>
      </w:r>
      <w:r>
        <w:rPr>
          <w:rFonts w:hint="eastAsia" w:ascii="Times New Roman" w:hAnsi="Times New Roman" w:cs="Times New Roman"/>
          <w:color w:val="000000" w:themeColor="text1"/>
          <w:sz w:val="24"/>
          <w:highlight w:val="none"/>
          <w14:textFill>
            <w14:solidFill>
              <w14:schemeClr w14:val="tx1"/>
            </w14:solidFill>
          </w14:textFill>
        </w:rPr>
        <w:t>，委托有资质单位处置。根据《危险废物贮存污染控制标准》（</w:t>
      </w:r>
      <w:r>
        <w:rPr>
          <w:rFonts w:ascii="Times New Roman" w:hAnsi="Times New Roman" w:cs="Times New Roman"/>
          <w:color w:val="000000" w:themeColor="text1"/>
          <w:sz w:val="24"/>
          <w:highlight w:val="none"/>
          <w14:textFill>
            <w14:solidFill>
              <w14:schemeClr w14:val="tx1"/>
            </w14:solidFill>
          </w14:textFill>
        </w:rPr>
        <w:t>GB18957-20</w:t>
      </w:r>
      <w:r>
        <w:rPr>
          <w:rFonts w:hint="eastAsia" w:ascii="Times New Roman" w:hAnsi="Times New Roman" w:cs="Times New Roman"/>
          <w:color w:val="000000" w:themeColor="text1"/>
          <w:sz w:val="24"/>
          <w:highlight w:val="none"/>
          <w:lang w:val="en-US" w:eastAsia="zh-CN"/>
          <w14:textFill>
            <w14:solidFill>
              <w14:schemeClr w14:val="tx1"/>
            </w14:solidFill>
          </w14:textFill>
        </w:rPr>
        <w:t>23</w:t>
      </w:r>
      <w:r>
        <w:rPr>
          <w:rFonts w:hint="eastAsia" w:ascii="Times New Roman" w:hAnsi="Times New Roman" w:cs="Times New Roman"/>
          <w:color w:val="000000" w:themeColor="text1"/>
          <w:sz w:val="24"/>
          <w:highlight w:val="none"/>
          <w14:textFill>
            <w14:solidFill>
              <w14:schemeClr w14:val="tx1"/>
            </w14:solidFill>
          </w14:textFill>
        </w:rPr>
        <w:t>）中有关规定，危险废物在</w:t>
      </w:r>
      <w:r>
        <w:rPr>
          <w:rFonts w:hint="eastAsia" w:ascii="Times New Roman" w:hAnsi="Times New Roman" w:cs="Times New Roman"/>
          <w:color w:val="000000" w:themeColor="text1"/>
          <w:sz w:val="24"/>
          <w:highlight w:val="none"/>
          <w:lang w:eastAsia="zh-CN"/>
          <w14:textFill>
            <w14:solidFill>
              <w14:schemeClr w14:val="tx1"/>
            </w14:solidFill>
          </w14:textFill>
        </w:rPr>
        <w:t>危废贮存点</w:t>
      </w:r>
      <w:r>
        <w:rPr>
          <w:rFonts w:hint="eastAsia" w:ascii="Times New Roman" w:hAnsi="Times New Roman" w:cs="Times New Roman"/>
          <w:color w:val="000000" w:themeColor="text1"/>
          <w:sz w:val="24"/>
          <w:highlight w:val="none"/>
          <w14:textFill>
            <w14:solidFill>
              <w14:schemeClr w14:val="tx1"/>
            </w14:solidFill>
          </w14:textFill>
        </w:rPr>
        <w:t>内暂存期间，使用完好无损容器盛装。储存容器上必须粘贴该标准中规定的危险废物标签；容器材质与危险废物本身相容（不相互反应）。厂内设置临时安全存放场所，基础做防渗，防渗层为至少</w:t>
      </w:r>
      <w:r>
        <w:rPr>
          <w:rFonts w:ascii="Times New Roman" w:hAnsi="Times New Roman" w:cs="Times New Roman"/>
          <w:color w:val="000000" w:themeColor="text1"/>
          <w:sz w:val="24"/>
          <w:highlight w:val="none"/>
          <w14:textFill>
            <w14:solidFill>
              <w14:schemeClr w14:val="tx1"/>
            </w14:solidFill>
          </w14:textFill>
        </w:rPr>
        <w:t>1m</w:t>
      </w:r>
      <w:r>
        <w:rPr>
          <w:rFonts w:hint="eastAsia" w:ascii="Times New Roman" w:hAnsi="Times New Roman" w:cs="Times New Roman"/>
          <w:color w:val="000000" w:themeColor="text1"/>
          <w:sz w:val="24"/>
          <w:highlight w:val="none"/>
          <w14:textFill>
            <w14:solidFill>
              <w14:schemeClr w14:val="tx1"/>
            </w14:solidFill>
          </w14:textFill>
        </w:rPr>
        <w:t>粘土层（渗透系数小于等于</w:t>
      </w:r>
      <w:r>
        <w:rPr>
          <w:rFonts w:ascii="Times New Roman" w:hAnsi="Times New Roman" w:cs="Times New Roman"/>
          <w:color w:val="000000" w:themeColor="text1"/>
          <w:sz w:val="24"/>
          <w:highlight w:val="none"/>
          <w14:textFill>
            <w14:solidFill>
              <w14:schemeClr w14:val="tx1"/>
            </w14:solidFill>
          </w14:textFill>
        </w:rPr>
        <w:t>10</w:t>
      </w:r>
      <w:r>
        <w:rPr>
          <w:rFonts w:ascii="Times New Roman" w:hAnsi="Times New Roman" w:cs="Times New Roman"/>
          <w:color w:val="000000" w:themeColor="text1"/>
          <w:sz w:val="24"/>
          <w:highlight w:val="none"/>
          <w:vertAlign w:val="superscript"/>
          <w14:textFill>
            <w14:solidFill>
              <w14:schemeClr w14:val="tx1"/>
            </w14:solidFill>
          </w14:textFill>
        </w:rPr>
        <w:t>-7</w:t>
      </w:r>
      <w:r>
        <w:rPr>
          <w:rFonts w:ascii="Times New Roman" w:hAnsi="Times New Roman" w:cs="Times New Roman"/>
          <w:color w:val="000000" w:themeColor="text1"/>
          <w:sz w:val="24"/>
          <w:highlight w:val="none"/>
          <w14:textFill>
            <w14:solidFill>
              <w14:schemeClr w14:val="tx1"/>
            </w14:solidFill>
          </w14:textFill>
        </w:rPr>
        <w:t>cm/s</w:t>
      </w:r>
      <w:r>
        <w:rPr>
          <w:rFonts w:hint="eastAsia"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bCs/>
          <w:color w:val="000000" w:themeColor="text1"/>
          <w:sz w:val="24"/>
          <w:highlight w:val="none"/>
          <w14:textFill>
            <w14:solidFill>
              <w14:schemeClr w14:val="tx1"/>
            </w14:solidFill>
          </w14:textFill>
        </w:rPr>
        <w:t>。根据“《中华人民共和国固体废物污染环境防治法》第五十八条第二款：贮存危险废物必须采取符合</w:t>
      </w:r>
      <w:r>
        <w:rPr>
          <w:rFonts w:ascii="Times New Roman" w:hAnsi="Times New Roman"/>
          <w:color w:val="000000" w:themeColor="text1"/>
          <w:sz w:val="24"/>
          <w:highlight w:val="none"/>
          <w14:textFill>
            <w14:solidFill>
              <w14:schemeClr w14:val="tx1"/>
            </w14:solidFill>
          </w14:textFill>
        </w:rPr>
        <w:fldChar w:fldCharType="begin"/>
      </w:r>
      <w:r>
        <w:rPr>
          <w:rFonts w:ascii="Times New Roman" w:hAnsi="Times New Roman"/>
          <w:color w:val="000000" w:themeColor="text1"/>
          <w:sz w:val="24"/>
          <w:highlight w:val="none"/>
          <w14:textFill>
            <w14:solidFill>
              <w14:schemeClr w14:val="tx1"/>
            </w14:solidFill>
          </w14:textFill>
        </w:rPr>
        <w:instrText xml:space="preserve"> HYPERLINK "https://www.baidu.com/s?wd=%E5%9B%BD%E5%AE%B6%E7%8E%AF%E5%A2%83%E4%BF%9D%E6%8A%A4%E6%A0%87%E5%87%86&amp;tn=44039180_cpr&amp;fenlei=mv6quAkxTZn0IZRqIHckPjm4nH00T1d9m1KbrjRvP1-huHcdmWw-0ZwV5Hcvrjm3rH6sPfKWUMw85HfYnjn4nH6sgvPsT6KdThsqpZwYTjCEQLGCpyw9Uz4Bmy-bIi4WUvYETgN-TLwGUv3EnW0LPjnLPjnkn1DLPWfYPH0vr0" \t "https://zhidao.baidu.com/question/_blank" </w:instrText>
      </w:r>
      <w:r>
        <w:rPr>
          <w:rFonts w:ascii="Times New Roman" w:hAnsi="Times New Roman"/>
          <w:color w:val="000000" w:themeColor="text1"/>
          <w:sz w:val="24"/>
          <w:highlight w:val="none"/>
          <w14:textFill>
            <w14:solidFill>
              <w14:schemeClr w14:val="tx1"/>
            </w14:solidFill>
          </w14:textFill>
        </w:rPr>
        <w:fldChar w:fldCharType="separate"/>
      </w:r>
      <w:r>
        <w:rPr>
          <w:rStyle w:val="38"/>
          <w:rFonts w:hint="eastAsia" w:ascii="Times New Roman" w:hAnsi="Times New Roman" w:cs="Times New Roman"/>
          <w:bCs/>
          <w:color w:val="000000" w:themeColor="text1"/>
          <w:sz w:val="24"/>
          <w:highlight w:val="none"/>
          <w:u w:val="none"/>
          <w14:textFill>
            <w14:solidFill>
              <w14:schemeClr w14:val="tx1"/>
            </w14:solidFill>
          </w14:textFill>
        </w:rPr>
        <w:t>国家环境保护标准</w:t>
      </w:r>
      <w:r>
        <w:rPr>
          <w:rStyle w:val="38"/>
          <w:rFonts w:hint="eastAsia" w:ascii="Times New Roman" w:hAnsi="Times New Roman" w:cs="Times New Roman"/>
          <w:bCs/>
          <w:color w:val="000000" w:themeColor="text1"/>
          <w:sz w:val="24"/>
          <w:highlight w:val="none"/>
          <w:u w:val="none"/>
          <w14:textFill>
            <w14:solidFill>
              <w14:schemeClr w14:val="tx1"/>
            </w14:solidFill>
          </w14:textFill>
        </w:rPr>
        <w:fldChar w:fldCharType="end"/>
      </w:r>
      <w:r>
        <w:rPr>
          <w:rFonts w:hint="eastAsia" w:ascii="Times New Roman" w:hAnsi="Times New Roman" w:cs="Times New Roman"/>
          <w:bCs/>
          <w:color w:val="000000" w:themeColor="text1"/>
          <w:sz w:val="24"/>
          <w:highlight w:val="none"/>
          <w14:textFill>
            <w14:solidFill>
              <w14:schemeClr w14:val="tx1"/>
            </w14:solidFill>
          </w14:textFill>
        </w:rPr>
        <w:t>的防护措施，并不得超过一年”；因此本项目危险废物贮存期限为一年，委托处置需转运时应及时办理危废转移联单。</w:t>
      </w:r>
    </w:p>
    <w:p w14:paraId="1DFE2556">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5</w:t>
      </w:r>
      <w:r>
        <w:rPr>
          <w:rFonts w:hint="eastAsia"/>
          <w:color w:val="000000" w:themeColor="text1"/>
          <w:kern w:val="0"/>
          <w:highlight w:val="none"/>
          <w14:textFill>
            <w14:solidFill>
              <w14:schemeClr w14:val="tx1"/>
            </w14:solidFill>
          </w14:textFill>
        </w:rPr>
        <w:t>）除尘灰</w:t>
      </w:r>
    </w:p>
    <w:p w14:paraId="1FC5A64C">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w:t>
      </w:r>
      <w:r>
        <w:rPr>
          <w:rFonts w:hint="eastAsia"/>
          <w:color w:val="000000" w:themeColor="text1"/>
          <w:kern w:val="0"/>
          <w:highlight w:val="none"/>
          <w:lang w:val="en-US" w:eastAsia="zh-CN"/>
          <w14:textFill>
            <w14:solidFill>
              <w14:schemeClr w14:val="tx1"/>
            </w14:solidFill>
          </w14:textFill>
        </w:rPr>
        <w:t>破碎筛分干选工</w:t>
      </w:r>
      <w:r>
        <w:rPr>
          <w:rFonts w:hint="eastAsia"/>
          <w:color w:val="000000" w:themeColor="text1"/>
          <w:kern w:val="0"/>
          <w:highlight w:val="none"/>
          <w:lang w:eastAsia="zh-CN"/>
          <w14:textFill>
            <w14:solidFill>
              <w14:schemeClr w14:val="tx1"/>
            </w14:solidFill>
          </w14:textFill>
        </w:rPr>
        <w:t>段</w:t>
      </w:r>
      <w:r>
        <w:rPr>
          <w:rFonts w:hint="eastAsia"/>
          <w:color w:val="000000" w:themeColor="text1"/>
          <w:kern w:val="0"/>
          <w:highlight w:val="none"/>
          <w14:textFill>
            <w14:solidFill>
              <w14:schemeClr w14:val="tx1"/>
            </w14:solidFill>
          </w14:textFill>
        </w:rPr>
        <w:t>配套除尘器收集的粉尘灰产生量为</w:t>
      </w:r>
      <w:r>
        <w:rPr>
          <w:rFonts w:hint="eastAsia"/>
          <w:color w:val="000000" w:themeColor="text1"/>
          <w:kern w:val="0"/>
          <w:highlight w:val="none"/>
          <w:lang w:val="en-US" w:eastAsia="zh-CN"/>
          <w14:textFill>
            <w14:solidFill>
              <w14:schemeClr w14:val="tx1"/>
            </w14:solidFill>
          </w14:textFill>
        </w:rPr>
        <w:t>446.53</w:t>
      </w:r>
      <w:r>
        <w:rPr>
          <w:rFonts w:hint="eastAsia"/>
          <w:color w:val="000000" w:themeColor="text1"/>
          <w:kern w:val="0"/>
          <w:highlight w:val="none"/>
          <w14:textFill>
            <w14:solidFill>
              <w14:schemeClr w14:val="tx1"/>
            </w14:solidFill>
          </w14:textFill>
        </w:rPr>
        <w:t>t/a；</w:t>
      </w:r>
      <w:r>
        <w:rPr>
          <w:rFonts w:hint="eastAsia"/>
          <w:color w:val="000000" w:themeColor="text1"/>
          <w:kern w:val="0"/>
          <w:highlight w:val="none"/>
          <w:lang w:val="en-US" w:eastAsia="zh-CN"/>
          <w14:textFill>
            <w14:solidFill>
              <w14:schemeClr w14:val="tx1"/>
            </w14:solidFill>
          </w14:textFill>
        </w:rPr>
        <w:t>磁选</w:t>
      </w:r>
      <w:r>
        <w:rPr>
          <w:rFonts w:hint="eastAsia"/>
          <w:color w:val="000000" w:themeColor="text1"/>
          <w:kern w:val="0"/>
          <w:highlight w:val="none"/>
          <w:lang w:eastAsia="zh-CN"/>
          <w14:textFill>
            <w14:solidFill>
              <w14:schemeClr w14:val="tx1"/>
            </w14:solidFill>
          </w14:textFill>
        </w:rPr>
        <w:t>工段配套</w:t>
      </w:r>
      <w:r>
        <w:rPr>
          <w:rFonts w:hint="eastAsia"/>
          <w:color w:val="000000" w:themeColor="text1"/>
          <w:kern w:val="0"/>
          <w:highlight w:val="none"/>
          <w14:textFill>
            <w14:solidFill>
              <w14:schemeClr w14:val="tx1"/>
            </w14:solidFill>
          </w14:textFill>
        </w:rPr>
        <w:t>除尘器收集的粉尘灰产生量为</w:t>
      </w:r>
      <w:r>
        <w:rPr>
          <w:rFonts w:hint="eastAsia"/>
          <w:color w:val="000000" w:themeColor="text1"/>
          <w:kern w:val="0"/>
          <w:highlight w:val="none"/>
          <w:lang w:val="en-US" w:eastAsia="zh-CN"/>
          <w14:textFill>
            <w14:solidFill>
              <w14:schemeClr w14:val="tx1"/>
            </w14:solidFill>
          </w14:textFill>
        </w:rPr>
        <w:t>1156.94</w:t>
      </w:r>
      <w:r>
        <w:rPr>
          <w:rFonts w:hint="eastAsia"/>
          <w:color w:val="000000" w:themeColor="text1"/>
          <w:kern w:val="0"/>
          <w:highlight w:val="none"/>
          <w14:textFill>
            <w14:solidFill>
              <w14:schemeClr w14:val="tx1"/>
            </w14:solidFill>
          </w14:textFill>
        </w:rPr>
        <w:t>t/a</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除尘灰的量合计为1603.37</w:t>
      </w:r>
      <w:r>
        <w:rPr>
          <w:rFonts w:hint="eastAsia"/>
          <w:color w:val="000000" w:themeColor="text1"/>
          <w:kern w:val="0"/>
          <w:highlight w:val="none"/>
          <w14:textFill>
            <w14:solidFill>
              <w14:schemeClr w14:val="tx1"/>
            </w14:solidFill>
          </w14:textFill>
        </w:rPr>
        <w:t>t/a</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破碎筛分、干选、</w:t>
      </w:r>
      <w:r>
        <w:rPr>
          <w:rFonts w:hint="eastAsia"/>
          <w:color w:val="000000" w:themeColor="text1"/>
          <w:kern w:val="0"/>
          <w:highlight w:val="none"/>
          <w14:textFill>
            <w14:solidFill>
              <w14:schemeClr w14:val="tx1"/>
            </w14:solidFill>
          </w14:textFill>
        </w:rPr>
        <w:t>辊磨、磨矿收集的粉尘灰含较高的磁铁矿物，</w:t>
      </w:r>
      <w:r>
        <w:rPr>
          <w:color w:val="000000" w:themeColor="text1"/>
          <w:highlight w:val="none"/>
          <w14:textFill>
            <w14:solidFill>
              <w14:schemeClr w14:val="tx1"/>
            </w14:solidFill>
          </w14:textFill>
        </w:rPr>
        <w:t>通过除尘器灰斗</w:t>
      </w:r>
      <w:r>
        <w:rPr>
          <w:rFonts w:hint="eastAsia"/>
          <w:color w:val="000000" w:themeColor="text1"/>
          <w:highlight w:val="none"/>
          <w14:textFill>
            <w14:solidFill>
              <w14:schemeClr w14:val="tx1"/>
            </w14:solidFill>
          </w14:textFill>
        </w:rPr>
        <w:t>收集后</w:t>
      </w:r>
      <w:r>
        <w:rPr>
          <w:rFonts w:hint="eastAsia"/>
          <w:color w:val="000000" w:themeColor="text1"/>
          <w:kern w:val="0"/>
          <w:highlight w:val="none"/>
          <w14:textFill>
            <w14:solidFill>
              <w14:schemeClr w14:val="tx1"/>
            </w14:solidFill>
          </w14:textFill>
        </w:rPr>
        <w:t>回用于选矿生产</w:t>
      </w:r>
      <w:r>
        <w:rPr>
          <w:rFonts w:hint="eastAsia"/>
          <w:color w:val="000000" w:themeColor="text1"/>
          <w:highlight w:val="none"/>
          <w14:textFill>
            <w14:solidFill>
              <w14:schemeClr w14:val="tx1"/>
            </w14:solidFill>
          </w14:textFill>
        </w:rPr>
        <w:t>。</w:t>
      </w:r>
    </w:p>
    <w:p w14:paraId="6D74A4E7">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6</w:t>
      </w:r>
      <w:r>
        <w:rPr>
          <w:rFonts w:hint="eastAsia"/>
          <w:color w:val="000000" w:themeColor="text1"/>
          <w:kern w:val="0"/>
          <w:highlight w:val="none"/>
          <w14:textFill>
            <w14:solidFill>
              <w14:schemeClr w14:val="tx1"/>
            </w14:solidFill>
          </w14:textFill>
        </w:rPr>
        <w:t>）生活</w:t>
      </w:r>
      <w:r>
        <w:rPr>
          <w:rFonts w:hint="eastAsia"/>
          <w:color w:val="000000" w:themeColor="text1"/>
          <w:highlight w:val="none"/>
          <w14:textFill>
            <w14:solidFill>
              <w14:schemeClr w14:val="tx1"/>
            </w14:solidFill>
          </w14:textFill>
        </w:rPr>
        <w:t>污水处理设施底泥</w:t>
      </w:r>
    </w:p>
    <w:p w14:paraId="7139509E">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本项目运营期间，用于处理生活污水的地埋式一体化污水处理设施底部会沉积部分污泥，含水率较高，产生污泥量按</w:t>
      </w:r>
      <w:r>
        <w:rPr>
          <w:color w:val="000000" w:themeColor="text1"/>
          <w:highlight w:val="none"/>
          <w14:textFill>
            <w14:solidFill>
              <w14:schemeClr w14:val="tx1"/>
            </w14:solidFill>
          </w14:textFill>
        </w:rPr>
        <w:t>70g/d·人</w:t>
      </w:r>
      <w:r>
        <w:rPr>
          <w:rFonts w:hint="eastAsia"/>
          <w:color w:val="000000" w:themeColor="text1"/>
          <w:highlight w:val="none"/>
          <w14:textFill>
            <w14:solidFill>
              <w14:schemeClr w14:val="tx1"/>
            </w14:solidFill>
          </w14:textFill>
        </w:rPr>
        <w:t>计，则</w:t>
      </w:r>
      <w:r>
        <w:rPr>
          <w:color w:val="000000" w:themeColor="text1"/>
          <w:highlight w:val="none"/>
          <w14:textFill>
            <w14:solidFill>
              <w14:schemeClr w14:val="tx1"/>
            </w14:solidFill>
          </w14:textFill>
        </w:rPr>
        <w:t>运营期生活污水处理设施底泥产生量为</w:t>
      </w:r>
      <w:r>
        <w:rPr>
          <w:rFonts w:hint="eastAsia"/>
          <w:color w:val="000000" w:themeColor="text1"/>
          <w:highlight w:val="none"/>
          <w:lang w:val="en-US" w:eastAsia="zh-CN"/>
          <w14:textFill>
            <w14:solidFill>
              <w14:schemeClr w14:val="tx1"/>
            </w14:solidFill>
          </w14:textFill>
        </w:rPr>
        <w:t>1.05</w:t>
      </w:r>
      <w:r>
        <w:rPr>
          <w:rFonts w:hint="eastAsia"/>
          <w:color w:val="000000" w:themeColor="text1"/>
          <w:highlight w:val="none"/>
          <w14:textFill>
            <w14:solidFill>
              <w14:schemeClr w14:val="tx1"/>
            </w14:solidFill>
          </w14:textFill>
        </w:rPr>
        <w:t>t/a，</w:t>
      </w:r>
      <w:r>
        <w:rPr>
          <w:color w:val="000000" w:themeColor="text1"/>
          <w:highlight w:val="none"/>
          <w14:textFill>
            <w14:solidFill>
              <w14:schemeClr w14:val="tx1"/>
            </w14:solidFill>
          </w14:textFill>
        </w:rPr>
        <w:t>生活污水处理设施底泥</w:t>
      </w:r>
      <w:r>
        <w:rPr>
          <w:rFonts w:hint="eastAsia"/>
          <w:color w:val="000000" w:themeColor="text1"/>
          <w:highlight w:val="none"/>
          <w14:textFill>
            <w14:solidFill>
              <w14:schemeClr w14:val="tx1"/>
            </w14:solidFill>
          </w14:textFill>
        </w:rPr>
        <w:t>定期拉运至</w:t>
      </w:r>
      <w:r>
        <w:rPr>
          <w:rFonts w:hint="eastAsia"/>
          <w:color w:val="000000" w:themeColor="text1"/>
          <w:highlight w:val="none"/>
          <w:lang w:eastAsia="zh-CN"/>
          <w14:textFill>
            <w14:solidFill>
              <w14:schemeClr w14:val="tx1"/>
            </w14:solidFill>
          </w14:textFill>
        </w:rPr>
        <w:t>周边</w:t>
      </w:r>
      <w:r>
        <w:rPr>
          <w:rFonts w:hint="eastAsia"/>
          <w:color w:val="000000" w:themeColor="text1"/>
          <w:highlight w:val="none"/>
          <w14:textFill>
            <w14:solidFill>
              <w14:schemeClr w14:val="tx1"/>
            </w14:solidFill>
          </w14:textFill>
        </w:rPr>
        <w:t>一般工业固体废物填埋场填埋处置。</w:t>
      </w:r>
    </w:p>
    <w:p w14:paraId="5F7AAD5D">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7</w:t>
      </w:r>
      <w:r>
        <w:rPr>
          <w:rFonts w:hint="eastAsia"/>
          <w:color w:val="000000" w:themeColor="text1"/>
          <w:kern w:val="0"/>
          <w:highlight w:val="none"/>
          <w14:textFill>
            <w14:solidFill>
              <w14:schemeClr w14:val="tx1"/>
            </w14:solidFill>
          </w14:textFill>
        </w:rPr>
        <w:t>）循环水池底泥</w:t>
      </w:r>
    </w:p>
    <w:p w14:paraId="2C4FF0CA">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根据现有选矿工程经验，循环水池底泥产生量约</w:t>
      </w:r>
      <w:r>
        <w:rPr>
          <w:rFonts w:hint="eastAsia"/>
          <w:color w:val="000000" w:themeColor="text1"/>
          <w:kern w:val="0"/>
          <w:highlight w:val="none"/>
          <w:lang w:val="en-US" w:eastAsia="zh-CN"/>
          <w14:textFill>
            <w14:solidFill>
              <w14:schemeClr w14:val="tx1"/>
            </w14:solidFill>
          </w14:textFill>
        </w:rPr>
        <w:t>92</w:t>
      </w:r>
      <w:r>
        <w:rPr>
          <w:rFonts w:hint="eastAsia"/>
          <w:color w:val="000000" w:themeColor="text1"/>
          <w:kern w:val="0"/>
          <w:highlight w:val="none"/>
          <w14:textFill>
            <w14:solidFill>
              <w14:schemeClr w14:val="tx1"/>
            </w14:solidFill>
          </w14:textFill>
        </w:rPr>
        <w:t>t/a。循环水池定期清理，底泥可返回生产工序回用于选矿。</w:t>
      </w:r>
    </w:p>
    <w:p w14:paraId="53B3CED6">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8</w:t>
      </w:r>
      <w:r>
        <w:rPr>
          <w:rFonts w:hint="eastAsia"/>
          <w:color w:val="000000" w:themeColor="text1"/>
          <w:kern w:val="0"/>
          <w:highlight w:val="none"/>
          <w14:textFill>
            <w14:solidFill>
              <w14:schemeClr w14:val="tx1"/>
            </w14:solidFill>
          </w14:textFill>
        </w:rPr>
        <w:t>）废布袋</w:t>
      </w:r>
    </w:p>
    <w:p w14:paraId="19539E5F">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根据项目需要采取布袋除尘器作为环保处理措施手段，但在运行过程中难免会发生布袋破损，或遇水后糊袋的现象，因此需要更换布袋。本项目废布袋产生量约为0.5t/a，该部分固废属于一般固体废物，集中收集后定期拉运至一般工业固体废物填埋场进行处置。</w:t>
      </w:r>
    </w:p>
    <w:p w14:paraId="2F1CB789">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本项目固体废物排放情况具体见表</w:t>
      </w:r>
      <w:r>
        <w:rPr>
          <w:color w:val="000000" w:themeColor="text1"/>
          <w:kern w:val="0"/>
          <w:highlight w:val="none"/>
          <w14:textFill>
            <w14:solidFill>
              <w14:schemeClr w14:val="tx1"/>
            </w14:solidFill>
          </w14:textFill>
        </w:rPr>
        <w:t>3.4-</w:t>
      </w:r>
      <w:r>
        <w:rPr>
          <w:rFonts w:hint="eastAsia"/>
          <w:color w:val="000000" w:themeColor="text1"/>
          <w:kern w:val="0"/>
          <w:highlight w:val="none"/>
          <w:lang w:val="en-US" w:eastAsia="zh-CN"/>
          <w14:textFill>
            <w14:solidFill>
              <w14:schemeClr w14:val="tx1"/>
            </w14:solidFill>
          </w14:textFill>
        </w:rPr>
        <w:t>12</w:t>
      </w:r>
      <w:r>
        <w:rPr>
          <w:rFonts w:hint="eastAsia"/>
          <w:color w:val="000000" w:themeColor="text1"/>
          <w:kern w:val="0"/>
          <w:highlight w:val="none"/>
          <w14:textFill>
            <w14:solidFill>
              <w14:schemeClr w14:val="tx1"/>
            </w14:solidFill>
          </w14:textFill>
        </w:rPr>
        <w:t>。</w:t>
      </w:r>
    </w:p>
    <w:p w14:paraId="216CCB97">
      <w:pPr>
        <w:ind w:firstLine="0" w:firstLineChars="0"/>
        <w:jc w:val="center"/>
        <w:rPr>
          <w:b/>
          <w:color w:val="000000" w:themeColor="text1"/>
          <w:kern w:val="0"/>
          <w:highlight w:val="none"/>
          <w14:textFill>
            <w14:solidFill>
              <w14:schemeClr w14:val="tx1"/>
            </w14:solidFill>
          </w14:textFill>
        </w:rPr>
      </w:pPr>
      <w:r>
        <w:rPr>
          <w:rFonts w:hint="eastAsia"/>
          <w:b/>
          <w:color w:val="000000" w:themeColor="text1"/>
          <w:kern w:val="0"/>
          <w:highlight w:val="none"/>
          <w14:textFill>
            <w14:solidFill>
              <w14:schemeClr w14:val="tx1"/>
            </w14:solidFill>
          </w14:textFill>
        </w:rPr>
        <w:t>表3.</w:t>
      </w:r>
      <w:r>
        <w:rPr>
          <w:b/>
          <w:color w:val="000000" w:themeColor="text1"/>
          <w:kern w:val="0"/>
          <w:highlight w:val="none"/>
          <w14:textFill>
            <w14:solidFill>
              <w14:schemeClr w14:val="tx1"/>
            </w14:solidFill>
          </w14:textFill>
        </w:rPr>
        <w:t>4</w:t>
      </w:r>
      <w:r>
        <w:rPr>
          <w:rFonts w:hint="eastAsia"/>
          <w:b/>
          <w:color w:val="000000" w:themeColor="text1"/>
          <w:kern w:val="0"/>
          <w:highlight w:val="none"/>
          <w14:textFill>
            <w14:solidFill>
              <w14:schemeClr w14:val="tx1"/>
            </w14:solidFill>
          </w14:textFill>
        </w:rPr>
        <w:t>-1</w:t>
      </w:r>
      <w:r>
        <w:rPr>
          <w:rFonts w:hint="eastAsia"/>
          <w:b/>
          <w:color w:val="000000" w:themeColor="text1"/>
          <w:kern w:val="0"/>
          <w:highlight w:val="none"/>
          <w:lang w:val="en-US" w:eastAsia="zh-CN"/>
          <w14:textFill>
            <w14:solidFill>
              <w14:schemeClr w14:val="tx1"/>
            </w14:solidFill>
          </w14:textFill>
        </w:rPr>
        <w:t>2</w:t>
      </w:r>
      <w:r>
        <w:rPr>
          <w:b/>
          <w:color w:val="000000" w:themeColor="text1"/>
          <w:kern w:val="0"/>
          <w:highlight w:val="none"/>
          <w14:textFill>
            <w14:solidFill>
              <w14:schemeClr w14:val="tx1"/>
            </w14:solidFill>
          </w14:textFill>
        </w:rPr>
        <w:t xml:space="preserve">    </w:t>
      </w:r>
      <w:r>
        <w:rPr>
          <w:rFonts w:hint="eastAsia"/>
          <w:b/>
          <w:color w:val="000000" w:themeColor="text1"/>
          <w:kern w:val="0"/>
          <w:highlight w:val="none"/>
          <w14:textFill>
            <w14:solidFill>
              <w14:schemeClr w14:val="tx1"/>
            </w14:solidFill>
          </w14:textFill>
        </w:rPr>
        <w:t>固体废物排放情况</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146"/>
        <w:gridCol w:w="1870"/>
        <w:gridCol w:w="2938"/>
        <w:gridCol w:w="1236"/>
      </w:tblGrid>
      <w:tr w14:paraId="0C672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77" w:type="pct"/>
            <w:tcBorders>
              <w:tl2br w:val="nil"/>
              <w:tr2bl w:val="nil"/>
            </w:tcBorders>
            <w:vAlign w:val="center"/>
          </w:tcPr>
          <w:p w14:paraId="6C2D917E">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固废名称</w:t>
            </w:r>
          </w:p>
        </w:tc>
        <w:tc>
          <w:tcPr>
            <w:tcW w:w="673" w:type="pct"/>
            <w:tcBorders>
              <w:tl2br w:val="nil"/>
              <w:tr2bl w:val="nil"/>
            </w:tcBorders>
            <w:vAlign w:val="center"/>
          </w:tcPr>
          <w:p w14:paraId="173E3172">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产生量</w:t>
            </w:r>
          </w:p>
        </w:tc>
        <w:tc>
          <w:tcPr>
            <w:tcW w:w="1098" w:type="pct"/>
            <w:tcBorders>
              <w:tl2br w:val="nil"/>
              <w:tr2bl w:val="nil"/>
            </w:tcBorders>
            <w:vAlign w:val="center"/>
          </w:tcPr>
          <w:p w14:paraId="1BDC278F">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固废类别及代码</w:t>
            </w:r>
          </w:p>
        </w:tc>
        <w:tc>
          <w:tcPr>
            <w:tcW w:w="1725" w:type="pct"/>
            <w:tcBorders>
              <w:tl2br w:val="nil"/>
              <w:tr2bl w:val="nil"/>
            </w:tcBorders>
            <w:vAlign w:val="center"/>
          </w:tcPr>
          <w:p w14:paraId="56965BFC">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治理措施</w:t>
            </w:r>
          </w:p>
        </w:tc>
        <w:tc>
          <w:tcPr>
            <w:tcW w:w="725" w:type="pct"/>
            <w:tcBorders>
              <w:tl2br w:val="nil"/>
              <w:tr2bl w:val="nil"/>
            </w:tcBorders>
            <w:vAlign w:val="center"/>
          </w:tcPr>
          <w:p w14:paraId="19146A2F">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color w:val="000000" w:themeColor="text1"/>
                <w:sz w:val="21"/>
                <w:szCs w:val="21"/>
                <w:highlight w:val="none"/>
                <w14:textFill>
                  <w14:solidFill>
                    <w14:schemeClr w14:val="tx1"/>
                  </w14:solidFill>
                </w14:textFill>
              </w:rPr>
            </w:pPr>
            <w:r>
              <w:rPr>
                <w:rFonts w:hint="eastAsia"/>
                <w:b/>
                <w:color w:val="000000" w:themeColor="text1"/>
                <w:sz w:val="21"/>
                <w:szCs w:val="21"/>
                <w:highlight w:val="none"/>
                <w14:textFill>
                  <w14:solidFill>
                    <w14:schemeClr w14:val="tx1"/>
                  </w14:solidFill>
                </w14:textFill>
              </w:rPr>
              <w:t>排放量</w:t>
            </w:r>
          </w:p>
        </w:tc>
      </w:tr>
      <w:tr w14:paraId="5AD86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pct"/>
            <w:tcBorders>
              <w:tl2br w:val="nil"/>
              <w:tr2bl w:val="nil"/>
            </w:tcBorders>
            <w:vAlign w:val="center"/>
          </w:tcPr>
          <w:p w14:paraId="7EA2CBD9">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生活垃圾</w:t>
            </w:r>
          </w:p>
        </w:tc>
        <w:tc>
          <w:tcPr>
            <w:tcW w:w="673" w:type="pct"/>
            <w:tcBorders>
              <w:tl2br w:val="nil"/>
              <w:tr2bl w:val="nil"/>
            </w:tcBorders>
            <w:vAlign w:val="center"/>
          </w:tcPr>
          <w:p w14:paraId="057A183E">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15</w:t>
            </w:r>
            <w:r>
              <w:rPr>
                <w:bCs/>
                <w:color w:val="000000" w:themeColor="text1"/>
                <w:sz w:val="21"/>
                <w:szCs w:val="21"/>
                <w:highlight w:val="none"/>
                <w14:textFill>
                  <w14:solidFill>
                    <w14:schemeClr w14:val="tx1"/>
                  </w14:solidFill>
                </w14:textFill>
              </w:rPr>
              <w:t>t/a</w:t>
            </w:r>
          </w:p>
        </w:tc>
        <w:tc>
          <w:tcPr>
            <w:tcW w:w="1098" w:type="pct"/>
            <w:tcBorders>
              <w:tl2br w:val="nil"/>
              <w:tr2bl w:val="nil"/>
            </w:tcBorders>
            <w:vAlign w:val="center"/>
          </w:tcPr>
          <w:p w14:paraId="24CB4524">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生活垃圾</w:t>
            </w:r>
            <w:r>
              <w:rPr>
                <w:rFonts w:hint="eastAsia"/>
                <w:bCs/>
                <w:color w:val="000000" w:themeColor="text1"/>
                <w:sz w:val="21"/>
                <w:szCs w:val="21"/>
                <w:highlight w:val="none"/>
                <w:lang w:eastAsia="zh-CN"/>
                <w14:textFill>
                  <w14:solidFill>
                    <w14:schemeClr w14:val="tx1"/>
                  </w14:solidFill>
                </w14:textFill>
              </w:rPr>
              <w:t>（</w:t>
            </w:r>
            <w:r>
              <w:rPr>
                <w:rFonts w:hint="eastAsia"/>
                <w:bCs/>
                <w:color w:val="000000" w:themeColor="text1"/>
                <w:sz w:val="21"/>
                <w:szCs w:val="21"/>
                <w:highlight w:val="none"/>
                <w14:textFill>
                  <w14:solidFill>
                    <w14:schemeClr w14:val="tx1"/>
                  </w14:solidFill>
                </w14:textFill>
              </w:rPr>
              <w:t>900-099-S64</w:t>
            </w:r>
            <w:r>
              <w:rPr>
                <w:rFonts w:hint="eastAsia"/>
                <w:bCs/>
                <w:color w:val="000000" w:themeColor="text1"/>
                <w:sz w:val="21"/>
                <w:szCs w:val="21"/>
                <w:highlight w:val="none"/>
                <w:lang w:eastAsia="zh-CN"/>
                <w14:textFill>
                  <w14:solidFill>
                    <w14:schemeClr w14:val="tx1"/>
                  </w14:solidFill>
                </w14:textFill>
              </w:rPr>
              <w:t>）</w:t>
            </w:r>
          </w:p>
        </w:tc>
        <w:tc>
          <w:tcPr>
            <w:tcW w:w="1725" w:type="pct"/>
            <w:tcBorders>
              <w:tl2br w:val="nil"/>
              <w:tr2bl w:val="nil"/>
            </w:tcBorders>
            <w:vAlign w:val="center"/>
          </w:tcPr>
          <w:p w14:paraId="0E03744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集中收集后定期清运</w:t>
            </w:r>
          </w:p>
        </w:tc>
        <w:tc>
          <w:tcPr>
            <w:tcW w:w="725" w:type="pct"/>
            <w:tcBorders>
              <w:tl2br w:val="nil"/>
              <w:tr2bl w:val="nil"/>
            </w:tcBorders>
            <w:vAlign w:val="center"/>
          </w:tcPr>
          <w:p w14:paraId="0E71032F">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15</w:t>
            </w:r>
            <w:r>
              <w:rPr>
                <w:bCs/>
                <w:color w:val="000000" w:themeColor="text1"/>
                <w:sz w:val="21"/>
                <w:szCs w:val="21"/>
                <w:highlight w:val="none"/>
                <w14:textFill>
                  <w14:solidFill>
                    <w14:schemeClr w14:val="tx1"/>
                  </w14:solidFill>
                </w14:textFill>
              </w:rPr>
              <w:t>t/a</w:t>
            </w:r>
          </w:p>
        </w:tc>
      </w:tr>
      <w:tr w14:paraId="6494D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pct"/>
            <w:tcBorders>
              <w:tl2br w:val="nil"/>
              <w:tr2bl w:val="nil"/>
            </w:tcBorders>
            <w:vAlign w:val="center"/>
          </w:tcPr>
          <w:p w14:paraId="5859122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尾矿砂</w:t>
            </w:r>
          </w:p>
        </w:tc>
        <w:tc>
          <w:tcPr>
            <w:tcW w:w="673" w:type="pct"/>
            <w:tcBorders>
              <w:tl2br w:val="nil"/>
              <w:tr2bl w:val="nil"/>
            </w:tcBorders>
            <w:vAlign w:val="center"/>
          </w:tcPr>
          <w:p w14:paraId="1E9DB50F">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45.25</w:t>
            </w:r>
            <w:r>
              <w:rPr>
                <w:rFonts w:hint="eastAsia"/>
                <w:bCs/>
                <w:color w:val="000000" w:themeColor="text1"/>
                <w:sz w:val="21"/>
                <w:szCs w:val="21"/>
                <w:highlight w:val="none"/>
                <w14:textFill>
                  <w14:solidFill>
                    <w14:schemeClr w14:val="tx1"/>
                  </w14:solidFill>
                </w14:textFill>
              </w:rPr>
              <w:t>万</w:t>
            </w:r>
            <w:r>
              <w:rPr>
                <w:bCs/>
                <w:color w:val="000000" w:themeColor="text1"/>
                <w:sz w:val="21"/>
                <w:szCs w:val="21"/>
                <w:highlight w:val="none"/>
                <w14:textFill>
                  <w14:solidFill>
                    <w14:schemeClr w14:val="tx1"/>
                  </w14:solidFill>
                </w14:textFill>
              </w:rPr>
              <w:t>t/a</w:t>
            </w:r>
          </w:p>
        </w:tc>
        <w:tc>
          <w:tcPr>
            <w:tcW w:w="1098" w:type="pct"/>
            <w:tcBorders>
              <w:tl2br w:val="nil"/>
              <w:tr2bl w:val="nil"/>
            </w:tcBorders>
            <w:vAlign w:val="center"/>
          </w:tcPr>
          <w:p w14:paraId="2F520CC7">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一般工业固体废物</w:t>
            </w:r>
            <w:r>
              <w:rPr>
                <w:rFonts w:hint="eastAsia"/>
                <w:color w:val="000000" w:themeColor="text1"/>
                <w:sz w:val="21"/>
                <w:szCs w:val="21"/>
                <w:highlight w:val="none"/>
                <w14:textFill>
                  <w14:solidFill>
                    <w14:schemeClr w14:val="tx1"/>
                  </w14:solidFill>
                </w14:textFill>
              </w:rPr>
              <w:t>（08</w:t>
            </w: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-001-</w:t>
            </w:r>
            <w:r>
              <w:rPr>
                <w:rFonts w:hint="eastAsia"/>
                <w:color w:val="000000" w:themeColor="text1"/>
                <w:sz w:val="21"/>
                <w:szCs w:val="21"/>
                <w:highlight w:val="none"/>
                <w:lang w:val="en-US" w:eastAsia="zh-CN"/>
                <w14:textFill>
                  <w14:solidFill>
                    <w14:schemeClr w14:val="tx1"/>
                  </w14:solidFill>
                </w14:textFill>
              </w:rPr>
              <w:t>S05</w:t>
            </w:r>
            <w:r>
              <w:rPr>
                <w:rFonts w:hint="eastAsia"/>
                <w:color w:val="000000" w:themeColor="text1"/>
                <w:sz w:val="21"/>
                <w:szCs w:val="21"/>
                <w:highlight w:val="none"/>
                <w14:textFill>
                  <w14:solidFill>
                    <w14:schemeClr w14:val="tx1"/>
                  </w14:solidFill>
                </w14:textFill>
              </w:rPr>
              <w:t>）</w:t>
            </w:r>
          </w:p>
        </w:tc>
        <w:tc>
          <w:tcPr>
            <w:tcW w:w="1725" w:type="pct"/>
            <w:tcBorders>
              <w:tl2br w:val="nil"/>
              <w:tr2bl w:val="nil"/>
            </w:tcBorders>
            <w:vAlign w:val="center"/>
          </w:tcPr>
          <w:p w14:paraId="400BE8B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堆存于</w:t>
            </w:r>
            <w:r>
              <w:rPr>
                <w:rFonts w:hint="eastAsia"/>
                <w:color w:val="000000" w:themeColor="text1"/>
                <w:sz w:val="21"/>
                <w:szCs w:val="21"/>
                <w:highlight w:val="none"/>
                <w:lang w:eastAsia="zh-CN"/>
                <w14:textFill>
                  <w14:solidFill>
                    <w14:schemeClr w14:val="tx1"/>
                  </w14:solidFill>
                </w14:textFill>
              </w:rPr>
              <w:t>新建</w:t>
            </w:r>
            <w:r>
              <w:rPr>
                <w:rFonts w:hint="eastAsia"/>
                <w:color w:val="000000" w:themeColor="text1"/>
                <w:sz w:val="21"/>
                <w:szCs w:val="21"/>
                <w:highlight w:val="none"/>
                <w14:textFill>
                  <w14:solidFill>
                    <w14:schemeClr w14:val="tx1"/>
                  </w14:solidFill>
                </w14:textFill>
              </w:rPr>
              <w:t>尾矿库</w:t>
            </w:r>
          </w:p>
        </w:tc>
        <w:tc>
          <w:tcPr>
            <w:tcW w:w="725" w:type="pct"/>
            <w:tcBorders>
              <w:tl2br w:val="nil"/>
              <w:tr2bl w:val="nil"/>
            </w:tcBorders>
            <w:vAlign w:val="center"/>
          </w:tcPr>
          <w:p w14:paraId="4F901654">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45</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.25</w:t>
            </w:r>
            <w:r>
              <w:rPr>
                <w:rFonts w:hint="default" w:ascii="Times New Roman" w:hAnsi="Times New Roman" w:cs="Times New Roman"/>
                <w:bCs/>
                <w:color w:val="000000" w:themeColor="text1"/>
                <w:sz w:val="21"/>
                <w:szCs w:val="21"/>
                <w:highlight w:val="none"/>
                <w14:textFill>
                  <w14:solidFill>
                    <w14:schemeClr w14:val="tx1"/>
                  </w14:solidFill>
                </w14:textFill>
              </w:rPr>
              <w:t>万</w:t>
            </w:r>
            <w:r>
              <w:rPr>
                <w:bCs/>
                <w:color w:val="000000" w:themeColor="text1"/>
                <w:sz w:val="21"/>
                <w:szCs w:val="21"/>
                <w:highlight w:val="none"/>
                <w14:textFill>
                  <w14:solidFill>
                    <w14:schemeClr w14:val="tx1"/>
                  </w14:solidFill>
                </w14:textFill>
              </w:rPr>
              <w:t>t/a</w:t>
            </w:r>
          </w:p>
        </w:tc>
      </w:tr>
      <w:tr w14:paraId="419C3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pct"/>
            <w:tcBorders>
              <w:tl2br w:val="nil"/>
              <w:tr2bl w:val="nil"/>
            </w:tcBorders>
            <w:vAlign w:val="center"/>
          </w:tcPr>
          <w:p w14:paraId="5FE5AA24">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废机油</w:t>
            </w:r>
          </w:p>
        </w:tc>
        <w:tc>
          <w:tcPr>
            <w:tcW w:w="673" w:type="pct"/>
            <w:tcBorders>
              <w:tl2br w:val="nil"/>
              <w:tr2bl w:val="nil"/>
            </w:tcBorders>
            <w:vAlign w:val="center"/>
          </w:tcPr>
          <w:p w14:paraId="6E9E1C14">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1.5</w:t>
            </w:r>
            <w:r>
              <w:rPr>
                <w:bCs/>
                <w:color w:val="000000" w:themeColor="text1"/>
                <w:sz w:val="21"/>
                <w:szCs w:val="21"/>
                <w:highlight w:val="none"/>
                <w14:textFill>
                  <w14:solidFill>
                    <w14:schemeClr w14:val="tx1"/>
                  </w14:solidFill>
                </w14:textFill>
              </w:rPr>
              <w:t>t/a</w:t>
            </w:r>
          </w:p>
        </w:tc>
        <w:tc>
          <w:tcPr>
            <w:tcW w:w="1098" w:type="pct"/>
            <w:tcBorders>
              <w:tl2br w:val="nil"/>
              <w:tr2bl w:val="nil"/>
            </w:tcBorders>
            <w:vAlign w:val="center"/>
          </w:tcPr>
          <w:p w14:paraId="25BA72CD">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危险废物（</w:t>
            </w:r>
            <w:r>
              <w:rPr>
                <w:bCs/>
                <w:color w:val="000000" w:themeColor="text1"/>
                <w:sz w:val="21"/>
                <w:szCs w:val="21"/>
                <w:highlight w:val="none"/>
                <w14:textFill>
                  <w14:solidFill>
                    <w14:schemeClr w14:val="tx1"/>
                  </w14:solidFill>
                </w14:textFill>
              </w:rPr>
              <w:t>HW08 900-2</w:t>
            </w:r>
            <w:r>
              <w:rPr>
                <w:rFonts w:hint="eastAsia"/>
                <w:bCs/>
                <w:color w:val="000000" w:themeColor="text1"/>
                <w:sz w:val="21"/>
                <w:szCs w:val="21"/>
                <w:highlight w:val="none"/>
                <w14:textFill>
                  <w14:solidFill>
                    <w14:schemeClr w14:val="tx1"/>
                  </w14:solidFill>
                </w14:textFill>
              </w:rPr>
              <w:t>1</w:t>
            </w:r>
            <w:r>
              <w:rPr>
                <w:bCs/>
                <w:color w:val="000000" w:themeColor="text1"/>
                <w:sz w:val="21"/>
                <w:szCs w:val="21"/>
                <w:highlight w:val="none"/>
                <w14:textFill>
                  <w14:solidFill>
                    <w14:schemeClr w14:val="tx1"/>
                  </w14:solidFill>
                </w14:textFill>
              </w:rPr>
              <w:t>7-08</w:t>
            </w:r>
            <w:r>
              <w:rPr>
                <w:rFonts w:hint="eastAsia"/>
                <w:bCs/>
                <w:color w:val="000000" w:themeColor="text1"/>
                <w:sz w:val="21"/>
                <w:szCs w:val="21"/>
                <w:highlight w:val="none"/>
                <w14:textFill>
                  <w14:solidFill>
                    <w14:schemeClr w14:val="tx1"/>
                  </w14:solidFill>
                </w14:textFill>
              </w:rPr>
              <w:t>）</w:t>
            </w:r>
          </w:p>
        </w:tc>
        <w:tc>
          <w:tcPr>
            <w:tcW w:w="1725" w:type="pct"/>
            <w:vMerge w:val="restart"/>
            <w:tcBorders>
              <w:tl2br w:val="nil"/>
              <w:tr2bl w:val="nil"/>
            </w:tcBorders>
            <w:vAlign w:val="center"/>
          </w:tcPr>
          <w:p w14:paraId="354C689D">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临时贮存于</w:t>
            </w:r>
            <w:r>
              <w:rPr>
                <w:rFonts w:hint="eastAsia"/>
                <w:bCs/>
                <w:color w:val="000000" w:themeColor="text1"/>
                <w:sz w:val="21"/>
                <w:szCs w:val="21"/>
                <w:highlight w:val="none"/>
                <w:lang w:eastAsia="zh-CN"/>
                <w14:textFill>
                  <w14:solidFill>
                    <w14:schemeClr w14:val="tx1"/>
                  </w14:solidFill>
                </w14:textFill>
              </w:rPr>
              <w:t>采矿区危废贮存点</w:t>
            </w:r>
            <w:r>
              <w:rPr>
                <w:rFonts w:hint="eastAsia"/>
                <w:bCs/>
                <w:color w:val="000000" w:themeColor="text1"/>
                <w:sz w:val="21"/>
                <w:szCs w:val="21"/>
                <w:highlight w:val="none"/>
                <w14:textFill>
                  <w14:solidFill>
                    <w14:schemeClr w14:val="tx1"/>
                  </w14:solidFill>
                </w14:textFill>
              </w:rPr>
              <w:t>，定期交有资质单位处置</w:t>
            </w:r>
          </w:p>
        </w:tc>
        <w:tc>
          <w:tcPr>
            <w:tcW w:w="725" w:type="pct"/>
            <w:tcBorders>
              <w:tl2br w:val="nil"/>
              <w:tr2bl w:val="nil"/>
            </w:tcBorders>
            <w:vAlign w:val="center"/>
          </w:tcPr>
          <w:p w14:paraId="31B5350B">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0</w:t>
            </w:r>
            <w:r>
              <w:rPr>
                <w:bCs/>
                <w:color w:val="000000" w:themeColor="text1"/>
                <w:sz w:val="21"/>
                <w:szCs w:val="21"/>
                <w:highlight w:val="none"/>
                <w14:textFill>
                  <w14:solidFill>
                    <w14:schemeClr w14:val="tx1"/>
                  </w14:solidFill>
                </w14:textFill>
              </w:rPr>
              <w:t>t/a</w:t>
            </w:r>
          </w:p>
        </w:tc>
      </w:tr>
      <w:tr w14:paraId="0135B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pct"/>
            <w:tcBorders>
              <w:tl2br w:val="nil"/>
              <w:tr2bl w:val="nil"/>
            </w:tcBorders>
            <w:vAlign w:val="center"/>
          </w:tcPr>
          <w:p w14:paraId="0D4A39A3">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废油桶</w:t>
            </w:r>
          </w:p>
        </w:tc>
        <w:tc>
          <w:tcPr>
            <w:tcW w:w="673" w:type="pct"/>
            <w:tcBorders>
              <w:tl2br w:val="nil"/>
              <w:tr2bl w:val="nil"/>
            </w:tcBorders>
            <w:vAlign w:val="center"/>
          </w:tcPr>
          <w:p w14:paraId="29C74423">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1.2</w:t>
            </w:r>
            <w:r>
              <w:rPr>
                <w:rFonts w:hint="eastAsia"/>
                <w:bCs/>
                <w:color w:val="000000" w:themeColor="text1"/>
                <w:sz w:val="21"/>
                <w:szCs w:val="21"/>
                <w:highlight w:val="none"/>
                <w14:textFill>
                  <w14:solidFill>
                    <w14:schemeClr w14:val="tx1"/>
                  </w14:solidFill>
                </w14:textFill>
              </w:rPr>
              <w:t>t/a</w:t>
            </w:r>
          </w:p>
        </w:tc>
        <w:tc>
          <w:tcPr>
            <w:tcW w:w="1098" w:type="pct"/>
            <w:tcBorders>
              <w:tl2br w:val="nil"/>
              <w:tr2bl w:val="nil"/>
            </w:tcBorders>
            <w:vAlign w:val="center"/>
          </w:tcPr>
          <w:p w14:paraId="4DF6BAFF">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危险废物（</w:t>
            </w:r>
            <w:r>
              <w:rPr>
                <w:bCs/>
                <w:color w:val="000000" w:themeColor="text1"/>
                <w:sz w:val="21"/>
                <w:szCs w:val="21"/>
                <w:highlight w:val="none"/>
                <w14:textFill>
                  <w14:solidFill>
                    <w14:schemeClr w14:val="tx1"/>
                  </w14:solidFill>
                </w14:textFill>
              </w:rPr>
              <w:t>HW08 900-2</w:t>
            </w:r>
            <w:r>
              <w:rPr>
                <w:rFonts w:hint="eastAsia"/>
                <w:bCs/>
                <w:color w:val="000000" w:themeColor="text1"/>
                <w:sz w:val="21"/>
                <w:szCs w:val="21"/>
                <w:highlight w:val="none"/>
                <w:lang w:val="en-US" w:eastAsia="zh-CN"/>
                <w14:textFill>
                  <w14:solidFill>
                    <w14:schemeClr w14:val="tx1"/>
                  </w14:solidFill>
                </w14:textFill>
              </w:rPr>
              <w:t>49</w:t>
            </w:r>
            <w:r>
              <w:rPr>
                <w:bCs/>
                <w:color w:val="000000" w:themeColor="text1"/>
                <w:sz w:val="21"/>
                <w:szCs w:val="21"/>
                <w:highlight w:val="none"/>
                <w14:textFill>
                  <w14:solidFill>
                    <w14:schemeClr w14:val="tx1"/>
                  </w14:solidFill>
                </w14:textFill>
              </w:rPr>
              <w:t>-08</w:t>
            </w:r>
            <w:r>
              <w:rPr>
                <w:rFonts w:hint="eastAsia"/>
                <w:bCs/>
                <w:color w:val="000000" w:themeColor="text1"/>
                <w:sz w:val="21"/>
                <w:szCs w:val="21"/>
                <w:highlight w:val="none"/>
                <w14:textFill>
                  <w14:solidFill>
                    <w14:schemeClr w14:val="tx1"/>
                  </w14:solidFill>
                </w14:textFill>
              </w:rPr>
              <w:t>）</w:t>
            </w:r>
          </w:p>
        </w:tc>
        <w:tc>
          <w:tcPr>
            <w:tcW w:w="1725" w:type="pct"/>
            <w:vMerge w:val="continue"/>
            <w:tcBorders>
              <w:tl2br w:val="nil"/>
              <w:tr2bl w:val="nil"/>
            </w:tcBorders>
            <w:vAlign w:val="center"/>
          </w:tcPr>
          <w:p w14:paraId="1ACD25B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bCs/>
                <w:color w:val="000000" w:themeColor="text1"/>
                <w:sz w:val="21"/>
                <w:szCs w:val="21"/>
                <w:highlight w:val="none"/>
                <w14:textFill>
                  <w14:solidFill>
                    <w14:schemeClr w14:val="tx1"/>
                  </w14:solidFill>
                </w14:textFill>
              </w:rPr>
            </w:pPr>
          </w:p>
        </w:tc>
        <w:tc>
          <w:tcPr>
            <w:tcW w:w="725" w:type="pct"/>
            <w:tcBorders>
              <w:tl2br w:val="nil"/>
              <w:tr2bl w:val="nil"/>
            </w:tcBorders>
            <w:vAlign w:val="center"/>
          </w:tcPr>
          <w:p w14:paraId="4663381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0</w:t>
            </w:r>
            <w:r>
              <w:rPr>
                <w:bCs/>
                <w:color w:val="000000" w:themeColor="text1"/>
                <w:sz w:val="21"/>
                <w:szCs w:val="21"/>
                <w:highlight w:val="none"/>
                <w14:textFill>
                  <w14:solidFill>
                    <w14:schemeClr w14:val="tx1"/>
                  </w14:solidFill>
                </w14:textFill>
              </w:rPr>
              <w:t>t/a</w:t>
            </w:r>
          </w:p>
        </w:tc>
      </w:tr>
      <w:tr w14:paraId="039FD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pct"/>
            <w:tcBorders>
              <w:tl2br w:val="nil"/>
              <w:tr2bl w:val="nil"/>
            </w:tcBorders>
            <w:vAlign w:val="center"/>
          </w:tcPr>
          <w:p w14:paraId="227BED85">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eastAsia="zh-CN"/>
                <w14:textFill>
                  <w14:solidFill>
                    <w14:schemeClr w14:val="tx1"/>
                  </w14:solidFill>
                </w14:textFill>
              </w:rPr>
              <w:t>除</w:t>
            </w:r>
            <w:r>
              <w:rPr>
                <w:rFonts w:hint="eastAsia"/>
                <w:bCs/>
                <w:color w:val="000000" w:themeColor="text1"/>
                <w:sz w:val="21"/>
                <w:szCs w:val="21"/>
                <w:highlight w:val="none"/>
                <w14:textFill>
                  <w14:solidFill>
                    <w14:schemeClr w14:val="tx1"/>
                  </w14:solidFill>
                </w14:textFill>
              </w:rPr>
              <w:t>尘灰</w:t>
            </w:r>
          </w:p>
        </w:tc>
        <w:tc>
          <w:tcPr>
            <w:tcW w:w="673" w:type="pct"/>
            <w:tcBorders>
              <w:tl2br w:val="nil"/>
              <w:tr2bl w:val="nil"/>
            </w:tcBorders>
            <w:vAlign w:val="center"/>
          </w:tcPr>
          <w:p w14:paraId="03704F7F">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1603.37</w:t>
            </w:r>
            <w:r>
              <w:rPr>
                <w:rFonts w:hint="eastAsia"/>
                <w:bCs/>
                <w:color w:val="000000" w:themeColor="text1"/>
                <w:sz w:val="21"/>
                <w:szCs w:val="21"/>
                <w:highlight w:val="none"/>
                <w14:textFill>
                  <w14:solidFill>
                    <w14:schemeClr w14:val="tx1"/>
                  </w14:solidFill>
                </w14:textFill>
              </w:rPr>
              <w:t>t/a</w:t>
            </w:r>
          </w:p>
        </w:tc>
        <w:tc>
          <w:tcPr>
            <w:tcW w:w="1098" w:type="pct"/>
            <w:tcBorders>
              <w:tl2br w:val="nil"/>
              <w:tr2bl w:val="nil"/>
            </w:tcBorders>
            <w:vAlign w:val="center"/>
          </w:tcPr>
          <w:p w14:paraId="6D0690B3">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kern w:val="0"/>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一般工业固体废物（</w:t>
            </w:r>
            <w:r>
              <w:rPr>
                <w:rFonts w:hint="eastAsia"/>
                <w:color w:val="000000" w:themeColor="text1"/>
                <w:sz w:val="21"/>
                <w:szCs w:val="21"/>
                <w:highlight w:val="none"/>
                <w:lang w:val="en-US" w:eastAsia="zh-CN"/>
                <w14:textFill>
                  <w14:solidFill>
                    <w14:schemeClr w14:val="tx1"/>
                  </w14:solidFill>
                </w14:textFill>
              </w:rPr>
              <w:t>900</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14:textFill>
                  <w14:solidFill>
                    <w14:schemeClr w14:val="tx1"/>
                  </w14:solidFill>
                </w14:textFill>
              </w:rPr>
              <w:t>99-</w:t>
            </w:r>
            <w:r>
              <w:rPr>
                <w:rFonts w:hint="eastAsia"/>
                <w:bCs/>
                <w:color w:val="000000" w:themeColor="text1"/>
                <w:sz w:val="21"/>
                <w:szCs w:val="21"/>
                <w:highlight w:val="none"/>
                <w:lang w:val="en-US" w:eastAsia="zh-CN"/>
                <w14:textFill>
                  <w14:solidFill>
                    <w14:schemeClr w14:val="tx1"/>
                  </w14:solidFill>
                </w14:textFill>
              </w:rPr>
              <w:t>S59</w:t>
            </w:r>
            <w:r>
              <w:rPr>
                <w:rFonts w:hint="eastAsia"/>
                <w:bCs/>
                <w:color w:val="000000" w:themeColor="text1"/>
                <w:sz w:val="21"/>
                <w:szCs w:val="21"/>
                <w:highlight w:val="none"/>
                <w14:textFill>
                  <w14:solidFill>
                    <w14:schemeClr w14:val="tx1"/>
                  </w14:solidFill>
                </w14:textFill>
              </w:rPr>
              <w:t>）</w:t>
            </w:r>
          </w:p>
        </w:tc>
        <w:tc>
          <w:tcPr>
            <w:tcW w:w="1725" w:type="pct"/>
            <w:tcBorders>
              <w:tl2br w:val="nil"/>
              <w:tr2bl w:val="nil"/>
            </w:tcBorders>
            <w:vAlign w:val="center"/>
          </w:tcPr>
          <w:p w14:paraId="1063EF49">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回用于选矿生产</w:t>
            </w:r>
          </w:p>
        </w:tc>
        <w:tc>
          <w:tcPr>
            <w:tcW w:w="725" w:type="pct"/>
            <w:tcBorders>
              <w:tl2br w:val="nil"/>
              <w:tr2bl w:val="nil"/>
            </w:tcBorders>
            <w:vAlign w:val="center"/>
          </w:tcPr>
          <w:p w14:paraId="3522EBE0">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0</w:t>
            </w:r>
            <w:r>
              <w:rPr>
                <w:bCs/>
                <w:color w:val="000000" w:themeColor="text1"/>
                <w:sz w:val="21"/>
                <w:szCs w:val="21"/>
                <w:highlight w:val="none"/>
                <w14:textFill>
                  <w14:solidFill>
                    <w14:schemeClr w14:val="tx1"/>
                  </w14:solidFill>
                </w14:textFill>
              </w:rPr>
              <w:t>t/a</w:t>
            </w:r>
          </w:p>
        </w:tc>
      </w:tr>
      <w:tr w14:paraId="399EC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pct"/>
            <w:tcBorders>
              <w:tl2br w:val="nil"/>
              <w:tr2bl w:val="nil"/>
            </w:tcBorders>
            <w:vAlign w:val="center"/>
          </w:tcPr>
          <w:p w14:paraId="1F9773B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eastAsia="zh-CN"/>
                <w14:textFill>
                  <w14:solidFill>
                    <w14:schemeClr w14:val="tx1"/>
                  </w14:solidFill>
                </w14:textFill>
              </w:rPr>
              <w:t>干选废石</w:t>
            </w:r>
          </w:p>
        </w:tc>
        <w:tc>
          <w:tcPr>
            <w:tcW w:w="673" w:type="pct"/>
            <w:tcBorders>
              <w:tl2br w:val="nil"/>
              <w:tr2bl w:val="nil"/>
            </w:tcBorders>
            <w:vAlign w:val="center"/>
          </w:tcPr>
          <w:p w14:paraId="0DA2DCC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14.75万</w:t>
            </w:r>
            <w:r>
              <w:rPr>
                <w:rFonts w:hint="eastAsia"/>
                <w:bCs/>
                <w:color w:val="000000" w:themeColor="text1"/>
                <w:sz w:val="21"/>
                <w:szCs w:val="21"/>
                <w:highlight w:val="none"/>
                <w14:textFill>
                  <w14:solidFill>
                    <w14:schemeClr w14:val="tx1"/>
                  </w14:solidFill>
                </w14:textFill>
              </w:rPr>
              <w:t>t/a</w:t>
            </w:r>
          </w:p>
        </w:tc>
        <w:tc>
          <w:tcPr>
            <w:tcW w:w="1098" w:type="pct"/>
            <w:tcBorders>
              <w:tl2br w:val="nil"/>
              <w:tr2bl w:val="nil"/>
            </w:tcBorders>
            <w:vAlign w:val="center"/>
          </w:tcPr>
          <w:p w14:paraId="51968325">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kern w:val="0"/>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一般工业固体废物（</w:t>
            </w:r>
            <w:r>
              <w:rPr>
                <w:rFonts w:hint="eastAsia"/>
                <w:color w:val="000000" w:themeColor="text1"/>
                <w:sz w:val="21"/>
                <w:szCs w:val="21"/>
                <w:highlight w:val="none"/>
                <w:lang w:val="en-US" w:eastAsia="zh-CN"/>
                <w14:textFill>
                  <w14:solidFill>
                    <w14:schemeClr w14:val="tx1"/>
                  </w14:solidFill>
                </w14:textFill>
              </w:rPr>
              <w:t>900</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14:textFill>
                  <w14:solidFill>
                    <w14:schemeClr w14:val="tx1"/>
                  </w14:solidFill>
                </w14:textFill>
              </w:rPr>
              <w:t>99-</w:t>
            </w:r>
            <w:r>
              <w:rPr>
                <w:rFonts w:hint="eastAsia"/>
                <w:bCs/>
                <w:color w:val="000000" w:themeColor="text1"/>
                <w:sz w:val="21"/>
                <w:szCs w:val="21"/>
                <w:highlight w:val="none"/>
                <w:lang w:val="en-US" w:eastAsia="zh-CN"/>
                <w14:textFill>
                  <w14:solidFill>
                    <w14:schemeClr w14:val="tx1"/>
                  </w14:solidFill>
                </w14:textFill>
              </w:rPr>
              <w:t>S59</w:t>
            </w:r>
            <w:r>
              <w:rPr>
                <w:rFonts w:hint="eastAsia"/>
                <w:bCs/>
                <w:color w:val="000000" w:themeColor="text1"/>
                <w:sz w:val="21"/>
                <w:szCs w:val="21"/>
                <w:highlight w:val="none"/>
                <w14:textFill>
                  <w14:solidFill>
                    <w14:schemeClr w14:val="tx1"/>
                  </w14:solidFill>
                </w14:textFill>
              </w:rPr>
              <w:t>）</w:t>
            </w:r>
          </w:p>
        </w:tc>
        <w:tc>
          <w:tcPr>
            <w:tcW w:w="1725" w:type="pct"/>
            <w:tcBorders>
              <w:tl2br w:val="nil"/>
              <w:tr2bl w:val="nil"/>
            </w:tcBorders>
            <w:vAlign w:val="center"/>
          </w:tcPr>
          <w:p w14:paraId="7B0BE7A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eastAsia="宋体"/>
                <w:bCs/>
                <w:color w:val="000000" w:themeColor="text1"/>
                <w:sz w:val="21"/>
                <w:szCs w:val="21"/>
                <w:highlight w:val="none"/>
                <w:lang w:eastAsia="zh-CN"/>
                <w14:textFill>
                  <w14:solidFill>
                    <w14:schemeClr w14:val="tx1"/>
                  </w14:solidFill>
                </w14:textFill>
              </w:rPr>
            </w:pPr>
            <w:r>
              <w:rPr>
                <w:rFonts w:hint="eastAsia"/>
                <w:bCs/>
                <w:color w:val="000000" w:themeColor="text1"/>
                <w:sz w:val="21"/>
                <w:szCs w:val="21"/>
                <w:highlight w:val="none"/>
                <w:lang w:eastAsia="zh-CN"/>
                <w14:textFill>
                  <w14:solidFill>
                    <w14:schemeClr w14:val="tx1"/>
                  </w14:solidFill>
                </w14:textFill>
              </w:rPr>
              <w:t>堆存与采矿区废石堆场</w:t>
            </w:r>
          </w:p>
        </w:tc>
        <w:tc>
          <w:tcPr>
            <w:tcW w:w="725" w:type="pct"/>
            <w:tcBorders>
              <w:tl2br w:val="nil"/>
              <w:tr2bl w:val="nil"/>
            </w:tcBorders>
            <w:vAlign w:val="center"/>
          </w:tcPr>
          <w:p w14:paraId="7913688E">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0</w:t>
            </w:r>
            <w:r>
              <w:rPr>
                <w:bCs/>
                <w:color w:val="000000" w:themeColor="text1"/>
                <w:sz w:val="21"/>
                <w:szCs w:val="21"/>
                <w:highlight w:val="none"/>
                <w14:textFill>
                  <w14:solidFill>
                    <w14:schemeClr w14:val="tx1"/>
                  </w14:solidFill>
                </w14:textFill>
              </w:rPr>
              <w:t>t/a</w:t>
            </w:r>
          </w:p>
        </w:tc>
      </w:tr>
      <w:tr w14:paraId="58B33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pct"/>
            <w:tcBorders>
              <w:tl2br w:val="nil"/>
              <w:tr2bl w:val="nil"/>
            </w:tcBorders>
            <w:vAlign w:val="center"/>
          </w:tcPr>
          <w:p w14:paraId="3FEE05F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生活污水处理设施底泥</w:t>
            </w:r>
          </w:p>
        </w:tc>
        <w:tc>
          <w:tcPr>
            <w:tcW w:w="673" w:type="pct"/>
            <w:tcBorders>
              <w:tl2br w:val="nil"/>
              <w:tr2bl w:val="nil"/>
            </w:tcBorders>
            <w:vAlign w:val="center"/>
          </w:tcPr>
          <w:p w14:paraId="0462A99F">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1.05</w:t>
            </w:r>
            <w:r>
              <w:rPr>
                <w:rFonts w:hint="eastAsia"/>
                <w:bCs/>
                <w:color w:val="000000" w:themeColor="text1"/>
                <w:sz w:val="21"/>
                <w:szCs w:val="21"/>
                <w:highlight w:val="none"/>
                <w14:textFill>
                  <w14:solidFill>
                    <w14:schemeClr w14:val="tx1"/>
                  </w14:solidFill>
                </w14:textFill>
              </w:rPr>
              <w:t>t/a</w:t>
            </w:r>
          </w:p>
        </w:tc>
        <w:tc>
          <w:tcPr>
            <w:tcW w:w="1098" w:type="pct"/>
            <w:tcBorders>
              <w:tl2br w:val="nil"/>
              <w:tr2bl w:val="nil"/>
            </w:tcBorders>
            <w:vAlign w:val="center"/>
          </w:tcPr>
          <w:p w14:paraId="447E72F7">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一般工业固体废物</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900-099-S07</w:t>
            </w:r>
            <w:r>
              <w:rPr>
                <w:rFonts w:hint="eastAsia"/>
                <w:color w:val="000000" w:themeColor="text1"/>
                <w:sz w:val="21"/>
                <w:szCs w:val="21"/>
                <w:highlight w:val="none"/>
                <w14:textFill>
                  <w14:solidFill>
                    <w14:schemeClr w14:val="tx1"/>
                  </w14:solidFill>
                </w14:textFill>
              </w:rPr>
              <w:t>）</w:t>
            </w:r>
          </w:p>
        </w:tc>
        <w:tc>
          <w:tcPr>
            <w:tcW w:w="1725" w:type="pct"/>
            <w:tcBorders>
              <w:tl2br w:val="nil"/>
              <w:tr2bl w:val="nil"/>
            </w:tcBorders>
            <w:vAlign w:val="center"/>
          </w:tcPr>
          <w:p w14:paraId="5AA04A3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定期拉运至</w:t>
            </w:r>
            <w:r>
              <w:rPr>
                <w:rFonts w:hint="eastAsia"/>
                <w:color w:val="000000" w:themeColor="text1"/>
                <w:sz w:val="21"/>
                <w:szCs w:val="21"/>
                <w:highlight w:val="none"/>
                <w:lang w:eastAsia="zh-CN"/>
                <w14:textFill>
                  <w14:solidFill>
                    <w14:schemeClr w14:val="tx1"/>
                  </w14:solidFill>
                </w14:textFill>
              </w:rPr>
              <w:t>周边</w:t>
            </w:r>
            <w:r>
              <w:rPr>
                <w:rFonts w:hint="eastAsia"/>
                <w:color w:val="000000" w:themeColor="text1"/>
                <w:sz w:val="21"/>
                <w:szCs w:val="21"/>
                <w:highlight w:val="none"/>
                <w14:textFill>
                  <w14:solidFill>
                    <w14:schemeClr w14:val="tx1"/>
                  </w14:solidFill>
                </w14:textFill>
              </w:rPr>
              <w:t>一般工业固体废物填埋场填埋处置</w:t>
            </w:r>
          </w:p>
        </w:tc>
        <w:tc>
          <w:tcPr>
            <w:tcW w:w="725" w:type="pct"/>
            <w:tcBorders>
              <w:tl2br w:val="nil"/>
              <w:tr2bl w:val="nil"/>
            </w:tcBorders>
            <w:vAlign w:val="center"/>
          </w:tcPr>
          <w:p w14:paraId="12EDDFE6">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1.05</w:t>
            </w:r>
            <w:r>
              <w:rPr>
                <w:rFonts w:hint="eastAsia"/>
                <w:bCs/>
                <w:color w:val="000000" w:themeColor="text1"/>
                <w:sz w:val="21"/>
                <w:szCs w:val="21"/>
                <w:highlight w:val="none"/>
                <w14:textFill>
                  <w14:solidFill>
                    <w14:schemeClr w14:val="tx1"/>
                  </w14:solidFill>
                </w14:textFill>
              </w:rPr>
              <w:t>t/a</w:t>
            </w:r>
          </w:p>
        </w:tc>
      </w:tr>
      <w:tr w14:paraId="2458A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pct"/>
            <w:tcBorders>
              <w:tl2br w:val="nil"/>
              <w:tr2bl w:val="nil"/>
            </w:tcBorders>
            <w:vAlign w:val="center"/>
          </w:tcPr>
          <w:p w14:paraId="4DAA1904">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循环水池底泥</w:t>
            </w:r>
          </w:p>
        </w:tc>
        <w:tc>
          <w:tcPr>
            <w:tcW w:w="673" w:type="pct"/>
            <w:tcBorders>
              <w:tl2br w:val="nil"/>
              <w:tr2bl w:val="nil"/>
            </w:tcBorders>
            <w:vAlign w:val="center"/>
          </w:tcPr>
          <w:p w14:paraId="00871AF8">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92</w:t>
            </w:r>
            <w:r>
              <w:rPr>
                <w:rFonts w:hint="eastAsia"/>
                <w:bCs/>
                <w:color w:val="000000" w:themeColor="text1"/>
                <w:sz w:val="21"/>
                <w:szCs w:val="21"/>
                <w:highlight w:val="none"/>
                <w14:textFill>
                  <w14:solidFill>
                    <w14:schemeClr w14:val="tx1"/>
                  </w14:solidFill>
                </w14:textFill>
              </w:rPr>
              <w:t>t/a</w:t>
            </w:r>
          </w:p>
        </w:tc>
        <w:tc>
          <w:tcPr>
            <w:tcW w:w="1098" w:type="pct"/>
            <w:tcBorders>
              <w:tl2br w:val="nil"/>
              <w:tr2bl w:val="nil"/>
            </w:tcBorders>
            <w:vAlign w:val="center"/>
          </w:tcPr>
          <w:p w14:paraId="10678790">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一般工业固体废物</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900-099-S07</w:t>
            </w:r>
            <w:r>
              <w:rPr>
                <w:rFonts w:hint="eastAsia"/>
                <w:color w:val="000000" w:themeColor="text1"/>
                <w:sz w:val="21"/>
                <w:szCs w:val="21"/>
                <w:highlight w:val="none"/>
                <w14:textFill>
                  <w14:solidFill>
                    <w14:schemeClr w14:val="tx1"/>
                  </w14:solidFill>
                </w14:textFill>
              </w:rPr>
              <w:t>）</w:t>
            </w:r>
          </w:p>
        </w:tc>
        <w:tc>
          <w:tcPr>
            <w:tcW w:w="1725" w:type="pct"/>
            <w:tcBorders>
              <w:tl2br w:val="nil"/>
              <w:tr2bl w:val="nil"/>
            </w:tcBorders>
            <w:vAlign w:val="center"/>
          </w:tcPr>
          <w:p w14:paraId="0FC5E7A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定期清理，返回生产工序回用于选矿</w:t>
            </w:r>
          </w:p>
        </w:tc>
        <w:tc>
          <w:tcPr>
            <w:tcW w:w="725" w:type="pct"/>
            <w:tcBorders>
              <w:tl2br w:val="nil"/>
              <w:tr2bl w:val="nil"/>
            </w:tcBorders>
            <w:vAlign w:val="center"/>
          </w:tcPr>
          <w:p w14:paraId="4A124A65">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0</w:t>
            </w:r>
            <w:r>
              <w:rPr>
                <w:bCs/>
                <w:color w:val="000000" w:themeColor="text1"/>
                <w:sz w:val="21"/>
                <w:szCs w:val="21"/>
                <w:highlight w:val="none"/>
                <w14:textFill>
                  <w14:solidFill>
                    <w14:schemeClr w14:val="tx1"/>
                  </w14:solidFill>
                </w14:textFill>
              </w:rPr>
              <w:t>t/a</w:t>
            </w:r>
          </w:p>
        </w:tc>
      </w:tr>
      <w:tr w14:paraId="60248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pct"/>
            <w:tcBorders>
              <w:tl2br w:val="nil"/>
              <w:tr2bl w:val="nil"/>
            </w:tcBorders>
            <w:vAlign w:val="center"/>
          </w:tcPr>
          <w:p w14:paraId="599981E7">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废布袋</w:t>
            </w:r>
          </w:p>
        </w:tc>
        <w:tc>
          <w:tcPr>
            <w:tcW w:w="673" w:type="pct"/>
            <w:tcBorders>
              <w:tl2br w:val="nil"/>
              <w:tr2bl w:val="nil"/>
            </w:tcBorders>
            <w:vAlign w:val="center"/>
          </w:tcPr>
          <w:p w14:paraId="1348D5F4">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0.5t/a</w:t>
            </w:r>
          </w:p>
        </w:tc>
        <w:tc>
          <w:tcPr>
            <w:tcW w:w="1098" w:type="pct"/>
            <w:tcBorders>
              <w:tl2br w:val="nil"/>
              <w:tr2bl w:val="nil"/>
            </w:tcBorders>
            <w:vAlign w:val="center"/>
          </w:tcPr>
          <w:p w14:paraId="4DF832F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一般工业固体废物（</w:t>
            </w:r>
            <w:r>
              <w:rPr>
                <w:rFonts w:hint="eastAsia"/>
                <w:color w:val="000000" w:themeColor="text1"/>
                <w:sz w:val="21"/>
                <w:szCs w:val="21"/>
                <w:highlight w:val="none"/>
                <w:lang w:val="en-US" w:eastAsia="zh-CN"/>
                <w14:textFill>
                  <w14:solidFill>
                    <w14:schemeClr w14:val="tx1"/>
                  </w14:solidFill>
                </w14:textFill>
              </w:rPr>
              <w:t>900</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009</w:t>
            </w:r>
            <w:r>
              <w:rPr>
                <w:rFonts w:hint="eastAsia"/>
                <w:color w:val="000000" w:themeColor="text1"/>
                <w:sz w:val="21"/>
                <w:szCs w:val="21"/>
                <w:highlight w:val="none"/>
                <w14:textFill>
                  <w14:solidFill>
                    <w14:schemeClr w14:val="tx1"/>
                  </w14:solidFill>
                </w14:textFill>
              </w:rPr>
              <w:t>-</w:t>
            </w:r>
            <w:r>
              <w:rPr>
                <w:rFonts w:hint="eastAsia"/>
                <w:bCs/>
                <w:color w:val="000000" w:themeColor="text1"/>
                <w:sz w:val="21"/>
                <w:szCs w:val="21"/>
                <w:highlight w:val="none"/>
                <w:lang w:val="en-US" w:eastAsia="zh-CN"/>
                <w14:textFill>
                  <w14:solidFill>
                    <w14:schemeClr w14:val="tx1"/>
                  </w14:solidFill>
                </w14:textFill>
              </w:rPr>
              <w:t>S59</w:t>
            </w:r>
            <w:r>
              <w:rPr>
                <w:rFonts w:hint="eastAsia"/>
                <w:bCs/>
                <w:color w:val="000000" w:themeColor="text1"/>
                <w:sz w:val="21"/>
                <w:szCs w:val="21"/>
                <w:highlight w:val="none"/>
                <w14:textFill>
                  <w14:solidFill>
                    <w14:schemeClr w14:val="tx1"/>
                  </w14:solidFill>
                </w14:textFill>
              </w:rPr>
              <w:t>）</w:t>
            </w:r>
          </w:p>
        </w:tc>
        <w:tc>
          <w:tcPr>
            <w:tcW w:w="1725" w:type="pct"/>
            <w:tcBorders>
              <w:tl2br w:val="nil"/>
              <w:tr2bl w:val="nil"/>
            </w:tcBorders>
            <w:vAlign w:val="center"/>
          </w:tcPr>
          <w:p w14:paraId="24C3638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集中收集后定期拉运至</w:t>
            </w:r>
            <w:r>
              <w:rPr>
                <w:rFonts w:hint="eastAsia"/>
                <w:bCs/>
                <w:color w:val="000000" w:themeColor="text1"/>
                <w:sz w:val="21"/>
                <w:szCs w:val="21"/>
                <w:highlight w:val="none"/>
                <w:lang w:eastAsia="zh-CN"/>
                <w14:textFill>
                  <w14:solidFill>
                    <w14:schemeClr w14:val="tx1"/>
                  </w14:solidFill>
                </w14:textFill>
              </w:rPr>
              <w:t>周边</w:t>
            </w:r>
            <w:r>
              <w:rPr>
                <w:rFonts w:hint="eastAsia"/>
                <w:bCs/>
                <w:color w:val="000000" w:themeColor="text1"/>
                <w:sz w:val="21"/>
                <w:szCs w:val="21"/>
                <w:highlight w:val="none"/>
                <w14:textFill>
                  <w14:solidFill>
                    <w14:schemeClr w14:val="tx1"/>
                  </w14:solidFill>
                </w14:textFill>
              </w:rPr>
              <w:t>一般工业固体废物填埋场进行处置</w:t>
            </w:r>
          </w:p>
        </w:tc>
        <w:tc>
          <w:tcPr>
            <w:tcW w:w="725" w:type="pct"/>
            <w:tcBorders>
              <w:tl2br w:val="nil"/>
              <w:tr2bl w:val="nil"/>
            </w:tcBorders>
            <w:vAlign w:val="center"/>
          </w:tcPr>
          <w:p w14:paraId="000431A4">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0.5t/a</w:t>
            </w:r>
          </w:p>
        </w:tc>
      </w:tr>
    </w:tbl>
    <w:p w14:paraId="12063C20">
      <w:pPr>
        <w:pStyle w:val="5"/>
        <w:ind w:firstLine="482"/>
        <w:rPr>
          <w:color w:val="000000" w:themeColor="text1"/>
          <w:highlight w:val="none"/>
          <w14:textFill>
            <w14:solidFill>
              <w14:schemeClr w14:val="tx1"/>
            </w14:solidFill>
          </w14:textFill>
        </w:rPr>
      </w:pPr>
      <w:bookmarkStart w:id="521" w:name="_Toc10610"/>
      <w:bookmarkStart w:id="522" w:name="_Toc30963"/>
      <w:bookmarkStart w:id="523" w:name="_Toc29311"/>
      <w:bookmarkStart w:id="524" w:name="_Toc6298"/>
      <w:bookmarkStart w:id="525" w:name="_Toc5816"/>
      <w:bookmarkStart w:id="526" w:name="_Toc11624"/>
      <w:bookmarkStart w:id="527" w:name="_Toc10911"/>
      <w:bookmarkStart w:id="528" w:name="_Toc18866"/>
      <w:bookmarkStart w:id="529" w:name="_Toc31750"/>
      <w:bookmarkStart w:id="530" w:name="_Toc16102"/>
      <w:bookmarkStart w:id="531" w:name="_Toc10742"/>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4.2.5非正常工况排放</w:t>
      </w:r>
    </w:p>
    <w:p w14:paraId="3C2FFA1C">
      <w:pPr>
        <w:pStyle w:val="31"/>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本项目的非正常工况可能发生以下两种情况：</w:t>
      </w:r>
    </w:p>
    <w:p w14:paraId="2D2FBD7B">
      <w:pPr>
        <w:pStyle w:val="31"/>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①集尘除尘系统不能正常工作的情况下，此时粉尘未经处理无组织扩散；</w:t>
      </w:r>
    </w:p>
    <w:p w14:paraId="7E8EB2DE">
      <w:pPr>
        <w:pStyle w:val="31"/>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②选矿废水处置设施发生故障。</w:t>
      </w:r>
    </w:p>
    <w:p w14:paraId="59CBA56F">
      <w:pPr>
        <w:pStyle w:val="31"/>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选矿废水主要污染物为</w:t>
      </w:r>
      <w:r>
        <w:rPr>
          <w:rFonts w:hint="eastAsia"/>
          <w:color w:val="000000" w:themeColor="text1"/>
          <w:sz w:val="24"/>
          <w:highlight w:val="none"/>
          <w14:textFill>
            <w14:solidFill>
              <w14:schemeClr w14:val="tx1"/>
            </w14:solidFill>
          </w14:textFill>
        </w:rPr>
        <w:t>pH、COD、SS及少量金属等</w:t>
      </w:r>
      <w:r>
        <w:rPr>
          <w:color w:val="000000" w:themeColor="text1"/>
          <w:sz w:val="24"/>
          <w:highlight w:val="none"/>
          <w14:textFill>
            <w14:solidFill>
              <w14:schemeClr w14:val="tx1"/>
            </w14:solidFill>
          </w14:textFill>
        </w:rPr>
        <w:t>，并且</w:t>
      </w:r>
      <w:r>
        <w:rPr>
          <w:color w:val="000000" w:themeColor="text1"/>
          <w:kern w:val="0"/>
          <w:sz w:val="24"/>
          <w:highlight w:val="none"/>
          <w14:textFill>
            <w14:solidFill>
              <w14:schemeClr w14:val="tx1"/>
            </w14:solidFill>
          </w14:textFill>
        </w:rPr>
        <w:t>非正常工况下选矿水溢出时立即停止生产，溢出水排入车间排水沟，最终由车间回水泵排入选矿车间外</w:t>
      </w:r>
      <w:r>
        <w:rPr>
          <w:rFonts w:hint="eastAsia"/>
          <w:color w:val="000000" w:themeColor="text1"/>
          <w:kern w:val="0"/>
          <w:sz w:val="24"/>
          <w:highlight w:val="none"/>
          <w14:textFill>
            <w14:solidFill>
              <w14:schemeClr w14:val="tx1"/>
            </w14:solidFill>
          </w14:textFill>
        </w:rPr>
        <w:t>的回水池，</w:t>
      </w:r>
      <w:r>
        <w:rPr>
          <w:color w:val="000000" w:themeColor="text1"/>
          <w:kern w:val="0"/>
          <w:sz w:val="24"/>
          <w:highlight w:val="none"/>
          <w14:textFill>
            <w14:solidFill>
              <w14:schemeClr w14:val="tx1"/>
            </w14:solidFill>
          </w14:textFill>
        </w:rPr>
        <w:t>保证不外排</w:t>
      </w:r>
      <w:r>
        <w:rPr>
          <w:color w:val="000000" w:themeColor="text1"/>
          <w:sz w:val="24"/>
          <w:highlight w:val="none"/>
          <w14:textFill>
            <w14:solidFill>
              <w14:schemeClr w14:val="tx1"/>
            </w14:solidFill>
          </w14:textFill>
        </w:rPr>
        <w:t>。因此，</w:t>
      </w:r>
      <w:r>
        <w:rPr>
          <w:color w:val="000000" w:themeColor="text1"/>
          <w:kern w:val="0"/>
          <w:sz w:val="24"/>
          <w:highlight w:val="none"/>
          <w14:textFill>
            <w14:solidFill>
              <w14:schemeClr w14:val="tx1"/>
            </w14:solidFill>
          </w14:textFill>
        </w:rPr>
        <w:t>非正常工况下选矿废水溢出概率较小。</w:t>
      </w:r>
    </w:p>
    <w:p w14:paraId="6C59ECBA">
      <w:pPr>
        <w:pStyle w:val="31"/>
        <w:overflowPunct w:val="0"/>
        <w:topLinePunct/>
        <w:spacing w:after="0"/>
        <w:ind w:left="0" w:leftChars="0" w:firstLine="48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本项目假定非正常工况下为排放量较大的除尘系统发生故障，且发生故障时未及时停车检修</w:t>
      </w:r>
      <w:r>
        <w:rPr>
          <w:rFonts w:hint="eastAsia"/>
          <w:color w:val="000000" w:themeColor="text1"/>
          <w:kern w:val="0"/>
          <w:sz w:val="24"/>
          <w:highlight w:val="none"/>
          <w:lang w:eastAsia="zh-CN"/>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故障时间1h</w:t>
      </w:r>
      <w:r>
        <w:rPr>
          <w:color w:val="000000" w:themeColor="text1"/>
          <w:kern w:val="0"/>
          <w:sz w:val="24"/>
          <w:highlight w:val="none"/>
          <w14:textFill>
            <w14:solidFill>
              <w14:schemeClr w14:val="tx1"/>
            </w14:solidFill>
          </w14:textFill>
        </w:rPr>
        <w:t>。非正常工段粉尘排放统计见表3.4</w:t>
      </w:r>
      <w:r>
        <w:rPr>
          <w:rFonts w:hint="eastAsia"/>
          <w:color w:val="000000" w:themeColor="text1"/>
          <w:kern w:val="0"/>
          <w:sz w:val="24"/>
          <w:highlight w:val="none"/>
          <w14:textFill>
            <w14:solidFill>
              <w14:schemeClr w14:val="tx1"/>
            </w14:solidFill>
          </w14:textFill>
        </w:rPr>
        <w:t>-1</w:t>
      </w:r>
      <w:r>
        <w:rPr>
          <w:rFonts w:hint="eastAsia"/>
          <w:color w:val="000000" w:themeColor="text1"/>
          <w:kern w:val="0"/>
          <w:sz w:val="24"/>
          <w:highlight w:val="none"/>
          <w:lang w:val="en-US" w:eastAsia="zh-CN"/>
          <w14:textFill>
            <w14:solidFill>
              <w14:schemeClr w14:val="tx1"/>
            </w14:solidFill>
          </w14:textFill>
        </w:rPr>
        <w:t>3</w:t>
      </w:r>
      <w:r>
        <w:rPr>
          <w:color w:val="000000" w:themeColor="text1"/>
          <w:kern w:val="0"/>
          <w:sz w:val="24"/>
          <w:highlight w:val="none"/>
          <w14:textFill>
            <w14:solidFill>
              <w14:schemeClr w14:val="tx1"/>
            </w14:solidFill>
          </w14:textFill>
        </w:rPr>
        <w:t>。</w:t>
      </w:r>
    </w:p>
    <w:p w14:paraId="70BDBA44">
      <w:pPr>
        <w:ind w:firstLine="0" w:firstLineChars="0"/>
        <w:jc w:val="center"/>
        <w:rPr>
          <w:b/>
          <w:color w:val="000000" w:themeColor="text1"/>
          <w:kern w:val="0"/>
          <w:highlight w:val="none"/>
          <w14:textFill>
            <w14:solidFill>
              <w14:schemeClr w14:val="tx1"/>
            </w14:solidFill>
          </w14:textFill>
        </w:rPr>
      </w:pPr>
      <w:r>
        <w:rPr>
          <w:rFonts w:hint="eastAsia"/>
          <w:b/>
          <w:color w:val="000000" w:themeColor="text1"/>
          <w:kern w:val="0"/>
          <w:highlight w:val="none"/>
          <w14:textFill>
            <w14:solidFill>
              <w14:schemeClr w14:val="tx1"/>
            </w14:solidFill>
          </w14:textFill>
        </w:rPr>
        <w:t>表</w:t>
      </w:r>
      <w:r>
        <w:rPr>
          <w:b/>
          <w:color w:val="000000" w:themeColor="text1"/>
          <w:kern w:val="0"/>
          <w:highlight w:val="none"/>
          <w14:textFill>
            <w14:solidFill>
              <w14:schemeClr w14:val="tx1"/>
            </w14:solidFill>
          </w14:textFill>
        </w:rPr>
        <w:t>3.4-</w:t>
      </w:r>
      <w:r>
        <w:rPr>
          <w:rFonts w:hint="eastAsia"/>
          <w:b/>
          <w:color w:val="000000" w:themeColor="text1"/>
          <w:kern w:val="0"/>
          <w:highlight w:val="none"/>
          <w14:textFill>
            <w14:solidFill>
              <w14:schemeClr w14:val="tx1"/>
            </w14:solidFill>
          </w14:textFill>
        </w:rPr>
        <w:t>1</w:t>
      </w:r>
      <w:r>
        <w:rPr>
          <w:rFonts w:hint="eastAsia"/>
          <w:b/>
          <w:color w:val="000000" w:themeColor="text1"/>
          <w:kern w:val="0"/>
          <w:highlight w:val="none"/>
          <w:lang w:val="en-US" w:eastAsia="zh-CN"/>
          <w14:textFill>
            <w14:solidFill>
              <w14:schemeClr w14:val="tx1"/>
            </w14:solidFill>
          </w14:textFill>
        </w:rPr>
        <w:t>3</w:t>
      </w:r>
      <w:r>
        <w:rPr>
          <w:b/>
          <w:color w:val="000000" w:themeColor="text1"/>
          <w:kern w:val="0"/>
          <w:highlight w:val="none"/>
          <w14:textFill>
            <w14:solidFill>
              <w14:schemeClr w14:val="tx1"/>
            </w14:solidFill>
          </w14:textFill>
        </w:rPr>
        <w:t xml:space="preserve">   </w:t>
      </w:r>
      <w:r>
        <w:rPr>
          <w:rFonts w:hint="eastAsia"/>
          <w:b/>
          <w:color w:val="000000" w:themeColor="text1"/>
          <w:kern w:val="0"/>
          <w:highlight w:val="none"/>
          <w14:textFill>
            <w14:solidFill>
              <w14:schemeClr w14:val="tx1"/>
            </w14:solidFill>
          </w14:textFill>
        </w:rPr>
        <w:t>非正常工况大气污染物排放情况</w:t>
      </w:r>
    </w:p>
    <w:tbl>
      <w:tblPr>
        <w:tblStyle w:val="32"/>
        <w:tblW w:w="501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83"/>
        <w:gridCol w:w="931"/>
        <w:gridCol w:w="585"/>
        <w:gridCol w:w="706"/>
        <w:gridCol w:w="1023"/>
        <w:gridCol w:w="861"/>
        <w:gridCol w:w="1023"/>
        <w:gridCol w:w="838"/>
        <w:gridCol w:w="821"/>
        <w:gridCol w:w="684"/>
        <w:gridCol w:w="600"/>
      </w:tblGrid>
      <w:tr w14:paraId="64D10B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05" w:hRule="atLeast"/>
          <w:tblHeader/>
          <w:jc w:val="center"/>
        </w:trPr>
        <w:tc>
          <w:tcPr>
            <w:tcW w:w="726" w:type="pct"/>
            <w:gridSpan w:val="2"/>
            <w:vAlign w:val="center"/>
          </w:tcPr>
          <w:p w14:paraId="2D2A244A">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排放源</w:t>
            </w:r>
          </w:p>
        </w:tc>
        <w:tc>
          <w:tcPr>
            <w:tcW w:w="350" w:type="pct"/>
            <w:vAlign w:val="center"/>
          </w:tcPr>
          <w:p w14:paraId="47BD7DC5">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污染物名称</w:t>
            </w:r>
          </w:p>
        </w:tc>
        <w:tc>
          <w:tcPr>
            <w:tcW w:w="422" w:type="pct"/>
            <w:vAlign w:val="center"/>
          </w:tcPr>
          <w:p w14:paraId="3A530FED">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除尘器处理效率</w:t>
            </w:r>
          </w:p>
        </w:tc>
        <w:tc>
          <w:tcPr>
            <w:tcW w:w="612" w:type="pct"/>
            <w:vAlign w:val="center"/>
          </w:tcPr>
          <w:p w14:paraId="67855ED3">
            <w:pPr>
              <w:spacing w:line="360" w:lineRule="exact"/>
              <w:ind w:firstLine="0" w:firstLineChars="0"/>
              <w:jc w:val="center"/>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产生浓度</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mg/m</w:t>
            </w:r>
            <w:r>
              <w:rPr>
                <w:rFonts w:hint="eastAsia"/>
                <w:b/>
                <w:bCs/>
                <w:color w:val="000000" w:themeColor="text1"/>
                <w:sz w:val="21"/>
                <w:szCs w:val="21"/>
                <w:highlight w:val="none"/>
                <w:vertAlign w:val="superscript"/>
                <w:lang w:val="en-US" w:eastAsia="zh-CN"/>
                <w14:textFill>
                  <w14:solidFill>
                    <w14:schemeClr w14:val="tx1"/>
                  </w14:solidFill>
                </w14:textFill>
              </w:rPr>
              <w:t>3</w:t>
            </w:r>
            <w:r>
              <w:rPr>
                <w:rFonts w:hint="eastAsia"/>
                <w:b/>
                <w:bCs/>
                <w:color w:val="000000" w:themeColor="text1"/>
                <w:sz w:val="21"/>
                <w:szCs w:val="21"/>
                <w:highlight w:val="none"/>
                <w:lang w:eastAsia="zh-CN"/>
                <w14:textFill>
                  <w14:solidFill>
                    <w14:schemeClr w14:val="tx1"/>
                  </w14:solidFill>
                </w14:textFill>
              </w:rPr>
              <w:t>）</w:t>
            </w:r>
          </w:p>
        </w:tc>
        <w:tc>
          <w:tcPr>
            <w:tcW w:w="515" w:type="pct"/>
            <w:vAlign w:val="center"/>
          </w:tcPr>
          <w:p w14:paraId="0E9F93AD">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产生</w:t>
            </w:r>
            <w:r>
              <w:rPr>
                <w:rFonts w:hint="eastAsia"/>
                <w:b/>
                <w:bCs/>
                <w:color w:val="000000" w:themeColor="text1"/>
                <w:sz w:val="21"/>
                <w:szCs w:val="21"/>
                <w:highlight w:val="none"/>
                <w:lang w:val="en-US" w:eastAsia="zh-CN"/>
                <w14:textFill>
                  <w14:solidFill>
                    <w14:schemeClr w14:val="tx1"/>
                  </w14:solidFill>
                </w14:textFill>
              </w:rPr>
              <w:t>速率（kg/h）</w:t>
            </w:r>
          </w:p>
        </w:tc>
        <w:tc>
          <w:tcPr>
            <w:tcW w:w="612" w:type="pct"/>
            <w:vAlign w:val="center"/>
          </w:tcPr>
          <w:p w14:paraId="009C817F">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排放浓度</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mg/m</w:t>
            </w:r>
            <w:r>
              <w:rPr>
                <w:rFonts w:hint="eastAsia"/>
                <w:b/>
                <w:bCs/>
                <w:color w:val="000000" w:themeColor="text1"/>
                <w:sz w:val="21"/>
                <w:szCs w:val="21"/>
                <w:highlight w:val="none"/>
                <w:vertAlign w:val="superscript"/>
                <w:lang w:val="en-US" w:eastAsia="zh-CN"/>
                <w14:textFill>
                  <w14:solidFill>
                    <w14:schemeClr w14:val="tx1"/>
                  </w14:solidFill>
                </w14:textFill>
              </w:rPr>
              <w:t>3</w:t>
            </w:r>
            <w:r>
              <w:rPr>
                <w:rFonts w:hint="eastAsia"/>
                <w:b/>
                <w:bCs/>
                <w:color w:val="000000" w:themeColor="text1"/>
                <w:sz w:val="21"/>
                <w:szCs w:val="21"/>
                <w:highlight w:val="none"/>
                <w:lang w:eastAsia="zh-CN"/>
                <w14:textFill>
                  <w14:solidFill>
                    <w14:schemeClr w14:val="tx1"/>
                  </w14:solidFill>
                </w14:textFill>
              </w:rPr>
              <w:t>）</w:t>
            </w:r>
          </w:p>
        </w:tc>
        <w:tc>
          <w:tcPr>
            <w:tcW w:w="501" w:type="pct"/>
            <w:vAlign w:val="center"/>
          </w:tcPr>
          <w:p w14:paraId="5228F9CB">
            <w:pPr>
              <w:spacing w:line="360" w:lineRule="exact"/>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w:t>
            </w:r>
            <w:r>
              <w:rPr>
                <w:rFonts w:hint="eastAsia"/>
                <w:b/>
                <w:bCs/>
                <w:color w:val="000000" w:themeColor="text1"/>
                <w:sz w:val="21"/>
                <w:szCs w:val="21"/>
                <w:highlight w:val="none"/>
                <w:lang w:val="en-US" w:eastAsia="zh-CN"/>
                <w14:textFill>
                  <w14:solidFill>
                    <w14:schemeClr w14:val="tx1"/>
                  </w14:solidFill>
                </w14:textFill>
              </w:rPr>
              <w:t>速率（kg/h）</w:t>
            </w:r>
          </w:p>
        </w:tc>
        <w:tc>
          <w:tcPr>
            <w:tcW w:w="491" w:type="pct"/>
            <w:vAlign w:val="center"/>
          </w:tcPr>
          <w:p w14:paraId="43AB30AE">
            <w:pPr>
              <w:spacing w:line="360" w:lineRule="exact"/>
              <w:ind w:firstLine="0" w:firstLineChars="0"/>
              <w:jc w:val="center"/>
              <w:rPr>
                <w:rFonts w:hint="default"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年发生频次</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（次）</w:t>
            </w:r>
          </w:p>
        </w:tc>
        <w:tc>
          <w:tcPr>
            <w:tcW w:w="409" w:type="pct"/>
            <w:vAlign w:val="center"/>
          </w:tcPr>
          <w:p w14:paraId="784B93F9">
            <w:pPr>
              <w:spacing w:line="360" w:lineRule="exact"/>
              <w:ind w:firstLine="0" w:firstLineChars="0"/>
              <w:jc w:val="center"/>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持续时间（h）</w:t>
            </w:r>
          </w:p>
        </w:tc>
        <w:tc>
          <w:tcPr>
            <w:tcW w:w="359" w:type="pct"/>
            <w:vAlign w:val="center"/>
          </w:tcPr>
          <w:p w14:paraId="59B56E54">
            <w:pPr>
              <w:spacing w:line="360" w:lineRule="exact"/>
              <w:ind w:firstLine="0" w:firstLineChars="0"/>
              <w:jc w:val="center"/>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排放量（t）</w:t>
            </w:r>
          </w:p>
        </w:tc>
      </w:tr>
      <w:tr w14:paraId="401F3C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28" w:hRule="atLeast"/>
          <w:jc w:val="center"/>
        </w:trPr>
        <w:tc>
          <w:tcPr>
            <w:tcW w:w="169" w:type="pct"/>
            <w:vMerge w:val="restart"/>
            <w:vAlign w:val="center"/>
          </w:tcPr>
          <w:p w14:paraId="299591C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有组织</w:t>
            </w:r>
          </w:p>
        </w:tc>
        <w:tc>
          <w:tcPr>
            <w:tcW w:w="556" w:type="pct"/>
            <w:vAlign w:val="center"/>
          </w:tcPr>
          <w:p w14:paraId="415C7DDB">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袋式除尘器排气筒</w:t>
            </w:r>
            <w:r>
              <w:rPr>
                <w:rFonts w:hint="eastAsia"/>
                <w:color w:val="000000" w:themeColor="text1"/>
                <w:sz w:val="21"/>
                <w:szCs w:val="21"/>
                <w:highlight w:val="none"/>
                <w:lang w:val="en-US" w:eastAsia="zh-CN"/>
                <w14:textFill>
                  <w14:solidFill>
                    <w14:schemeClr w14:val="tx1"/>
                  </w14:solidFill>
                </w14:textFill>
              </w:rPr>
              <w:t>DA001</w:t>
            </w:r>
          </w:p>
        </w:tc>
        <w:tc>
          <w:tcPr>
            <w:tcW w:w="350" w:type="pct"/>
            <w:vAlign w:val="center"/>
          </w:tcPr>
          <w:p w14:paraId="3550FD48">
            <w:pPr>
              <w:spacing w:line="360" w:lineRule="exact"/>
              <w:ind w:left="0" w:leftChars="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422" w:type="pct"/>
            <w:vAlign w:val="center"/>
          </w:tcPr>
          <w:p w14:paraId="039FCEC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1019" w:type="dxa"/>
            <w:vAlign w:val="center"/>
          </w:tcPr>
          <w:p w14:paraId="02378567">
            <w:pPr>
              <w:autoSpaceDE w:val="0"/>
              <w:autoSpaceDN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1034.69</w:t>
            </w:r>
          </w:p>
        </w:tc>
        <w:tc>
          <w:tcPr>
            <w:tcW w:w="859" w:type="dxa"/>
            <w:vAlign w:val="center"/>
          </w:tcPr>
          <w:p w14:paraId="264C42C2">
            <w:pPr>
              <w:autoSpaceDE w:val="0"/>
              <w:autoSpaceDN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62.08</w:t>
            </w:r>
          </w:p>
        </w:tc>
        <w:tc>
          <w:tcPr>
            <w:tcW w:w="1019" w:type="dxa"/>
            <w:vAlign w:val="center"/>
          </w:tcPr>
          <w:p w14:paraId="4D9B6AB7">
            <w:pPr>
              <w:autoSpaceDE w:val="0"/>
              <w:autoSpaceDN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1034.69</w:t>
            </w:r>
          </w:p>
        </w:tc>
        <w:tc>
          <w:tcPr>
            <w:tcW w:w="835" w:type="dxa"/>
            <w:vAlign w:val="center"/>
          </w:tcPr>
          <w:p w14:paraId="72AB0EB8">
            <w:pPr>
              <w:autoSpaceDE w:val="0"/>
              <w:autoSpaceDN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62.08</w:t>
            </w:r>
          </w:p>
        </w:tc>
        <w:tc>
          <w:tcPr>
            <w:tcW w:w="491" w:type="pct"/>
            <w:vAlign w:val="center"/>
          </w:tcPr>
          <w:p w14:paraId="32D28EF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409" w:type="pct"/>
            <w:vAlign w:val="center"/>
          </w:tcPr>
          <w:p w14:paraId="60037CF1">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359" w:type="pct"/>
            <w:vAlign w:val="center"/>
          </w:tcPr>
          <w:p w14:paraId="60CECCBF">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0.062</w:t>
            </w:r>
          </w:p>
        </w:tc>
      </w:tr>
      <w:tr w14:paraId="63DFA1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28" w:hRule="atLeast"/>
          <w:jc w:val="center"/>
        </w:trPr>
        <w:tc>
          <w:tcPr>
            <w:tcW w:w="169" w:type="pct"/>
            <w:vMerge w:val="continue"/>
            <w:vAlign w:val="center"/>
          </w:tcPr>
          <w:p w14:paraId="63544A5D">
            <w:pPr>
              <w:spacing w:line="360" w:lineRule="exact"/>
              <w:ind w:firstLine="0" w:firstLineChars="0"/>
              <w:jc w:val="center"/>
              <w:rPr>
                <w:color w:val="000000" w:themeColor="text1"/>
                <w:sz w:val="21"/>
                <w:szCs w:val="21"/>
                <w:highlight w:val="none"/>
                <w14:textFill>
                  <w14:solidFill>
                    <w14:schemeClr w14:val="tx1"/>
                  </w14:solidFill>
                </w14:textFill>
              </w:rPr>
            </w:pPr>
          </w:p>
        </w:tc>
        <w:tc>
          <w:tcPr>
            <w:tcW w:w="556" w:type="pct"/>
            <w:vAlign w:val="center"/>
          </w:tcPr>
          <w:p w14:paraId="53E6B0B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袋式除尘器排气筒</w:t>
            </w:r>
            <w:r>
              <w:rPr>
                <w:rFonts w:hint="eastAsia"/>
                <w:color w:val="000000" w:themeColor="text1"/>
                <w:sz w:val="21"/>
                <w:szCs w:val="21"/>
                <w:highlight w:val="none"/>
                <w:lang w:val="en-US" w:eastAsia="zh-CN"/>
                <w14:textFill>
                  <w14:solidFill>
                    <w14:schemeClr w14:val="tx1"/>
                  </w14:solidFill>
                </w14:textFill>
              </w:rPr>
              <w:t>DA00</w:t>
            </w:r>
            <w:r>
              <w:rPr>
                <w:rFonts w:hint="eastAsia"/>
                <w:color w:val="000000" w:themeColor="text1"/>
                <w:sz w:val="21"/>
                <w:szCs w:val="21"/>
                <w:highlight w:val="none"/>
                <w14:textFill>
                  <w14:solidFill>
                    <w14:schemeClr w14:val="tx1"/>
                  </w14:solidFill>
                </w14:textFill>
              </w:rPr>
              <w:t>2</w:t>
            </w:r>
          </w:p>
        </w:tc>
        <w:tc>
          <w:tcPr>
            <w:tcW w:w="350" w:type="pct"/>
            <w:vAlign w:val="center"/>
          </w:tcPr>
          <w:p w14:paraId="61BC06DE">
            <w:pPr>
              <w:spacing w:line="360" w:lineRule="exact"/>
              <w:ind w:left="0" w:leftChars="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422" w:type="pct"/>
            <w:vAlign w:val="center"/>
          </w:tcPr>
          <w:p w14:paraId="797E5277">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1019" w:type="dxa"/>
            <w:vAlign w:val="center"/>
          </w:tcPr>
          <w:p w14:paraId="5212266B">
            <w:pPr>
              <w:autoSpaceDE w:val="0"/>
              <w:autoSpaceDN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2012.38</w:t>
            </w:r>
          </w:p>
        </w:tc>
        <w:tc>
          <w:tcPr>
            <w:tcW w:w="859" w:type="dxa"/>
            <w:vAlign w:val="center"/>
          </w:tcPr>
          <w:p w14:paraId="1E744387">
            <w:pPr>
              <w:autoSpaceDE w:val="0"/>
              <w:autoSpaceDN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160.99</w:t>
            </w:r>
          </w:p>
        </w:tc>
        <w:tc>
          <w:tcPr>
            <w:tcW w:w="1019" w:type="dxa"/>
            <w:vAlign w:val="center"/>
          </w:tcPr>
          <w:p w14:paraId="0112DFB4">
            <w:pPr>
              <w:autoSpaceDE w:val="0"/>
              <w:autoSpaceDN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2012.38</w:t>
            </w:r>
          </w:p>
        </w:tc>
        <w:tc>
          <w:tcPr>
            <w:tcW w:w="835" w:type="dxa"/>
            <w:vAlign w:val="center"/>
          </w:tcPr>
          <w:p w14:paraId="5719202A">
            <w:pPr>
              <w:autoSpaceDE w:val="0"/>
              <w:autoSpaceDN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160.99</w:t>
            </w:r>
          </w:p>
        </w:tc>
        <w:tc>
          <w:tcPr>
            <w:tcW w:w="491" w:type="pct"/>
            <w:vAlign w:val="center"/>
          </w:tcPr>
          <w:p w14:paraId="60FE7C31">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409" w:type="pct"/>
            <w:vAlign w:val="center"/>
          </w:tcPr>
          <w:p w14:paraId="2E4D9E7B">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359" w:type="pct"/>
            <w:vAlign w:val="center"/>
          </w:tcPr>
          <w:p w14:paraId="56C201E7">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0.161</w:t>
            </w:r>
          </w:p>
        </w:tc>
      </w:tr>
    </w:tbl>
    <w:p w14:paraId="53A67521">
      <w:pPr>
        <w:pStyle w:val="3"/>
        <w:rPr>
          <w:color w:val="000000" w:themeColor="text1"/>
          <w:highlight w:val="none"/>
          <w14:textFill>
            <w14:solidFill>
              <w14:schemeClr w14:val="tx1"/>
            </w14:solidFill>
          </w14:textFill>
        </w:rPr>
      </w:pPr>
      <w:bookmarkStart w:id="532" w:name="_Toc107414657"/>
      <w:bookmarkStart w:id="533" w:name="_Toc107413890"/>
      <w:bookmarkStart w:id="534" w:name="_Toc6277"/>
      <w:bookmarkStart w:id="535" w:name="_Toc24518"/>
      <w:bookmarkStart w:id="536" w:name="_Toc28605"/>
      <w:bookmarkStart w:id="537" w:name="_Toc21356"/>
      <w:bookmarkStart w:id="538" w:name="_Toc24211"/>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清洁生产分析</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DA95D52">
      <w:pPr>
        <w:pStyle w:val="31"/>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清洁生产是指不断采取改进设计、使用清洁的能源和原料、采用先进的工艺技术与合理的综合利用等措施，从源头削减污染，提高资源利用率，减少或者避免生产、服务和产品使用过程中污染物的产生和排放，以减轻或者消除对人类健康和环境的危害。《中华人民共和国清洁生产促进法》第十八条要求“新建、改建和扩建项目应当进行环境影响评价，对原料使用、资源消耗、资源综合利用以及处置等进行分析论证。优先采用资源利用率高，污染物产生量少的清洁生产技术、工艺和设备”。</w:t>
      </w:r>
    </w:p>
    <w:p w14:paraId="4CB45B45">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.1清洁生产水平</w:t>
      </w:r>
      <w:r>
        <w:rPr>
          <w:rFonts w:hint="eastAsia"/>
          <w:color w:val="000000" w:themeColor="text1"/>
          <w:highlight w:val="none"/>
          <w14:textFill>
            <w14:solidFill>
              <w14:schemeClr w14:val="tx1"/>
            </w14:solidFill>
          </w14:textFill>
        </w:rPr>
        <w:t>控制</w:t>
      </w:r>
      <w:r>
        <w:rPr>
          <w:color w:val="000000" w:themeColor="text1"/>
          <w:highlight w:val="none"/>
          <w14:textFill>
            <w14:solidFill>
              <w14:schemeClr w14:val="tx1"/>
            </w14:solidFill>
          </w14:textFill>
        </w:rPr>
        <w:t>指标</w:t>
      </w:r>
    </w:p>
    <w:p w14:paraId="40036FC2">
      <w:pPr>
        <w:pStyle w:val="31"/>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w:t>
      </w:r>
      <w:r>
        <w:rPr>
          <w:color w:val="000000" w:themeColor="text1"/>
          <w:sz w:val="24"/>
          <w:highlight w:val="none"/>
          <w14:textFill>
            <w14:solidFill>
              <w14:schemeClr w14:val="tx1"/>
            </w14:solidFill>
          </w14:textFill>
        </w:rPr>
        <w:t>《清洁生产标准 铁矿采选业》（HJ/T294-2006）</w:t>
      </w:r>
      <w:r>
        <w:rPr>
          <w:rFonts w:hint="eastAsia"/>
          <w:color w:val="000000" w:themeColor="text1"/>
          <w:sz w:val="24"/>
          <w:highlight w:val="none"/>
          <w14:textFill>
            <w14:solidFill>
              <w14:schemeClr w14:val="tx1"/>
            </w14:solidFill>
          </w14:textFill>
        </w:rPr>
        <w:t>，按照清洁生产的一般要求，同时</w:t>
      </w:r>
      <w:r>
        <w:rPr>
          <w:rFonts w:hint="eastAsia"/>
          <w:color w:val="000000" w:themeColor="text1"/>
          <w:sz w:val="24"/>
          <w:highlight w:val="none"/>
          <w:lang w:eastAsia="zh-CN"/>
          <w14:textFill>
            <w14:solidFill>
              <w14:schemeClr w14:val="tx1"/>
            </w14:solidFill>
          </w14:textFill>
        </w:rPr>
        <w:t>考虑</w:t>
      </w:r>
      <w:r>
        <w:rPr>
          <w:rFonts w:hint="eastAsia"/>
          <w:color w:val="000000" w:themeColor="text1"/>
          <w:sz w:val="24"/>
          <w:highlight w:val="none"/>
          <w14:textFill>
            <w14:solidFill>
              <w14:schemeClr w14:val="tx1"/>
            </w14:solidFill>
          </w14:textFill>
        </w:rPr>
        <w:t>铁矿采选行业的特点，从装备要求、资源能源利用指标、污染物产量指标、废物回收利用指标和环境管理要求5个指标分析论证项目清洁生产水平。</w:t>
      </w:r>
    </w:p>
    <w:p w14:paraId="19B2D812">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与行业标准对比分析</w:t>
      </w:r>
    </w:p>
    <w:p w14:paraId="490EF160">
      <w:pPr>
        <w:pStyle w:val="31"/>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项目与《清洁生产标准 铁矿采选业》（HJ/T294-2006）进行对比分析，分析结果见表3</w:t>
      </w:r>
      <w:r>
        <w:rPr>
          <w:color w:val="000000" w:themeColor="text1"/>
          <w:sz w:val="24"/>
          <w:highlight w:val="none"/>
          <w14:textFill>
            <w14:solidFill>
              <w14:schemeClr w14:val="tx1"/>
            </w14:solidFill>
          </w14:textFill>
        </w:rPr>
        <w:t>.5-1</w:t>
      </w:r>
      <w:r>
        <w:rPr>
          <w:rFonts w:hint="eastAsia"/>
          <w:color w:val="000000" w:themeColor="text1"/>
          <w:sz w:val="24"/>
          <w:highlight w:val="none"/>
          <w14:textFill>
            <w14:solidFill>
              <w14:schemeClr w14:val="tx1"/>
            </w14:solidFill>
          </w14:textFill>
        </w:rPr>
        <w:t>。根据对比，项目</w:t>
      </w:r>
      <w:r>
        <w:rPr>
          <w:rFonts w:hint="eastAsia"/>
          <w:color w:val="000000" w:themeColor="text1"/>
          <w:sz w:val="24"/>
          <w:highlight w:val="none"/>
          <w:lang w:eastAsia="zh-CN"/>
          <w14:textFill>
            <w14:solidFill>
              <w14:schemeClr w14:val="tx1"/>
            </w14:solidFill>
          </w14:textFill>
        </w:rPr>
        <w:t>采用</w:t>
      </w:r>
      <w:r>
        <w:rPr>
          <w:rFonts w:hint="eastAsia"/>
          <w:color w:val="000000" w:themeColor="text1"/>
          <w:sz w:val="24"/>
          <w:highlight w:val="none"/>
          <w14:textFill>
            <w14:solidFill>
              <w14:schemeClr w14:val="tx1"/>
            </w14:solidFill>
          </w14:textFill>
        </w:rPr>
        <w:t>国内传统工艺，技术较为成熟，清洁生产水平较高，属于国内先进水平。</w:t>
      </w:r>
    </w:p>
    <w:p w14:paraId="761B9D71">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.3清洁生产水平</w:t>
      </w:r>
      <w:r>
        <w:rPr>
          <w:rFonts w:hint="eastAsia"/>
          <w:color w:val="000000" w:themeColor="text1"/>
          <w:highlight w:val="none"/>
          <w14:textFill>
            <w14:solidFill>
              <w14:schemeClr w14:val="tx1"/>
            </w14:solidFill>
          </w14:textFill>
        </w:rPr>
        <w:t>分析</w:t>
      </w:r>
    </w:p>
    <w:p w14:paraId="041339EF">
      <w:pPr>
        <w:pStyle w:val="31"/>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本次评价的清洁生产指标选用《清洁生产标准 铁矿采选业》（HJ/T294-2006）。具体内容见表3.</w:t>
      </w:r>
      <w:r>
        <w:rPr>
          <w:rFonts w:hint="eastAsia"/>
          <w:color w:val="000000" w:themeColor="text1"/>
          <w:sz w:val="24"/>
          <w:highlight w:val="none"/>
          <w14:textFill>
            <w14:solidFill>
              <w14:schemeClr w14:val="tx1"/>
            </w14:solidFill>
          </w14:textFill>
        </w:rPr>
        <w:t>5</w:t>
      </w:r>
      <w:r>
        <w:rPr>
          <w:color w:val="000000" w:themeColor="text1"/>
          <w:sz w:val="24"/>
          <w:highlight w:val="none"/>
          <w14:textFill>
            <w14:solidFill>
              <w14:schemeClr w14:val="tx1"/>
            </w14:solidFill>
          </w14:textFill>
        </w:rPr>
        <w:t>-1。</w:t>
      </w:r>
    </w:p>
    <w:p w14:paraId="0B87EFEA">
      <w:pPr>
        <w:ind w:firstLine="0" w:firstLineChars="0"/>
        <w:jc w:val="center"/>
        <w:rPr>
          <w:b/>
          <w:color w:val="000000" w:themeColor="text1"/>
          <w:kern w:val="0"/>
          <w:highlight w:val="none"/>
          <w14:textFill>
            <w14:solidFill>
              <w14:schemeClr w14:val="tx1"/>
            </w14:solidFill>
          </w14:textFill>
        </w:rPr>
      </w:pPr>
      <w:r>
        <w:rPr>
          <w:b/>
          <w:color w:val="000000" w:themeColor="text1"/>
          <w:kern w:val="0"/>
          <w:highlight w:val="none"/>
          <w14:textFill>
            <w14:solidFill>
              <w14:schemeClr w14:val="tx1"/>
            </w14:solidFill>
          </w14:textFill>
        </w:rPr>
        <w:t>表3.</w:t>
      </w:r>
      <w:r>
        <w:rPr>
          <w:rFonts w:hint="eastAsia"/>
          <w:b/>
          <w:color w:val="000000" w:themeColor="text1"/>
          <w:kern w:val="0"/>
          <w:highlight w:val="none"/>
          <w14:textFill>
            <w14:solidFill>
              <w14:schemeClr w14:val="tx1"/>
            </w14:solidFill>
          </w14:textFill>
        </w:rPr>
        <w:t>5</w:t>
      </w:r>
      <w:r>
        <w:rPr>
          <w:b/>
          <w:color w:val="000000" w:themeColor="text1"/>
          <w:kern w:val="0"/>
          <w:highlight w:val="none"/>
          <w14:textFill>
            <w14:solidFill>
              <w14:schemeClr w14:val="tx1"/>
            </w14:solidFill>
          </w14:textFill>
        </w:rPr>
        <w:t>-</w:t>
      </w:r>
      <w:r>
        <w:rPr>
          <w:rFonts w:hint="eastAsia"/>
          <w:b/>
          <w:color w:val="000000" w:themeColor="text1"/>
          <w:kern w:val="0"/>
          <w:highlight w:val="none"/>
          <w14:textFill>
            <w14:solidFill>
              <w14:schemeClr w14:val="tx1"/>
            </w14:solidFill>
          </w14:textFill>
        </w:rPr>
        <w:t>1</w:t>
      </w:r>
      <w:r>
        <w:rPr>
          <w:b/>
          <w:color w:val="000000" w:themeColor="text1"/>
          <w:kern w:val="0"/>
          <w:highlight w:val="none"/>
          <w14:textFill>
            <w14:solidFill>
              <w14:schemeClr w14:val="tx1"/>
            </w14:solidFill>
          </w14:textFill>
        </w:rPr>
        <w:t xml:space="preserve">    铁矿采选行业清洁生产标准（选矿类）</w:t>
      </w:r>
    </w:p>
    <w:tbl>
      <w:tblPr>
        <w:tblStyle w:val="32"/>
        <w:tblW w:w="91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32"/>
        <w:gridCol w:w="928"/>
        <w:gridCol w:w="7"/>
        <w:gridCol w:w="1751"/>
        <w:gridCol w:w="1987"/>
        <w:gridCol w:w="1822"/>
        <w:gridCol w:w="1134"/>
        <w:gridCol w:w="1169"/>
      </w:tblGrid>
      <w:tr w14:paraId="483FF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1267" w:type="dxa"/>
            <w:gridSpan w:val="3"/>
            <w:tcBorders>
              <w:tl2br w:val="nil"/>
              <w:tr2bl w:val="nil"/>
            </w:tcBorders>
            <w:vAlign w:val="center"/>
          </w:tcPr>
          <w:p w14:paraId="470EAD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b/>
                <w:bCs/>
                <w:color w:val="000000" w:themeColor="text1"/>
                <w:spacing w:val="0"/>
                <w:kern w:val="0"/>
                <w:sz w:val="21"/>
                <w:szCs w:val="21"/>
                <w:highlight w:val="none"/>
                <w14:textFill>
                  <w14:solidFill>
                    <w14:schemeClr w14:val="tx1"/>
                  </w14:solidFill>
                </w14:textFill>
              </w:rPr>
            </w:pPr>
            <w:r>
              <w:rPr>
                <w:rFonts w:ascii="Times New Roman" w:hAnsi="Times New Roman" w:eastAsia="宋体"/>
                <w:b/>
                <w:bCs/>
                <w:color w:val="000000" w:themeColor="text1"/>
                <w:spacing w:val="0"/>
                <w:kern w:val="0"/>
                <w:sz w:val="21"/>
                <w:szCs w:val="21"/>
                <w:highlight w:val="none"/>
                <w14:textFill>
                  <w14:solidFill>
                    <w14:schemeClr w14:val="tx1"/>
                  </w14:solidFill>
                </w14:textFill>
              </w:rPr>
              <w:t>指标</w:t>
            </w:r>
          </w:p>
        </w:tc>
        <w:tc>
          <w:tcPr>
            <w:tcW w:w="1751" w:type="dxa"/>
            <w:tcBorders>
              <w:tl2br w:val="nil"/>
              <w:tr2bl w:val="nil"/>
            </w:tcBorders>
            <w:vAlign w:val="center"/>
          </w:tcPr>
          <w:p w14:paraId="46A870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b/>
                <w:bCs/>
                <w:color w:val="000000" w:themeColor="text1"/>
                <w:spacing w:val="0"/>
                <w:kern w:val="0"/>
                <w:sz w:val="21"/>
                <w:szCs w:val="21"/>
                <w:highlight w:val="none"/>
                <w14:textFill>
                  <w14:solidFill>
                    <w14:schemeClr w14:val="tx1"/>
                  </w14:solidFill>
                </w14:textFill>
              </w:rPr>
            </w:pPr>
            <w:r>
              <w:rPr>
                <w:rFonts w:ascii="Times New Roman" w:hAnsi="Times New Roman" w:eastAsia="宋体"/>
                <w:b/>
                <w:bCs/>
                <w:color w:val="000000" w:themeColor="text1"/>
                <w:spacing w:val="0"/>
                <w:kern w:val="0"/>
                <w:sz w:val="21"/>
                <w:szCs w:val="21"/>
                <w:highlight w:val="none"/>
                <w14:textFill>
                  <w14:solidFill>
                    <w14:schemeClr w14:val="tx1"/>
                  </w14:solidFill>
                </w14:textFill>
              </w:rPr>
              <w:t>一级</w:t>
            </w:r>
          </w:p>
        </w:tc>
        <w:tc>
          <w:tcPr>
            <w:tcW w:w="1987" w:type="dxa"/>
            <w:tcBorders>
              <w:tl2br w:val="nil"/>
              <w:tr2bl w:val="nil"/>
            </w:tcBorders>
            <w:vAlign w:val="center"/>
          </w:tcPr>
          <w:p w14:paraId="1CBAE7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b/>
                <w:bCs/>
                <w:color w:val="000000" w:themeColor="text1"/>
                <w:spacing w:val="0"/>
                <w:kern w:val="0"/>
                <w:sz w:val="21"/>
                <w:szCs w:val="21"/>
                <w:highlight w:val="none"/>
                <w14:textFill>
                  <w14:solidFill>
                    <w14:schemeClr w14:val="tx1"/>
                  </w14:solidFill>
                </w14:textFill>
              </w:rPr>
            </w:pPr>
            <w:r>
              <w:rPr>
                <w:rFonts w:ascii="Times New Roman" w:hAnsi="Times New Roman" w:eastAsia="宋体"/>
                <w:b/>
                <w:bCs/>
                <w:color w:val="000000" w:themeColor="text1"/>
                <w:spacing w:val="0"/>
                <w:kern w:val="0"/>
                <w:sz w:val="21"/>
                <w:szCs w:val="21"/>
                <w:highlight w:val="none"/>
                <w14:textFill>
                  <w14:solidFill>
                    <w14:schemeClr w14:val="tx1"/>
                  </w14:solidFill>
                </w14:textFill>
              </w:rPr>
              <w:t>二级</w:t>
            </w:r>
          </w:p>
        </w:tc>
        <w:tc>
          <w:tcPr>
            <w:tcW w:w="1822" w:type="dxa"/>
            <w:tcBorders>
              <w:tl2br w:val="nil"/>
              <w:tr2bl w:val="nil"/>
            </w:tcBorders>
            <w:vAlign w:val="center"/>
          </w:tcPr>
          <w:p w14:paraId="4CE2C6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b/>
                <w:bCs/>
                <w:color w:val="000000" w:themeColor="text1"/>
                <w:spacing w:val="0"/>
                <w:kern w:val="0"/>
                <w:sz w:val="21"/>
                <w:szCs w:val="21"/>
                <w:highlight w:val="none"/>
                <w14:textFill>
                  <w14:solidFill>
                    <w14:schemeClr w14:val="tx1"/>
                  </w14:solidFill>
                </w14:textFill>
              </w:rPr>
            </w:pPr>
            <w:r>
              <w:rPr>
                <w:rFonts w:ascii="Times New Roman" w:hAnsi="Times New Roman" w:eastAsia="宋体"/>
                <w:b/>
                <w:bCs/>
                <w:color w:val="000000" w:themeColor="text1"/>
                <w:spacing w:val="0"/>
                <w:kern w:val="0"/>
                <w:sz w:val="21"/>
                <w:szCs w:val="21"/>
                <w:highlight w:val="none"/>
                <w14:textFill>
                  <w14:solidFill>
                    <w14:schemeClr w14:val="tx1"/>
                  </w14:solidFill>
                </w14:textFill>
              </w:rPr>
              <w:t>三级</w:t>
            </w:r>
          </w:p>
        </w:tc>
        <w:tc>
          <w:tcPr>
            <w:tcW w:w="1134" w:type="dxa"/>
            <w:tcBorders>
              <w:tl2br w:val="nil"/>
              <w:tr2bl w:val="nil"/>
            </w:tcBorders>
            <w:vAlign w:val="center"/>
          </w:tcPr>
          <w:p w14:paraId="7DEA71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b/>
                <w:bCs/>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b/>
                <w:bCs/>
                <w:color w:val="000000" w:themeColor="text1"/>
                <w:spacing w:val="0"/>
                <w:kern w:val="0"/>
                <w:sz w:val="21"/>
                <w:szCs w:val="21"/>
                <w:highlight w:val="none"/>
                <w14:textFill>
                  <w14:solidFill>
                    <w14:schemeClr w14:val="tx1"/>
                  </w14:solidFill>
                </w14:textFill>
              </w:rPr>
              <w:t>原有情况</w:t>
            </w:r>
          </w:p>
        </w:tc>
        <w:tc>
          <w:tcPr>
            <w:tcW w:w="1169" w:type="dxa"/>
            <w:tcBorders>
              <w:tl2br w:val="nil"/>
              <w:tr2bl w:val="nil"/>
            </w:tcBorders>
            <w:vAlign w:val="center"/>
          </w:tcPr>
          <w:p w14:paraId="5D1700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b/>
                <w:bCs/>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b/>
                <w:bCs/>
                <w:color w:val="000000" w:themeColor="text1"/>
                <w:spacing w:val="0"/>
                <w:kern w:val="0"/>
                <w:sz w:val="21"/>
                <w:szCs w:val="21"/>
                <w:highlight w:val="none"/>
                <w14:textFill>
                  <w14:solidFill>
                    <w14:schemeClr w14:val="tx1"/>
                  </w14:solidFill>
                </w14:textFill>
              </w:rPr>
              <w:t>本次情况</w:t>
            </w:r>
          </w:p>
        </w:tc>
      </w:tr>
      <w:tr w14:paraId="4F799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130" w:type="dxa"/>
            <w:gridSpan w:val="8"/>
            <w:tcBorders>
              <w:tl2br w:val="nil"/>
              <w:tr2bl w:val="nil"/>
            </w:tcBorders>
            <w:vAlign w:val="center"/>
          </w:tcPr>
          <w:p w14:paraId="252B5F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一、工艺装备要求</w:t>
            </w:r>
          </w:p>
        </w:tc>
      </w:tr>
      <w:tr w14:paraId="5B0A3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7" w:type="dxa"/>
            <w:gridSpan w:val="3"/>
            <w:tcBorders>
              <w:tl2br w:val="nil"/>
              <w:tr2bl w:val="nil"/>
            </w:tcBorders>
            <w:vAlign w:val="center"/>
          </w:tcPr>
          <w:p w14:paraId="0CB7CB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破碎筛分</w:t>
            </w:r>
          </w:p>
        </w:tc>
        <w:tc>
          <w:tcPr>
            <w:tcW w:w="1751" w:type="dxa"/>
            <w:tcBorders>
              <w:tl2br w:val="nil"/>
              <w:tr2bl w:val="nil"/>
            </w:tcBorders>
            <w:vAlign w:val="center"/>
          </w:tcPr>
          <w:p w14:paraId="143D9F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采用国际先进的处理量大、高效超细破碎机等破碎设备，配有除尘净化设施</w:t>
            </w:r>
          </w:p>
        </w:tc>
        <w:tc>
          <w:tcPr>
            <w:tcW w:w="1987" w:type="dxa"/>
            <w:tcBorders>
              <w:tl2br w:val="nil"/>
              <w:tr2bl w:val="nil"/>
            </w:tcBorders>
            <w:vAlign w:val="center"/>
          </w:tcPr>
          <w:p w14:paraId="4F9F1C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采用国内先进的处理量较大、效率较高的超细破碎机等破碎设备，配有除尘净化设施</w:t>
            </w:r>
          </w:p>
        </w:tc>
        <w:tc>
          <w:tcPr>
            <w:tcW w:w="1822" w:type="dxa"/>
            <w:tcBorders>
              <w:tl2br w:val="nil"/>
              <w:tr2bl w:val="nil"/>
            </w:tcBorders>
            <w:vAlign w:val="center"/>
          </w:tcPr>
          <w:p w14:paraId="4AB217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采用国内较先进的旋回、</w:t>
            </w:r>
            <w:r>
              <w:rPr>
                <w:rFonts w:hint="eastAsia"/>
                <w:color w:val="000000" w:themeColor="text1"/>
                <w:spacing w:val="0"/>
                <w:kern w:val="0"/>
                <w:sz w:val="21"/>
                <w:szCs w:val="21"/>
                <w:highlight w:val="none"/>
                <w:lang w:eastAsia="zh-CN"/>
                <w14:textFill>
                  <w14:solidFill>
                    <w14:schemeClr w14:val="tx1"/>
                  </w14:solidFill>
                </w14:textFill>
              </w:rPr>
              <w:t>颚</w:t>
            </w:r>
            <w:r>
              <w:rPr>
                <w:rFonts w:hint="eastAsia" w:ascii="Times New Roman" w:hAnsi="Times New Roman" w:eastAsia="宋体"/>
                <w:color w:val="000000" w:themeColor="text1"/>
                <w:spacing w:val="0"/>
                <w:kern w:val="0"/>
                <w:sz w:val="21"/>
                <w:szCs w:val="21"/>
                <w:highlight w:val="none"/>
                <w14:textFill>
                  <w14:solidFill>
                    <w14:schemeClr w14:val="tx1"/>
                  </w14:solidFill>
                </w14:textFill>
              </w:rPr>
              <w:t>式、圆锥锤式破碎机等破碎设备，配有除尘净化设施</w:t>
            </w:r>
          </w:p>
        </w:tc>
        <w:tc>
          <w:tcPr>
            <w:tcW w:w="1134" w:type="dxa"/>
            <w:tcBorders>
              <w:tl2br w:val="nil"/>
              <w:tr2bl w:val="nil"/>
            </w:tcBorders>
            <w:vAlign w:val="center"/>
          </w:tcPr>
          <w:p w14:paraId="1E2401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三级</w:t>
            </w:r>
          </w:p>
        </w:tc>
        <w:tc>
          <w:tcPr>
            <w:tcW w:w="1169" w:type="dxa"/>
            <w:tcBorders>
              <w:tl2br w:val="nil"/>
              <w:tr2bl w:val="nil"/>
            </w:tcBorders>
            <w:vAlign w:val="center"/>
          </w:tcPr>
          <w:p w14:paraId="12901B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二级</w:t>
            </w:r>
          </w:p>
        </w:tc>
      </w:tr>
      <w:tr w14:paraId="3C339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0" w:type="dxa"/>
            <w:gridSpan w:val="2"/>
            <w:tcBorders>
              <w:tl2br w:val="nil"/>
              <w:tr2bl w:val="nil"/>
            </w:tcBorders>
            <w:vAlign w:val="center"/>
          </w:tcPr>
          <w:p w14:paraId="5A383A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磨矿</w:t>
            </w:r>
          </w:p>
        </w:tc>
        <w:tc>
          <w:tcPr>
            <w:tcW w:w="1758" w:type="dxa"/>
            <w:gridSpan w:val="2"/>
            <w:tcBorders>
              <w:tl2br w:val="nil"/>
              <w:tr2bl w:val="nil"/>
            </w:tcBorders>
            <w:vAlign w:val="center"/>
          </w:tcPr>
          <w:p w14:paraId="269268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采用国际先进的处理量大，能耗低、效率高的筒式磨矿机、高压辊磨机等磨矿设备</w:t>
            </w:r>
          </w:p>
        </w:tc>
        <w:tc>
          <w:tcPr>
            <w:tcW w:w="1987" w:type="dxa"/>
            <w:tcBorders>
              <w:tl2br w:val="nil"/>
              <w:tr2bl w:val="nil"/>
            </w:tcBorders>
            <w:vAlign w:val="center"/>
          </w:tcPr>
          <w:p w14:paraId="2C5F29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采用国内先进的处理量较大，能耗较低、效率较高的筒式磨矿机、高压辊磨机等磨矿设备</w:t>
            </w:r>
          </w:p>
        </w:tc>
        <w:tc>
          <w:tcPr>
            <w:tcW w:w="1822" w:type="dxa"/>
            <w:tcBorders>
              <w:tl2br w:val="nil"/>
              <w:tr2bl w:val="nil"/>
            </w:tcBorders>
            <w:vAlign w:val="center"/>
          </w:tcPr>
          <w:p w14:paraId="3A949D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采用国内较先进的筒式磨矿、干式自磨、棒磨、球磨等磨矿设备</w:t>
            </w:r>
          </w:p>
        </w:tc>
        <w:tc>
          <w:tcPr>
            <w:tcW w:w="1134" w:type="dxa"/>
            <w:tcBorders>
              <w:tl2br w:val="nil"/>
              <w:tr2bl w:val="nil"/>
            </w:tcBorders>
            <w:vAlign w:val="center"/>
          </w:tcPr>
          <w:p w14:paraId="43F87C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三级</w:t>
            </w:r>
          </w:p>
        </w:tc>
        <w:tc>
          <w:tcPr>
            <w:tcW w:w="1169" w:type="dxa"/>
            <w:tcBorders>
              <w:tl2br w:val="nil"/>
              <w:tr2bl w:val="nil"/>
            </w:tcBorders>
            <w:vAlign w:val="center"/>
          </w:tcPr>
          <w:p w14:paraId="4782C49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二级</w:t>
            </w:r>
          </w:p>
        </w:tc>
      </w:tr>
      <w:tr w14:paraId="395A3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0" w:type="dxa"/>
            <w:gridSpan w:val="2"/>
            <w:tcBorders>
              <w:tl2br w:val="nil"/>
              <w:tr2bl w:val="nil"/>
            </w:tcBorders>
            <w:vAlign w:val="center"/>
          </w:tcPr>
          <w:p w14:paraId="439B58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分级</w:t>
            </w:r>
          </w:p>
        </w:tc>
        <w:tc>
          <w:tcPr>
            <w:tcW w:w="1758" w:type="dxa"/>
            <w:gridSpan w:val="2"/>
            <w:tcBorders>
              <w:tl2br w:val="nil"/>
              <w:tr2bl w:val="nil"/>
            </w:tcBorders>
            <w:vAlign w:val="center"/>
          </w:tcPr>
          <w:p w14:paraId="299EB8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采用国际先进的分级效率高的高频振动细筛分级机等分级设备</w:t>
            </w:r>
          </w:p>
        </w:tc>
        <w:tc>
          <w:tcPr>
            <w:tcW w:w="1987" w:type="dxa"/>
            <w:tcBorders>
              <w:tl2br w:val="nil"/>
              <w:tr2bl w:val="nil"/>
            </w:tcBorders>
            <w:vAlign w:val="center"/>
          </w:tcPr>
          <w:p w14:paraId="28C4D4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采用国内先进的分级效率较高的电磁振动筛、高频细筛等分级设备</w:t>
            </w:r>
          </w:p>
        </w:tc>
        <w:tc>
          <w:tcPr>
            <w:tcW w:w="1822" w:type="dxa"/>
            <w:tcBorders>
              <w:tl2br w:val="nil"/>
              <w:tr2bl w:val="nil"/>
            </w:tcBorders>
            <w:vAlign w:val="center"/>
          </w:tcPr>
          <w:p w14:paraId="6C5D60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采用国内较先进的旋流分级、振动筛、高频细筛等分级设备</w:t>
            </w:r>
          </w:p>
        </w:tc>
        <w:tc>
          <w:tcPr>
            <w:tcW w:w="1134" w:type="dxa"/>
            <w:tcBorders>
              <w:tl2br w:val="nil"/>
              <w:tr2bl w:val="nil"/>
            </w:tcBorders>
            <w:vAlign w:val="center"/>
          </w:tcPr>
          <w:p w14:paraId="4ECD4E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三级</w:t>
            </w:r>
          </w:p>
        </w:tc>
        <w:tc>
          <w:tcPr>
            <w:tcW w:w="1169" w:type="dxa"/>
            <w:tcBorders>
              <w:tl2br w:val="nil"/>
              <w:tr2bl w:val="nil"/>
            </w:tcBorders>
            <w:vAlign w:val="center"/>
          </w:tcPr>
          <w:p w14:paraId="0A1629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二级</w:t>
            </w:r>
          </w:p>
        </w:tc>
      </w:tr>
      <w:tr w14:paraId="25D46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0" w:type="dxa"/>
            <w:gridSpan w:val="2"/>
            <w:tcBorders>
              <w:tl2br w:val="nil"/>
              <w:tr2bl w:val="nil"/>
            </w:tcBorders>
            <w:vAlign w:val="center"/>
          </w:tcPr>
          <w:p w14:paraId="22825E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选别</w:t>
            </w:r>
          </w:p>
        </w:tc>
        <w:tc>
          <w:tcPr>
            <w:tcW w:w="1758" w:type="dxa"/>
            <w:gridSpan w:val="2"/>
            <w:tcBorders>
              <w:tl2br w:val="nil"/>
              <w:tr2bl w:val="nil"/>
            </w:tcBorders>
            <w:vAlign w:val="center"/>
          </w:tcPr>
          <w:p w14:paraId="434BCB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采用国际先进的回收率高、自动化程度高的大粒度中高场强磁选机和跳汰机、立环脉动高梯度强磁选机、冲气机械搅拌式浮选机等选别设备</w:t>
            </w:r>
          </w:p>
        </w:tc>
        <w:tc>
          <w:tcPr>
            <w:tcW w:w="1987" w:type="dxa"/>
            <w:tcBorders>
              <w:tl2br w:val="nil"/>
              <w:tr2bl w:val="nil"/>
            </w:tcBorders>
            <w:vAlign w:val="center"/>
          </w:tcPr>
          <w:p w14:paraId="79B9A5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采用国内先进的回收率较高、自动化程度较高的大粒度中高场强磁选机和跳汰机、立环脉动高梯度强磁选机、冲气机械搅拌式浮选机等选别设备</w:t>
            </w:r>
          </w:p>
        </w:tc>
        <w:tc>
          <w:tcPr>
            <w:tcW w:w="1822" w:type="dxa"/>
            <w:tcBorders>
              <w:tl2br w:val="nil"/>
              <w:tr2bl w:val="nil"/>
            </w:tcBorders>
            <w:vAlign w:val="center"/>
          </w:tcPr>
          <w:p w14:paraId="03FD49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采用国内较先进的回收率较高的立环式、平环式强磁选机、机械搅拌式浮选机、棒型浮选机等选别设备</w:t>
            </w:r>
          </w:p>
        </w:tc>
        <w:tc>
          <w:tcPr>
            <w:tcW w:w="1134" w:type="dxa"/>
            <w:tcBorders>
              <w:tl2br w:val="nil"/>
              <w:tr2bl w:val="nil"/>
            </w:tcBorders>
            <w:vAlign w:val="center"/>
          </w:tcPr>
          <w:p w14:paraId="328638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三级</w:t>
            </w:r>
          </w:p>
        </w:tc>
        <w:tc>
          <w:tcPr>
            <w:tcW w:w="1169" w:type="dxa"/>
            <w:tcBorders>
              <w:tl2br w:val="nil"/>
              <w:tr2bl w:val="nil"/>
            </w:tcBorders>
            <w:vAlign w:val="center"/>
          </w:tcPr>
          <w:p w14:paraId="593DE4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二级</w:t>
            </w:r>
          </w:p>
        </w:tc>
      </w:tr>
      <w:tr w14:paraId="30636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7" w:type="dxa"/>
            <w:gridSpan w:val="3"/>
            <w:tcBorders>
              <w:tl2br w:val="nil"/>
              <w:tr2bl w:val="nil"/>
            </w:tcBorders>
            <w:vAlign w:val="center"/>
          </w:tcPr>
          <w:p w14:paraId="5B69CF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脱水过滤</w:t>
            </w:r>
          </w:p>
        </w:tc>
        <w:tc>
          <w:tcPr>
            <w:tcW w:w="1751" w:type="dxa"/>
            <w:tcBorders>
              <w:tl2br w:val="nil"/>
              <w:tr2bl w:val="nil"/>
            </w:tcBorders>
            <w:vAlign w:val="center"/>
          </w:tcPr>
          <w:p w14:paraId="4E0FE9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采用国际先进的效率高、自动化程度高的高效浓缩机和大型高效盘式过滤机等脱水过滤设备</w:t>
            </w:r>
          </w:p>
        </w:tc>
        <w:tc>
          <w:tcPr>
            <w:tcW w:w="1987" w:type="dxa"/>
            <w:tcBorders>
              <w:tl2br w:val="nil"/>
              <w:tr2bl w:val="nil"/>
            </w:tcBorders>
            <w:vAlign w:val="center"/>
          </w:tcPr>
          <w:p w14:paraId="0AE714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采用国内先进的脱水过滤效率较高、自动化程度较高的高效浓缩机和大型高效盘式压滤机等脱水过滤设备</w:t>
            </w:r>
          </w:p>
        </w:tc>
        <w:tc>
          <w:tcPr>
            <w:tcW w:w="1822" w:type="dxa"/>
            <w:tcBorders>
              <w:tl2br w:val="nil"/>
              <w:tr2bl w:val="nil"/>
            </w:tcBorders>
            <w:vAlign w:val="center"/>
          </w:tcPr>
          <w:p w14:paraId="394B78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采用国内较先进的脱水过滤效率较高的浓缩机和筒式压滤机等脱水过滤设备</w:t>
            </w:r>
          </w:p>
        </w:tc>
        <w:tc>
          <w:tcPr>
            <w:tcW w:w="1134" w:type="dxa"/>
            <w:tcBorders>
              <w:tl2br w:val="nil"/>
              <w:tr2bl w:val="nil"/>
            </w:tcBorders>
            <w:vAlign w:val="center"/>
          </w:tcPr>
          <w:p w14:paraId="3C5BC8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三级</w:t>
            </w:r>
          </w:p>
        </w:tc>
        <w:tc>
          <w:tcPr>
            <w:tcW w:w="1169" w:type="dxa"/>
            <w:tcBorders>
              <w:tl2br w:val="nil"/>
              <w:tr2bl w:val="nil"/>
            </w:tcBorders>
            <w:vAlign w:val="center"/>
          </w:tcPr>
          <w:p w14:paraId="0753B4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二级</w:t>
            </w:r>
          </w:p>
        </w:tc>
      </w:tr>
      <w:tr w14:paraId="4BBA1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130" w:type="dxa"/>
            <w:gridSpan w:val="8"/>
            <w:tcBorders>
              <w:tl2br w:val="nil"/>
              <w:tr2bl w:val="nil"/>
            </w:tcBorders>
            <w:vAlign w:val="center"/>
          </w:tcPr>
          <w:p w14:paraId="620475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二、资源能源利用指标</w:t>
            </w:r>
          </w:p>
        </w:tc>
      </w:tr>
      <w:tr w14:paraId="0D397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7" w:type="dxa"/>
            <w:gridSpan w:val="3"/>
            <w:tcBorders>
              <w:tl2br w:val="nil"/>
              <w:tr2bl w:val="nil"/>
            </w:tcBorders>
            <w:vAlign w:val="center"/>
          </w:tcPr>
          <w:p w14:paraId="4EE670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金属回收率/（%）</w:t>
            </w:r>
          </w:p>
        </w:tc>
        <w:tc>
          <w:tcPr>
            <w:tcW w:w="1751" w:type="dxa"/>
            <w:tcBorders>
              <w:tl2br w:val="nil"/>
              <w:tr2bl w:val="nil"/>
            </w:tcBorders>
            <w:vAlign w:val="center"/>
          </w:tcPr>
          <w:p w14:paraId="645E27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≥90</w:t>
            </w:r>
          </w:p>
        </w:tc>
        <w:tc>
          <w:tcPr>
            <w:tcW w:w="1987" w:type="dxa"/>
            <w:tcBorders>
              <w:tl2br w:val="nil"/>
              <w:tr2bl w:val="nil"/>
            </w:tcBorders>
            <w:vAlign w:val="center"/>
          </w:tcPr>
          <w:p w14:paraId="36883E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≥80</w:t>
            </w:r>
          </w:p>
        </w:tc>
        <w:tc>
          <w:tcPr>
            <w:tcW w:w="1822" w:type="dxa"/>
            <w:tcBorders>
              <w:tl2br w:val="nil"/>
              <w:tr2bl w:val="nil"/>
            </w:tcBorders>
            <w:vAlign w:val="center"/>
          </w:tcPr>
          <w:p w14:paraId="063CCD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≥70</w:t>
            </w:r>
          </w:p>
        </w:tc>
        <w:tc>
          <w:tcPr>
            <w:tcW w:w="1134" w:type="dxa"/>
            <w:tcBorders>
              <w:tl2br w:val="nil"/>
              <w:tr2bl w:val="nil"/>
            </w:tcBorders>
            <w:vAlign w:val="center"/>
          </w:tcPr>
          <w:p w14:paraId="5FC17B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二级</w:t>
            </w:r>
          </w:p>
        </w:tc>
        <w:tc>
          <w:tcPr>
            <w:tcW w:w="1169" w:type="dxa"/>
            <w:tcBorders>
              <w:tl2br w:val="nil"/>
              <w:tr2bl w:val="nil"/>
            </w:tcBorders>
            <w:vAlign w:val="center"/>
          </w:tcPr>
          <w:p w14:paraId="6BCA42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eastAsia="zh-CN"/>
                <w14:textFill>
                  <w14:solidFill>
                    <w14:schemeClr w14:val="tx1"/>
                  </w14:solidFill>
                </w14:textFill>
              </w:rPr>
              <w:t>三</w:t>
            </w:r>
            <w:r>
              <w:rPr>
                <w:rFonts w:ascii="Times New Roman" w:hAnsi="Times New Roman" w:eastAsia="宋体"/>
                <w:color w:val="000000" w:themeColor="text1"/>
                <w:spacing w:val="0"/>
                <w:kern w:val="0"/>
                <w:sz w:val="21"/>
                <w:szCs w:val="21"/>
                <w:highlight w:val="none"/>
                <w14:textFill>
                  <w14:solidFill>
                    <w14:schemeClr w14:val="tx1"/>
                  </w14:solidFill>
                </w14:textFill>
              </w:rPr>
              <w:t>级</w:t>
            </w:r>
          </w:p>
        </w:tc>
      </w:tr>
      <w:tr w14:paraId="7B0B3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7" w:type="dxa"/>
            <w:gridSpan w:val="3"/>
            <w:tcBorders>
              <w:tl2br w:val="nil"/>
              <w:tr2bl w:val="nil"/>
            </w:tcBorders>
            <w:vAlign w:val="center"/>
          </w:tcPr>
          <w:p w14:paraId="4ECBAB7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电耗/（kW</w:t>
            </w: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r>
              <w:rPr>
                <w:rFonts w:ascii="Times New Roman" w:hAnsi="Times New Roman" w:eastAsia="宋体"/>
                <w:color w:val="000000" w:themeColor="text1"/>
                <w:spacing w:val="0"/>
                <w:kern w:val="0"/>
                <w:sz w:val="21"/>
                <w:szCs w:val="21"/>
                <w:highlight w:val="none"/>
                <w14:textFill>
                  <w14:solidFill>
                    <w14:schemeClr w14:val="tx1"/>
                  </w14:solidFill>
                </w14:textFill>
              </w:rPr>
              <w:t>h/t）</w:t>
            </w:r>
          </w:p>
        </w:tc>
        <w:tc>
          <w:tcPr>
            <w:tcW w:w="1751" w:type="dxa"/>
            <w:tcBorders>
              <w:tl2br w:val="nil"/>
              <w:tr2bl w:val="nil"/>
            </w:tcBorders>
            <w:vAlign w:val="center"/>
          </w:tcPr>
          <w:p w14:paraId="4F8444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≤16</w:t>
            </w:r>
          </w:p>
        </w:tc>
        <w:tc>
          <w:tcPr>
            <w:tcW w:w="1987" w:type="dxa"/>
            <w:tcBorders>
              <w:tl2br w:val="nil"/>
              <w:tr2bl w:val="nil"/>
            </w:tcBorders>
            <w:vAlign w:val="center"/>
          </w:tcPr>
          <w:p w14:paraId="4A78E0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≤28</w:t>
            </w:r>
          </w:p>
        </w:tc>
        <w:tc>
          <w:tcPr>
            <w:tcW w:w="1822" w:type="dxa"/>
            <w:tcBorders>
              <w:tl2br w:val="nil"/>
              <w:tr2bl w:val="nil"/>
            </w:tcBorders>
            <w:vAlign w:val="center"/>
          </w:tcPr>
          <w:p w14:paraId="318DA2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≤35</w:t>
            </w:r>
          </w:p>
        </w:tc>
        <w:tc>
          <w:tcPr>
            <w:tcW w:w="1134" w:type="dxa"/>
            <w:tcBorders>
              <w:tl2br w:val="nil"/>
              <w:tr2bl w:val="nil"/>
            </w:tcBorders>
            <w:vAlign w:val="center"/>
          </w:tcPr>
          <w:p w14:paraId="072065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二级</w:t>
            </w:r>
          </w:p>
        </w:tc>
        <w:tc>
          <w:tcPr>
            <w:tcW w:w="1169" w:type="dxa"/>
            <w:tcBorders>
              <w:tl2br w:val="nil"/>
              <w:tr2bl w:val="nil"/>
            </w:tcBorders>
            <w:vAlign w:val="center"/>
          </w:tcPr>
          <w:p w14:paraId="321C55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二</w:t>
            </w:r>
            <w:r>
              <w:rPr>
                <w:rFonts w:ascii="Times New Roman" w:hAnsi="Times New Roman" w:eastAsia="宋体"/>
                <w:color w:val="000000" w:themeColor="text1"/>
                <w:spacing w:val="0"/>
                <w:kern w:val="0"/>
                <w:sz w:val="21"/>
                <w:szCs w:val="21"/>
                <w:highlight w:val="none"/>
                <w14:textFill>
                  <w14:solidFill>
                    <w14:schemeClr w14:val="tx1"/>
                  </w14:solidFill>
                </w14:textFill>
              </w:rPr>
              <w:t>级</w:t>
            </w:r>
          </w:p>
        </w:tc>
      </w:tr>
      <w:tr w14:paraId="4E8B8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7" w:type="dxa"/>
            <w:gridSpan w:val="3"/>
            <w:tcBorders>
              <w:tl2br w:val="nil"/>
              <w:tr2bl w:val="nil"/>
            </w:tcBorders>
            <w:vAlign w:val="center"/>
          </w:tcPr>
          <w:p w14:paraId="066D41A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水耗/（m</w:t>
            </w:r>
            <w:r>
              <w:rPr>
                <w:rFonts w:hint="eastAsia" w:ascii="Times New Roman" w:hAnsi="Times New Roman" w:eastAsia="宋体"/>
                <w:color w:val="000000" w:themeColor="text1"/>
                <w:spacing w:val="0"/>
                <w:kern w:val="0"/>
                <w:sz w:val="21"/>
                <w:szCs w:val="21"/>
                <w:highlight w:val="none"/>
                <w:vertAlign w:val="superscript"/>
                <w14:textFill>
                  <w14:solidFill>
                    <w14:schemeClr w14:val="tx1"/>
                  </w14:solidFill>
                </w14:textFill>
              </w:rPr>
              <w:t>3</w:t>
            </w:r>
            <w:r>
              <w:rPr>
                <w:rFonts w:ascii="Times New Roman" w:hAnsi="Times New Roman" w:eastAsia="宋体"/>
                <w:color w:val="000000" w:themeColor="text1"/>
                <w:spacing w:val="0"/>
                <w:kern w:val="0"/>
                <w:sz w:val="21"/>
                <w:szCs w:val="21"/>
                <w:highlight w:val="none"/>
                <w14:textFill>
                  <w14:solidFill>
                    <w14:schemeClr w14:val="tx1"/>
                  </w14:solidFill>
                </w14:textFill>
              </w:rPr>
              <w:t>/t）</w:t>
            </w:r>
          </w:p>
        </w:tc>
        <w:tc>
          <w:tcPr>
            <w:tcW w:w="1751" w:type="dxa"/>
            <w:tcBorders>
              <w:tl2br w:val="nil"/>
              <w:tr2bl w:val="nil"/>
            </w:tcBorders>
            <w:vAlign w:val="center"/>
          </w:tcPr>
          <w:p w14:paraId="7D1048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≤2</w:t>
            </w:r>
          </w:p>
        </w:tc>
        <w:tc>
          <w:tcPr>
            <w:tcW w:w="1987" w:type="dxa"/>
            <w:tcBorders>
              <w:tl2br w:val="nil"/>
              <w:tr2bl w:val="nil"/>
            </w:tcBorders>
            <w:vAlign w:val="center"/>
          </w:tcPr>
          <w:p w14:paraId="616965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≤7</w:t>
            </w:r>
          </w:p>
        </w:tc>
        <w:tc>
          <w:tcPr>
            <w:tcW w:w="1822" w:type="dxa"/>
            <w:tcBorders>
              <w:tl2br w:val="nil"/>
              <w:tr2bl w:val="nil"/>
            </w:tcBorders>
            <w:vAlign w:val="center"/>
          </w:tcPr>
          <w:p w14:paraId="084088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≤10</w:t>
            </w:r>
          </w:p>
        </w:tc>
        <w:tc>
          <w:tcPr>
            <w:tcW w:w="1134" w:type="dxa"/>
            <w:tcBorders>
              <w:tl2br w:val="nil"/>
              <w:tr2bl w:val="nil"/>
            </w:tcBorders>
            <w:vAlign w:val="center"/>
          </w:tcPr>
          <w:p w14:paraId="50CEDC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二级</w:t>
            </w:r>
          </w:p>
        </w:tc>
        <w:tc>
          <w:tcPr>
            <w:tcW w:w="1169" w:type="dxa"/>
            <w:tcBorders>
              <w:tl2br w:val="nil"/>
              <w:tr2bl w:val="nil"/>
            </w:tcBorders>
            <w:vAlign w:val="center"/>
          </w:tcPr>
          <w:p w14:paraId="58AC19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eastAsia="zh-CN"/>
                <w14:textFill>
                  <w14:solidFill>
                    <w14:schemeClr w14:val="tx1"/>
                  </w14:solidFill>
                </w14:textFill>
              </w:rPr>
              <w:t>二</w:t>
            </w:r>
            <w:r>
              <w:rPr>
                <w:rFonts w:ascii="Times New Roman" w:hAnsi="Times New Roman" w:eastAsia="宋体"/>
                <w:color w:val="000000" w:themeColor="text1"/>
                <w:spacing w:val="0"/>
                <w:kern w:val="0"/>
                <w:sz w:val="21"/>
                <w:szCs w:val="21"/>
                <w:highlight w:val="none"/>
                <w14:textFill>
                  <w14:solidFill>
                    <w14:schemeClr w14:val="tx1"/>
                  </w14:solidFill>
                </w14:textFill>
              </w:rPr>
              <w:t>级</w:t>
            </w:r>
          </w:p>
        </w:tc>
      </w:tr>
      <w:tr w14:paraId="7373C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130" w:type="dxa"/>
            <w:gridSpan w:val="8"/>
            <w:tcBorders>
              <w:tl2br w:val="nil"/>
              <w:tr2bl w:val="nil"/>
            </w:tcBorders>
            <w:vAlign w:val="center"/>
          </w:tcPr>
          <w:p w14:paraId="7CE722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三、污染物产生指标</w:t>
            </w:r>
          </w:p>
        </w:tc>
      </w:tr>
      <w:tr w14:paraId="3E3ED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7" w:type="dxa"/>
            <w:gridSpan w:val="3"/>
            <w:tcBorders>
              <w:tl2br w:val="nil"/>
              <w:tr2bl w:val="nil"/>
            </w:tcBorders>
            <w:vAlign w:val="center"/>
          </w:tcPr>
          <w:p w14:paraId="6E7BFC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废水产生量（m</w:t>
            </w:r>
            <w:r>
              <w:rPr>
                <w:rFonts w:ascii="Times New Roman" w:hAnsi="Times New Roman" w:eastAsia="宋体"/>
                <w:color w:val="000000" w:themeColor="text1"/>
                <w:spacing w:val="0"/>
                <w:kern w:val="0"/>
                <w:sz w:val="21"/>
                <w:szCs w:val="21"/>
                <w:highlight w:val="none"/>
                <w:vertAlign w:val="superscript"/>
                <w14:textFill>
                  <w14:solidFill>
                    <w14:schemeClr w14:val="tx1"/>
                  </w14:solidFill>
                </w14:textFill>
              </w:rPr>
              <w:t>3</w:t>
            </w:r>
            <w:r>
              <w:rPr>
                <w:rFonts w:ascii="Times New Roman" w:hAnsi="Times New Roman" w:eastAsia="宋体"/>
                <w:color w:val="000000" w:themeColor="text1"/>
                <w:spacing w:val="0"/>
                <w:kern w:val="0"/>
                <w:sz w:val="21"/>
                <w:szCs w:val="21"/>
                <w:highlight w:val="none"/>
                <w14:textFill>
                  <w14:solidFill>
                    <w14:schemeClr w14:val="tx1"/>
                  </w14:solidFill>
                </w14:textFill>
              </w:rPr>
              <w:t>/t）</w:t>
            </w:r>
          </w:p>
        </w:tc>
        <w:tc>
          <w:tcPr>
            <w:tcW w:w="1751" w:type="dxa"/>
            <w:tcBorders>
              <w:tl2br w:val="nil"/>
              <w:tr2bl w:val="nil"/>
            </w:tcBorders>
            <w:vAlign w:val="center"/>
          </w:tcPr>
          <w:p w14:paraId="72366B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≤0.1</w:t>
            </w:r>
          </w:p>
        </w:tc>
        <w:tc>
          <w:tcPr>
            <w:tcW w:w="1987" w:type="dxa"/>
            <w:tcBorders>
              <w:tl2br w:val="nil"/>
              <w:tr2bl w:val="nil"/>
            </w:tcBorders>
            <w:vAlign w:val="center"/>
          </w:tcPr>
          <w:p w14:paraId="3B96E3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≤0.7</w:t>
            </w:r>
          </w:p>
        </w:tc>
        <w:tc>
          <w:tcPr>
            <w:tcW w:w="1822" w:type="dxa"/>
            <w:tcBorders>
              <w:tl2br w:val="nil"/>
              <w:tr2bl w:val="nil"/>
            </w:tcBorders>
            <w:vAlign w:val="center"/>
          </w:tcPr>
          <w:p w14:paraId="026AF4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≤1.5</w:t>
            </w:r>
          </w:p>
        </w:tc>
        <w:tc>
          <w:tcPr>
            <w:tcW w:w="1134" w:type="dxa"/>
            <w:tcBorders>
              <w:tl2br w:val="nil"/>
              <w:tr2bl w:val="nil"/>
            </w:tcBorders>
            <w:vAlign w:val="center"/>
          </w:tcPr>
          <w:p w14:paraId="150719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二级</w:t>
            </w:r>
          </w:p>
        </w:tc>
        <w:tc>
          <w:tcPr>
            <w:tcW w:w="1169" w:type="dxa"/>
            <w:vMerge w:val="restart"/>
            <w:tcBorders>
              <w:tl2br w:val="nil"/>
              <w:tr2bl w:val="nil"/>
            </w:tcBorders>
            <w:vAlign w:val="center"/>
          </w:tcPr>
          <w:p w14:paraId="642945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无</w:t>
            </w:r>
            <w:r>
              <w:rPr>
                <w:rFonts w:hint="eastAsia" w:ascii="Times New Roman" w:hAnsi="Times New Roman" w:eastAsia="宋体"/>
                <w:color w:val="000000" w:themeColor="text1"/>
                <w:spacing w:val="0"/>
                <w:sz w:val="21"/>
                <w:szCs w:val="21"/>
                <w:highlight w:val="none"/>
                <w14:textFill>
                  <w14:solidFill>
                    <w14:schemeClr w14:val="tx1"/>
                  </w14:solidFill>
                </w14:textFill>
              </w:rPr>
              <w:t>废</w:t>
            </w:r>
            <w:r>
              <w:rPr>
                <w:rFonts w:ascii="Times New Roman" w:hAnsi="Times New Roman" w:eastAsia="宋体"/>
                <w:color w:val="000000" w:themeColor="text1"/>
                <w:spacing w:val="0"/>
                <w:sz w:val="21"/>
                <w:szCs w:val="21"/>
                <w:highlight w:val="none"/>
                <w14:textFill>
                  <w14:solidFill>
                    <w14:schemeClr w14:val="tx1"/>
                  </w14:solidFill>
                </w14:textFill>
              </w:rPr>
              <w:t>水外排</w:t>
            </w:r>
          </w:p>
        </w:tc>
      </w:tr>
      <w:tr w14:paraId="2CC73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7" w:type="dxa"/>
            <w:gridSpan w:val="3"/>
            <w:tcBorders>
              <w:tl2br w:val="nil"/>
              <w:tr2bl w:val="nil"/>
            </w:tcBorders>
            <w:vAlign w:val="center"/>
          </w:tcPr>
          <w:p w14:paraId="2F4335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悬浮物/（kg/t）</w:t>
            </w:r>
          </w:p>
        </w:tc>
        <w:tc>
          <w:tcPr>
            <w:tcW w:w="1751" w:type="dxa"/>
            <w:tcBorders>
              <w:tl2br w:val="nil"/>
              <w:tr2bl w:val="nil"/>
            </w:tcBorders>
            <w:vAlign w:val="center"/>
          </w:tcPr>
          <w:p w14:paraId="3A8A58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≤0.01</w:t>
            </w:r>
          </w:p>
        </w:tc>
        <w:tc>
          <w:tcPr>
            <w:tcW w:w="1987" w:type="dxa"/>
            <w:tcBorders>
              <w:tl2br w:val="nil"/>
              <w:tr2bl w:val="nil"/>
            </w:tcBorders>
            <w:vAlign w:val="center"/>
          </w:tcPr>
          <w:p w14:paraId="2C911A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≤0.21</w:t>
            </w:r>
          </w:p>
        </w:tc>
        <w:tc>
          <w:tcPr>
            <w:tcW w:w="1822" w:type="dxa"/>
            <w:tcBorders>
              <w:tl2br w:val="nil"/>
              <w:tr2bl w:val="nil"/>
            </w:tcBorders>
            <w:vAlign w:val="center"/>
          </w:tcPr>
          <w:p w14:paraId="03C6B6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≤0.60</w:t>
            </w:r>
          </w:p>
        </w:tc>
        <w:tc>
          <w:tcPr>
            <w:tcW w:w="1134" w:type="dxa"/>
            <w:tcBorders>
              <w:tl2br w:val="nil"/>
              <w:tr2bl w:val="nil"/>
            </w:tcBorders>
            <w:vAlign w:val="center"/>
          </w:tcPr>
          <w:p w14:paraId="1FF30E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vMerge w:val="continue"/>
            <w:tcBorders>
              <w:tl2br w:val="nil"/>
              <w:tr2bl w:val="nil"/>
            </w:tcBorders>
            <w:vAlign w:val="center"/>
          </w:tcPr>
          <w:p w14:paraId="3400C1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p>
        </w:tc>
      </w:tr>
      <w:tr w14:paraId="5C4BF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7" w:type="dxa"/>
            <w:gridSpan w:val="3"/>
            <w:tcBorders>
              <w:tl2br w:val="nil"/>
              <w:tr2bl w:val="nil"/>
            </w:tcBorders>
            <w:vAlign w:val="center"/>
          </w:tcPr>
          <w:p w14:paraId="3EB1F9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COD产生量</w:t>
            </w:r>
            <w:r>
              <w:rPr>
                <w:rFonts w:ascii="Times New Roman" w:hAnsi="Times New Roman" w:eastAsia="宋体"/>
                <w:color w:val="000000" w:themeColor="text1"/>
                <w:spacing w:val="0"/>
                <w:kern w:val="0"/>
                <w:sz w:val="21"/>
                <w:szCs w:val="21"/>
                <w:highlight w:val="none"/>
                <w14:textFill>
                  <w14:solidFill>
                    <w14:schemeClr w14:val="tx1"/>
                  </w14:solidFill>
                </w14:textFill>
              </w:rPr>
              <w:t>（kg/t）</w:t>
            </w:r>
          </w:p>
        </w:tc>
        <w:tc>
          <w:tcPr>
            <w:tcW w:w="1751" w:type="dxa"/>
            <w:tcBorders>
              <w:tl2br w:val="nil"/>
              <w:tr2bl w:val="nil"/>
            </w:tcBorders>
            <w:vAlign w:val="center"/>
          </w:tcPr>
          <w:p w14:paraId="0473D2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≤0.01</w:t>
            </w:r>
          </w:p>
        </w:tc>
        <w:tc>
          <w:tcPr>
            <w:tcW w:w="1987" w:type="dxa"/>
            <w:tcBorders>
              <w:tl2br w:val="nil"/>
              <w:tr2bl w:val="nil"/>
            </w:tcBorders>
            <w:vAlign w:val="center"/>
          </w:tcPr>
          <w:p w14:paraId="6B04F8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≤0.11</w:t>
            </w:r>
          </w:p>
        </w:tc>
        <w:tc>
          <w:tcPr>
            <w:tcW w:w="1822" w:type="dxa"/>
            <w:tcBorders>
              <w:tl2br w:val="nil"/>
              <w:tr2bl w:val="nil"/>
            </w:tcBorders>
            <w:vAlign w:val="center"/>
          </w:tcPr>
          <w:p w14:paraId="34FF0A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≤0.75</w:t>
            </w:r>
          </w:p>
        </w:tc>
        <w:tc>
          <w:tcPr>
            <w:tcW w:w="1134" w:type="dxa"/>
            <w:tcBorders>
              <w:tl2br w:val="nil"/>
              <w:tr2bl w:val="nil"/>
            </w:tcBorders>
            <w:vAlign w:val="center"/>
          </w:tcPr>
          <w:p w14:paraId="1501A9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vMerge w:val="continue"/>
            <w:tcBorders>
              <w:tl2br w:val="nil"/>
              <w:tr2bl w:val="nil"/>
            </w:tcBorders>
            <w:vAlign w:val="center"/>
          </w:tcPr>
          <w:p w14:paraId="01A2F0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p>
        </w:tc>
      </w:tr>
      <w:tr w14:paraId="32B05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130" w:type="dxa"/>
            <w:gridSpan w:val="8"/>
            <w:tcBorders>
              <w:tl2br w:val="nil"/>
              <w:tr2bl w:val="nil"/>
            </w:tcBorders>
            <w:vAlign w:val="center"/>
          </w:tcPr>
          <w:p w14:paraId="758C05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四、废物回收利用指标</w:t>
            </w:r>
          </w:p>
        </w:tc>
      </w:tr>
      <w:tr w14:paraId="70263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7" w:type="dxa"/>
            <w:gridSpan w:val="3"/>
            <w:tcBorders>
              <w:tl2br w:val="nil"/>
              <w:tr2bl w:val="nil"/>
            </w:tcBorders>
            <w:vAlign w:val="center"/>
          </w:tcPr>
          <w:p w14:paraId="10968B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尾矿回水利用率（%）</w:t>
            </w:r>
          </w:p>
        </w:tc>
        <w:tc>
          <w:tcPr>
            <w:tcW w:w="1751" w:type="dxa"/>
            <w:tcBorders>
              <w:tl2br w:val="nil"/>
              <w:tr2bl w:val="nil"/>
            </w:tcBorders>
            <w:vAlign w:val="center"/>
          </w:tcPr>
          <w:p w14:paraId="532DC8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≥95</w:t>
            </w:r>
          </w:p>
        </w:tc>
        <w:tc>
          <w:tcPr>
            <w:tcW w:w="1987" w:type="dxa"/>
            <w:tcBorders>
              <w:tl2br w:val="nil"/>
              <w:tr2bl w:val="nil"/>
            </w:tcBorders>
            <w:vAlign w:val="center"/>
          </w:tcPr>
          <w:p w14:paraId="6E9ED4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≥90</w:t>
            </w:r>
          </w:p>
        </w:tc>
        <w:tc>
          <w:tcPr>
            <w:tcW w:w="1822" w:type="dxa"/>
            <w:tcBorders>
              <w:tl2br w:val="nil"/>
              <w:tr2bl w:val="nil"/>
            </w:tcBorders>
            <w:vAlign w:val="center"/>
          </w:tcPr>
          <w:p w14:paraId="25166A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≥85</w:t>
            </w:r>
          </w:p>
        </w:tc>
        <w:tc>
          <w:tcPr>
            <w:tcW w:w="1134" w:type="dxa"/>
            <w:tcBorders>
              <w:tl2br w:val="nil"/>
              <w:tr2bl w:val="nil"/>
            </w:tcBorders>
            <w:vAlign w:val="center"/>
          </w:tcPr>
          <w:p w14:paraId="5338DC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一级</w:t>
            </w:r>
          </w:p>
        </w:tc>
        <w:tc>
          <w:tcPr>
            <w:tcW w:w="1169" w:type="dxa"/>
            <w:tcBorders>
              <w:tl2br w:val="nil"/>
              <w:tr2bl w:val="nil"/>
            </w:tcBorders>
            <w:vAlign w:val="center"/>
          </w:tcPr>
          <w:p w14:paraId="383040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一级</w:t>
            </w:r>
          </w:p>
        </w:tc>
      </w:tr>
      <w:tr w14:paraId="1D3DC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7" w:type="dxa"/>
            <w:gridSpan w:val="3"/>
            <w:tcBorders>
              <w:tl2br w:val="nil"/>
              <w:tr2bl w:val="nil"/>
            </w:tcBorders>
            <w:vAlign w:val="center"/>
          </w:tcPr>
          <w:p w14:paraId="2C6476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尾矿综合利用率（%）</w:t>
            </w:r>
          </w:p>
        </w:tc>
        <w:tc>
          <w:tcPr>
            <w:tcW w:w="1751" w:type="dxa"/>
            <w:tcBorders>
              <w:tl2br w:val="nil"/>
              <w:tr2bl w:val="nil"/>
            </w:tcBorders>
            <w:vAlign w:val="center"/>
          </w:tcPr>
          <w:p w14:paraId="5B18F7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≥30</w:t>
            </w:r>
          </w:p>
        </w:tc>
        <w:tc>
          <w:tcPr>
            <w:tcW w:w="1987" w:type="dxa"/>
            <w:tcBorders>
              <w:tl2br w:val="nil"/>
              <w:tr2bl w:val="nil"/>
            </w:tcBorders>
            <w:vAlign w:val="center"/>
          </w:tcPr>
          <w:p w14:paraId="63D15D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≥15</w:t>
            </w:r>
          </w:p>
        </w:tc>
        <w:tc>
          <w:tcPr>
            <w:tcW w:w="1822" w:type="dxa"/>
            <w:tcBorders>
              <w:tl2br w:val="nil"/>
              <w:tr2bl w:val="nil"/>
            </w:tcBorders>
            <w:vAlign w:val="center"/>
          </w:tcPr>
          <w:p w14:paraId="31E1F5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≥8</w:t>
            </w:r>
          </w:p>
        </w:tc>
        <w:tc>
          <w:tcPr>
            <w:tcW w:w="1134" w:type="dxa"/>
            <w:tcBorders>
              <w:tl2br w:val="nil"/>
              <w:tr2bl w:val="nil"/>
            </w:tcBorders>
            <w:vAlign w:val="center"/>
          </w:tcPr>
          <w:p w14:paraId="05780B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0</w:t>
            </w:r>
          </w:p>
        </w:tc>
        <w:tc>
          <w:tcPr>
            <w:tcW w:w="1169" w:type="dxa"/>
            <w:tcBorders>
              <w:tl2br w:val="nil"/>
              <w:tr2bl w:val="nil"/>
            </w:tcBorders>
            <w:vAlign w:val="center"/>
          </w:tcPr>
          <w:p w14:paraId="31DE3F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二级</w:t>
            </w:r>
          </w:p>
        </w:tc>
      </w:tr>
      <w:tr w14:paraId="201EB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130" w:type="dxa"/>
            <w:gridSpan w:val="8"/>
            <w:tcBorders>
              <w:tl2br w:val="nil"/>
              <w:tr2bl w:val="nil"/>
            </w:tcBorders>
            <w:vAlign w:val="center"/>
          </w:tcPr>
          <w:p w14:paraId="460740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五、环境管理要求</w:t>
            </w:r>
          </w:p>
        </w:tc>
      </w:tr>
      <w:tr w14:paraId="5EF02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67" w:type="dxa"/>
            <w:gridSpan w:val="3"/>
            <w:tcBorders>
              <w:tl2br w:val="nil"/>
              <w:tr2bl w:val="nil"/>
            </w:tcBorders>
            <w:vAlign w:val="center"/>
          </w:tcPr>
          <w:p w14:paraId="1A1A64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环境法律法规标准</w:t>
            </w:r>
          </w:p>
        </w:tc>
        <w:tc>
          <w:tcPr>
            <w:tcW w:w="5560" w:type="dxa"/>
            <w:gridSpan w:val="3"/>
            <w:tcBorders>
              <w:tl2br w:val="nil"/>
              <w:tr2bl w:val="nil"/>
            </w:tcBorders>
            <w:vAlign w:val="center"/>
          </w:tcPr>
          <w:p w14:paraId="54F152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符合国家和地方有关环境</w:t>
            </w:r>
            <w:r>
              <w:rPr>
                <w:rFonts w:hint="eastAsia"/>
                <w:color w:val="000000" w:themeColor="text1"/>
                <w:spacing w:val="0"/>
                <w:kern w:val="0"/>
                <w:sz w:val="21"/>
                <w:szCs w:val="21"/>
                <w:highlight w:val="none"/>
                <w:lang w:eastAsia="zh-CN"/>
                <w14:textFill>
                  <w14:solidFill>
                    <w14:schemeClr w14:val="tx1"/>
                  </w14:solidFill>
                </w14:textFill>
              </w:rPr>
              <w:t>法律法规</w:t>
            </w:r>
            <w:r>
              <w:rPr>
                <w:rFonts w:ascii="Times New Roman" w:hAnsi="Times New Roman" w:eastAsia="宋体"/>
                <w:color w:val="000000" w:themeColor="text1"/>
                <w:spacing w:val="0"/>
                <w:kern w:val="0"/>
                <w:sz w:val="21"/>
                <w:szCs w:val="21"/>
                <w:highlight w:val="none"/>
                <w14:textFill>
                  <w14:solidFill>
                    <w14:schemeClr w14:val="tx1"/>
                  </w14:solidFill>
                </w14:textFill>
              </w:rPr>
              <w:t>，污染物排放达到国家和地方排放标准、总量控制和排污许可证管理要求</w:t>
            </w:r>
          </w:p>
        </w:tc>
        <w:tc>
          <w:tcPr>
            <w:tcW w:w="1134" w:type="dxa"/>
            <w:tcBorders>
              <w:tl2br w:val="nil"/>
              <w:tr2bl w:val="nil"/>
            </w:tcBorders>
            <w:vAlign w:val="center"/>
          </w:tcPr>
          <w:p w14:paraId="0B46A19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6BD9D3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二级</w:t>
            </w:r>
          </w:p>
        </w:tc>
      </w:tr>
      <w:tr w14:paraId="7348E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7" w:type="dxa"/>
            <w:gridSpan w:val="3"/>
            <w:tcBorders>
              <w:tl2br w:val="nil"/>
              <w:tr2bl w:val="nil"/>
            </w:tcBorders>
            <w:vAlign w:val="center"/>
          </w:tcPr>
          <w:p w14:paraId="477E52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环境审核</w:t>
            </w:r>
          </w:p>
        </w:tc>
        <w:tc>
          <w:tcPr>
            <w:tcW w:w="1751" w:type="dxa"/>
            <w:tcBorders>
              <w:tl2br w:val="nil"/>
              <w:tr2bl w:val="nil"/>
            </w:tcBorders>
            <w:vAlign w:val="center"/>
          </w:tcPr>
          <w:p w14:paraId="1A5E87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按照企业清洁生产审核指南的要求进行了审核；按照ISO14001 建立并运行环境管理体系，环境管理手册、程序文件及作业文件齐备</w:t>
            </w:r>
          </w:p>
        </w:tc>
        <w:tc>
          <w:tcPr>
            <w:tcW w:w="1987" w:type="dxa"/>
            <w:tcBorders>
              <w:tl2br w:val="nil"/>
              <w:tr2bl w:val="nil"/>
            </w:tcBorders>
            <w:vAlign w:val="center"/>
          </w:tcPr>
          <w:p w14:paraId="628AD0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按照企业清洁生产审核指南的要求进行了审核；环境管理制度健全，原始记录及统计数据齐全有效</w:t>
            </w:r>
          </w:p>
        </w:tc>
        <w:tc>
          <w:tcPr>
            <w:tcW w:w="1822" w:type="dxa"/>
            <w:tcBorders>
              <w:tl2br w:val="nil"/>
              <w:tr2bl w:val="nil"/>
            </w:tcBorders>
            <w:vAlign w:val="center"/>
          </w:tcPr>
          <w:p w14:paraId="16BE6B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按照企业清洁生产审核指南的要求进行了审核；环境管理制度、原始记录及统计数据基本齐全</w:t>
            </w:r>
          </w:p>
        </w:tc>
        <w:tc>
          <w:tcPr>
            <w:tcW w:w="1134" w:type="dxa"/>
            <w:tcBorders>
              <w:tl2br w:val="nil"/>
              <w:tr2bl w:val="nil"/>
            </w:tcBorders>
            <w:vAlign w:val="center"/>
          </w:tcPr>
          <w:p w14:paraId="2988BE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1FE258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二级</w:t>
            </w:r>
          </w:p>
        </w:tc>
      </w:tr>
      <w:tr w14:paraId="43400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32" w:type="dxa"/>
            <w:vMerge w:val="restart"/>
            <w:tcBorders>
              <w:tl2br w:val="nil"/>
              <w:tr2bl w:val="nil"/>
            </w:tcBorders>
            <w:vAlign w:val="center"/>
          </w:tcPr>
          <w:p w14:paraId="5C1E42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生产过程环境管理</w:t>
            </w:r>
          </w:p>
        </w:tc>
        <w:tc>
          <w:tcPr>
            <w:tcW w:w="935" w:type="dxa"/>
            <w:gridSpan w:val="2"/>
            <w:tcBorders>
              <w:tl2br w:val="nil"/>
              <w:tr2bl w:val="nil"/>
            </w:tcBorders>
            <w:vAlign w:val="center"/>
          </w:tcPr>
          <w:p w14:paraId="476061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岗位培训</w:t>
            </w:r>
          </w:p>
        </w:tc>
        <w:tc>
          <w:tcPr>
            <w:tcW w:w="3738" w:type="dxa"/>
            <w:gridSpan w:val="2"/>
            <w:tcBorders>
              <w:tl2br w:val="nil"/>
              <w:tr2bl w:val="nil"/>
            </w:tcBorders>
            <w:vAlign w:val="center"/>
          </w:tcPr>
          <w:p w14:paraId="721A5E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所有岗位进行过严格培训</w:t>
            </w:r>
          </w:p>
        </w:tc>
        <w:tc>
          <w:tcPr>
            <w:tcW w:w="1822" w:type="dxa"/>
            <w:tcBorders>
              <w:tl2br w:val="nil"/>
              <w:tr2bl w:val="nil"/>
            </w:tcBorders>
            <w:vAlign w:val="center"/>
          </w:tcPr>
          <w:p w14:paraId="5959E7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主要岗位进行过严格培训</w:t>
            </w:r>
          </w:p>
        </w:tc>
        <w:tc>
          <w:tcPr>
            <w:tcW w:w="1134" w:type="dxa"/>
            <w:tcBorders>
              <w:tl2br w:val="nil"/>
              <w:tr2bl w:val="nil"/>
            </w:tcBorders>
            <w:vAlign w:val="center"/>
          </w:tcPr>
          <w:p w14:paraId="1526CD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47F7EE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二级</w:t>
            </w:r>
          </w:p>
        </w:tc>
      </w:tr>
      <w:tr w14:paraId="5FF63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32" w:type="dxa"/>
            <w:vMerge w:val="continue"/>
            <w:tcBorders>
              <w:tl2br w:val="nil"/>
              <w:tr2bl w:val="nil"/>
            </w:tcBorders>
            <w:vAlign w:val="center"/>
          </w:tcPr>
          <w:p w14:paraId="0F3F56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p>
        </w:tc>
        <w:tc>
          <w:tcPr>
            <w:tcW w:w="935" w:type="dxa"/>
            <w:gridSpan w:val="2"/>
            <w:tcBorders>
              <w:tl2br w:val="nil"/>
              <w:tr2bl w:val="nil"/>
            </w:tcBorders>
            <w:vAlign w:val="center"/>
          </w:tcPr>
          <w:p w14:paraId="2C8F39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破碎、磨矿、分级等主要工序的操作管理</w:t>
            </w:r>
          </w:p>
        </w:tc>
        <w:tc>
          <w:tcPr>
            <w:tcW w:w="1751" w:type="dxa"/>
            <w:tcBorders>
              <w:tl2br w:val="nil"/>
              <w:tr2bl w:val="nil"/>
            </w:tcBorders>
            <w:vAlign w:val="center"/>
          </w:tcPr>
          <w:p w14:paraId="246F0B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有完善的岗位操作规程；运行无故障、设备完好率达100%</w:t>
            </w:r>
          </w:p>
        </w:tc>
        <w:tc>
          <w:tcPr>
            <w:tcW w:w="1987" w:type="dxa"/>
            <w:tcBorders>
              <w:tl2br w:val="nil"/>
              <w:tr2bl w:val="nil"/>
            </w:tcBorders>
            <w:vAlign w:val="center"/>
          </w:tcPr>
          <w:p w14:paraId="1A27E69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有完善的岗位操作规程；运行无故障、设备完好率达98%</w:t>
            </w:r>
          </w:p>
        </w:tc>
        <w:tc>
          <w:tcPr>
            <w:tcW w:w="1822" w:type="dxa"/>
            <w:tcBorders>
              <w:tl2br w:val="nil"/>
              <w:tr2bl w:val="nil"/>
            </w:tcBorders>
            <w:vAlign w:val="center"/>
          </w:tcPr>
          <w:p w14:paraId="7256B1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有较完善的岗位操作规程；运行无故障、设备完好率达95%</w:t>
            </w:r>
          </w:p>
        </w:tc>
        <w:tc>
          <w:tcPr>
            <w:tcW w:w="1134" w:type="dxa"/>
            <w:tcBorders>
              <w:tl2br w:val="nil"/>
              <w:tr2bl w:val="nil"/>
            </w:tcBorders>
            <w:vAlign w:val="center"/>
          </w:tcPr>
          <w:p w14:paraId="505766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76CB54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二级</w:t>
            </w:r>
          </w:p>
        </w:tc>
      </w:tr>
      <w:tr w14:paraId="57D48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32" w:type="dxa"/>
            <w:vMerge w:val="continue"/>
            <w:tcBorders>
              <w:tl2br w:val="nil"/>
              <w:tr2bl w:val="nil"/>
            </w:tcBorders>
            <w:vAlign w:val="center"/>
          </w:tcPr>
          <w:p w14:paraId="6C6854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p>
        </w:tc>
        <w:tc>
          <w:tcPr>
            <w:tcW w:w="935" w:type="dxa"/>
            <w:gridSpan w:val="2"/>
            <w:tcBorders>
              <w:tl2br w:val="nil"/>
              <w:tr2bl w:val="nil"/>
            </w:tcBorders>
            <w:vAlign w:val="center"/>
          </w:tcPr>
          <w:p w14:paraId="2D882B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设备的使用、维护、检修管理制度</w:t>
            </w:r>
          </w:p>
        </w:tc>
        <w:tc>
          <w:tcPr>
            <w:tcW w:w="1751" w:type="dxa"/>
            <w:tcBorders>
              <w:tl2br w:val="nil"/>
              <w:tr2bl w:val="nil"/>
            </w:tcBorders>
            <w:vAlign w:val="center"/>
          </w:tcPr>
          <w:p w14:paraId="50C3BD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有完善的管理制度，并严格执行</w:t>
            </w:r>
          </w:p>
        </w:tc>
        <w:tc>
          <w:tcPr>
            <w:tcW w:w="1987" w:type="dxa"/>
            <w:tcBorders>
              <w:tl2br w:val="nil"/>
              <w:tr2bl w:val="nil"/>
            </w:tcBorders>
            <w:vAlign w:val="center"/>
          </w:tcPr>
          <w:p w14:paraId="649A49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主要设备有具体的管理制度，并严格执行</w:t>
            </w:r>
          </w:p>
        </w:tc>
        <w:tc>
          <w:tcPr>
            <w:tcW w:w="1822" w:type="dxa"/>
            <w:tcBorders>
              <w:tl2br w:val="nil"/>
              <w:tr2bl w:val="nil"/>
            </w:tcBorders>
            <w:vAlign w:val="center"/>
          </w:tcPr>
          <w:p w14:paraId="3772D2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主要设备有基本的管理制度，并严格执行</w:t>
            </w:r>
          </w:p>
        </w:tc>
        <w:tc>
          <w:tcPr>
            <w:tcW w:w="1134" w:type="dxa"/>
            <w:tcBorders>
              <w:tl2br w:val="nil"/>
              <w:tr2bl w:val="nil"/>
            </w:tcBorders>
            <w:vAlign w:val="center"/>
          </w:tcPr>
          <w:p w14:paraId="18031E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76005F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二级</w:t>
            </w:r>
          </w:p>
        </w:tc>
      </w:tr>
      <w:tr w14:paraId="6E609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32" w:type="dxa"/>
            <w:vMerge w:val="continue"/>
            <w:tcBorders>
              <w:tl2br w:val="nil"/>
              <w:tr2bl w:val="nil"/>
            </w:tcBorders>
            <w:vAlign w:val="center"/>
          </w:tcPr>
          <w:p w14:paraId="63E1FD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p>
        </w:tc>
        <w:tc>
          <w:tcPr>
            <w:tcW w:w="935" w:type="dxa"/>
            <w:gridSpan w:val="2"/>
            <w:tcBorders>
              <w:tl2br w:val="nil"/>
              <w:tr2bl w:val="nil"/>
            </w:tcBorders>
            <w:vAlign w:val="center"/>
          </w:tcPr>
          <w:p w14:paraId="69CAB3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生产工艺用水、用电管理</w:t>
            </w:r>
          </w:p>
        </w:tc>
        <w:tc>
          <w:tcPr>
            <w:tcW w:w="1751" w:type="dxa"/>
            <w:tcBorders>
              <w:tl2br w:val="nil"/>
              <w:tr2bl w:val="nil"/>
            </w:tcBorders>
            <w:vAlign w:val="center"/>
          </w:tcPr>
          <w:p w14:paraId="4B8C1C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各种计量装置齐全，并制定严格计量考核制度</w:t>
            </w:r>
          </w:p>
        </w:tc>
        <w:tc>
          <w:tcPr>
            <w:tcW w:w="1987" w:type="dxa"/>
            <w:tcBorders>
              <w:tl2br w:val="nil"/>
              <w:tr2bl w:val="nil"/>
            </w:tcBorders>
            <w:vAlign w:val="center"/>
          </w:tcPr>
          <w:p w14:paraId="2E9A53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主要环节进行计量，并制定定量考核制度</w:t>
            </w:r>
          </w:p>
        </w:tc>
        <w:tc>
          <w:tcPr>
            <w:tcW w:w="1822" w:type="dxa"/>
            <w:tcBorders>
              <w:tl2br w:val="nil"/>
              <w:tr2bl w:val="nil"/>
            </w:tcBorders>
            <w:vAlign w:val="center"/>
          </w:tcPr>
          <w:p w14:paraId="28BEE1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主要环节进行计量</w:t>
            </w:r>
          </w:p>
        </w:tc>
        <w:tc>
          <w:tcPr>
            <w:tcW w:w="1134" w:type="dxa"/>
            <w:tcBorders>
              <w:tl2br w:val="nil"/>
              <w:tr2bl w:val="nil"/>
            </w:tcBorders>
            <w:vAlign w:val="center"/>
          </w:tcPr>
          <w:p w14:paraId="4D3A33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4D353D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二级</w:t>
            </w:r>
          </w:p>
        </w:tc>
      </w:tr>
      <w:tr w14:paraId="4EC24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332" w:type="dxa"/>
            <w:vMerge w:val="continue"/>
            <w:tcBorders>
              <w:tl2br w:val="nil"/>
              <w:tr2bl w:val="nil"/>
            </w:tcBorders>
            <w:vAlign w:val="center"/>
          </w:tcPr>
          <w:p w14:paraId="5C3517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p>
        </w:tc>
        <w:tc>
          <w:tcPr>
            <w:tcW w:w="935" w:type="dxa"/>
            <w:gridSpan w:val="2"/>
            <w:tcBorders>
              <w:tl2br w:val="nil"/>
              <w:tr2bl w:val="nil"/>
            </w:tcBorders>
            <w:vAlign w:val="center"/>
          </w:tcPr>
          <w:p w14:paraId="164D46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各种标识</w:t>
            </w:r>
          </w:p>
        </w:tc>
        <w:tc>
          <w:tcPr>
            <w:tcW w:w="5560" w:type="dxa"/>
            <w:gridSpan w:val="3"/>
            <w:tcBorders>
              <w:tl2br w:val="nil"/>
              <w:tr2bl w:val="nil"/>
            </w:tcBorders>
            <w:vAlign w:val="center"/>
          </w:tcPr>
          <w:p w14:paraId="7B66CC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生产区内各种标识明显，严格进行定期检查</w:t>
            </w:r>
          </w:p>
        </w:tc>
        <w:tc>
          <w:tcPr>
            <w:tcW w:w="1134" w:type="dxa"/>
            <w:tcBorders>
              <w:tl2br w:val="nil"/>
              <w:tr2bl w:val="nil"/>
            </w:tcBorders>
            <w:vAlign w:val="center"/>
          </w:tcPr>
          <w:p w14:paraId="5EC6C6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5498CA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符合</w:t>
            </w:r>
          </w:p>
        </w:tc>
      </w:tr>
      <w:tr w14:paraId="1CFE5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4" w:hRule="atLeast"/>
          <w:jc w:val="center"/>
        </w:trPr>
        <w:tc>
          <w:tcPr>
            <w:tcW w:w="332" w:type="dxa"/>
            <w:vMerge w:val="restart"/>
            <w:tcBorders>
              <w:tl2br w:val="nil"/>
              <w:tr2bl w:val="nil"/>
            </w:tcBorders>
            <w:vAlign w:val="center"/>
          </w:tcPr>
          <w:p w14:paraId="65D149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环境管理</w:t>
            </w:r>
          </w:p>
        </w:tc>
        <w:tc>
          <w:tcPr>
            <w:tcW w:w="935" w:type="dxa"/>
            <w:gridSpan w:val="2"/>
            <w:tcBorders>
              <w:tl2br w:val="nil"/>
              <w:tr2bl w:val="nil"/>
            </w:tcBorders>
            <w:vAlign w:val="center"/>
          </w:tcPr>
          <w:p w14:paraId="7CCF3E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环境管理机构</w:t>
            </w:r>
          </w:p>
        </w:tc>
        <w:tc>
          <w:tcPr>
            <w:tcW w:w="5560" w:type="dxa"/>
            <w:gridSpan w:val="3"/>
            <w:tcBorders>
              <w:tl2br w:val="nil"/>
              <w:tr2bl w:val="nil"/>
            </w:tcBorders>
            <w:vAlign w:val="center"/>
          </w:tcPr>
          <w:p w14:paraId="5D3F98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建立并有专人负责</w:t>
            </w:r>
          </w:p>
        </w:tc>
        <w:tc>
          <w:tcPr>
            <w:tcW w:w="1134" w:type="dxa"/>
            <w:tcBorders>
              <w:tl2br w:val="nil"/>
              <w:tr2bl w:val="nil"/>
            </w:tcBorders>
            <w:vAlign w:val="center"/>
          </w:tcPr>
          <w:p w14:paraId="4CC631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3ABFA2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符合</w:t>
            </w:r>
          </w:p>
        </w:tc>
      </w:tr>
      <w:tr w14:paraId="34001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4" w:hRule="atLeast"/>
          <w:jc w:val="center"/>
        </w:trPr>
        <w:tc>
          <w:tcPr>
            <w:tcW w:w="332" w:type="dxa"/>
            <w:vMerge w:val="continue"/>
            <w:tcBorders>
              <w:tl2br w:val="nil"/>
              <w:tr2bl w:val="nil"/>
            </w:tcBorders>
            <w:vAlign w:val="center"/>
          </w:tcPr>
          <w:p w14:paraId="7A9DE1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p>
        </w:tc>
        <w:tc>
          <w:tcPr>
            <w:tcW w:w="935" w:type="dxa"/>
            <w:gridSpan w:val="2"/>
            <w:tcBorders>
              <w:tl2br w:val="nil"/>
              <w:tr2bl w:val="nil"/>
            </w:tcBorders>
            <w:vAlign w:val="center"/>
          </w:tcPr>
          <w:p w14:paraId="0134F6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环境管理制度</w:t>
            </w:r>
          </w:p>
        </w:tc>
        <w:tc>
          <w:tcPr>
            <w:tcW w:w="3738" w:type="dxa"/>
            <w:gridSpan w:val="2"/>
            <w:tcBorders>
              <w:tl2br w:val="nil"/>
              <w:tr2bl w:val="nil"/>
            </w:tcBorders>
            <w:vAlign w:val="center"/>
          </w:tcPr>
          <w:p w14:paraId="74F38F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健全、完善的环境管理制度，并纳入日常管理</w:t>
            </w:r>
          </w:p>
        </w:tc>
        <w:tc>
          <w:tcPr>
            <w:tcW w:w="1822" w:type="dxa"/>
            <w:tcBorders>
              <w:tl2br w:val="nil"/>
              <w:tr2bl w:val="nil"/>
            </w:tcBorders>
            <w:vAlign w:val="center"/>
          </w:tcPr>
          <w:p w14:paraId="28EC7F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较完善的环境管理制度</w:t>
            </w:r>
          </w:p>
        </w:tc>
        <w:tc>
          <w:tcPr>
            <w:tcW w:w="1134" w:type="dxa"/>
            <w:tcBorders>
              <w:tl2br w:val="nil"/>
              <w:tr2bl w:val="nil"/>
            </w:tcBorders>
            <w:vAlign w:val="center"/>
          </w:tcPr>
          <w:p w14:paraId="0026BA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3A65B9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二级</w:t>
            </w:r>
          </w:p>
        </w:tc>
      </w:tr>
      <w:tr w14:paraId="5C9ED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32" w:type="dxa"/>
            <w:vMerge w:val="continue"/>
            <w:tcBorders>
              <w:tl2br w:val="nil"/>
              <w:tr2bl w:val="nil"/>
            </w:tcBorders>
            <w:vAlign w:val="center"/>
          </w:tcPr>
          <w:p w14:paraId="1A387B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p>
        </w:tc>
        <w:tc>
          <w:tcPr>
            <w:tcW w:w="935" w:type="dxa"/>
            <w:gridSpan w:val="2"/>
            <w:tcBorders>
              <w:tl2br w:val="nil"/>
              <w:tr2bl w:val="nil"/>
            </w:tcBorders>
            <w:vAlign w:val="center"/>
          </w:tcPr>
          <w:p w14:paraId="7D989A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环境管理计划</w:t>
            </w:r>
          </w:p>
        </w:tc>
        <w:tc>
          <w:tcPr>
            <w:tcW w:w="1751" w:type="dxa"/>
            <w:tcBorders>
              <w:tl2br w:val="nil"/>
              <w:tr2bl w:val="nil"/>
            </w:tcBorders>
            <w:vAlign w:val="center"/>
          </w:tcPr>
          <w:p w14:paraId="2A85A5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制定近、远期计划并监督实施</w:t>
            </w:r>
          </w:p>
        </w:tc>
        <w:tc>
          <w:tcPr>
            <w:tcW w:w="1987" w:type="dxa"/>
            <w:tcBorders>
              <w:tl2br w:val="nil"/>
              <w:tr2bl w:val="nil"/>
            </w:tcBorders>
            <w:vAlign w:val="center"/>
          </w:tcPr>
          <w:p w14:paraId="5D6336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制定近期计划并监督实施</w:t>
            </w:r>
          </w:p>
        </w:tc>
        <w:tc>
          <w:tcPr>
            <w:tcW w:w="1822" w:type="dxa"/>
            <w:tcBorders>
              <w:tl2br w:val="nil"/>
              <w:tr2bl w:val="nil"/>
            </w:tcBorders>
            <w:vAlign w:val="center"/>
          </w:tcPr>
          <w:p w14:paraId="166DED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制定日常计划并监督实施</w:t>
            </w:r>
          </w:p>
        </w:tc>
        <w:tc>
          <w:tcPr>
            <w:tcW w:w="1134" w:type="dxa"/>
            <w:tcBorders>
              <w:tl2br w:val="nil"/>
              <w:tr2bl w:val="nil"/>
            </w:tcBorders>
            <w:vAlign w:val="center"/>
          </w:tcPr>
          <w:p w14:paraId="5FF380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534602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环评要求运行中完善</w:t>
            </w:r>
          </w:p>
        </w:tc>
      </w:tr>
      <w:tr w14:paraId="51BEE5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32" w:type="dxa"/>
            <w:vMerge w:val="continue"/>
            <w:tcBorders>
              <w:tl2br w:val="nil"/>
              <w:tr2bl w:val="nil"/>
            </w:tcBorders>
            <w:vAlign w:val="center"/>
          </w:tcPr>
          <w:p w14:paraId="780900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p>
        </w:tc>
        <w:tc>
          <w:tcPr>
            <w:tcW w:w="935" w:type="dxa"/>
            <w:gridSpan w:val="2"/>
            <w:tcBorders>
              <w:tl2br w:val="nil"/>
              <w:tr2bl w:val="nil"/>
            </w:tcBorders>
            <w:vAlign w:val="center"/>
          </w:tcPr>
          <w:p w14:paraId="14C872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环保设施运行管理</w:t>
            </w:r>
          </w:p>
        </w:tc>
        <w:tc>
          <w:tcPr>
            <w:tcW w:w="3738" w:type="dxa"/>
            <w:gridSpan w:val="2"/>
            <w:tcBorders>
              <w:tl2br w:val="nil"/>
              <w:tr2bl w:val="nil"/>
            </w:tcBorders>
            <w:vAlign w:val="center"/>
          </w:tcPr>
          <w:p w14:paraId="7B91AE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记录运行数据并建立环保档案</w:t>
            </w:r>
          </w:p>
        </w:tc>
        <w:tc>
          <w:tcPr>
            <w:tcW w:w="1822" w:type="dxa"/>
            <w:tcBorders>
              <w:tl2br w:val="nil"/>
              <w:tr2bl w:val="nil"/>
            </w:tcBorders>
            <w:vAlign w:val="center"/>
          </w:tcPr>
          <w:p w14:paraId="479FD0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记录并统计运行数据</w:t>
            </w:r>
          </w:p>
        </w:tc>
        <w:tc>
          <w:tcPr>
            <w:tcW w:w="1134" w:type="dxa"/>
            <w:tcBorders>
              <w:tl2br w:val="nil"/>
              <w:tr2bl w:val="nil"/>
            </w:tcBorders>
            <w:vAlign w:val="center"/>
          </w:tcPr>
          <w:p w14:paraId="135AC8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53FB02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环评要求运行中完善</w:t>
            </w:r>
          </w:p>
        </w:tc>
      </w:tr>
      <w:tr w14:paraId="307CB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32" w:type="dxa"/>
            <w:vMerge w:val="continue"/>
            <w:tcBorders>
              <w:tl2br w:val="nil"/>
              <w:tr2bl w:val="nil"/>
            </w:tcBorders>
            <w:vAlign w:val="center"/>
          </w:tcPr>
          <w:p w14:paraId="35CF97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p>
        </w:tc>
        <w:tc>
          <w:tcPr>
            <w:tcW w:w="935" w:type="dxa"/>
            <w:gridSpan w:val="2"/>
            <w:tcBorders>
              <w:tl2br w:val="nil"/>
              <w:tr2bl w:val="nil"/>
            </w:tcBorders>
            <w:vAlign w:val="center"/>
          </w:tcPr>
          <w:p w14:paraId="0363E9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污染源监测系统</w:t>
            </w:r>
          </w:p>
        </w:tc>
        <w:tc>
          <w:tcPr>
            <w:tcW w:w="5560" w:type="dxa"/>
            <w:gridSpan w:val="3"/>
            <w:tcBorders>
              <w:tl2br w:val="nil"/>
              <w:tr2bl w:val="nil"/>
            </w:tcBorders>
            <w:vAlign w:val="center"/>
          </w:tcPr>
          <w:p w14:paraId="24582E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对水、气、声主要污染源、主要污染物进行定期监测</w:t>
            </w:r>
          </w:p>
        </w:tc>
        <w:tc>
          <w:tcPr>
            <w:tcW w:w="1134" w:type="dxa"/>
            <w:tcBorders>
              <w:tl2br w:val="nil"/>
              <w:tr2bl w:val="nil"/>
            </w:tcBorders>
            <w:vAlign w:val="center"/>
          </w:tcPr>
          <w:p w14:paraId="181013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0BC901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环评要求运行中完善</w:t>
            </w:r>
          </w:p>
        </w:tc>
      </w:tr>
      <w:tr w14:paraId="5BA0D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32" w:type="dxa"/>
            <w:vMerge w:val="continue"/>
            <w:tcBorders>
              <w:tl2br w:val="nil"/>
              <w:tr2bl w:val="nil"/>
            </w:tcBorders>
            <w:vAlign w:val="center"/>
          </w:tcPr>
          <w:p w14:paraId="15714C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p>
        </w:tc>
        <w:tc>
          <w:tcPr>
            <w:tcW w:w="935" w:type="dxa"/>
            <w:gridSpan w:val="2"/>
            <w:tcBorders>
              <w:tl2br w:val="nil"/>
              <w:tr2bl w:val="nil"/>
            </w:tcBorders>
            <w:vAlign w:val="center"/>
          </w:tcPr>
          <w:p w14:paraId="6886E7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信息交流</w:t>
            </w:r>
          </w:p>
        </w:tc>
        <w:tc>
          <w:tcPr>
            <w:tcW w:w="3738" w:type="dxa"/>
            <w:gridSpan w:val="2"/>
            <w:tcBorders>
              <w:tl2br w:val="nil"/>
              <w:tr2bl w:val="nil"/>
            </w:tcBorders>
            <w:vAlign w:val="center"/>
          </w:tcPr>
          <w:p w14:paraId="1B7CFE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具备计算机网络化管理系统</w:t>
            </w:r>
          </w:p>
        </w:tc>
        <w:tc>
          <w:tcPr>
            <w:tcW w:w="1822" w:type="dxa"/>
            <w:tcBorders>
              <w:tl2br w:val="nil"/>
              <w:tr2bl w:val="nil"/>
            </w:tcBorders>
            <w:vAlign w:val="center"/>
          </w:tcPr>
          <w:p w14:paraId="3145E2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定期交流</w:t>
            </w:r>
          </w:p>
        </w:tc>
        <w:tc>
          <w:tcPr>
            <w:tcW w:w="1134" w:type="dxa"/>
            <w:tcBorders>
              <w:tl2br w:val="nil"/>
              <w:tr2bl w:val="nil"/>
            </w:tcBorders>
            <w:vAlign w:val="center"/>
          </w:tcPr>
          <w:p w14:paraId="318291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6F4E3B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二级以上</w:t>
            </w:r>
          </w:p>
        </w:tc>
      </w:tr>
      <w:tr w14:paraId="74D87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9" w:hRule="atLeast"/>
          <w:jc w:val="center"/>
        </w:trPr>
        <w:tc>
          <w:tcPr>
            <w:tcW w:w="1267" w:type="dxa"/>
            <w:gridSpan w:val="3"/>
            <w:tcBorders>
              <w:tl2br w:val="nil"/>
              <w:tr2bl w:val="nil"/>
            </w:tcBorders>
            <w:vAlign w:val="center"/>
          </w:tcPr>
          <w:p w14:paraId="4B3363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废物处理与处置</w:t>
            </w:r>
          </w:p>
        </w:tc>
        <w:tc>
          <w:tcPr>
            <w:tcW w:w="5560" w:type="dxa"/>
            <w:gridSpan w:val="3"/>
            <w:tcBorders>
              <w:tl2br w:val="nil"/>
              <w:tr2bl w:val="nil"/>
            </w:tcBorders>
            <w:vAlign w:val="center"/>
          </w:tcPr>
          <w:p w14:paraId="67FEB6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应建有尾矿贮存、处置场，并有防止扬尘、淋滤水污染、水土流失的措施</w:t>
            </w:r>
          </w:p>
        </w:tc>
        <w:tc>
          <w:tcPr>
            <w:tcW w:w="1134" w:type="dxa"/>
            <w:tcBorders>
              <w:tl2br w:val="nil"/>
              <w:tr2bl w:val="nil"/>
            </w:tcBorders>
            <w:vAlign w:val="center"/>
          </w:tcPr>
          <w:p w14:paraId="496D96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148E67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环评要求照此控制</w:t>
            </w:r>
          </w:p>
        </w:tc>
      </w:tr>
      <w:tr w14:paraId="46994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267" w:type="dxa"/>
            <w:gridSpan w:val="3"/>
            <w:tcBorders>
              <w:tl2br w:val="nil"/>
              <w:tr2bl w:val="nil"/>
            </w:tcBorders>
            <w:vAlign w:val="center"/>
          </w:tcPr>
          <w:p w14:paraId="0C6F75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相关方环境管理</w:t>
            </w:r>
          </w:p>
        </w:tc>
        <w:tc>
          <w:tcPr>
            <w:tcW w:w="5560" w:type="dxa"/>
            <w:gridSpan w:val="3"/>
            <w:tcBorders>
              <w:tl2br w:val="nil"/>
              <w:tr2bl w:val="nil"/>
            </w:tcBorders>
            <w:vAlign w:val="center"/>
          </w:tcPr>
          <w:p w14:paraId="667DFE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服务协议中应明确原辅材料的供应方、协作方、服务方的环境要求</w:t>
            </w:r>
          </w:p>
        </w:tc>
        <w:tc>
          <w:tcPr>
            <w:tcW w:w="1134" w:type="dxa"/>
            <w:tcBorders>
              <w:tl2br w:val="nil"/>
              <w:tr2bl w:val="nil"/>
            </w:tcBorders>
            <w:vAlign w:val="center"/>
          </w:tcPr>
          <w:p w14:paraId="7FAD14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w:t>
            </w:r>
          </w:p>
        </w:tc>
        <w:tc>
          <w:tcPr>
            <w:tcW w:w="1169" w:type="dxa"/>
            <w:tcBorders>
              <w:tl2br w:val="nil"/>
              <w:tr2bl w:val="nil"/>
            </w:tcBorders>
            <w:vAlign w:val="center"/>
          </w:tcPr>
          <w:p w14:paraId="1FDB5E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ascii="Times New Roman" w:hAnsi="Times New Roman" w:eastAsia="宋体"/>
                <w:color w:val="000000" w:themeColor="text1"/>
                <w:spacing w:val="0"/>
                <w:kern w:val="0"/>
                <w:sz w:val="21"/>
                <w:szCs w:val="21"/>
                <w:highlight w:val="none"/>
                <w14:textFill>
                  <w14:solidFill>
                    <w14:schemeClr w14:val="tx1"/>
                  </w14:solidFill>
                </w14:textFill>
              </w:rPr>
              <w:t>环评要求照此控制</w:t>
            </w:r>
          </w:p>
        </w:tc>
      </w:tr>
    </w:tbl>
    <w:p w14:paraId="1BF6098E">
      <w:pPr>
        <w:pStyle w:val="4"/>
        <w:rPr>
          <w:color w:val="000000" w:themeColor="text1"/>
          <w:highlight w:val="none"/>
          <w14:textFill>
            <w14:solidFill>
              <w14:schemeClr w14:val="tx1"/>
            </w14:solidFill>
          </w14:textFill>
        </w:rPr>
      </w:pPr>
      <w:bookmarkStart w:id="539" w:name="_Toc14284"/>
      <w:bookmarkStart w:id="540" w:name="_Toc23425"/>
      <w:bookmarkStart w:id="541" w:name="_Toc11882"/>
      <w:bookmarkStart w:id="542" w:name="_Toc735"/>
      <w:bookmarkStart w:id="543" w:name="_Toc22925"/>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.4清洁生产评价结论</w:t>
      </w:r>
      <w:bookmarkEnd w:id="539"/>
      <w:bookmarkEnd w:id="540"/>
      <w:bookmarkEnd w:id="541"/>
      <w:bookmarkEnd w:id="542"/>
      <w:bookmarkEnd w:id="543"/>
    </w:p>
    <w:p w14:paraId="60A7A075">
      <w:pPr>
        <w:pStyle w:val="41"/>
        <w:overflowPunct w:val="0"/>
        <w:topLinePunct/>
        <w:spacing w:line="480" w:lineRule="exact"/>
        <w:ind w:firstLine="480"/>
        <w:rPr>
          <w:rFonts w:cs="Times New Roman"/>
          <w:color w:val="000000" w:themeColor="text1"/>
          <w:kern w:val="0"/>
          <w:highlight w:val="none"/>
          <w14:textFill>
            <w14:solidFill>
              <w14:schemeClr w14:val="tx1"/>
            </w14:solidFill>
          </w14:textFill>
        </w:rPr>
      </w:pPr>
      <w:r>
        <w:rPr>
          <w:rFonts w:hint="eastAsia" w:cs="Times New Roman"/>
          <w:color w:val="000000" w:themeColor="text1"/>
          <w:kern w:val="0"/>
          <w:highlight w:val="none"/>
          <w14:textFill>
            <w14:solidFill>
              <w14:schemeClr w14:val="tx1"/>
            </w14:solidFill>
          </w14:textFill>
        </w:rPr>
        <w:t>根据表3.5-1本项目清洁生产水平原有情况和现有本次情况对比可知，</w:t>
      </w:r>
      <w:r>
        <w:rPr>
          <w:rFonts w:cs="Times New Roman"/>
          <w:color w:val="000000" w:themeColor="text1"/>
          <w:kern w:val="0"/>
          <w:highlight w:val="none"/>
          <w14:textFill>
            <w14:solidFill>
              <w14:schemeClr w14:val="tx1"/>
            </w14:solidFill>
          </w14:textFill>
        </w:rPr>
        <w:t>本项目</w:t>
      </w:r>
      <w:r>
        <w:rPr>
          <w:rFonts w:hint="eastAsia" w:cs="Times New Roman"/>
          <w:color w:val="000000" w:themeColor="text1"/>
          <w:kern w:val="0"/>
          <w:highlight w:val="none"/>
          <w14:textFill>
            <w14:solidFill>
              <w14:schemeClr w14:val="tx1"/>
            </w14:solidFill>
          </w14:textFill>
        </w:rPr>
        <w:t>在实际生产过程中通过采取以下措施使矿山清洁生产水平有了提高。</w:t>
      </w:r>
    </w:p>
    <w:p w14:paraId="37ED668E">
      <w:pPr>
        <w:pStyle w:val="41"/>
        <w:overflowPunct w:val="0"/>
        <w:topLinePunct/>
        <w:spacing w:line="480" w:lineRule="exact"/>
        <w:ind w:firstLine="480"/>
        <w:rPr>
          <w:rFonts w:cs="Times New Roman"/>
          <w:color w:val="000000" w:themeColor="text1"/>
          <w:kern w:val="0"/>
          <w:highlight w:val="none"/>
          <w14:textFill>
            <w14:solidFill>
              <w14:schemeClr w14:val="tx1"/>
            </w14:solidFill>
          </w14:textFill>
        </w:rPr>
      </w:pPr>
      <w:r>
        <w:rPr>
          <w:rFonts w:hint="eastAsia" w:cs="Times New Roman"/>
          <w:color w:val="000000" w:themeColor="text1"/>
          <w:kern w:val="0"/>
          <w:highlight w:val="none"/>
          <w:lang w:val="en-US" w:eastAsia="zh-CN"/>
          <w14:textFill>
            <w14:solidFill>
              <w14:schemeClr w14:val="tx1"/>
            </w14:solidFill>
          </w14:textFill>
        </w:rPr>
        <w:t>1</w:t>
      </w:r>
      <w:r>
        <w:rPr>
          <w:rFonts w:hint="eastAsia" w:cs="Times New Roman"/>
          <w:color w:val="000000" w:themeColor="text1"/>
          <w:kern w:val="0"/>
          <w:highlight w:val="none"/>
          <w14:textFill>
            <w14:solidFill>
              <w14:schemeClr w14:val="tx1"/>
            </w14:solidFill>
          </w14:textFill>
        </w:rPr>
        <w:t>、在实际设备选购</w:t>
      </w:r>
      <w:r>
        <w:rPr>
          <w:rFonts w:hint="eastAsia" w:cs="Times New Roman"/>
          <w:color w:val="000000" w:themeColor="text1"/>
          <w:kern w:val="0"/>
          <w:highlight w:val="none"/>
          <w:lang w:eastAsia="zh-CN"/>
          <w14:textFill>
            <w14:solidFill>
              <w14:schemeClr w14:val="tx1"/>
            </w14:solidFill>
          </w14:textFill>
        </w:rPr>
        <w:t>改造</w:t>
      </w:r>
      <w:r>
        <w:rPr>
          <w:rFonts w:hint="eastAsia" w:cs="Times New Roman"/>
          <w:color w:val="000000" w:themeColor="text1"/>
          <w:kern w:val="0"/>
          <w:highlight w:val="none"/>
          <w14:textFill>
            <w14:solidFill>
              <w14:schemeClr w14:val="tx1"/>
            </w14:solidFill>
          </w14:textFill>
        </w:rPr>
        <w:t>过程中，破碎筛分、磨矿、分级、选别和脱水过滤等主要生产工艺均采用国内较先进的处理量较大、效率较高、能耗较低等选矿设备，采用高压辊磨方案特点是节能，可以显著降低球磨入磨粒度，并且经辊压后的矿石球磨功指数降低，能耗降低的同时提高了效率，工艺装备均达到清洁生产国内先进水平。</w:t>
      </w:r>
    </w:p>
    <w:p w14:paraId="6BFB8FA2">
      <w:pPr>
        <w:pStyle w:val="41"/>
        <w:overflowPunct w:val="0"/>
        <w:topLinePunct/>
        <w:spacing w:line="480" w:lineRule="exact"/>
        <w:ind w:firstLine="480"/>
        <w:rPr>
          <w:rFonts w:cs="Times New Roman"/>
          <w:color w:val="000000" w:themeColor="text1"/>
          <w:kern w:val="0"/>
          <w:highlight w:val="none"/>
          <w14:textFill>
            <w14:solidFill>
              <w14:schemeClr w14:val="tx1"/>
            </w14:solidFill>
          </w14:textFill>
        </w:rPr>
      </w:pPr>
      <w:r>
        <w:rPr>
          <w:rFonts w:hint="eastAsia" w:cs="Times New Roman"/>
          <w:color w:val="000000" w:themeColor="text1"/>
          <w:kern w:val="0"/>
          <w:highlight w:val="none"/>
          <w:lang w:val="en-US" w:eastAsia="zh-CN"/>
          <w14:textFill>
            <w14:solidFill>
              <w14:schemeClr w14:val="tx1"/>
            </w14:solidFill>
          </w14:textFill>
        </w:rPr>
        <w:t>2</w:t>
      </w:r>
      <w:r>
        <w:rPr>
          <w:rFonts w:hint="eastAsia" w:cs="Times New Roman"/>
          <w:color w:val="000000" w:themeColor="text1"/>
          <w:kern w:val="0"/>
          <w:highlight w:val="none"/>
          <w14:textFill>
            <w14:solidFill>
              <w14:schemeClr w14:val="tx1"/>
            </w14:solidFill>
          </w14:textFill>
        </w:rPr>
        <w:t>、通过采取科学合理建设选矿生产工艺及严格执行生产制度等措施，选矿工艺包括尾矿库废水实现“闭路循环”，无废水外排；生活污水经地埋式一体化污水处理设施处理达标后，</w:t>
      </w:r>
      <w:r>
        <w:rPr>
          <w:rFonts w:hint="eastAsia" w:ascii="宋体" w:hAnsi="宋体"/>
          <w:color w:val="000000" w:themeColor="text1"/>
          <w:spacing w:val="-1"/>
          <w:szCs w:val="24"/>
          <w:highlight w:val="none"/>
          <w14:textFill>
            <w14:solidFill>
              <w14:schemeClr w14:val="tx1"/>
            </w14:solidFill>
          </w14:textFill>
        </w:rPr>
        <w:t>用于选矿生产工序循环利用及绿化</w:t>
      </w:r>
      <w:r>
        <w:rPr>
          <w:rFonts w:hint="eastAsia"/>
          <w:color w:val="000000" w:themeColor="text1"/>
          <w:highlight w:val="none"/>
          <w14:textFill>
            <w14:solidFill>
              <w14:schemeClr w14:val="tx1"/>
            </w14:solidFill>
          </w14:textFill>
        </w:rPr>
        <w:t>。</w:t>
      </w:r>
    </w:p>
    <w:p w14:paraId="72C7A386">
      <w:pPr>
        <w:pStyle w:val="41"/>
        <w:overflowPunct w:val="0"/>
        <w:topLinePunct/>
        <w:spacing w:line="480" w:lineRule="exact"/>
        <w:ind w:firstLine="480"/>
        <w:rPr>
          <w:rFonts w:cs="Times New Roman"/>
          <w:color w:val="000000" w:themeColor="text1"/>
          <w:kern w:val="0"/>
          <w:highlight w:val="none"/>
          <w14:textFill>
            <w14:solidFill>
              <w14:schemeClr w14:val="tx1"/>
            </w14:solidFill>
          </w14:textFill>
        </w:rPr>
      </w:pPr>
      <w:r>
        <w:rPr>
          <w:rFonts w:hint="eastAsia" w:cs="Times New Roman"/>
          <w:color w:val="000000" w:themeColor="text1"/>
          <w:kern w:val="0"/>
          <w:highlight w:val="none"/>
          <w:lang w:val="en-US" w:eastAsia="zh-CN"/>
          <w14:textFill>
            <w14:solidFill>
              <w14:schemeClr w14:val="tx1"/>
            </w14:solidFill>
          </w14:textFill>
        </w:rPr>
        <w:t>3</w:t>
      </w:r>
      <w:r>
        <w:rPr>
          <w:rFonts w:hint="eastAsia" w:cs="Times New Roman"/>
          <w:color w:val="000000" w:themeColor="text1"/>
          <w:kern w:val="0"/>
          <w:highlight w:val="none"/>
          <w14:textFill>
            <w14:solidFill>
              <w14:schemeClr w14:val="tx1"/>
            </w14:solidFill>
          </w14:textFill>
        </w:rPr>
        <w:t>、通过“闭路循环”系统，尾矿库回水充分回用于选矿生产，回用率最高可达100%；</w:t>
      </w:r>
    </w:p>
    <w:p w14:paraId="585472E2">
      <w:pPr>
        <w:pStyle w:val="41"/>
        <w:overflowPunct w:val="0"/>
        <w:topLinePunct/>
        <w:spacing w:line="480" w:lineRule="exact"/>
        <w:ind w:firstLine="480"/>
        <w:rPr>
          <w:rFonts w:cs="Times New Roman"/>
          <w:bCs/>
          <w:color w:val="000000" w:themeColor="text1"/>
          <w:szCs w:val="24"/>
          <w:highlight w:val="none"/>
          <w14:textFill>
            <w14:solidFill>
              <w14:schemeClr w14:val="tx1"/>
            </w14:solidFill>
          </w14:textFill>
        </w:rPr>
      </w:pPr>
      <w:r>
        <w:rPr>
          <w:rFonts w:hint="eastAsia" w:cs="Times New Roman"/>
          <w:color w:val="000000" w:themeColor="text1"/>
          <w:kern w:val="0"/>
          <w:highlight w:val="none"/>
          <w14:textFill>
            <w14:solidFill>
              <w14:schemeClr w14:val="tx1"/>
            </w14:solidFill>
          </w14:textFill>
        </w:rPr>
        <w:t>综上所述，</w:t>
      </w:r>
      <w:r>
        <w:rPr>
          <w:rFonts w:cs="Times New Roman"/>
          <w:color w:val="000000" w:themeColor="text1"/>
          <w:kern w:val="0"/>
          <w:highlight w:val="none"/>
          <w14:textFill>
            <w14:solidFill>
              <w14:schemeClr w14:val="tx1"/>
            </w14:solidFill>
          </w14:textFill>
        </w:rPr>
        <w:t>生产废水经处理后全部利用，可做到零排放，不仅大大节约生产用新水量，还可避免废水排放对水体环境的影响，生产过程在</w:t>
      </w:r>
      <w:r>
        <w:rPr>
          <w:rFonts w:hint="eastAsia" w:cs="Times New Roman"/>
          <w:color w:val="000000" w:themeColor="text1"/>
          <w:kern w:val="0"/>
          <w:highlight w:val="none"/>
          <w14:textFill>
            <w14:solidFill>
              <w14:schemeClr w14:val="tx1"/>
            </w14:solidFill>
          </w14:textFill>
        </w:rPr>
        <w:t>厂房内</w:t>
      </w:r>
      <w:r>
        <w:rPr>
          <w:rFonts w:cs="Times New Roman"/>
          <w:color w:val="000000" w:themeColor="text1"/>
          <w:kern w:val="0"/>
          <w:highlight w:val="none"/>
          <w14:textFill>
            <w14:solidFill>
              <w14:schemeClr w14:val="tx1"/>
            </w14:solidFill>
          </w14:textFill>
        </w:rPr>
        <w:t>进行，通过集尘罩收集粉尘</w:t>
      </w:r>
      <w:r>
        <w:rPr>
          <w:rFonts w:hint="eastAsia" w:cs="Times New Roman"/>
          <w:color w:val="000000" w:themeColor="text1"/>
          <w:kern w:val="0"/>
          <w:highlight w:val="none"/>
          <w14:textFill>
            <w14:solidFill>
              <w14:schemeClr w14:val="tx1"/>
            </w14:solidFill>
          </w14:textFill>
        </w:rPr>
        <w:t>，并采用布袋除尘器除尘</w:t>
      </w:r>
      <w:r>
        <w:rPr>
          <w:rFonts w:cs="Times New Roman"/>
          <w:color w:val="000000" w:themeColor="text1"/>
          <w:kern w:val="0"/>
          <w:highlight w:val="none"/>
          <w14:textFill>
            <w14:solidFill>
              <w14:schemeClr w14:val="tx1"/>
            </w14:solidFill>
          </w14:textFill>
        </w:rPr>
        <w:t>，可有效控制粉尘排放并节约了生产资料。</w:t>
      </w:r>
      <w:r>
        <w:rPr>
          <w:rFonts w:hint="eastAsia" w:cs="Times New Roman"/>
          <w:color w:val="000000" w:themeColor="text1"/>
          <w:kern w:val="0"/>
          <w:highlight w:val="none"/>
          <w:lang w:eastAsia="zh-CN"/>
          <w14:textFill>
            <w14:solidFill>
              <w14:schemeClr w14:val="tx1"/>
            </w14:solidFill>
          </w14:textFill>
        </w:rPr>
        <w:t>建议</w:t>
      </w:r>
      <w:r>
        <w:rPr>
          <w:rFonts w:hint="eastAsia" w:cs="Times New Roman"/>
          <w:color w:val="000000" w:themeColor="text1"/>
          <w:kern w:val="0"/>
          <w:highlight w:val="none"/>
          <w14:textFill>
            <w14:solidFill>
              <w14:schemeClr w14:val="tx1"/>
            </w14:solidFill>
          </w14:textFill>
        </w:rPr>
        <w:t>建设单位</w:t>
      </w:r>
      <w:r>
        <w:rPr>
          <w:rFonts w:hint="eastAsia" w:cs="Times New Roman"/>
          <w:color w:val="000000" w:themeColor="text1"/>
          <w:kern w:val="0"/>
          <w:highlight w:val="none"/>
          <w:lang w:eastAsia="zh-CN"/>
          <w14:textFill>
            <w14:solidFill>
              <w14:schemeClr w14:val="tx1"/>
            </w14:solidFill>
          </w14:textFill>
        </w:rPr>
        <w:t>开展</w:t>
      </w:r>
      <w:r>
        <w:rPr>
          <w:rFonts w:hint="eastAsia"/>
          <w:color w:val="000000" w:themeColor="text1"/>
          <w:highlight w:val="none"/>
          <w14:textFill>
            <w14:solidFill>
              <w14:schemeClr w14:val="tx1"/>
            </w14:solidFill>
          </w14:textFill>
        </w:rPr>
        <w:t>清洁生产</w:t>
      </w:r>
      <w:r>
        <w:rPr>
          <w:rFonts w:hint="eastAsia"/>
          <w:color w:val="000000" w:themeColor="text1"/>
          <w:highlight w:val="none"/>
          <w:lang w:eastAsia="zh-CN"/>
          <w14:textFill>
            <w14:solidFill>
              <w14:schemeClr w14:val="tx1"/>
            </w14:solidFill>
          </w14:textFill>
        </w:rPr>
        <w:t>审核</w:t>
      </w:r>
      <w:r>
        <w:rPr>
          <w:rFonts w:hint="eastAsia"/>
          <w:color w:val="000000" w:themeColor="text1"/>
          <w:highlight w:val="none"/>
          <w14:textFill>
            <w14:solidFill>
              <w14:schemeClr w14:val="tx1"/>
            </w14:solidFill>
          </w14:textFill>
        </w:rPr>
        <w:t>工作。</w:t>
      </w:r>
      <w:r>
        <w:rPr>
          <w:rFonts w:cs="Times New Roman"/>
          <w:color w:val="000000" w:themeColor="text1"/>
          <w:kern w:val="0"/>
          <w:highlight w:val="none"/>
          <w14:textFill>
            <w14:solidFill>
              <w14:schemeClr w14:val="tx1"/>
            </w14:solidFill>
          </w14:textFill>
        </w:rPr>
        <w:t>按照清洁生产</w:t>
      </w:r>
      <w:r>
        <w:rPr>
          <w:rFonts w:hint="eastAsia" w:cs="Times New Roman"/>
          <w:color w:val="000000" w:themeColor="text1"/>
          <w:kern w:val="0"/>
          <w:highlight w:val="none"/>
          <w14:textFill>
            <w14:solidFill>
              <w14:schemeClr w14:val="tx1"/>
            </w14:solidFill>
          </w14:textFill>
        </w:rPr>
        <w:t>二</w:t>
      </w:r>
      <w:r>
        <w:rPr>
          <w:rFonts w:cs="Times New Roman"/>
          <w:color w:val="000000" w:themeColor="text1"/>
          <w:kern w:val="0"/>
          <w:highlight w:val="none"/>
          <w14:textFill>
            <w14:solidFill>
              <w14:schemeClr w14:val="tx1"/>
            </w14:solidFill>
          </w14:textFill>
        </w:rPr>
        <w:t>级标准执行环境管理工作，</w:t>
      </w:r>
      <w:r>
        <w:rPr>
          <w:rFonts w:cs="Times New Roman"/>
          <w:color w:val="000000" w:themeColor="text1"/>
          <w:highlight w:val="none"/>
          <w14:textFill>
            <w14:solidFill>
              <w14:schemeClr w14:val="tx1"/>
            </w14:solidFill>
          </w14:textFill>
        </w:rPr>
        <w:t>在此基础上，本项目的生产运行能够符合铁矿采选行业清洁生产</w:t>
      </w:r>
      <w:r>
        <w:rPr>
          <w:rFonts w:hint="eastAsia" w:cs="Times New Roman"/>
          <w:color w:val="000000" w:themeColor="text1"/>
          <w:highlight w:val="none"/>
          <w14:textFill>
            <w14:solidFill>
              <w14:schemeClr w14:val="tx1"/>
            </w14:solidFill>
          </w14:textFill>
        </w:rPr>
        <w:t>二</w:t>
      </w:r>
      <w:r>
        <w:rPr>
          <w:rFonts w:cs="Times New Roman"/>
          <w:color w:val="000000" w:themeColor="text1"/>
          <w:highlight w:val="none"/>
          <w14:textFill>
            <w14:solidFill>
              <w14:schemeClr w14:val="tx1"/>
            </w14:solidFill>
          </w14:textFill>
        </w:rPr>
        <w:t>级标准</w:t>
      </w:r>
      <w:r>
        <w:rPr>
          <w:rFonts w:hint="eastAsia" w:cs="Times New Roman"/>
          <w:color w:val="000000" w:themeColor="text1"/>
          <w:szCs w:val="24"/>
          <w:highlight w:val="none"/>
          <w14:textFill>
            <w14:solidFill>
              <w14:schemeClr w14:val="tx1"/>
            </w14:solidFill>
          </w14:textFill>
        </w:rPr>
        <w:t>。</w:t>
      </w:r>
    </w:p>
    <w:p w14:paraId="7D615354">
      <w:pPr>
        <w:pStyle w:val="3"/>
        <w:rPr>
          <w:color w:val="000000" w:themeColor="text1"/>
          <w:highlight w:val="none"/>
          <w14:textFill>
            <w14:solidFill>
              <w14:schemeClr w14:val="tx1"/>
            </w14:solidFill>
          </w14:textFill>
        </w:rPr>
      </w:pPr>
      <w:bookmarkStart w:id="544" w:name="_Toc27931"/>
      <w:bookmarkStart w:id="545" w:name="_Toc15743"/>
      <w:bookmarkStart w:id="546" w:name="_Toc20715"/>
      <w:bookmarkStart w:id="547" w:name="_Toc5893"/>
      <w:bookmarkStart w:id="548" w:name="_Toc107414658"/>
      <w:bookmarkStart w:id="549" w:name="_Toc8540"/>
      <w:bookmarkStart w:id="550" w:name="_Toc107413891"/>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.6</w:t>
      </w:r>
      <w:bookmarkEnd w:id="544"/>
      <w:r>
        <w:rPr>
          <w:rFonts w:hint="eastAsia"/>
          <w:color w:val="000000" w:themeColor="text1"/>
          <w:kern w:val="0"/>
          <w:highlight w:val="none"/>
          <w14:textFill>
            <w14:solidFill>
              <w14:schemeClr w14:val="tx1"/>
            </w14:solidFill>
          </w14:textFill>
        </w:rPr>
        <w:t>“三本账”</w:t>
      </w:r>
      <w:bookmarkEnd w:id="545"/>
      <w:bookmarkEnd w:id="546"/>
      <w:bookmarkEnd w:id="547"/>
      <w:bookmarkEnd w:id="548"/>
      <w:bookmarkEnd w:id="549"/>
      <w:bookmarkEnd w:id="550"/>
    </w:p>
    <w:p w14:paraId="7F9AD18A">
      <w:pPr>
        <w:pStyle w:val="41"/>
        <w:overflowPunct w:val="0"/>
        <w:topLinePunct/>
        <w:spacing w:line="480" w:lineRule="exact"/>
        <w:ind w:firstLine="480"/>
        <w:rPr>
          <w:rFonts w:cs="Times New Roman"/>
          <w:color w:val="000000" w:themeColor="text1"/>
          <w:kern w:val="0"/>
          <w:highlight w:val="none"/>
          <w14:textFill>
            <w14:solidFill>
              <w14:schemeClr w14:val="tx1"/>
            </w14:solidFill>
          </w14:textFill>
        </w:rPr>
      </w:pPr>
      <w:r>
        <w:rPr>
          <w:rFonts w:hint="eastAsia" w:cs="Times New Roman"/>
          <w:color w:val="000000" w:themeColor="text1"/>
          <w:kern w:val="0"/>
          <w:highlight w:val="none"/>
          <w14:textFill>
            <w14:solidFill>
              <w14:schemeClr w14:val="tx1"/>
            </w14:solidFill>
          </w14:textFill>
        </w:rPr>
        <w:t>本次改扩建前后“三本账”见下表。</w:t>
      </w:r>
    </w:p>
    <w:p w14:paraId="437A5F02">
      <w:pPr>
        <w:ind w:firstLine="0" w:firstLineChars="0"/>
        <w:jc w:val="center"/>
        <w:rPr>
          <w:b/>
          <w:color w:val="000000" w:themeColor="text1"/>
          <w:kern w:val="0"/>
          <w:highlight w:val="none"/>
          <w14:textFill>
            <w14:solidFill>
              <w14:schemeClr w14:val="tx1"/>
            </w14:solidFill>
          </w14:textFill>
        </w:rPr>
      </w:pPr>
      <w:r>
        <w:rPr>
          <w:b/>
          <w:color w:val="000000" w:themeColor="text1"/>
          <w:kern w:val="0"/>
          <w:highlight w:val="none"/>
          <w14:textFill>
            <w14:solidFill>
              <w14:schemeClr w14:val="tx1"/>
            </w14:solidFill>
          </w14:textFill>
        </w:rPr>
        <w:t>表3.6</w:t>
      </w:r>
      <w:r>
        <w:rPr>
          <w:rFonts w:hint="eastAsia"/>
          <w:b/>
          <w:color w:val="000000" w:themeColor="text1"/>
          <w:kern w:val="0"/>
          <w:highlight w:val="none"/>
          <w14:textFill>
            <w14:solidFill>
              <w14:schemeClr w14:val="tx1"/>
            </w14:solidFill>
          </w14:textFill>
        </w:rPr>
        <w:t>-1</w:t>
      </w:r>
      <w:r>
        <w:rPr>
          <w:b/>
          <w:color w:val="000000" w:themeColor="text1"/>
          <w:kern w:val="0"/>
          <w:highlight w:val="none"/>
          <w14:textFill>
            <w14:solidFill>
              <w14:schemeClr w14:val="tx1"/>
            </w14:solidFill>
          </w14:textFill>
        </w:rPr>
        <w:t xml:space="preserve">    </w:t>
      </w:r>
      <w:r>
        <w:rPr>
          <w:rFonts w:hint="eastAsia"/>
          <w:b/>
          <w:color w:val="000000" w:themeColor="text1"/>
          <w:kern w:val="0"/>
          <w:highlight w:val="none"/>
          <w14:textFill>
            <w14:solidFill>
              <w14:schemeClr w14:val="tx1"/>
            </w14:solidFill>
          </w14:textFill>
        </w:rPr>
        <w:t>本次改扩建前后的“三本账”</w:t>
      </w:r>
    </w:p>
    <w:tbl>
      <w:tblPr>
        <w:tblStyle w:val="32"/>
        <w:tblW w:w="501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61"/>
        <w:gridCol w:w="566"/>
        <w:gridCol w:w="1566"/>
        <w:gridCol w:w="653"/>
        <w:gridCol w:w="1018"/>
        <w:gridCol w:w="998"/>
        <w:gridCol w:w="942"/>
        <w:gridCol w:w="1123"/>
        <w:gridCol w:w="1125"/>
      </w:tblGrid>
      <w:tr w14:paraId="157E1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555" w:type="pct"/>
            <w:gridSpan w:val="2"/>
            <w:tcBorders>
              <w:tl2br w:val="nil"/>
              <w:tr2bl w:val="nil"/>
            </w:tcBorders>
            <w:shd w:val="clear" w:color="auto" w:fill="auto"/>
            <w:vAlign w:val="center"/>
          </w:tcPr>
          <w:p w14:paraId="11EF5764">
            <w:pPr>
              <w:spacing w:line="360" w:lineRule="exact"/>
              <w:ind w:firstLine="0" w:firstLineChars="0"/>
              <w:jc w:val="center"/>
              <w:rPr>
                <w:b/>
                <w:bCs/>
                <w:color w:val="000000" w:themeColor="text1"/>
                <w:sz w:val="21"/>
                <w:szCs w:val="21"/>
                <w:highlight w:val="none"/>
                <w14:textFill>
                  <w14:solidFill>
                    <w14:schemeClr w14:val="tx1"/>
                  </w14:solidFill>
                </w14:textFill>
              </w:rPr>
            </w:pPr>
            <w:bookmarkStart w:id="551" w:name="_Toc107413892"/>
            <w:bookmarkStart w:id="552" w:name="_Toc107414659"/>
            <w:bookmarkStart w:id="553" w:name="_Toc9900"/>
            <w:bookmarkStart w:id="554" w:name="_Toc12782"/>
            <w:bookmarkStart w:id="555" w:name="_Toc28273"/>
            <w:bookmarkStart w:id="556" w:name="_Toc27182"/>
            <w:r>
              <w:rPr>
                <w:rFonts w:hint="eastAsia"/>
                <w:b/>
                <w:bCs/>
                <w:color w:val="000000" w:themeColor="text1"/>
                <w:sz w:val="21"/>
                <w:szCs w:val="21"/>
                <w:highlight w:val="none"/>
                <w14:textFill>
                  <w14:solidFill>
                    <w14:schemeClr w14:val="tx1"/>
                  </w14:solidFill>
                </w14:textFill>
              </w:rPr>
              <w:t>类别</w:t>
            </w:r>
          </w:p>
        </w:tc>
        <w:tc>
          <w:tcPr>
            <w:tcW w:w="937" w:type="pct"/>
            <w:tcBorders>
              <w:tl2br w:val="nil"/>
              <w:tr2bl w:val="nil"/>
            </w:tcBorders>
            <w:shd w:val="clear" w:color="auto" w:fill="auto"/>
            <w:vAlign w:val="center"/>
          </w:tcPr>
          <w:p w14:paraId="48CA5C32">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污染源</w:t>
            </w:r>
          </w:p>
        </w:tc>
        <w:tc>
          <w:tcPr>
            <w:tcW w:w="390" w:type="pct"/>
            <w:tcBorders>
              <w:tl2br w:val="nil"/>
              <w:tr2bl w:val="nil"/>
            </w:tcBorders>
            <w:shd w:val="clear" w:color="auto" w:fill="auto"/>
            <w:vAlign w:val="center"/>
          </w:tcPr>
          <w:p w14:paraId="777F9C86">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污染物名称</w:t>
            </w:r>
          </w:p>
        </w:tc>
        <w:tc>
          <w:tcPr>
            <w:tcW w:w="609" w:type="pct"/>
            <w:tcBorders>
              <w:tl2br w:val="nil"/>
              <w:tr2bl w:val="nil"/>
            </w:tcBorders>
            <w:shd w:val="clear" w:color="auto" w:fill="auto"/>
            <w:vAlign w:val="center"/>
          </w:tcPr>
          <w:p w14:paraId="0CE3ABB2">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原有污染物排放量</w:t>
            </w:r>
          </w:p>
        </w:tc>
        <w:tc>
          <w:tcPr>
            <w:tcW w:w="597" w:type="pct"/>
            <w:tcBorders>
              <w:tl2br w:val="nil"/>
              <w:tr2bl w:val="nil"/>
            </w:tcBorders>
            <w:shd w:val="clear" w:color="auto" w:fill="auto"/>
            <w:vAlign w:val="center"/>
          </w:tcPr>
          <w:p w14:paraId="6019D420">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改</w:t>
            </w:r>
            <w:r>
              <w:rPr>
                <w:rFonts w:hint="eastAsia"/>
                <w:b/>
                <w:bCs/>
                <w:color w:val="000000" w:themeColor="text1"/>
                <w:sz w:val="21"/>
                <w:szCs w:val="21"/>
                <w:highlight w:val="none"/>
                <w14:textFill>
                  <w14:solidFill>
                    <w14:schemeClr w14:val="tx1"/>
                  </w14:solidFill>
                </w14:textFill>
              </w:rPr>
              <w:t>建项目排放量</w:t>
            </w:r>
          </w:p>
        </w:tc>
        <w:tc>
          <w:tcPr>
            <w:tcW w:w="564" w:type="pct"/>
            <w:tcBorders>
              <w:tl2br w:val="nil"/>
              <w:tr2bl w:val="nil"/>
            </w:tcBorders>
            <w:shd w:val="clear" w:color="auto" w:fill="auto"/>
            <w:vAlign w:val="center"/>
          </w:tcPr>
          <w:p w14:paraId="021359CA">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以新带老削减量</w:t>
            </w:r>
          </w:p>
        </w:tc>
        <w:tc>
          <w:tcPr>
            <w:tcW w:w="672" w:type="pct"/>
            <w:tcBorders>
              <w:tl2br w:val="nil"/>
              <w:tr2bl w:val="nil"/>
            </w:tcBorders>
            <w:shd w:val="clear" w:color="auto" w:fill="auto"/>
            <w:vAlign w:val="center"/>
          </w:tcPr>
          <w:p w14:paraId="76C15B51">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排放总量</w:t>
            </w:r>
          </w:p>
        </w:tc>
        <w:tc>
          <w:tcPr>
            <w:tcW w:w="673" w:type="pct"/>
            <w:tcBorders>
              <w:tl2br w:val="nil"/>
              <w:tr2bl w:val="nil"/>
            </w:tcBorders>
            <w:shd w:val="clear" w:color="auto" w:fill="auto"/>
            <w:vAlign w:val="center"/>
          </w:tcPr>
          <w:p w14:paraId="78218012">
            <w:pPr>
              <w:spacing w:line="360" w:lineRule="exact"/>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改</w:t>
            </w:r>
            <w:r>
              <w:rPr>
                <w:rFonts w:hint="eastAsia"/>
                <w:b/>
                <w:bCs/>
                <w:color w:val="000000" w:themeColor="text1"/>
                <w:sz w:val="21"/>
                <w:szCs w:val="21"/>
                <w:highlight w:val="none"/>
                <w14:textFill>
                  <w14:solidFill>
                    <w14:schemeClr w14:val="tx1"/>
                  </w14:solidFill>
                </w14:textFill>
              </w:rPr>
              <w:t>建后排放增减量</w:t>
            </w:r>
          </w:p>
        </w:tc>
      </w:tr>
      <w:tr w14:paraId="54DD3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restart"/>
            <w:tcBorders>
              <w:tl2br w:val="nil"/>
              <w:tr2bl w:val="nil"/>
            </w:tcBorders>
            <w:shd w:val="clear" w:color="auto" w:fill="auto"/>
            <w:vAlign w:val="center"/>
          </w:tcPr>
          <w:p w14:paraId="7120773D">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废气</w:t>
            </w:r>
          </w:p>
        </w:tc>
        <w:tc>
          <w:tcPr>
            <w:tcW w:w="339" w:type="pct"/>
            <w:tcBorders>
              <w:tl2br w:val="nil"/>
              <w:tr2bl w:val="nil"/>
            </w:tcBorders>
            <w:shd w:val="clear" w:color="auto" w:fill="auto"/>
            <w:vAlign w:val="center"/>
          </w:tcPr>
          <w:p w14:paraId="4491EAD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有组织</w:t>
            </w:r>
          </w:p>
        </w:tc>
        <w:tc>
          <w:tcPr>
            <w:tcW w:w="937" w:type="pct"/>
            <w:tcBorders>
              <w:tl2br w:val="nil"/>
              <w:tr2bl w:val="nil"/>
            </w:tcBorders>
            <w:shd w:val="clear" w:color="auto" w:fill="auto"/>
            <w:vAlign w:val="center"/>
          </w:tcPr>
          <w:p w14:paraId="54D1D81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粉尘排气筒</w:t>
            </w:r>
          </w:p>
        </w:tc>
        <w:tc>
          <w:tcPr>
            <w:tcW w:w="390" w:type="pct"/>
            <w:tcBorders>
              <w:tl2br w:val="nil"/>
              <w:tr2bl w:val="nil"/>
            </w:tcBorders>
            <w:shd w:val="clear" w:color="auto" w:fill="auto"/>
            <w:vAlign w:val="center"/>
          </w:tcPr>
          <w:p w14:paraId="2FCC8AC7">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609" w:type="pct"/>
            <w:tcBorders>
              <w:tl2br w:val="nil"/>
              <w:tr2bl w:val="nil"/>
            </w:tcBorders>
            <w:shd w:val="clear" w:color="auto" w:fill="auto"/>
            <w:vAlign w:val="center"/>
          </w:tcPr>
          <w:p w14:paraId="1546DB9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0.809</w:t>
            </w:r>
            <w:r>
              <w:rPr>
                <w:rFonts w:hint="eastAsia"/>
                <w:color w:val="000000" w:themeColor="text1"/>
                <w:sz w:val="21"/>
                <w:szCs w:val="21"/>
                <w:highlight w:val="none"/>
                <w14:textFill>
                  <w14:solidFill>
                    <w14:schemeClr w14:val="tx1"/>
                  </w14:solidFill>
                </w14:textFill>
              </w:rPr>
              <w:t>t/a</w:t>
            </w:r>
          </w:p>
        </w:tc>
        <w:tc>
          <w:tcPr>
            <w:tcW w:w="597" w:type="pct"/>
            <w:tcBorders>
              <w:tl2br w:val="nil"/>
              <w:tr2bl w:val="nil"/>
            </w:tcBorders>
            <w:shd w:val="clear" w:color="auto" w:fill="auto"/>
            <w:vAlign w:val="center"/>
          </w:tcPr>
          <w:p w14:paraId="4FC9F0B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1.61</w:t>
            </w:r>
            <w:r>
              <w:rPr>
                <w:rFonts w:hint="eastAsia"/>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4B9CB88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7E66FC6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1.61</w:t>
            </w:r>
            <w:r>
              <w:rPr>
                <w:rFonts w:hint="eastAsia"/>
                <w:color w:val="000000" w:themeColor="text1"/>
                <w:sz w:val="21"/>
                <w:szCs w:val="21"/>
                <w:highlight w:val="none"/>
                <w14:textFill>
                  <w14:solidFill>
                    <w14:schemeClr w14:val="tx1"/>
                  </w14:solidFill>
                </w14:textFill>
              </w:rPr>
              <w:t>t/a</w:t>
            </w:r>
          </w:p>
        </w:tc>
        <w:tc>
          <w:tcPr>
            <w:tcW w:w="673" w:type="pct"/>
            <w:tcBorders>
              <w:tl2br w:val="nil"/>
              <w:tr2bl w:val="nil"/>
            </w:tcBorders>
            <w:shd w:val="clear" w:color="auto" w:fill="auto"/>
            <w:vAlign w:val="center"/>
          </w:tcPr>
          <w:p w14:paraId="357DC65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801</w:t>
            </w:r>
            <w:r>
              <w:rPr>
                <w:rFonts w:hint="eastAsia"/>
                <w:color w:val="000000" w:themeColor="text1"/>
                <w:sz w:val="21"/>
                <w:szCs w:val="21"/>
                <w:highlight w:val="none"/>
                <w14:textFill>
                  <w14:solidFill>
                    <w14:schemeClr w14:val="tx1"/>
                  </w14:solidFill>
                </w14:textFill>
              </w:rPr>
              <w:t>t/a</w:t>
            </w:r>
          </w:p>
        </w:tc>
      </w:tr>
      <w:tr w14:paraId="687D4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3DAE028E">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restart"/>
            <w:tcBorders>
              <w:tl2br w:val="nil"/>
              <w:tr2bl w:val="nil"/>
            </w:tcBorders>
            <w:shd w:val="clear" w:color="auto" w:fill="auto"/>
            <w:vAlign w:val="center"/>
          </w:tcPr>
          <w:p w14:paraId="1D2CA17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无组织</w:t>
            </w:r>
          </w:p>
        </w:tc>
        <w:tc>
          <w:tcPr>
            <w:tcW w:w="1566" w:type="dxa"/>
            <w:tcBorders>
              <w:tl2br w:val="nil"/>
              <w:tr2bl w:val="nil"/>
            </w:tcBorders>
            <w:shd w:val="clear" w:color="auto" w:fill="auto"/>
            <w:vAlign w:val="center"/>
          </w:tcPr>
          <w:p w14:paraId="32A44A2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破碎筛分</w:t>
            </w:r>
            <w:r>
              <w:rPr>
                <w:rFonts w:hint="eastAsia"/>
                <w:color w:val="000000" w:themeColor="text1"/>
                <w:sz w:val="21"/>
                <w:szCs w:val="21"/>
                <w:highlight w:val="none"/>
                <w14:textFill>
                  <w14:solidFill>
                    <w14:schemeClr w14:val="tx1"/>
                  </w14:solidFill>
                </w14:textFill>
              </w:rPr>
              <w:t>车间</w:t>
            </w:r>
          </w:p>
        </w:tc>
        <w:tc>
          <w:tcPr>
            <w:tcW w:w="390" w:type="pct"/>
            <w:tcBorders>
              <w:tl2br w:val="nil"/>
              <w:tr2bl w:val="nil"/>
            </w:tcBorders>
            <w:shd w:val="clear" w:color="auto" w:fill="auto"/>
            <w:vAlign w:val="center"/>
          </w:tcPr>
          <w:p w14:paraId="2AD07D8A">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609" w:type="pct"/>
            <w:tcBorders>
              <w:tl2br w:val="nil"/>
              <w:tr2bl w:val="nil"/>
            </w:tcBorders>
            <w:shd w:val="clear" w:color="auto" w:fill="auto"/>
            <w:vAlign w:val="center"/>
          </w:tcPr>
          <w:p w14:paraId="4BC723D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97" w:type="pct"/>
            <w:tcBorders>
              <w:tl2br w:val="nil"/>
              <w:tr2bl w:val="nil"/>
            </w:tcBorders>
            <w:shd w:val="clear" w:color="auto" w:fill="auto"/>
            <w:vAlign w:val="center"/>
          </w:tcPr>
          <w:p w14:paraId="0BDA0F7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0.50</w:t>
            </w:r>
            <w:r>
              <w:rPr>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280C34BE">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1123" w:type="dxa"/>
            <w:tcBorders>
              <w:tl2br w:val="nil"/>
              <w:tr2bl w:val="nil"/>
            </w:tcBorders>
            <w:shd w:val="clear" w:color="auto" w:fill="auto"/>
            <w:vAlign w:val="center"/>
          </w:tcPr>
          <w:p w14:paraId="527A5F83">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0.50</w:t>
            </w:r>
            <w:r>
              <w:rPr>
                <w:color w:val="000000" w:themeColor="text1"/>
                <w:sz w:val="21"/>
                <w:szCs w:val="21"/>
                <w:highlight w:val="none"/>
                <w14:textFill>
                  <w14:solidFill>
                    <w14:schemeClr w14:val="tx1"/>
                  </w14:solidFill>
                </w14:textFill>
              </w:rPr>
              <w:t>t/a</w:t>
            </w:r>
          </w:p>
        </w:tc>
        <w:tc>
          <w:tcPr>
            <w:tcW w:w="1125" w:type="dxa"/>
            <w:tcBorders>
              <w:tl2br w:val="nil"/>
              <w:tr2bl w:val="nil"/>
            </w:tcBorders>
            <w:shd w:val="clear" w:color="auto" w:fill="auto"/>
            <w:vAlign w:val="center"/>
          </w:tcPr>
          <w:p w14:paraId="6EEC34F3">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+0.50</w:t>
            </w:r>
            <w:r>
              <w:rPr>
                <w:color w:val="000000" w:themeColor="text1"/>
                <w:sz w:val="21"/>
                <w:szCs w:val="21"/>
                <w:highlight w:val="none"/>
                <w14:textFill>
                  <w14:solidFill>
                    <w14:schemeClr w14:val="tx1"/>
                  </w14:solidFill>
                </w14:textFill>
              </w:rPr>
              <w:t>t/a</w:t>
            </w:r>
          </w:p>
        </w:tc>
      </w:tr>
      <w:tr w14:paraId="1DCE4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457F2EB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continue"/>
            <w:tcBorders>
              <w:tl2br w:val="nil"/>
              <w:tr2bl w:val="nil"/>
            </w:tcBorders>
            <w:shd w:val="clear" w:color="auto" w:fill="auto"/>
            <w:vAlign w:val="center"/>
          </w:tcPr>
          <w:p w14:paraId="4CF5CE3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566" w:type="dxa"/>
            <w:tcBorders>
              <w:tl2br w:val="nil"/>
              <w:tr2bl w:val="nil"/>
            </w:tcBorders>
            <w:shd w:val="clear" w:color="auto" w:fill="auto"/>
            <w:vAlign w:val="center"/>
          </w:tcPr>
          <w:p w14:paraId="0C1ABA97">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磁选</w:t>
            </w:r>
            <w:r>
              <w:rPr>
                <w:rFonts w:hint="eastAsia"/>
                <w:color w:val="000000" w:themeColor="text1"/>
                <w:sz w:val="21"/>
                <w:szCs w:val="21"/>
                <w:highlight w:val="none"/>
                <w14:textFill>
                  <w14:solidFill>
                    <w14:schemeClr w14:val="tx1"/>
                  </w14:solidFill>
                </w14:textFill>
              </w:rPr>
              <w:t>车间</w:t>
            </w:r>
          </w:p>
        </w:tc>
        <w:tc>
          <w:tcPr>
            <w:tcW w:w="390" w:type="pct"/>
            <w:tcBorders>
              <w:tl2br w:val="nil"/>
              <w:tr2bl w:val="nil"/>
            </w:tcBorders>
            <w:shd w:val="clear" w:color="auto" w:fill="auto"/>
            <w:vAlign w:val="center"/>
          </w:tcPr>
          <w:p w14:paraId="3C3ED01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609" w:type="pct"/>
            <w:tcBorders>
              <w:tl2br w:val="nil"/>
              <w:tr2bl w:val="nil"/>
            </w:tcBorders>
            <w:shd w:val="clear" w:color="auto" w:fill="auto"/>
            <w:vAlign w:val="center"/>
          </w:tcPr>
          <w:p w14:paraId="1C32332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97" w:type="pct"/>
            <w:tcBorders>
              <w:tl2br w:val="nil"/>
              <w:tr2bl w:val="nil"/>
            </w:tcBorders>
            <w:shd w:val="clear" w:color="auto" w:fill="auto"/>
            <w:vAlign w:val="center"/>
          </w:tcPr>
          <w:p w14:paraId="42B6251B">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1.29</w:t>
            </w:r>
            <w:r>
              <w:rPr>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724C044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1123" w:type="dxa"/>
            <w:tcBorders>
              <w:tl2br w:val="nil"/>
              <w:tr2bl w:val="nil"/>
            </w:tcBorders>
            <w:shd w:val="clear" w:color="auto" w:fill="auto"/>
            <w:vAlign w:val="center"/>
          </w:tcPr>
          <w:p w14:paraId="271B46E1">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1.29</w:t>
            </w:r>
            <w:r>
              <w:rPr>
                <w:color w:val="000000" w:themeColor="text1"/>
                <w:sz w:val="21"/>
                <w:szCs w:val="21"/>
                <w:highlight w:val="none"/>
                <w14:textFill>
                  <w14:solidFill>
                    <w14:schemeClr w14:val="tx1"/>
                  </w14:solidFill>
                </w14:textFill>
              </w:rPr>
              <w:t>t/a</w:t>
            </w:r>
          </w:p>
        </w:tc>
        <w:tc>
          <w:tcPr>
            <w:tcW w:w="1125" w:type="dxa"/>
            <w:tcBorders>
              <w:tl2br w:val="nil"/>
              <w:tr2bl w:val="nil"/>
            </w:tcBorders>
            <w:shd w:val="clear" w:color="auto" w:fill="auto"/>
            <w:vAlign w:val="center"/>
          </w:tcPr>
          <w:p w14:paraId="0330EC2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+1.29</w:t>
            </w:r>
            <w:r>
              <w:rPr>
                <w:color w:val="000000" w:themeColor="text1"/>
                <w:sz w:val="21"/>
                <w:szCs w:val="21"/>
                <w:highlight w:val="none"/>
                <w14:textFill>
                  <w14:solidFill>
                    <w14:schemeClr w14:val="tx1"/>
                  </w14:solidFill>
                </w14:textFill>
              </w:rPr>
              <w:t>t/a</w:t>
            </w:r>
          </w:p>
        </w:tc>
      </w:tr>
      <w:tr w14:paraId="696AD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18F58E5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continue"/>
            <w:tcBorders>
              <w:tl2br w:val="nil"/>
              <w:tr2bl w:val="nil"/>
            </w:tcBorders>
            <w:shd w:val="clear" w:color="auto" w:fill="auto"/>
            <w:vAlign w:val="center"/>
          </w:tcPr>
          <w:p w14:paraId="6DD71943">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566" w:type="dxa"/>
            <w:tcBorders>
              <w:tl2br w:val="nil"/>
              <w:tr2bl w:val="nil"/>
            </w:tcBorders>
            <w:shd w:val="clear" w:color="auto" w:fill="auto"/>
            <w:vAlign w:val="center"/>
          </w:tcPr>
          <w:p w14:paraId="5844AE2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尾矿库</w:t>
            </w:r>
          </w:p>
        </w:tc>
        <w:tc>
          <w:tcPr>
            <w:tcW w:w="390" w:type="pct"/>
            <w:tcBorders>
              <w:tl2br w:val="nil"/>
              <w:tr2bl w:val="nil"/>
            </w:tcBorders>
            <w:shd w:val="clear" w:color="auto" w:fill="auto"/>
            <w:vAlign w:val="center"/>
          </w:tcPr>
          <w:p w14:paraId="619FD45D">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609" w:type="pct"/>
            <w:tcBorders>
              <w:tl2br w:val="nil"/>
              <w:tr2bl w:val="nil"/>
            </w:tcBorders>
            <w:shd w:val="clear" w:color="auto" w:fill="auto"/>
            <w:vAlign w:val="center"/>
          </w:tcPr>
          <w:p w14:paraId="23D835CA">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97" w:type="pct"/>
            <w:tcBorders>
              <w:tl2br w:val="nil"/>
              <w:tr2bl w:val="nil"/>
            </w:tcBorders>
            <w:shd w:val="clear" w:color="auto" w:fill="auto"/>
            <w:vAlign w:val="center"/>
          </w:tcPr>
          <w:p w14:paraId="73AC955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w:t>
            </w:r>
            <w:r>
              <w:rPr>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3329976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1123" w:type="dxa"/>
            <w:tcBorders>
              <w:tl2br w:val="nil"/>
              <w:tr2bl w:val="nil"/>
            </w:tcBorders>
            <w:shd w:val="clear" w:color="auto" w:fill="auto"/>
            <w:vAlign w:val="center"/>
          </w:tcPr>
          <w:p w14:paraId="127C335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w:t>
            </w:r>
            <w:r>
              <w:rPr>
                <w:color w:val="000000" w:themeColor="text1"/>
                <w:sz w:val="21"/>
                <w:szCs w:val="21"/>
                <w:highlight w:val="none"/>
                <w14:textFill>
                  <w14:solidFill>
                    <w14:schemeClr w14:val="tx1"/>
                  </w14:solidFill>
                </w14:textFill>
              </w:rPr>
              <w:t>t/a</w:t>
            </w:r>
          </w:p>
        </w:tc>
        <w:tc>
          <w:tcPr>
            <w:tcW w:w="1125" w:type="dxa"/>
            <w:tcBorders>
              <w:tl2br w:val="nil"/>
              <w:tr2bl w:val="nil"/>
            </w:tcBorders>
            <w:shd w:val="clear" w:color="auto" w:fill="auto"/>
            <w:vAlign w:val="center"/>
          </w:tcPr>
          <w:p w14:paraId="6B211B7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w:t>
            </w:r>
            <w:r>
              <w:rPr>
                <w:color w:val="000000" w:themeColor="text1"/>
                <w:sz w:val="21"/>
                <w:szCs w:val="21"/>
                <w:highlight w:val="none"/>
                <w14:textFill>
                  <w14:solidFill>
                    <w14:schemeClr w14:val="tx1"/>
                  </w14:solidFill>
                </w14:textFill>
              </w:rPr>
              <w:t>t/a</w:t>
            </w:r>
          </w:p>
        </w:tc>
      </w:tr>
      <w:tr w14:paraId="5840C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1B6EDA2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continue"/>
            <w:tcBorders>
              <w:tl2br w:val="nil"/>
              <w:tr2bl w:val="nil"/>
            </w:tcBorders>
            <w:shd w:val="clear" w:color="auto" w:fill="auto"/>
            <w:vAlign w:val="center"/>
          </w:tcPr>
          <w:p w14:paraId="65708BC4">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566" w:type="dxa"/>
            <w:tcBorders>
              <w:tl2br w:val="nil"/>
              <w:tr2bl w:val="nil"/>
            </w:tcBorders>
            <w:shd w:val="clear" w:color="auto" w:fill="auto"/>
            <w:vAlign w:val="center"/>
          </w:tcPr>
          <w:p w14:paraId="3EA12197">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原矿仓</w:t>
            </w:r>
          </w:p>
        </w:tc>
        <w:tc>
          <w:tcPr>
            <w:tcW w:w="390" w:type="pct"/>
            <w:tcBorders>
              <w:tl2br w:val="nil"/>
              <w:tr2bl w:val="nil"/>
            </w:tcBorders>
            <w:shd w:val="clear" w:color="auto" w:fill="auto"/>
            <w:vAlign w:val="center"/>
          </w:tcPr>
          <w:p w14:paraId="4EAA0391">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609" w:type="pct"/>
            <w:tcBorders>
              <w:tl2br w:val="nil"/>
              <w:tr2bl w:val="nil"/>
            </w:tcBorders>
            <w:shd w:val="clear" w:color="auto" w:fill="auto"/>
            <w:vAlign w:val="center"/>
          </w:tcPr>
          <w:p w14:paraId="4557BDD2">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97" w:type="pct"/>
            <w:tcBorders>
              <w:tl2br w:val="nil"/>
              <w:tr2bl w:val="nil"/>
            </w:tcBorders>
            <w:shd w:val="clear" w:color="auto" w:fill="auto"/>
            <w:vAlign w:val="center"/>
          </w:tcPr>
          <w:p w14:paraId="23564D0B">
            <w:pPr>
              <w:spacing w:line="36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0.35</w:t>
            </w:r>
            <w:r>
              <w:rPr>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395B1000">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1123" w:type="dxa"/>
            <w:tcBorders>
              <w:tl2br w:val="nil"/>
              <w:tr2bl w:val="nil"/>
            </w:tcBorders>
            <w:shd w:val="clear" w:color="auto" w:fill="auto"/>
            <w:vAlign w:val="center"/>
          </w:tcPr>
          <w:p w14:paraId="0CF97C17">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0.35</w:t>
            </w:r>
            <w:r>
              <w:rPr>
                <w:color w:val="000000" w:themeColor="text1"/>
                <w:sz w:val="21"/>
                <w:szCs w:val="21"/>
                <w:highlight w:val="none"/>
                <w14:textFill>
                  <w14:solidFill>
                    <w14:schemeClr w14:val="tx1"/>
                  </w14:solidFill>
                </w14:textFill>
              </w:rPr>
              <w:t>t/a</w:t>
            </w:r>
          </w:p>
        </w:tc>
        <w:tc>
          <w:tcPr>
            <w:tcW w:w="1125" w:type="dxa"/>
            <w:tcBorders>
              <w:tl2br w:val="nil"/>
              <w:tr2bl w:val="nil"/>
            </w:tcBorders>
            <w:shd w:val="clear" w:color="auto" w:fill="auto"/>
            <w:vAlign w:val="center"/>
          </w:tcPr>
          <w:p w14:paraId="05502D88">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+0.35</w:t>
            </w:r>
            <w:r>
              <w:rPr>
                <w:color w:val="000000" w:themeColor="text1"/>
                <w:sz w:val="21"/>
                <w:szCs w:val="21"/>
                <w:highlight w:val="none"/>
                <w14:textFill>
                  <w14:solidFill>
                    <w14:schemeClr w14:val="tx1"/>
                  </w14:solidFill>
                </w14:textFill>
              </w:rPr>
              <w:t>t/a</w:t>
            </w:r>
          </w:p>
        </w:tc>
      </w:tr>
      <w:tr w14:paraId="5F2BD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3FC2C0A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continue"/>
            <w:tcBorders>
              <w:tl2br w:val="nil"/>
              <w:tr2bl w:val="nil"/>
            </w:tcBorders>
            <w:shd w:val="clear" w:color="auto" w:fill="auto"/>
            <w:vAlign w:val="center"/>
          </w:tcPr>
          <w:p w14:paraId="7C3C34C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566" w:type="dxa"/>
            <w:tcBorders>
              <w:tl2br w:val="nil"/>
              <w:tr2bl w:val="nil"/>
            </w:tcBorders>
            <w:shd w:val="clear" w:color="auto" w:fill="auto"/>
            <w:vAlign w:val="center"/>
          </w:tcPr>
          <w:p w14:paraId="21FA7EF6">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精矿库</w:t>
            </w:r>
          </w:p>
        </w:tc>
        <w:tc>
          <w:tcPr>
            <w:tcW w:w="390" w:type="pct"/>
            <w:tcBorders>
              <w:tl2br w:val="nil"/>
              <w:tr2bl w:val="nil"/>
            </w:tcBorders>
            <w:shd w:val="clear" w:color="auto" w:fill="auto"/>
            <w:vAlign w:val="center"/>
          </w:tcPr>
          <w:p w14:paraId="52000B57">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609" w:type="pct"/>
            <w:tcBorders>
              <w:tl2br w:val="nil"/>
              <w:tr2bl w:val="nil"/>
            </w:tcBorders>
            <w:shd w:val="clear" w:color="auto" w:fill="auto"/>
            <w:vAlign w:val="center"/>
          </w:tcPr>
          <w:p w14:paraId="380BD492">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97" w:type="pct"/>
            <w:tcBorders>
              <w:tl2br w:val="nil"/>
              <w:tr2bl w:val="nil"/>
            </w:tcBorders>
            <w:shd w:val="clear" w:color="auto" w:fill="auto"/>
            <w:vAlign w:val="center"/>
          </w:tcPr>
          <w:p w14:paraId="583464F6">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0.22</w:t>
            </w:r>
            <w:r>
              <w:rPr>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63A05E0F">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1123" w:type="dxa"/>
            <w:tcBorders>
              <w:tl2br w:val="nil"/>
              <w:tr2bl w:val="nil"/>
            </w:tcBorders>
            <w:shd w:val="clear" w:color="auto" w:fill="auto"/>
            <w:vAlign w:val="center"/>
          </w:tcPr>
          <w:p w14:paraId="72B47EDE">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0.22</w:t>
            </w:r>
            <w:r>
              <w:rPr>
                <w:color w:val="000000" w:themeColor="text1"/>
                <w:sz w:val="21"/>
                <w:szCs w:val="21"/>
                <w:highlight w:val="none"/>
                <w14:textFill>
                  <w14:solidFill>
                    <w14:schemeClr w14:val="tx1"/>
                  </w14:solidFill>
                </w14:textFill>
              </w:rPr>
              <w:t>t/a</w:t>
            </w:r>
          </w:p>
        </w:tc>
        <w:tc>
          <w:tcPr>
            <w:tcW w:w="1125" w:type="dxa"/>
            <w:tcBorders>
              <w:tl2br w:val="nil"/>
              <w:tr2bl w:val="nil"/>
            </w:tcBorders>
            <w:shd w:val="clear" w:color="auto" w:fill="auto"/>
            <w:vAlign w:val="center"/>
          </w:tcPr>
          <w:p w14:paraId="36DC93C9">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+0.22</w:t>
            </w:r>
            <w:r>
              <w:rPr>
                <w:color w:val="000000" w:themeColor="text1"/>
                <w:sz w:val="21"/>
                <w:szCs w:val="21"/>
                <w:highlight w:val="none"/>
                <w14:textFill>
                  <w14:solidFill>
                    <w14:schemeClr w14:val="tx1"/>
                  </w14:solidFill>
                </w14:textFill>
              </w:rPr>
              <w:t>t/a</w:t>
            </w:r>
          </w:p>
        </w:tc>
      </w:tr>
      <w:tr w14:paraId="1BF59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7B10051E">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continue"/>
            <w:tcBorders>
              <w:tl2br w:val="nil"/>
              <w:tr2bl w:val="nil"/>
            </w:tcBorders>
            <w:shd w:val="clear" w:color="auto" w:fill="auto"/>
            <w:vAlign w:val="center"/>
          </w:tcPr>
          <w:p w14:paraId="24EC5CE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37" w:type="pct"/>
            <w:tcBorders>
              <w:tl2br w:val="nil"/>
              <w:tr2bl w:val="nil"/>
            </w:tcBorders>
            <w:shd w:val="clear" w:color="auto" w:fill="auto"/>
            <w:vAlign w:val="center"/>
          </w:tcPr>
          <w:p w14:paraId="26FD7DC0">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道路扬尘</w:t>
            </w:r>
          </w:p>
        </w:tc>
        <w:tc>
          <w:tcPr>
            <w:tcW w:w="390" w:type="pct"/>
            <w:tcBorders>
              <w:tl2br w:val="nil"/>
              <w:tr2bl w:val="nil"/>
            </w:tcBorders>
            <w:shd w:val="clear" w:color="auto" w:fill="auto"/>
            <w:vAlign w:val="center"/>
          </w:tcPr>
          <w:p w14:paraId="65496F5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609" w:type="pct"/>
            <w:tcBorders>
              <w:tl2br w:val="nil"/>
              <w:tr2bl w:val="nil"/>
            </w:tcBorders>
            <w:shd w:val="clear" w:color="auto" w:fill="auto"/>
            <w:vAlign w:val="center"/>
          </w:tcPr>
          <w:p w14:paraId="5799053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少量</w:t>
            </w:r>
          </w:p>
        </w:tc>
        <w:tc>
          <w:tcPr>
            <w:tcW w:w="597" w:type="pct"/>
            <w:tcBorders>
              <w:tl2br w:val="nil"/>
              <w:tr2bl w:val="nil"/>
            </w:tcBorders>
            <w:shd w:val="clear" w:color="auto" w:fill="auto"/>
            <w:vAlign w:val="center"/>
          </w:tcPr>
          <w:p w14:paraId="63E6922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5.16</w:t>
            </w:r>
            <w:r>
              <w:rPr>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75323AA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055320F7">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5.16</w:t>
            </w:r>
            <w:r>
              <w:rPr>
                <w:color w:val="000000" w:themeColor="text1"/>
                <w:sz w:val="21"/>
                <w:szCs w:val="21"/>
                <w:highlight w:val="none"/>
                <w14:textFill>
                  <w14:solidFill>
                    <w14:schemeClr w14:val="tx1"/>
                  </w14:solidFill>
                </w14:textFill>
              </w:rPr>
              <w:t>t/a</w:t>
            </w:r>
          </w:p>
        </w:tc>
        <w:tc>
          <w:tcPr>
            <w:tcW w:w="673" w:type="pct"/>
            <w:tcBorders>
              <w:tl2br w:val="nil"/>
              <w:tr2bl w:val="nil"/>
            </w:tcBorders>
            <w:shd w:val="clear" w:color="auto" w:fill="auto"/>
            <w:vAlign w:val="center"/>
          </w:tcPr>
          <w:p w14:paraId="16844FA5">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5.16</w:t>
            </w:r>
            <w:r>
              <w:rPr>
                <w:color w:val="000000" w:themeColor="text1"/>
                <w:sz w:val="21"/>
                <w:szCs w:val="21"/>
                <w:highlight w:val="none"/>
                <w14:textFill>
                  <w14:solidFill>
                    <w14:schemeClr w14:val="tx1"/>
                  </w14:solidFill>
                </w14:textFill>
              </w:rPr>
              <w:t>t/a</w:t>
            </w:r>
          </w:p>
        </w:tc>
      </w:tr>
      <w:tr w14:paraId="65B6D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61ADDA6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continue"/>
            <w:tcBorders>
              <w:tl2br w:val="nil"/>
              <w:tr2bl w:val="nil"/>
            </w:tcBorders>
            <w:shd w:val="clear" w:color="auto" w:fill="auto"/>
            <w:vAlign w:val="center"/>
          </w:tcPr>
          <w:p w14:paraId="57E0EE5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37" w:type="pct"/>
            <w:vMerge w:val="restart"/>
            <w:tcBorders>
              <w:tl2br w:val="nil"/>
              <w:tr2bl w:val="nil"/>
            </w:tcBorders>
            <w:shd w:val="clear" w:color="auto" w:fill="auto"/>
            <w:vAlign w:val="center"/>
          </w:tcPr>
          <w:p w14:paraId="1230DE1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汽车尾气</w:t>
            </w:r>
          </w:p>
        </w:tc>
        <w:tc>
          <w:tcPr>
            <w:tcW w:w="390" w:type="pct"/>
            <w:tcBorders>
              <w:tl2br w:val="nil"/>
              <w:tr2bl w:val="nil"/>
            </w:tcBorders>
            <w:shd w:val="clear" w:color="auto" w:fill="auto"/>
            <w:vAlign w:val="center"/>
          </w:tcPr>
          <w:p w14:paraId="20B4D15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w:t>
            </w:r>
          </w:p>
        </w:tc>
        <w:tc>
          <w:tcPr>
            <w:tcW w:w="609" w:type="pct"/>
            <w:tcBorders>
              <w:tl2br w:val="nil"/>
              <w:tr2bl w:val="nil"/>
            </w:tcBorders>
            <w:shd w:val="clear" w:color="auto" w:fill="auto"/>
            <w:vAlign w:val="center"/>
          </w:tcPr>
          <w:p w14:paraId="0442E29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97" w:type="pct"/>
            <w:tcBorders>
              <w:tl2br w:val="nil"/>
              <w:tr2bl w:val="nil"/>
            </w:tcBorders>
            <w:shd w:val="clear" w:color="auto" w:fill="auto"/>
            <w:vAlign w:val="center"/>
          </w:tcPr>
          <w:p w14:paraId="55F0BEA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2.15</w:t>
            </w:r>
            <w:r>
              <w:rPr>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1B7033FE">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31DE273D">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2.15</w:t>
            </w:r>
            <w:r>
              <w:rPr>
                <w:color w:val="000000" w:themeColor="text1"/>
                <w:sz w:val="21"/>
                <w:szCs w:val="21"/>
                <w:highlight w:val="none"/>
                <w14:textFill>
                  <w14:solidFill>
                    <w14:schemeClr w14:val="tx1"/>
                  </w14:solidFill>
                </w14:textFill>
              </w:rPr>
              <w:t>t/a</w:t>
            </w:r>
          </w:p>
        </w:tc>
        <w:tc>
          <w:tcPr>
            <w:tcW w:w="673" w:type="pct"/>
            <w:tcBorders>
              <w:tl2br w:val="nil"/>
              <w:tr2bl w:val="nil"/>
            </w:tcBorders>
            <w:shd w:val="clear" w:color="auto" w:fill="auto"/>
            <w:vAlign w:val="center"/>
          </w:tcPr>
          <w:p w14:paraId="399C1A0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+2.15</w:t>
            </w:r>
            <w:r>
              <w:rPr>
                <w:color w:val="000000" w:themeColor="text1"/>
                <w:sz w:val="21"/>
                <w:szCs w:val="21"/>
                <w:highlight w:val="none"/>
                <w14:textFill>
                  <w14:solidFill>
                    <w14:schemeClr w14:val="tx1"/>
                  </w14:solidFill>
                </w14:textFill>
              </w:rPr>
              <w:t>t/a</w:t>
            </w:r>
          </w:p>
        </w:tc>
      </w:tr>
      <w:tr w14:paraId="563C7F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0EA407A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continue"/>
            <w:tcBorders>
              <w:tl2br w:val="nil"/>
              <w:tr2bl w:val="nil"/>
            </w:tcBorders>
            <w:shd w:val="clear" w:color="auto" w:fill="auto"/>
            <w:vAlign w:val="center"/>
          </w:tcPr>
          <w:p w14:paraId="6B72A5EE">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37" w:type="pct"/>
            <w:vMerge w:val="continue"/>
            <w:tcBorders>
              <w:tl2br w:val="nil"/>
              <w:tr2bl w:val="nil"/>
            </w:tcBorders>
            <w:shd w:val="clear" w:color="auto" w:fill="auto"/>
            <w:vAlign w:val="center"/>
          </w:tcPr>
          <w:p w14:paraId="662D47AC">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0" w:type="pct"/>
            <w:tcBorders>
              <w:tl2br w:val="nil"/>
              <w:tr2bl w:val="nil"/>
            </w:tcBorders>
            <w:shd w:val="clear" w:color="auto" w:fill="auto"/>
            <w:vAlign w:val="center"/>
          </w:tcPr>
          <w:p w14:paraId="33DF330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n</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m</w:t>
            </w:r>
          </w:p>
        </w:tc>
        <w:tc>
          <w:tcPr>
            <w:tcW w:w="609" w:type="pct"/>
            <w:tcBorders>
              <w:tl2br w:val="nil"/>
              <w:tr2bl w:val="nil"/>
            </w:tcBorders>
            <w:shd w:val="clear" w:color="auto" w:fill="auto"/>
            <w:vAlign w:val="center"/>
          </w:tcPr>
          <w:p w14:paraId="5E58D9DB">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97" w:type="pct"/>
            <w:tcBorders>
              <w:tl2br w:val="nil"/>
              <w:tr2bl w:val="nil"/>
            </w:tcBorders>
            <w:shd w:val="clear" w:color="auto" w:fill="auto"/>
            <w:vAlign w:val="center"/>
          </w:tcPr>
          <w:p w14:paraId="734A1735">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w:t>
            </w:r>
            <w:r>
              <w:rPr>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11D2A44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7C02402E">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w:t>
            </w:r>
            <w:r>
              <w:rPr>
                <w:color w:val="000000" w:themeColor="text1"/>
                <w:sz w:val="21"/>
                <w:szCs w:val="21"/>
                <w:highlight w:val="none"/>
                <w14:textFill>
                  <w14:solidFill>
                    <w14:schemeClr w14:val="tx1"/>
                  </w14:solidFill>
                </w14:textFill>
              </w:rPr>
              <w:t>t/a</w:t>
            </w:r>
          </w:p>
        </w:tc>
        <w:tc>
          <w:tcPr>
            <w:tcW w:w="673" w:type="pct"/>
            <w:tcBorders>
              <w:tl2br w:val="nil"/>
              <w:tr2bl w:val="nil"/>
            </w:tcBorders>
            <w:shd w:val="clear" w:color="auto" w:fill="auto"/>
            <w:vAlign w:val="center"/>
          </w:tcPr>
          <w:p w14:paraId="0ED5841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w:t>
            </w:r>
            <w:r>
              <w:rPr>
                <w:color w:val="000000" w:themeColor="text1"/>
                <w:sz w:val="21"/>
                <w:szCs w:val="21"/>
                <w:highlight w:val="none"/>
                <w14:textFill>
                  <w14:solidFill>
                    <w14:schemeClr w14:val="tx1"/>
                  </w14:solidFill>
                </w14:textFill>
              </w:rPr>
              <w:t>t/a</w:t>
            </w:r>
          </w:p>
        </w:tc>
      </w:tr>
      <w:tr w14:paraId="58006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4241B0E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continue"/>
            <w:tcBorders>
              <w:tl2br w:val="nil"/>
              <w:tr2bl w:val="nil"/>
            </w:tcBorders>
            <w:shd w:val="clear" w:color="auto" w:fill="auto"/>
            <w:vAlign w:val="center"/>
          </w:tcPr>
          <w:p w14:paraId="7CAC41D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37" w:type="pct"/>
            <w:vMerge w:val="continue"/>
            <w:tcBorders>
              <w:tl2br w:val="nil"/>
              <w:tr2bl w:val="nil"/>
            </w:tcBorders>
            <w:shd w:val="clear" w:color="auto" w:fill="auto"/>
            <w:vAlign w:val="center"/>
          </w:tcPr>
          <w:p w14:paraId="5480A502">
            <w:pPr>
              <w:pStyle w:val="47"/>
              <w:spacing w:line="360" w:lineRule="exact"/>
              <w:rPr>
                <w:b w:val="0"/>
                <w:color w:val="000000" w:themeColor="text1"/>
                <w:sz w:val="21"/>
                <w:szCs w:val="21"/>
                <w:highlight w:val="none"/>
                <w14:textFill>
                  <w14:solidFill>
                    <w14:schemeClr w14:val="tx1"/>
                  </w14:solidFill>
                </w14:textFill>
              </w:rPr>
            </w:pPr>
          </w:p>
        </w:tc>
        <w:tc>
          <w:tcPr>
            <w:tcW w:w="390" w:type="pct"/>
            <w:tcBorders>
              <w:tl2br w:val="nil"/>
              <w:tr2bl w:val="nil"/>
            </w:tcBorders>
            <w:shd w:val="clear" w:color="auto" w:fill="auto"/>
            <w:vAlign w:val="center"/>
          </w:tcPr>
          <w:p w14:paraId="2926ED5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NOx</w:t>
            </w:r>
          </w:p>
        </w:tc>
        <w:tc>
          <w:tcPr>
            <w:tcW w:w="609" w:type="pct"/>
            <w:tcBorders>
              <w:tl2br w:val="nil"/>
              <w:tr2bl w:val="nil"/>
            </w:tcBorders>
            <w:shd w:val="clear" w:color="auto" w:fill="auto"/>
            <w:vAlign w:val="center"/>
          </w:tcPr>
          <w:p w14:paraId="6626B00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97" w:type="pct"/>
            <w:tcBorders>
              <w:tl2br w:val="nil"/>
              <w:tr2bl w:val="nil"/>
            </w:tcBorders>
            <w:shd w:val="clear" w:color="auto" w:fill="auto"/>
            <w:vAlign w:val="center"/>
          </w:tcPr>
          <w:p w14:paraId="3B2BC950">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14:textFill>
                  <w14:solidFill>
                    <w14:schemeClr w14:val="tx1"/>
                  </w14:solidFill>
                </w14:textFill>
              </w:rPr>
              <w:t>7</w:t>
            </w:r>
            <w:r>
              <w:rPr>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2A394A3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0D3AF625">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14:textFill>
                  <w14:solidFill>
                    <w14:schemeClr w14:val="tx1"/>
                  </w14:solidFill>
                </w14:textFill>
              </w:rPr>
              <w:t>7</w:t>
            </w:r>
            <w:r>
              <w:rPr>
                <w:color w:val="000000" w:themeColor="text1"/>
                <w:sz w:val="21"/>
                <w:szCs w:val="21"/>
                <w:highlight w:val="none"/>
                <w14:textFill>
                  <w14:solidFill>
                    <w14:schemeClr w14:val="tx1"/>
                  </w14:solidFill>
                </w14:textFill>
              </w:rPr>
              <w:t>t/a</w:t>
            </w:r>
          </w:p>
        </w:tc>
        <w:tc>
          <w:tcPr>
            <w:tcW w:w="673" w:type="pct"/>
            <w:tcBorders>
              <w:tl2br w:val="nil"/>
              <w:tr2bl w:val="nil"/>
            </w:tcBorders>
            <w:shd w:val="clear" w:color="auto" w:fill="auto"/>
            <w:vAlign w:val="center"/>
          </w:tcPr>
          <w:p w14:paraId="65695C85">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14:textFill>
                  <w14:solidFill>
                    <w14:schemeClr w14:val="tx1"/>
                  </w14:solidFill>
                </w14:textFill>
              </w:rPr>
              <w:t>7</w:t>
            </w:r>
            <w:r>
              <w:rPr>
                <w:color w:val="000000" w:themeColor="text1"/>
                <w:sz w:val="21"/>
                <w:szCs w:val="21"/>
                <w:highlight w:val="none"/>
                <w14:textFill>
                  <w14:solidFill>
                    <w14:schemeClr w14:val="tx1"/>
                  </w14:solidFill>
                </w14:textFill>
              </w:rPr>
              <w:t>t/a</w:t>
            </w:r>
          </w:p>
        </w:tc>
      </w:tr>
      <w:tr w14:paraId="34FFB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restart"/>
            <w:tcBorders>
              <w:tl2br w:val="nil"/>
              <w:tr2bl w:val="nil"/>
            </w:tcBorders>
            <w:shd w:val="clear" w:color="auto" w:fill="auto"/>
            <w:vAlign w:val="center"/>
          </w:tcPr>
          <w:p w14:paraId="2DE348D0">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废水</w:t>
            </w:r>
          </w:p>
        </w:tc>
        <w:tc>
          <w:tcPr>
            <w:tcW w:w="1667" w:type="pct"/>
            <w:gridSpan w:val="3"/>
            <w:tcBorders>
              <w:tl2br w:val="nil"/>
              <w:tr2bl w:val="nil"/>
            </w:tcBorders>
            <w:shd w:val="clear" w:color="auto" w:fill="auto"/>
            <w:vAlign w:val="center"/>
          </w:tcPr>
          <w:p w14:paraId="1368E481">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选矿废水</w:t>
            </w:r>
          </w:p>
        </w:tc>
        <w:tc>
          <w:tcPr>
            <w:tcW w:w="609" w:type="pct"/>
            <w:tcBorders>
              <w:tl2br w:val="nil"/>
              <w:tr2bl w:val="nil"/>
            </w:tcBorders>
            <w:shd w:val="clear" w:color="auto" w:fill="auto"/>
            <w:vAlign w:val="center"/>
          </w:tcPr>
          <w:p w14:paraId="77120AF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597" w:type="pct"/>
            <w:tcBorders>
              <w:tl2br w:val="nil"/>
              <w:tr2bl w:val="nil"/>
            </w:tcBorders>
            <w:shd w:val="clear" w:color="auto" w:fill="auto"/>
            <w:vAlign w:val="center"/>
          </w:tcPr>
          <w:p w14:paraId="2A8F2C40">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564" w:type="pct"/>
            <w:tcBorders>
              <w:tl2br w:val="nil"/>
              <w:tr2bl w:val="nil"/>
            </w:tcBorders>
            <w:shd w:val="clear" w:color="auto" w:fill="auto"/>
            <w:vAlign w:val="center"/>
          </w:tcPr>
          <w:p w14:paraId="258D9FD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7F0D01C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3" w:type="pct"/>
            <w:tcBorders>
              <w:tl2br w:val="nil"/>
              <w:tr2bl w:val="nil"/>
            </w:tcBorders>
            <w:shd w:val="clear" w:color="auto" w:fill="auto"/>
            <w:vAlign w:val="center"/>
          </w:tcPr>
          <w:p w14:paraId="357149B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r>
      <w:tr w14:paraId="47599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447CBE5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667" w:type="pct"/>
            <w:gridSpan w:val="3"/>
            <w:tcBorders>
              <w:tl2br w:val="nil"/>
              <w:tr2bl w:val="nil"/>
            </w:tcBorders>
            <w:shd w:val="clear" w:color="auto" w:fill="auto"/>
            <w:vAlign w:val="center"/>
          </w:tcPr>
          <w:p w14:paraId="708B79F0">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生活污水</w:t>
            </w:r>
          </w:p>
        </w:tc>
        <w:tc>
          <w:tcPr>
            <w:tcW w:w="609" w:type="pct"/>
            <w:tcBorders>
              <w:tl2br w:val="nil"/>
              <w:tr2bl w:val="nil"/>
            </w:tcBorders>
            <w:shd w:val="clear" w:color="auto" w:fill="auto"/>
            <w:vAlign w:val="center"/>
          </w:tcPr>
          <w:p w14:paraId="64C4F94B">
            <w:pPr>
              <w:spacing w:line="360" w:lineRule="exact"/>
              <w:ind w:left="0" w:leftChars="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597" w:type="pct"/>
            <w:tcBorders>
              <w:tl2br w:val="nil"/>
              <w:tr2bl w:val="nil"/>
            </w:tcBorders>
            <w:shd w:val="clear" w:color="auto" w:fill="auto"/>
            <w:vAlign w:val="center"/>
          </w:tcPr>
          <w:p w14:paraId="615E6A9A">
            <w:pPr>
              <w:spacing w:line="360" w:lineRule="exact"/>
              <w:ind w:left="0" w:leftChars="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564" w:type="pct"/>
            <w:tcBorders>
              <w:tl2br w:val="nil"/>
              <w:tr2bl w:val="nil"/>
            </w:tcBorders>
            <w:shd w:val="clear" w:color="auto" w:fill="auto"/>
            <w:vAlign w:val="center"/>
          </w:tcPr>
          <w:p w14:paraId="6D0954A0">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18E15A37">
            <w:pPr>
              <w:spacing w:line="360" w:lineRule="exact"/>
              <w:ind w:left="0" w:leftChars="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3" w:type="pct"/>
            <w:tcBorders>
              <w:tl2br w:val="nil"/>
              <w:tr2bl w:val="nil"/>
            </w:tcBorders>
            <w:shd w:val="clear" w:color="auto" w:fill="auto"/>
            <w:vAlign w:val="center"/>
          </w:tcPr>
          <w:p w14:paraId="6E62AF26">
            <w:pPr>
              <w:spacing w:line="360" w:lineRule="exact"/>
              <w:ind w:left="0" w:leftChars="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r>
      <w:tr w14:paraId="2B8C9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16" w:type="pct"/>
            <w:vMerge w:val="restart"/>
            <w:tcBorders>
              <w:tl2br w:val="nil"/>
              <w:tr2bl w:val="nil"/>
            </w:tcBorders>
            <w:shd w:val="clear" w:color="auto" w:fill="auto"/>
            <w:vAlign w:val="center"/>
          </w:tcPr>
          <w:p w14:paraId="2637D9FE">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固废</w:t>
            </w:r>
          </w:p>
        </w:tc>
        <w:tc>
          <w:tcPr>
            <w:tcW w:w="339" w:type="pct"/>
            <w:tcBorders>
              <w:tl2br w:val="nil"/>
              <w:tr2bl w:val="nil"/>
            </w:tcBorders>
            <w:shd w:val="clear" w:color="auto" w:fill="auto"/>
            <w:vAlign w:val="center"/>
          </w:tcPr>
          <w:p w14:paraId="091CF76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生活垃圾</w:t>
            </w:r>
          </w:p>
        </w:tc>
        <w:tc>
          <w:tcPr>
            <w:tcW w:w="1328" w:type="pct"/>
            <w:gridSpan w:val="2"/>
            <w:tcBorders>
              <w:tl2br w:val="nil"/>
              <w:tr2bl w:val="nil"/>
            </w:tcBorders>
            <w:shd w:val="clear" w:color="auto" w:fill="auto"/>
            <w:vAlign w:val="center"/>
          </w:tcPr>
          <w:p w14:paraId="6AEE7B0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生活垃圾</w:t>
            </w:r>
          </w:p>
        </w:tc>
        <w:tc>
          <w:tcPr>
            <w:tcW w:w="609" w:type="pct"/>
            <w:tcBorders>
              <w:tl2br w:val="nil"/>
              <w:tr2bl w:val="nil"/>
            </w:tcBorders>
            <w:shd w:val="clear" w:color="auto" w:fill="auto"/>
            <w:vAlign w:val="center"/>
          </w:tcPr>
          <w:p w14:paraId="1E1E104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21.1</w:t>
            </w:r>
            <w:r>
              <w:rPr>
                <w:rFonts w:hint="eastAsia"/>
                <w:color w:val="000000" w:themeColor="text1"/>
                <w:sz w:val="21"/>
                <w:szCs w:val="21"/>
                <w:highlight w:val="none"/>
                <w14:textFill>
                  <w14:solidFill>
                    <w14:schemeClr w14:val="tx1"/>
                  </w14:solidFill>
                </w14:textFill>
              </w:rPr>
              <w:t>t/a</w:t>
            </w:r>
          </w:p>
        </w:tc>
        <w:tc>
          <w:tcPr>
            <w:tcW w:w="597" w:type="pct"/>
            <w:tcBorders>
              <w:tl2br w:val="nil"/>
              <w:tr2bl w:val="nil"/>
            </w:tcBorders>
            <w:shd w:val="clear" w:color="auto" w:fill="auto"/>
            <w:vAlign w:val="center"/>
          </w:tcPr>
          <w:p w14:paraId="3051A59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r>
              <w:rPr>
                <w:rFonts w:hint="eastAsia"/>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4A5C0867">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6.1</w:t>
            </w:r>
            <w:r>
              <w:rPr>
                <w:rFonts w:hint="eastAsia"/>
                <w:color w:val="000000" w:themeColor="text1"/>
                <w:sz w:val="21"/>
                <w:szCs w:val="21"/>
                <w:highlight w:val="none"/>
                <w14:textFill>
                  <w14:solidFill>
                    <w14:schemeClr w14:val="tx1"/>
                  </w14:solidFill>
                </w14:textFill>
              </w:rPr>
              <w:t>t/a</w:t>
            </w:r>
          </w:p>
        </w:tc>
        <w:tc>
          <w:tcPr>
            <w:tcW w:w="672" w:type="pct"/>
            <w:tcBorders>
              <w:tl2br w:val="nil"/>
              <w:tr2bl w:val="nil"/>
            </w:tcBorders>
            <w:shd w:val="clear" w:color="auto" w:fill="auto"/>
            <w:vAlign w:val="center"/>
          </w:tcPr>
          <w:p w14:paraId="3A04137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r>
              <w:rPr>
                <w:rFonts w:hint="eastAsia"/>
                <w:color w:val="000000" w:themeColor="text1"/>
                <w:sz w:val="21"/>
                <w:szCs w:val="21"/>
                <w:highlight w:val="none"/>
                <w14:textFill>
                  <w14:solidFill>
                    <w14:schemeClr w14:val="tx1"/>
                  </w14:solidFill>
                </w14:textFill>
              </w:rPr>
              <w:t>t/a</w:t>
            </w:r>
          </w:p>
        </w:tc>
        <w:tc>
          <w:tcPr>
            <w:tcW w:w="673" w:type="pct"/>
            <w:tcBorders>
              <w:tl2br w:val="nil"/>
              <w:tr2bl w:val="nil"/>
            </w:tcBorders>
            <w:shd w:val="clear" w:color="auto" w:fill="auto"/>
            <w:vAlign w:val="center"/>
          </w:tcPr>
          <w:p w14:paraId="2B7730F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-6.1</w:t>
            </w:r>
            <w:r>
              <w:rPr>
                <w:rFonts w:hint="eastAsia"/>
                <w:color w:val="000000" w:themeColor="text1"/>
                <w:sz w:val="21"/>
                <w:szCs w:val="21"/>
                <w:highlight w:val="none"/>
                <w14:textFill>
                  <w14:solidFill>
                    <w14:schemeClr w14:val="tx1"/>
                  </w14:solidFill>
                </w14:textFill>
              </w:rPr>
              <w:t>t/a</w:t>
            </w:r>
          </w:p>
        </w:tc>
      </w:tr>
      <w:tr w14:paraId="70F00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16" w:type="pct"/>
            <w:vMerge w:val="continue"/>
            <w:tcBorders>
              <w:tl2br w:val="nil"/>
              <w:tr2bl w:val="nil"/>
            </w:tcBorders>
            <w:shd w:val="clear" w:color="auto" w:fill="auto"/>
            <w:vAlign w:val="center"/>
          </w:tcPr>
          <w:p w14:paraId="5830EB53">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restart"/>
            <w:tcBorders>
              <w:tl2br w:val="nil"/>
              <w:tr2bl w:val="nil"/>
            </w:tcBorders>
            <w:shd w:val="clear" w:color="auto" w:fill="auto"/>
            <w:vAlign w:val="center"/>
          </w:tcPr>
          <w:p w14:paraId="13B4A05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一般固废</w:t>
            </w:r>
          </w:p>
        </w:tc>
        <w:tc>
          <w:tcPr>
            <w:tcW w:w="1328" w:type="pct"/>
            <w:gridSpan w:val="2"/>
            <w:tcBorders>
              <w:tl2br w:val="nil"/>
              <w:tr2bl w:val="nil"/>
            </w:tcBorders>
            <w:shd w:val="clear" w:color="auto" w:fill="auto"/>
            <w:vAlign w:val="center"/>
          </w:tcPr>
          <w:p w14:paraId="21A6E491">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尾矿砂</w:t>
            </w:r>
          </w:p>
        </w:tc>
        <w:tc>
          <w:tcPr>
            <w:tcW w:w="609" w:type="pct"/>
            <w:tcBorders>
              <w:tl2br w:val="nil"/>
              <w:tr2bl w:val="nil"/>
            </w:tcBorders>
            <w:shd w:val="clear" w:color="auto" w:fill="auto"/>
            <w:vAlign w:val="center"/>
          </w:tcPr>
          <w:p w14:paraId="58CFB5A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r>
              <w:rPr>
                <w:rFonts w:hint="eastAsia"/>
                <w:color w:val="000000" w:themeColor="text1"/>
                <w:sz w:val="21"/>
                <w:szCs w:val="21"/>
                <w:highlight w:val="none"/>
                <w14:textFill>
                  <w14:solidFill>
                    <w14:schemeClr w14:val="tx1"/>
                  </w14:solidFill>
                </w14:textFill>
              </w:rPr>
              <w:t>万t/a</w:t>
            </w:r>
          </w:p>
        </w:tc>
        <w:tc>
          <w:tcPr>
            <w:tcW w:w="597" w:type="pct"/>
            <w:tcBorders>
              <w:tl2br w:val="nil"/>
              <w:tr2bl w:val="nil"/>
            </w:tcBorders>
            <w:shd w:val="clear" w:color="auto" w:fill="auto"/>
            <w:vAlign w:val="center"/>
          </w:tcPr>
          <w:p w14:paraId="293F92FE">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45.25</w:t>
            </w:r>
            <w:r>
              <w:rPr>
                <w:rFonts w:hint="eastAsia"/>
                <w:color w:val="000000" w:themeColor="text1"/>
                <w:sz w:val="21"/>
                <w:szCs w:val="21"/>
                <w:highlight w:val="none"/>
                <w14:textFill>
                  <w14:solidFill>
                    <w14:schemeClr w14:val="tx1"/>
                  </w14:solidFill>
                </w14:textFill>
              </w:rPr>
              <w:t>万t/a</w:t>
            </w:r>
          </w:p>
        </w:tc>
        <w:tc>
          <w:tcPr>
            <w:tcW w:w="564" w:type="pct"/>
            <w:tcBorders>
              <w:tl2br w:val="nil"/>
              <w:tr2bl w:val="nil"/>
            </w:tcBorders>
            <w:shd w:val="clear" w:color="auto" w:fill="auto"/>
            <w:vAlign w:val="center"/>
          </w:tcPr>
          <w:p w14:paraId="6DC7A1CB">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23FE987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45.25</w:t>
            </w:r>
            <w:r>
              <w:rPr>
                <w:rFonts w:hint="eastAsia"/>
                <w:color w:val="000000" w:themeColor="text1"/>
                <w:sz w:val="21"/>
                <w:szCs w:val="21"/>
                <w:highlight w:val="none"/>
                <w14:textFill>
                  <w14:solidFill>
                    <w14:schemeClr w14:val="tx1"/>
                  </w14:solidFill>
                </w14:textFill>
              </w:rPr>
              <w:t>万t/a</w:t>
            </w:r>
          </w:p>
        </w:tc>
        <w:tc>
          <w:tcPr>
            <w:tcW w:w="673" w:type="pct"/>
            <w:tcBorders>
              <w:tl2br w:val="nil"/>
              <w:tr2bl w:val="nil"/>
            </w:tcBorders>
            <w:shd w:val="clear" w:color="auto" w:fill="auto"/>
            <w:vAlign w:val="center"/>
          </w:tcPr>
          <w:p w14:paraId="58D1190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25.25</w:t>
            </w:r>
            <w:r>
              <w:rPr>
                <w:rFonts w:hint="eastAsia"/>
                <w:color w:val="000000" w:themeColor="text1"/>
                <w:sz w:val="21"/>
                <w:szCs w:val="21"/>
                <w:highlight w:val="none"/>
                <w14:textFill>
                  <w14:solidFill>
                    <w14:schemeClr w14:val="tx1"/>
                  </w14:solidFill>
                </w14:textFill>
              </w:rPr>
              <w:t>万t/a</w:t>
            </w:r>
          </w:p>
        </w:tc>
      </w:tr>
      <w:tr w14:paraId="0FF5F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03849CF1">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continue"/>
            <w:tcBorders>
              <w:tl2br w:val="nil"/>
              <w:tr2bl w:val="nil"/>
            </w:tcBorders>
            <w:shd w:val="clear" w:color="auto" w:fill="auto"/>
            <w:vAlign w:val="center"/>
          </w:tcPr>
          <w:p w14:paraId="54F4FC3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328" w:type="pct"/>
            <w:gridSpan w:val="2"/>
            <w:tcBorders>
              <w:tl2br w:val="nil"/>
              <w:tr2bl w:val="nil"/>
            </w:tcBorders>
            <w:shd w:val="clear" w:color="auto" w:fill="auto"/>
            <w:vAlign w:val="center"/>
          </w:tcPr>
          <w:p w14:paraId="105B20B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除尘灰</w:t>
            </w:r>
          </w:p>
        </w:tc>
        <w:tc>
          <w:tcPr>
            <w:tcW w:w="609" w:type="pct"/>
            <w:tcBorders>
              <w:tl2br w:val="nil"/>
              <w:tr2bl w:val="nil"/>
            </w:tcBorders>
            <w:shd w:val="clear" w:color="auto" w:fill="auto"/>
            <w:vAlign w:val="center"/>
          </w:tcPr>
          <w:p w14:paraId="434BA130">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97" w:type="pct"/>
            <w:tcBorders>
              <w:tl2br w:val="nil"/>
              <w:tr2bl w:val="nil"/>
            </w:tcBorders>
            <w:shd w:val="clear" w:color="auto" w:fill="auto"/>
            <w:vAlign w:val="center"/>
          </w:tcPr>
          <w:p w14:paraId="2CCC40B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1603.37</w:t>
            </w:r>
            <w:r>
              <w:rPr>
                <w:rFonts w:hint="eastAsia"/>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0F67B6C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266D93B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1603.37</w:t>
            </w:r>
            <w:r>
              <w:rPr>
                <w:rFonts w:hint="eastAsia"/>
                <w:color w:val="000000" w:themeColor="text1"/>
                <w:sz w:val="21"/>
                <w:szCs w:val="21"/>
                <w:highlight w:val="none"/>
                <w14:textFill>
                  <w14:solidFill>
                    <w14:schemeClr w14:val="tx1"/>
                  </w14:solidFill>
                </w14:textFill>
              </w:rPr>
              <w:t>t/a</w:t>
            </w:r>
          </w:p>
        </w:tc>
        <w:tc>
          <w:tcPr>
            <w:tcW w:w="673" w:type="pct"/>
            <w:tcBorders>
              <w:tl2br w:val="nil"/>
              <w:tr2bl w:val="nil"/>
            </w:tcBorders>
            <w:shd w:val="clear" w:color="auto" w:fill="auto"/>
            <w:vAlign w:val="center"/>
          </w:tcPr>
          <w:p w14:paraId="0C792C95">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1603.37t/a</w:t>
            </w:r>
          </w:p>
        </w:tc>
      </w:tr>
      <w:tr w14:paraId="575D8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0E0381C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continue"/>
            <w:tcBorders>
              <w:tl2br w:val="nil"/>
              <w:tr2bl w:val="nil"/>
            </w:tcBorders>
            <w:shd w:val="clear" w:color="auto" w:fill="auto"/>
            <w:vAlign w:val="center"/>
          </w:tcPr>
          <w:p w14:paraId="10F61A5D">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328" w:type="pct"/>
            <w:gridSpan w:val="2"/>
            <w:tcBorders>
              <w:tl2br w:val="nil"/>
              <w:tr2bl w:val="nil"/>
            </w:tcBorders>
            <w:shd w:val="clear" w:color="auto" w:fill="auto"/>
            <w:vAlign w:val="center"/>
          </w:tcPr>
          <w:p w14:paraId="179B6736">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干选废石</w:t>
            </w:r>
          </w:p>
        </w:tc>
        <w:tc>
          <w:tcPr>
            <w:tcW w:w="609" w:type="pct"/>
            <w:tcBorders>
              <w:tl2br w:val="nil"/>
              <w:tr2bl w:val="nil"/>
            </w:tcBorders>
            <w:shd w:val="clear" w:color="auto" w:fill="auto"/>
            <w:vAlign w:val="center"/>
          </w:tcPr>
          <w:p w14:paraId="61487DBD">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97" w:type="pct"/>
            <w:tcBorders>
              <w:tl2br w:val="nil"/>
              <w:tr2bl w:val="nil"/>
            </w:tcBorders>
            <w:shd w:val="clear" w:color="auto" w:fill="auto"/>
            <w:vAlign w:val="center"/>
          </w:tcPr>
          <w:p w14:paraId="1F46F819">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14.75万t/a</w:t>
            </w:r>
          </w:p>
        </w:tc>
        <w:tc>
          <w:tcPr>
            <w:tcW w:w="564" w:type="pct"/>
            <w:tcBorders>
              <w:tl2br w:val="nil"/>
              <w:tr2bl w:val="nil"/>
            </w:tcBorders>
            <w:shd w:val="clear" w:color="auto" w:fill="auto"/>
            <w:vAlign w:val="center"/>
          </w:tcPr>
          <w:p w14:paraId="50A67203">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2CB3643D">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14.75万t/a</w:t>
            </w:r>
          </w:p>
        </w:tc>
        <w:tc>
          <w:tcPr>
            <w:tcW w:w="673" w:type="pct"/>
            <w:tcBorders>
              <w:tl2br w:val="nil"/>
              <w:tr2bl w:val="nil"/>
            </w:tcBorders>
            <w:shd w:val="clear" w:color="auto" w:fill="auto"/>
            <w:vAlign w:val="center"/>
          </w:tcPr>
          <w:p w14:paraId="2682123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+14.75万t/a</w:t>
            </w:r>
          </w:p>
        </w:tc>
      </w:tr>
      <w:tr w14:paraId="4652B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2528C313">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continue"/>
            <w:tcBorders>
              <w:tl2br w:val="nil"/>
              <w:tr2bl w:val="nil"/>
            </w:tcBorders>
            <w:shd w:val="clear" w:color="auto" w:fill="auto"/>
            <w:vAlign w:val="center"/>
          </w:tcPr>
          <w:p w14:paraId="0421F2DD">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328" w:type="pct"/>
            <w:gridSpan w:val="2"/>
            <w:tcBorders>
              <w:tl2br w:val="nil"/>
              <w:tr2bl w:val="nil"/>
            </w:tcBorders>
            <w:shd w:val="clear" w:color="auto" w:fill="auto"/>
            <w:vAlign w:val="center"/>
          </w:tcPr>
          <w:p w14:paraId="4BBACA54">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生活污水处理设施底泥</w:t>
            </w:r>
          </w:p>
        </w:tc>
        <w:tc>
          <w:tcPr>
            <w:tcW w:w="609" w:type="pct"/>
            <w:tcBorders>
              <w:tl2br w:val="nil"/>
              <w:tr2bl w:val="nil"/>
            </w:tcBorders>
            <w:shd w:val="clear" w:color="auto" w:fill="auto"/>
            <w:vAlign w:val="center"/>
          </w:tcPr>
          <w:p w14:paraId="112EB161">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97" w:type="pct"/>
            <w:tcBorders>
              <w:tl2br w:val="nil"/>
              <w:tr2bl w:val="nil"/>
            </w:tcBorders>
            <w:shd w:val="clear" w:color="auto" w:fill="auto"/>
            <w:vAlign w:val="center"/>
          </w:tcPr>
          <w:p w14:paraId="34AE5231">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1.05</w:t>
            </w:r>
            <w:r>
              <w:rPr>
                <w:rFonts w:hint="eastAsia"/>
                <w:bCs/>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7DE0024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5965581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1.05</w:t>
            </w:r>
            <w:r>
              <w:rPr>
                <w:rFonts w:hint="eastAsia"/>
                <w:bCs/>
                <w:color w:val="000000" w:themeColor="text1"/>
                <w:sz w:val="21"/>
                <w:szCs w:val="21"/>
                <w:highlight w:val="none"/>
                <w14:textFill>
                  <w14:solidFill>
                    <w14:schemeClr w14:val="tx1"/>
                  </w14:solidFill>
                </w14:textFill>
              </w:rPr>
              <w:t>t/a</w:t>
            </w:r>
          </w:p>
        </w:tc>
        <w:tc>
          <w:tcPr>
            <w:tcW w:w="673" w:type="pct"/>
            <w:tcBorders>
              <w:tl2br w:val="nil"/>
              <w:tr2bl w:val="nil"/>
            </w:tcBorders>
            <w:shd w:val="clear" w:color="auto" w:fill="auto"/>
            <w:vAlign w:val="center"/>
          </w:tcPr>
          <w:p w14:paraId="184E553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bCs/>
                <w:color w:val="000000" w:themeColor="text1"/>
                <w:sz w:val="21"/>
                <w:szCs w:val="21"/>
                <w:highlight w:val="none"/>
                <w:lang w:val="en-US" w:eastAsia="zh-CN"/>
                <w14:textFill>
                  <w14:solidFill>
                    <w14:schemeClr w14:val="tx1"/>
                  </w14:solidFill>
                </w14:textFill>
              </w:rPr>
              <w:t>1.05</w:t>
            </w:r>
            <w:r>
              <w:rPr>
                <w:rFonts w:hint="eastAsia"/>
                <w:bCs/>
                <w:color w:val="000000" w:themeColor="text1"/>
                <w:sz w:val="21"/>
                <w:szCs w:val="21"/>
                <w:highlight w:val="none"/>
                <w14:textFill>
                  <w14:solidFill>
                    <w14:schemeClr w14:val="tx1"/>
                  </w14:solidFill>
                </w14:textFill>
              </w:rPr>
              <w:t>t/a</w:t>
            </w:r>
          </w:p>
        </w:tc>
      </w:tr>
      <w:tr w14:paraId="5E978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4AEC40C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continue"/>
            <w:tcBorders>
              <w:tl2br w:val="nil"/>
              <w:tr2bl w:val="nil"/>
            </w:tcBorders>
            <w:shd w:val="clear" w:color="auto" w:fill="auto"/>
            <w:vAlign w:val="center"/>
          </w:tcPr>
          <w:p w14:paraId="6041CFFA">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328" w:type="pct"/>
            <w:gridSpan w:val="2"/>
            <w:tcBorders>
              <w:tl2br w:val="nil"/>
              <w:tr2bl w:val="nil"/>
            </w:tcBorders>
            <w:shd w:val="clear" w:color="auto" w:fill="auto"/>
            <w:vAlign w:val="center"/>
          </w:tcPr>
          <w:p w14:paraId="6B0F04FB">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循环水池底泥</w:t>
            </w:r>
          </w:p>
        </w:tc>
        <w:tc>
          <w:tcPr>
            <w:tcW w:w="609" w:type="pct"/>
            <w:tcBorders>
              <w:tl2br w:val="nil"/>
              <w:tr2bl w:val="nil"/>
            </w:tcBorders>
            <w:shd w:val="clear" w:color="auto" w:fill="auto"/>
            <w:vAlign w:val="center"/>
          </w:tcPr>
          <w:p w14:paraId="0A084841">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97" w:type="pct"/>
            <w:tcBorders>
              <w:tl2br w:val="nil"/>
              <w:tr2bl w:val="nil"/>
            </w:tcBorders>
            <w:shd w:val="clear" w:color="auto" w:fill="auto"/>
            <w:vAlign w:val="center"/>
          </w:tcPr>
          <w:p w14:paraId="71674F01">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92</w:t>
            </w:r>
            <w:r>
              <w:rPr>
                <w:rFonts w:hint="eastAsia"/>
                <w:bCs/>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32B19F7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5764C0B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92</w:t>
            </w:r>
            <w:r>
              <w:rPr>
                <w:rFonts w:hint="eastAsia"/>
                <w:bCs/>
                <w:color w:val="000000" w:themeColor="text1"/>
                <w:sz w:val="21"/>
                <w:szCs w:val="21"/>
                <w:highlight w:val="none"/>
                <w14:textFill>
                  <w14:solidFill>
                    <w14:schemeClr w14:val="tx1"/>
                  </w14:solidFill>
                </w14:textFill>
              </w:rPr>
              <w:t>t/a</w:t>
            </w:r>
          </w:p>
        </w:tc>
        <w:tc>
          <w:tcPr>
            <w:tcW w:w="673" w:type="pct"/>
            <w:tcBorders>
              <w:tl2br w:val="nil"/>
              <w:tr2bl w:val="nil"/>
            </w:tcBorders>
            <w:shd w:val="clear" w:color="auto" w:fill="auto"/>
            <w:vAlign w:val="center"/>
          </w:tcPr>
          <w:p w14:paraId="03C8862A">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r>
              <w:rPr>
                <w:rFonts w:hint="eastAsia"/>
                <w:bCs/>
                <w:color w:val="000000" w:themeColor="text1"/>
                <w:sz w:val="21"/>
                <w:szCs w:val="21"/>
                <w:highlight w:val="none"/>
                <w:lang w:val="en-US" w:eastAsia="zh-CN"/>
                <w14:textFill>
                  <w14:solidFill>
                    <w14:schemeClr w14:val="tx1"/>
                  </w14:solidFill>
                </w14:textFill>
              </w:rPr>
              <w:t>92</w:t>
            </w:r>
            <w:r>
              <w:rPr>
                <w:rFonts w:hint="eastAsia"/>
                <w:bCs/>
                <w:color w:val="000000" w:themeColor="text1"/>
                <w:sz w:val="21"/>
                <w:szCs w:val="21"/>
                <w:highlight w:val="none"/>
                <w14:textFill>
                  <w14:solidFill>
                    <w14:schemeClr w14:val="tx1"/>
                  </w14:solidFill>
                </w14:textFill>
              </w:rPr>
              <w:t>t/a</w:t>
            </w:r>
          </w:p>
        </w:tc>
      </w:tr>
      <w:tr w14:paraId="7305C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2AF588B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vMerge w:val="continue"/>
            <w:tcBorders>
              <w:tl2br w:val="nil"/>
              <w:tr2bl w:val="nil"/>
            </w:tcBorders>
            <w:shd w:val="clear" w:color="auto" w:fill="auto"/>
            <w:vAlign w:val="center"/>
          </w:tcPr>
          <w:p w14:paraId="1114098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328" w:type="pct"/>
            <w:gridSpan w:val="2"/>
            <w:tcBorders>
              <w:tl2br w:val="nil"/>
              <w:tr2bl w:val="nil"/>
            </w:tcBorders>
            <w:shd w:val="clear" w:color="auto" w:fill="auto"/>
            <w:vAlign w:val="center"/>
          </w:tcPr>
          <w:p w14:paraId="031F8151">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废布袋</w:t>
            </w:r>
          </w:p>
        </w:tc>
        <w:tc>
          <w:tcPr>
            <w:tcW w:w="609" w:type="pct"/>
            <w:tcBorders>
              <w:tl2br w:val="nil"/>
              <w:tr2bl w:val="nil"/>
            </w:tcBorders>
            <w:shd w:val="clear" w:color="auto" w:fill="auto"/>
            <w:vAlign w:val="center"/>
          </w:tcPr>
          <w:p w14:paraId="23DB678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97" w:type="pct"/>
            <w:tcBorders>
              <w:tl2br w:val="nil"/>
              <w:tr2bl w:val="nil"/>
            </w:tcBorders>
            <w:shd w:val="clear" w:color="auto" w:fill="auto"/>
            <w:vAlign w:val="center"/>
          </w:tcPr>
          <w:p w14:paraId="3BE365FD">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0.5t/a</w:t>
            </w:r>
          </w:p>
        </w:tc>
        <w:tc>
          <w:tcPr>
            <w:tcW w:w="564" w:type="pct"/>
            <w:tcBorders>
              <w:tl2br w:val="nil"/>
              <w:tr2bl w:val="nil"/>
            </w:tcBorders>
            <w:shd w:val="clear" w:color="auto" w:fill="auto"/>
            <w:vAlign w:val="center"/>
          </w:tcPr>
          <w:p w14:paraId="543A2313">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5B9846D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0.5t/a</w:t>
            </w:r>
          </w:p>
        </w:tc>
        <w:tc>
          <w:tcPr>
            <w:tcW w:w="673" w:type="pct"/>
            <w:tcBorders>
              <w:tl2br w:val="nil"/>
              <w:tr2bl w:val="nil"/>
            </w:tcBorders>
            <w:shd w:val="clear" w:color="auto" w:fill="auto"/>
            <w:vAlign w:val="center"/>
          </w:tcPr>
          <w:p w14:paraId="34ED22A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+0.5t/a</w:t>
            </w:r>
          </w:p>
        </w:tc>
      </w:tr>
      <w:tr w14:paraId="7246A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16" w:type="pct"/>
            <w:vMerge w:val="continue"/>
            <w:tcBorders>
              <w:tl2br w:val="nil"/>
              <w:tr2bl w:val="nil"/>
            </w:tcBorders>
            <w:shd w:val="clear" w:color="auto" w:fill="auto"/>
            <w:vAlign w:val="center"/>
          </w:tcPr>
          <w:p w14:paraId="345A130D">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39" w:type="pct"/>
            <w:tcBorders>
              <w:tl2br w:val="nil"/>
              <w:tr2bl w:val="nil"/>
            </w:tcBorders>
            <w:shd w:val="clear" w:color="auto" w:fill="auto"/>
            <w:vAlign w:val="center"/>
          </w:tcPr>
          <w:p w14:paraId="12447D5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危险废物</w:t>
            </w:r>
          </w:p>
        </w:tc>
        <w:tc>
          <w:tcPr>
            <w:tcW w:w="1328" w:type="pct"/>
            <w:gridSpan w:val="2"/>
            <w:tcBorders>
              <w:tl2br w:val="nil"/>
              <w:tr2bl w:val="nil"/>
            </w:tcBorders>
            <w:shd w:val="clear" w:color="auto" w:fill="auto"/>
            <w:vAlign w:val="center"/>
          </w:tcPr>
          <w:p w14:paraId="0967E96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废机油及废油桶</w:t>
            </w:r>
          </w:p>
        </w:tc>
        <w:tc>
          <w:tcPr>
            <w:tcW w:w="609" w:type="pct"/>
            <w:tcBorders>
              <w:tl2br w:val="nil"/>
              <w:tr2bl w:val="nil"/>
            </w:tcBorders>
            <w:shd w:val="clear" w:color="auto" w:fill="auto"/>
            <w:vAlign w:val="center"/>
          </w:tcPr>
          <w:p w14:paraId="5DCD12D0">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97" w:type="pct"/>
            <w:tcBorders>
              <w:tl2br w:val="nil"/>
              <w:tr2bl w:val="nil"/>
            </w:tcBorders>
            <w:shd w:val="clear" w:color="auto" w:fill="auto"/>
            <w:vAlign w:val="center"/>
          </w:tcPr>
          <w:p w14:paraId="44A82A8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2.7</w:t>
            </w:r>
            <w:r>
              <w:rPr>
                <w:rFonts w:hint="eastAsia"/>
                <w:color w:val="000000" w:themeColor="text1"/>
                <w:sz w:val="21"/>
                <w:szCs w:val="21"/>
                <w:highlight w:val="none"/>
                <w14:textFill>
                  <w14:solidFill>
                    <w14:schemeClr w14:val="tx1"/>
                  </w14:solidFill>
                </w14:textFill>
              </w:rPr>
              <w:t>t/a</w:t>
            </w:r>
          </w:p>
        </w:tc>
        <w:tc>
          <w:tcPr>
            <w:tcW w:w="564" w:type="pct"/>
            <w:tcBorders>
              <w:tl2br w:val="nil"/>
              <w:tr2bl w:val="nil"/>
            </w:tcBorders>
            <w:shd w:val="clear" w:color="auto" w:fill="auto"/>
            <w:vAlign w:val="center"/>
          </w:tcPr>
          <w:p w14:paraId="6B87B6E5">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0t/a</w:t>
            </w:r>
          </w:p>
        </w:tc>
        <w:tc>
          <w:tcPr>
            <w:tcW w:w="672" w:type="pct"/>
            <w:tcBorders>
              <w:tl2br w:val="nil"/>
              <w:tr2bl w:val="nil"/>
            </w:tcBorders>
            <w:shd w:val="clear" w:color="auto" w:fill="auto"/>
            <w:vAlign w:val="center"/>
          </w:tcPr>
          <w:p w14:paraId="7E09DC4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2.7</w:t>
            </w:r>
            <w:r>
              <w:rPr>
                <w:rFonts w:hint="eastAsia"/>
                <w:color w:val="000000" w:themeColor="text1"/>
                <w:sz w:val="21"/>
                <w:szCs w:val="21"/>
                <w:highlight w:val="none"/>
                <w14:textFill>
                  <w14:solidFill>
                    <w14:schemeClr w14:val="tx1"/>
                  </w14:solidFill>
                </w14:textFill>
              </w:rPr>
              <w:t>t/a</w:t>
            </w:r>
          </w:p>
        </w:tc>
        <w:tc>
          <w:tcPr>
            <w:tcW w:w="673" w:type="pct"/>
            <w:tcBorders>
              <w:tl2br w:val="nil"/>
              <w:tr2bl w:val="nil"/>
            </w:tcBorders>
            <w:shd w:val="clear" w:color="auto" w:fill="auto"/>
            <w:vAlign w:val="center"/>
          </w:tcPr>
          <w:p w14:paraId="3F82B0B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2.7</w:t>
            </w:r>
            <w:r>
              <w:rPr>
                <w:rFonts w:hint="eastAsia"/>
                <w:color w:val="000000" w:themeColor="text1"/>
                <w:sz w:val="21"/>
                <w:szCs w:val="21"/>
                <w:highlight w:val="none"/>
                <w14:textFill>
                  <w14:solidFill>
                    <w14:schemeClr w14:val="tx1"/>
                  </w14:solidFill>
                </w14:textFill>
              </w:rPr>
              <w:t>t/a</w:t>
            </w:r>
          </w:p>
        </w:tc>
      </w:tr>
    </w:tbl>
    <w:p w14:paraId="08F50472">
      <w:pPr>
        <w:pStyle w:val="3"/>
        <w:rPr>
          <w:color w:val="000000" w:themeColor="text1"/>
          <w:highlight w:val="none"/>
          <w14:textFill>
            <w14:solidFill>
              <w14:schemeClr w14:val="tx1"/>
            </w14:solidFill>
          </w14:textFill>
        </w:rPr>
      </w:pPr>
      <w:bookmarkStart w:id="557" w:name="_Toc18061"/>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总量控制</w:t>
      </w:r>
      <w:bookmarkEnd w:id="551"/>
      <w:bookmarkEnd w:id="552"/>
      <w:bookmarkEnd w:id="553"/>
      <w:bookmarkEnd w:id="554"/>
      <w:bookmarkEnd w:id="555"/>
      <w:bookmarkEnd w:id="556"/>
      <w:bookmarkEnd w:id="557"/>
    </w:p>
    <w:p w14:paraId="45903169">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highlight w:val="none"/>
          <w14:textFill>
            <w14:solidFill>
              <w14:schemeClr w14:val="tx1"/>
            </w14:solidFill>
          </w14:textFill>
        </w:rPr>
        <w:t>根据《关于进一步加强重金属污染防控的意见》（环固体〔2022〕17号，铅、汞、镉、铬、砷、铊、锑属于重点重金属污染物。本项目属于铁矿采选项目，不属于《关于加强涉重金属行业污染防控的意见》及《关于印发新疆维吾尔自治区加强涉重金属行业污染防控工作方案的通知》中所提及的重有色金属矿采选业（铜、铅锌、镍钴、锡、锑和汞矿采选）、重有色金属冶炼业（铜、铅锌、镍钴、锡、锑和汞冶炼）等重点行业，因此，本项目可不申请重金属总量控制指标。</w:t>
      </w:r>
    </w:p>
    <w:p w14:paraId="0DCED928">
      <w:pPr>
        <w:pStyle w:val="31"/>
        <w:spacing w:after="0"/>
        <w:ind w:left="0" w:leftChars="0" w:firstLine="480"/>
        <w:rPr>
          <w:color w:val="000000" w:themeColor="text1"/>
          <w:kern w:val="0"/>
          <w:sz w:val="24"/>
          <w:highlight w:val="none"/>
          <w14:textFill>
            <w14:solidFill>
              <w14:schemeClr w14:val="tx1"/>
            </w14:solidFill>
          </w14:textFill>
        </w:rPr>
        <w:sectPr>
          <w:pgSz w:w="11906" w:h="16838"/>
          <w:pgMar w:top="1440" w:right="1803" w:bottom="1440" w:left="1803" w:header="850" w:footer="1134" w:gutter="0"/>
          <w:pgBorders>
            <w:top w:val="none" w:sz="0" w:space="0"/>
            <w:left w:val="none" w:sz="0" w:space="0"/>
            <w:bottom w:val="none" w:sz="0" w:space="0"/>
            <w:right w:val="none" w:sz="0" w:space="0"/>
          </w:pgBorders>
          <w:pgNumType w:fmt="decimal"/>
          <w:cols w:space="720" w:num="1"/>
          <w:docGrid w:linePitch="312" w:charSpace="0"/>
        </w:sectPr>
      </w:pPr>
    </w:p>
    <w:p w14:paraId="3FE514F3">
      <w:pPr>
        <w:pStyle w:val="2"/>
        <w:spacing w:line="720" w:lineRule="exact"/>
        <w:rPr>
          <w:color w:val="000000" w:themeColor="text1"/>
          <w:highlight w:val="none"/>
          <w14:textFill>
            <w14:solidFill>
              <w14:schemeClr w14:val="tx1"/>
            </w14:solidFill>
          </w14:textFill>
        </w:rPr>
      </w:pPr>
      <w:bookmarkStart w:id="558" w:name="_Toc5990"/>
      <w:bookmarkStart w:id="559" w:name="_Toc8266"/>
      <w:bookmarkStart w:id="560" w:name="_Toc12013"/>
      <w:bookmarkStart w:id="561" w:name="_Toc32433"/>
      <w:bookmarkStart w:id="562" w:name="_Toc29042"/>
      <w:bookmarkStart w:id="563" w:name="_Toc20957"/>
      <w:bookmarkStart w:id="564" w:name="_Toc26256"/>
      <w:bookmarkStart w:id="565" w:name="_Toc25076"/>
      <w:bookmarkStart w:id="566" w:name="_Toc29875"/>
      <w:bookmarkStart w:id="567" w:name="_Toc3781"/>
      <w:bookmarkStart w:id="568" w:name="_Toc7296"/>
      <w:bookmarkStart w:id="569" w:name="_Toc14588"/>
      <w:bookmarkStart w:id="570" w:name="_Toc1111"/>
      <w:bookmarkStart w:id="571" w:name="_Toc5415"/>
      <w:bookmarkStart w:id="572" w:name="_Toc22355"/>
      <w:bookmarkStart w:id="573" w:name="_Toc14850"/>
      <w:bookmarkStart w:id="574" w:name="_Toc18"/>
      <w:bookmarkStart w:id="575" w:name="_Toc27841"/>
      <w:bookmarkStart w:id="576" w:name="_Toc21890"/>
      <w:bookmarkStart w:id="577" w:name="_Toc107414660"/>
      <w:bookmarkStart w:id="578" w:name="_Toc107413893"/>
      <w:bookmarkStart w:id="579" w:name="_Toc493523114"/>
      <w:bookmarkStart w:id="580" w:name="_Toc484105109"/>
      <w:bookmarkStart w:id="581" w:name="_Toc22456"/>
      <w:bookmarkStart w:id="582" w:name="_Toc9731"/>
      <w:bookmarkStart w:id="583" w:name="_Toc30353"/>
      <w:bookmarkStart w:id="584" w:name="_Toc20787"/>
      <w:bookmarkStart w:id="585" w:name="_Toc27520"/>
      <w:bookmarkStart w:id="586" w:name="_Toc107414663"/>
      <w:bookmarkStart w:id="587" w:name="_Toc2272"/>
      <w:bookmarkStart w:id="588" w:name="_Toc14279"/>
      <w:bookmarkStart w:id="589" w:name="_Toc14307"/>
      <w:bookmarkStart w:id="590" w:name="_Toc9752"/>
      <w:bookmarkStart w:id="591" w:name="_Toc107413896"/>
      <w:bookmarkStart w:id="592" w:name="_Toc15934"/>
      <w:bookmarkStart w:id="593" w:name="_Toc13282"/>
      <w:bookmarkStart w:id="594" w:name="_Toc26580"/>
      <w:bookmarkStart w:id="595" w:name="_Toc29195"/>
      <w:bookmarkStart w:id="596" w:name="_Toc15490"/>
      <w:bookmarkStart w:id="597" w:name="_Toc1736"/>
      <w:bookmarkStart w:id="598" w:name="_Toc15495"/>
      <w:bookmarkStart w:id="599" w:name="_Toc6745"/>
      <w:bookmarkStart w:id="600" w:name="_Toc20316"/>
      <w:bookmarkStart w:id="601" w:name="_Toc30557"/>
      <w:r>
        <w:rPr>
          <w:color w:val="000000" w:themeColor="text1"/>
          <w:highlight w:val="none"/>
          <w14:textFill>
            <w14:solidFill>
              <w14:schemeClr w14:val="tx1"/>
            </w14:solidFill>
          </w14:textFill>
        </w:rPr>
        <w:t>4环境现状调查与评价</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5E32A505">
      <w:pPr>
        <w:pStyle w:val="3"/>
        <w:rPr>
          <w:color w:val="000000" w:themeColor="text1"/>
          <w:highlight w:val="none"/>
          <w14:textFill>
            <w14:solidFill>
              <w14:schemeClr w14:val="tx1"/>
            </w14:solidFill>
          </w14:textFill>
        </w:rPr>
      </w:pPr>
      <w:bookmarkStart w:id="602" w:name="_Toc6404"/>
      <w:bookmarkStart w:id="603" w:name="_Toc5122"/>
      <w:bookmarkStart w:id="604" w:name="_Toc107413894"/>
      <w:bookmarkStart w:id="605" w:name="_Toc21521"/>
      <w:bookmarkStart w:id="606" w:name="_Toc31464"/>
      <w:bookmarkStart w:id="607" w:name="_Toc17165"/>
      <w:bookmarkStart w:id="608" w:name="_Toc6577"/>
      <w:bookmarkStart w:id="609" w:name="_Toc16191"/>
      <w:bookmarkStart w:id="610" w:name="_Toc7162"/>
      <w:bookmarkStart w:id="611" w:name="_Toc18721"/>
      <w:bookmarkStart w:id="612" w:name="_Toc12566"/>
      <w:bookmarkStart w:id="613" w:name="_Toc23778"/>
      <w:bookmarkStart w:id="614" w:name="_Toc21954"/>
      <w:bookmarkStart w:id="615" w:name="_Toc107414661"/>
      <w:bookmarkStart w:id="616" w:name="_Toc20708"/>
      <w:bookmarkStart w:id="617" w:name="_Toc23126"/>
      <w:bookmarkStart w:id="618" w:name="_Toc20573"/>
      <w:bookmarkStart w:id="619" w:name="_Toc16586"/>
      <w:bookmarkStart w:id="620" w:name="_Toc15036"/>
      <w:bookmarkStart w:id="621" w:name="_Toc20671"/>
      <w:bookmarkStart w:id="622" w:name="_Toc18089"/>
      <w:r>
        <w:rPr>
          <w:color w:val="000000" w:themeColor="text1"/>
          <w:highlight w:val="none"/>
          <w14:textFill>
            <w14:solidFill>
              <w14:schemeClr w14:val="tx1"/>
            </w14:solidFill>
          </w14:textFill>
        </w:rPr>
        <w:t>4.1自然环境</w:t>
      </w:r>
      <w:bookmarkEnd w:id="602"/>
      <w:r>
        <w:rPr>
          <w:color w:val="000000" w:themeColor="text1"/>
          <w:highlight w:val="none"/>
          <w14:textFill>
            <w14:solidFill>
              <w14:schemeClr w14:val="tx1"/>
            </w14:solidFill>
          </w14:textFill>
        </w:rPr>
        <w:t>概况</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635824AD">
      <w:pPr>
        <w:pStyle w:val="4"/>
        <w:rPr>
          <w:color w:val="000000" w:themeColor="text1"/>
          <w:highlight w:val="none"/>
          <w14:textFill>
            <w14:solidFill>
              <w14:schemeClr w14:val="tx1"/>
            </w14:solidFill>
          </w14:textFill>
        </w:rPr>
      </w:pPr>
      <w:bookmarkStart w:id="623" w:name="_Toc6355"/>
      <w:bookmarkStart w:id="624" w:name="_Toc23532"/>
      <w:bookmarkStart w:id="625" w:name="_Toc18493"/>
      <w:bookmarkStart w:id="626" w:name="_Toc26432"/>
      <w:bookmarkStart w:id="627" w:name="_Toc2649"/>
      <w:bookmarkStart w:id="628" w:name="_Toc29653"/>
      <w:bookmarkStart w:id="629" w:name="_Toc10252"/>
      <w:bookmarkStart w:id="630" w:name="_Toc24507"/>
      <w:bookmarkStart w:id="631" w:name="_Toc20425"/>
      <w:bookmarkStart w:id="632" w:name="_Toc9800"/>
      <w:r>
        <w:rPr>
          <w:color w:val="000000" w:themeColor="text1"/>
          <w:highlight w:val="none"/>
          <w14:textFill>
            <w14:solidFill>
              <w14:schemeClr w14:val="tx1"/>
            </w14:solidFill>
          </w14:textFill>
        </w:rPr>
        <w:t>4.1.1地理位置</w:t>
      </w:r>
      <w:bookmarkEnd w:id="623"/>
      <w:bookmarkEnd w:id="624"/>
      <w:bookmarkEnd w:id="625"/>
      <w:bookmarkEnd w:id="626"/>
      <w:bookmarkEnd w:id="627"/>
      <w:bookmarkEnd w:id="628"/>
      <w:bookmarkEnd w:id="629"/>
      <w:bookmarkEnd w:id="630"/>
      <w:bookmarkEnd w:id="631"/>
      <w:bookmarkEnd w:id="632"/>
    </w:p>
    <w:p w14:paraId="18033C72">
      <w:pPr>
        <w:keepNext w:val="0"/>
        <w:keepLines w:val="0"/>
        <w:pageBreakBefore w:val="0"/>
        <w:widowControl w:val="0"/>
        <w:kinsoku/>
        <w:wordWrap/>
        <w:autoSpaceDE/>
        <w:autoSpaceDN/>
        <w:bidi w:val="0"/>
        <w:adjustRightInd/>
        <w:snapToGrid/>
        <w:spacing w:line="480" w:lineRule="exact"/>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哈密市是</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"https://baike.baidu.com/item/%E6%96%B0%E7%96%86%E7%BB%B4%E5%90%BE%E5%B0%94%E8%87%AA%E6%B2%BB%E5%8C%BA/906636" \t "_blank"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新疆维吾尔自治区</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t>的4个地级市之一，驻地伊州区。位于新疆东部，是新疆通向中国内地的</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"https://baike.baidu.com/item/%E8%A6%81%E9%81%93/8728071" \t "_blank"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要道</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t>，自古就是</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"https://baike.baidu.com/item/%E4%B8%9D%E7%BB%B8%E4%B9%8B%E8%B7%AF/434" \t "_blank"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丝绸之路</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t>的咽喉，有</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西域襟喉，中华拱卫</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和</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新疆门户</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之称。东与甘肃省</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"https://baike.baidu.com/item/%E9%85%92%E6%B3%89%E5%B8%82/4762180" \t "_blank"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酒泉市</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t>相邻，南与</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"https://baike.baidu.com/item/%E5%B7%B4%E9%9F%B3%E9%83%AD%E6%A5%9E%E8%92%99%E5%8F%A4%E8%87%AA%E6%B2%BB%E5%B7%9E/5310284" \t "_blank"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巴音郭楞蒙古自治州</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t>相连，西与</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"https://baike.baidu.com/item/%E5%90%90%E9%B2%81%E7%95%AA%E5%B8%82/9732678" \t "_blank"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吐鲁番市</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"https://baike.baidu.com/item/%E6%98%8C%E5%90%89%E5%9B%9E%E6%97%8F%E8%87%AA%E6%B2%BB%E5%B7%9E/2283504" \t "_blank"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昌吉回族自治州</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t>毗邻，北与</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"https://baike.baidu.com/item/%E8%92%99%E5%8F%A4%E5%9B%BD/209648" \t "_blank"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蒙古国</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t>接壤，设有国家一类季节性开放口岸——</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"https://baike.baidu.com/item/%E8%80%81%E7%88%B7%E5%BA%99%E5%8F%A3%E5%B2%B8/4898349" \t "_blank"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老爷庙口岸</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t>，是新疆与蒙古国发展边贸的重要开放口岸之一。</w:t>
      </w:r>
    </w:p>
    <w:p w14:paraId="6CD297E6">
      <w:pPr>
        <w:keepNext w:val="0"/>
        <w:keepLines w:val="0"/>
        <w:pageBreakBefore w:val="0"/>
        <w:widowControl w:val="0"/>
        <w:kinsoku/>
        <w:wordWrap/>
        <w:autoSpaceDE/>
        <w:autoSpaceDN/>
        <w:bidi w:val="0"/>
        <w:adjustRightInd/>
        <w:snapToGrid/>
        <w:spacing w:line="480" w:lineRule="exact"/>
        <w:ind w:firstLine="480" w:firstLineChars="20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本项目位于新疆维吾尔自治区哈密市168</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方位（与哈密市直线距离约179km），雅满苏镇以南约7</w:t>
      </w:r>
      <w:r>
        <w:rPr>
          <w:color w:val="000000" w:themeColor="text1"/>
          <w:sz w:val="24"/>
          <w:szCs w:val="24"/>
          <w:highlight w:val="none"/>
          <w14:textFill>
            <w14:solidFill>
              <w14:schemeClr w14:val="tx1"/>
            </w14:solidFill>
          </w14:textFill>
        </w:rPr>
        <w:t>0</w:t>
      </w:r>
      <w:r>
        <w:rPr>
          <w:rFonts w:hint="eastAsia"/>
          <w:color w:val="000000" w:themeColor="text1"/>
          <w:sz w:val="24"/>
          <w:szCs w:val="24"/>
          <w:highlight w:val="none"/>
          <w14:textFill>
            <w14:solidFill>
              <w14:schemeClr w14:val="tx1"/>
            </w14:solidFill>
          </w14:textFill>
        </w:rPr>
        <w:t>km处，行政区划属于新疆维吾尔自治区哈密市雅满苏镇管辖。</w:t>
      </w:r>
      <w:r>
        <w:rPr>
          <w:rFonts w:hint="eastAsia"/>
          <w:color w:val="000000" w:themeColor="text1"/>
          <w:sz w:val="24"/>
          <w:szCs w:val="24"/>
          <w:highlight w:val="none"/>
          <w:lang w:val="en-US" w:eastAsia="zh-CN"/>
          <w14:textFill>
            <w14:solidFill>
              <w14:schemeClr w14:val="tx1"/>
            </w14:solidFill>
          </w14:textFill>
        </w:rPr>
        <w:t>选矿厂</w:t>
      </w:r>
      <w:r>
        <w:rPr>
          <w:rFonts w:hint="eastAsia"/>
          <w:color w:val="000000" w:themeColor="text1"/>
          <w:sz w:val="24"/>
          <w:szCs w:val="24"/>
          <w:highlight w:val="none"/>
          <w14:textFill>
            <w14:solidFill>
              <w14:schemeClr w14:val="tx1"/>
            </w14:solidFill>
          </w14:textFill>
        </w:rPr>
        <w:t>中心地理坐标：</w:t>
      </w:r>
      <w:r>
        <w:rPr>
          <w:color w:val="000000" w:themeColor="text1"/>
          <w:sz w:val="24"/>
          <w:szCs w:val="24"/>
          <w:highlight w:val="none"/>
          <w14:textFill>
            <w14:solidFill>
              <w14:schemeClr w14:val="tx1"/>
            </w14:solidFill>
          </w14:textFill>
        </w:rPr>
        <w:t>E</w:t>
      </w:r>
      <w:r>
        <w:rPr>
          <w:rFonts w:hint="eastAsia"/>
          <w:color w:val="000000" w:themeColor="text1"/>
          <w:highlight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N</w:t>
      </w:r>
      <w:r>
        <w:rPr>
          <w:rFonts w:hint="eastAsia"/>
          <w:color w:val="000000" w:themeColor="text1"/>
          <w:highlight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（2000地理坐标）</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尾矿库中心地理坐标：E</w:t>
      </w:r>
      <w:r>
        <w:rPr>
          <w:rFonts w:hint="eastAsia"/>
          <w:color w:val="000000" w:themeColor="text1"/>
          <w:highlight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N</w:t>
      </w:r>
      <w:r>
        <w:rPr>
          <w:rFonts w:hint="eastAsia"/>
          <w:color w:val="000000" w:themeColor="text1"/>
          <w:highlight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w:t>
      </w:r>
    </w:p>
    <w:p w14:paraId="237A8048">
      <w:pPr>
        <w:pStyle w:val="41"/>
        <w:keepNext w:val="0"/>
        <w:keepLines w:val="0"/>
        <w:pageBreakBefore w:val="0"/>
        <w:widowControl w:val="0"/>
        <w:kinsoku/>
        <w:wordWrap/>
        <w:overflowPunct w:val="0"/>
        <w:topLinePunct/>
        <w:autoSpaceDE/>
        <w:autoSpaceDN/>
        <w:bidi w:val="0"/>
        <w:adjustRightInd/>
        <w:snapToGrid/>
        <w:spacing w:line="480" w:lineRule="exact"/>
        <w:ind w:firstLine="480"/>
        <w:textAlignment w:val="auto"/>
        <w:rPr>
          <w:rFonts w:cs="Times New Roman"/>
          <w:color w:val="000000" w:themeColor="text1"/>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哈密市-雅满苏镇-磁海铁矿有柏油公路相通，</w:t>
      </w:r>
      <w:r>
        <w:rPr>
          <w:rFonts w:hint="eastAsia"/>
          <w:color w:val="000000" w:themeColor="text1"/>
          <w:sz w:val="24"/>
          <w:szCs w:val="24"/>
          <w:highlight w:val="none"/>
          <w:lang w:val="en-US"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至磁海铁矿柏油路路口30km为简易公路，可以直达</w:t>
      </w:r>
      <w:r>
        <w:rPr>
          <w:rFonts w:hint="eastAsia"/>
          <w:color w:val="000000" w:themeColor="text1"/>
          <w:sz w:val="24"/>
          <w:szCs w:val="24"/>
          <w:highlight w:val="none"/>
          <w:lang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。兰新铁路从本区的东北角附近通过，</w:t>
      </w:r>
      <w:r>
        <w:rPr>
          <w:rFonts w:hint="eastAsia"/>
          <w:color w:val="000000" w:themeColor="text1"/>
          <w:sz w:val="24"/>
          <w:szCs w:val="24"/>
          <w:highlight w:val="none"/>
          <w:lang w:val="en-US"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距兰新铁路红柳河车站75km，距雅满苏铁矿80km，距离哈密市270km，交通较为便利</w:t>
      </w:r>
      <w:r>
        <w:rPr>
          <w:rFonts w:hint="eastAsia" w:cs="Times New Roman"/>
          <w:color w:val="000000" w:themeColor="text1"/>
          <w:szCs w:val="24"/>
          <w:highlight w:val="none"/>
          <w14:textFill>
            <w14:solidFill>
              <w14:schemeClr w14:val="tx1"/>
            </w14:solidFill>
          </w14:textFill>
        </w:rPr>
        <w:t>。</w:t>
      </w:r>
    </w:p>
    <w:p w14:paraId="0FC10268">
      <w:pPr>
        <w:pStyle w:val="4"/>
        <w:rPr>
          <w:color w:val="000000" w:themeColor="text1"/>
          <w:highlight w:val="none"/>
          <w14:textFill>
            <w14:solidFill>
              <w14:schemeClr w14:val="tx1"/>
            </w14:solidFill>
          </w14:textFill>
        </w:rPr>
      </w:pPr>
      <w:bookmarkStart w:id="633" w:name="_Toc6685"/>
      <w:bookmarkStart w:id="634" w:name="_Toc30674"/>
      <w:bookmarkStart w:id="635" w:name="_Toc28124"/>
      <w:r>
        <w:rPr>
          <w:color w:val="000000" w:themeColor="text1"/>
          <w:highlight w:val="none"/>
          <w14:textFill>
            <w14:solidFill>
              <w14:schemeClr w14:val="tx1"/>
            </w14:solidFill>
          </w14:textFill>
        </w:rPr>
        <w:t>4.1.</w:t>
      </w:r>
      <w:r>
        <w:rPr>
          <w:rFonts w:hint="eastAsia"/>
          <w:color w:val="000000" w:themeColor="text1"/>
          <w:highlight w:val="none"/>
          <w14:textFill>
            <w14:solidFill>
              <w14:schemeClr w14:val="tx1"/>
            </w14:solidFill>
          </w14:textFill>
        </w:rPr>
        <w:t>2地形地貌</w:t>
      </w:r>
      <w:bookmarkEnd w:id="633"/>
      <w:bookmarkEnd w:id="634"/>
      <w:bookmarkEnd w:id="635"/>
    </w:p>
    <w:p w14:paraId="46888215">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哈密市地处东天山南麓。东天山是由几条平行山脉和其山间盆地组成的山系，北部以山地为主要特征的东天山余脉；东部、南部则以剥蚀形态为主要特征的高原地带；中部，西部是哈密盆地。以此形成哈密地区“两山夹一盆”的地形地貌特点。位于市境内东北部的喀尔里克山</w:t>
      </w:r>
      <w:r>
        <w:rPr>
          <w:rFonts w:hint="eastAsia"/>
          <w:color w:val="000000" w:themeColor="text1"/>
          <w:sz w:val="24"/>
          <w:szCs w:val="24"/>
          <w:highlight w:val="none"/>
          <w:lang w:eastAsia="zh-CN"/>
          <w14:textFill>
            <w14:solidFill>
              <w14:schemeClr w14:val="tx1"/>
            </w14:solidFill>
          </w14:textFill>
        </w:rPr>
        <w:t>主峰</w:t>
      </w:r>
      <w:r>
        <w:rPr>
          <w:rFonts w:hint="eastAsia"/>
          <w:color w:val="000000" w:themeColor="text1"/>
          <w:sz w:val="24"/>
          <w:szCs w:val="24"/>
          <w:highlight w:val="none"/>
          <w14:textFill>
            <w14:solidFill>
              <w14:schemeClr w14:val="tx1"/>
            </w14:solidFill>
          </w14:textFill>
        </w:rPr>
        <w:t>，终年不化，海拔4886m，为全市最高点。市境西部戈壁深处的沙尔湖为哈密盆地的最低处，海拔仅53m。</w:t>
      </w:r>
    </w:p>
    <w:p w14:paraId="1E8CEBAF">
      <w:pPr>
        <w:pStyle w:val="41"/>
        <w:overflowPunct w:val="0"/>
        <w:topLinePunct/>
        <w:spacing w:line="480" w:lineRule="exact"/>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属低山丘陵地貌，</w:t>
      </w:r>
      <w:r>
        <w:rPr>
          <w:rFonts w:hint="eastAsia"/>
          <w:color w:val="000000" w:themeColor="text1"/>
          <w:sz w:val="24"/>
          <w:szCs w:val="24"/>
          <w:highlight w:val="none"/>
          <w:lang w:eastAsia="zh-CN"/>
          <w14:textFill>
            <w14:solidFill>
              <w14:schemeClr w14:val="tx1"/>
            </w14:solidFill>
          </w14:textFill>
        </w:rPr>
        <w:t>海拔</w:t>
      </w:r>
      <w:r>
        <w:rPr>
          <w:rFonts w:hint="eastAsia"/>
          <w:color w:val="000000" w:themeColor="text1"/>
          <w:sz w:val="24"/>
          <w:szCs w:val="24"/>
          <w:highlight w:val="none"/>
          <w14:textFill>
            <w14:solidFill>
              <w14:schemeClr w14:val="tx1"/>
            </w14:solidFill>
          </w14:textFill>
        </w:rPr>
        <w:t>在1234.57～1254.20m之间，相对高差2～5m，最大高差17m，总体地形北高南低，地形平缓，地形坡度2～5°。地势起伏不大，地形切割不强烈。</w:t>
      </w:r>
      <w:r>
        <w:rPr>
          <w:rFonts w:hint="eastAsia"/>
          <w:color w:val="000000" w:themeColor="text1"/>
          <w:sz w:val="24"/>
          <w:szCs w:val="24"/>
          <w:highlight w:val="none"/>
          <w:lang w:val="en-US"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内植被不发育，大部分地带被第四系覆盖，基岩零星出露</w:t>
      </w:r>
      <w:r>
        <w:rPr>
          <w:rFonts w:hint="eastAsia"/>
          <w:color w:val="000000" w:themeColor="text1"/>
          <w:sz w:val="24"/>
          <w:szCs w:val="24"/>
          <w:highlight w:val="none"/>
          <w:lang w:val="en-US" w:eastAsia="zh-CN"/>
          <w14:textFill>
            <w14:solidFill>
              <w14:schemeClr w14:val="tx1"/>
            </w14:solidFill>
          </w14:textFill>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1AE8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4261" w:type="dxa"/>
            <w:noWrap w:val="0"/>
            <w:vAlign w:val="top"/>
          </w:tcPr>
          <w:p w14:paraId="3647B461">
            <w:pPr>
              <w:pStyle w:val="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18"/>
                <w:szCs w:val="18"/>
                <w:highlight w:val="none"/>
                <w14:textFill>
                  <w14:solidFill>
                    <w14:schemeClr w14:val="tx1"/>
                  </w14:solidFill>
                </w14:textFill>
              </w:rPr>
            </w:pPr>
          </w:p>
        </w:tc>
        <w:tc>
          <w:tcPr>
            <w:tcW w:w="4261" w:type="dxa"/>
            <w:noWrap w:val="0"/>
            <w:vAlign w:val="top"/>
          </w:tcPr>
          <w:p w14:paraId="51E9473F">
            <w:pPr>
              <w:pStyle w:val="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18"/>
                <w:szCs w:val="18"/>
                <w:highlight w:val="none"/>
                <w14:textFill>
                  <w14:solidFill>
                    <w14:schemeClr w14:val="tx1"/>
                  </w14:solidFill>
                </w14:textFill>
              </w:rPr>
            </w:pPr>
          </w:p>
        </w:tc>
      </w:tr>
      <w:tr w14:paraId="2479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4261" w:type="dxa"/>
            <w:noWrap w:val="0"/>
            <w:vAlign w:val="top"/>
          </w:tcPr>
          <w:p w14:paraId="27436D38">
            <w:pPr>
              <w:pStyle w:val="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项目区</w:t>
            </w:r>
            <w:r>
              <w:rPr>
                <w:rFonts w:hint="eastAsia" w:ascii="Times New Roman" w:hAnsi="Times New Roman" w:cs="Times New Roman"/>
                <w:color w:val="000000" w:themeColor="text1"/>
                <w:kern w:val="0"/>
                <w:sz w:val="21"/>
                <w:szCs w:val="21"/>
                <w:highlight w:val="none"/>
                <w14:textFill>
                  <w14:solidFill>
                    <w14:schemeClr w14:val="tx1"/>
                  </w14:solidFill>
                </w14:textFill>
              </w:rPr>
              <w:t>南部地形地貌</w:t>
            </w:r>
          </w:p>
        </w:tc>
        <w:tc>
          <w:tcPr>
            <w:tcW w:w="4261" w:type="dxa"/>
            <w:noWrap w:val="0"/>
            <w:vAlign w:val="top"/>
          </w:tcPr>
          <w:p w14:paraId="6D420CA5">
            <w:pPr>
              <w:pStyle w:val="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14:textFill>
                  <w14:solidFill>
                    <w14:schemeClr w14:val="tx1"/>
                  </w14:solidFill>
                </w14:textFill>
              </w:rPr>
              <w:t>项目区北部地形地貌</w:t>
            </w:r>
          </w:p>
        </w:tc>
      </w:tr>
    </w:tbl>
    <w:p w14:paraId="1BE13879">
      <w:pPr>
        <w:spacing w:line="480" w:lineRule="exact"/>
        <w:jc w:val="center"/>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图4</w:t>
      </w:r>
      <w:r>
        <w:rPr>
          <w:b/>
          <w:color w:val="000000" w:themeColor="text1"/>
          <w:sz w:val="24"/>
          <w:szCs w:val="24"/>
          <w:highlight w:val="none"/>
          <w14:textFill>
            <w14:solidFill>
              <w14:schemeClr w14:val="tx1"/>
            </w14:solidFill>
          </w14:textFill>
        </w:rPr>
        <w:t xml:space="preserve">.1-1    </w:t>
      </w:r>
      <w:r>
        <w:rPr>
          <w:rFonts w:hint="eastAsia"/>
          <w:b/>
          <w:color w:val="000000" w:themeColor="text1"/>
          <w:sz w:val="24"/>
          <w:szCs w:val="24"/>
          <w:highlight w:val="none"/>
          <w14:textFill>
            <w14:solidFill>
              <w14:schemeClr w14:val="tx1"/>
            </w14:solidFill>
          </w14:textFill>
        </w:rPr>
        <w:t>地形地貌图</w:t>
      </w:r>
    </w:p>
    <w:p w14:paraId="6D3FBE87">
      <w:pPr>
        <w:pStyle w:val="4"/>
        <w:rPr>
          <w:color w:val="000000" w:themeColor="text1"/>
          <w:highlight w:val="none"/>
          <w14:textFill>
            <w14:solidFill>
              <w14:schemeClr w14:val="tx1"/>
            </w14:solidFill>
          </w14:textFill>
        </w:rPr>
      </w:pPr>
      <w:bookmarkStart w:id="636" w:name="_Toc22609"/>
      <w:bookmarkStart w:id="637" w:name="_Toc8000"/>
      <w:bookmarkStart w:id="638" w:name="_Toc10168"/>
      <w:r>
        <w:rPr>
          <w:color w:val="000000" w:themeColor="text1"/>
          <w:highlight w:val="none"/>
          <w14:textFill>
            <w14:solidFill>
              <w14:schemeClr w14:val="tx1"/>
            </w14:solidFill>
          </w14:textFill>
        </w:rPr>
        <w:t>4.1.</w:t>
      </w:r>
      <w:r>
        <w:rPr>
          <w:rFonts w:hint="eastAsia"/>
          <w:color w:val="000000" w:themeColor="text1"/>
          <w:highlight w:val="none"/>
          <w14:textFill>
            <w14:solidFill>
              <w14:schemeClr w14:val="tx1"/>
            </w14:solidFill>
          </w14:textFill>
        </w:rPr>
        <w:t>3</w:t>
      </w:r>
      <w:r>
        <w:rPr>
          <w:rFonts w:hint="eastAsia"/>
          <w:color w:val="000000" w:themeColor="text1"/>
          <w:highlight w:val="none"/>
          <w:lang w:eastAsia="zh-CN"/>
          <w14:textFill>
            <w14:solidFill>
              <w14:schemeClr w14:val="tx1"/>
            </w14:solidFill>
          </w14:textFill>
        </w:rPr>
        <w:t>气候</w:t>
      </w:r>
      <w:r>
        <w:rPr>
          <w:rFonts w:hint="eastAsia"/>
          <w:color w:val="000000" w:themeColor="text1"/>
          <w:highlight w:val="none"/>
          <w14:textFill>
            <w14:solidFill>
              <w14:schemeClr w14:val="tx1"/>
            </w14:solidFill>
          </w14:textFill>
        </w:rPr>
        <w:t>气象</w:t>
      </w:r>
      <w:bookmarkEnd w:id="636"/>
      <w:bookmarkEnd w:id="637"/>
      <w:bookmarkEnd w:id="638"/>
    </w:p>
    <w:p w14:paraId="17EF49FE">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哈密市属典型的温带大陆性气候，冬季寒冷干燥，春季多风且冷暖多变，夏季高温少雨，光热资源丰富。天山南部的哈密盆地干燥少雨，昼夜温差大，光照时间长，年均日照3285小时，无霜期184天。</w:t>
      </w:r>
    </w:p>
    <w:p w14:paraId="175DE89A">
      <w:pPr>
        <w:pStyle w:val="41"/>
        <w:overflowPunct w:val="0"/>
        <w:topLinePunct/>
        <w:spacing w:line="480" w:lineRule="exact"/>
        <w:ind w:firstLine="480"/>
        <w:rPr>
          <w:rFonts w:cs="Times New Roman"/>
          <w:bCs/>
          <w:color w:val="000000" w:themeColor="text1"/>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属典型的大陆性荒漠干旱气候，气候干燥，多风，昼夜温差变化大，降雨量小。夏季酷热，冬季严寒，区域多年平均气温10.1℃，每年7月份至8月份最热，平均气温27.3℃，极端最高气温43.2℃；12月份至1月份最冷，平均气温-11.3℃，极端最低气温-28.9℃。每年7～8月为雨季，年均降水量为50mm，降雨量极小，均以暴雨形式出现，多汇集短暂洪流，水过即干涸；年蒸发2754.1mm，蒸发量大，空气十分干燥；经常刮风，而且具有周期性。风力一般4～5级，最大可达8～10级，年平均风速4.0～6.5m/s，最大风速25～34m/s</w:t>
      </w:r>
      <w:r>
        <w:rPr>
          <w:rFonts w:cs="Times New Roman"/>
          <w:color w:val="000000" w:themeColor="text1"/>
          <w:highlight w:val="none"/>
          <w14:textFill>
            <w14:solidFill>
              <w14:schemeClr w14:val="tx1"/>
            </w14:solidFill>
          </w14:textFill>
        </w:rPr>
        <w:t>。</w:t>
      </w:r>
    </w:p>
    <w:p w14:paraId="5B546B8D">
      <w:pPr>
        <w:pStyle w:val="4"/>
        <w:spacing w:before="60" w:after="60" w:line="480" w:lineRule="exact"/>
        <w:rPr>
          <w:rFonts w:hint="eastAsia" w:eastAsia="宋体"/>
          <w:color w:val="000000" w:themeColor="text1"/>
          <w:kern w:val="2"/>
          <w:highlight w:val="none"/>
          <w:lang w:val="en-US" w:eastAsia="zh-CN"/>
          <w14:textFill>
            <w14:solidFill>
              <w14:schemeClr w14:val="tx1"/>
            </w14:solidFill>
          </w14:textFill>
        </w:rPr>
      </w:pPr>
      <w:bookmarkStart w:id="639" w:name="_Toc14419"/>
      <w:r>
        <w:rPr>
          <w:rFonts w:hint="eastAsia"/>
          <w:color w:val="000000" w:themeColor="text1"/>
          <w:kern w:val="2"/>
          <w:highlight w:val="none"/>
          <w14:textFill>
            <w14:solidFill>
              <w14:schemeClr w14:val="tx1"/>
            </w14:solidFill>
          </w14:textFill>
        </w:rPr>
        <w:t>4.1.</w:t>
      </w:r>
      <w:bookmarkEnd w:id="639"/>
      <w:r>
        <w:rPr>
          <w:rFonts w:hint="eastAsia"/>
          <w:color w:val="000000" w:themeColor="text1"/>
          <w:kern w:val="2"/>
          <w:highlight w:val="none"/>
          <w:lang w:val="en-US" w:eastAsia="zh-CN"/>
          <w14:textFill>
            <w14:solidFill>
              <w14:schemeClr w14:val="tx1"/>
            </w14:solidFill>
          </w14:textFill>
        </w:rPr>
        <w:t>4</w:t>
      </w:r>
      <w:r>
        <w:rPr>
          <w:rFonts w:hint="eastAsia"/>
          <w:color w:val="000000" w:themeColor="text1"/>
          <w:kern w:val="2"/>
          <w:highlight w:val="none"/>
          <w14:textFill>
            <w14:solidFill>
              <w14:schemeClr w14:val="tx1"/>
            </w14:solidFill>
          </w14:textFill>
        </w:rPr>
        <w:t>地质</w:t>
      </w:r>
      <w:r>
        <w:rPr>
          <w:rFonts w:hint="eastAsia"/>
          <w:color w:val="000000" w:themeColor="text1"/>
          <w:kern w:val="2"/>
          <w:highlight w:val="none"/>
          <w:lang w:val="en-US" w:eastAsia="zh-CN"/>
          <w14:textFill>
            <w14:solidFill>
              <w14:schemeClr w14:val="tx1"/>
            </w14:solidFill>
          </w14:textFill>
        </w:rPr>
        <w:t>条件</w:t>
      </w:r>
    </w:p>
    <w:p w14:paraId="14E1DD37">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位于塔里木板块东部北山古生代裂谷中，处于天山-阴山东西向构造体系的南缘M1033南背斜南翼。</w:t>
      </w:r>
    </w:p>
    <w:p w14:paraId="2A4D37BA">
      <w:pPr>
        <w:pStyle w:val="5"/>
        <w:spacing w:before="0" w:after="0" w:line="480" w:lineRule="exact"/>
        <w:ind w:firstLine="482"/>
        <w:rPr>
          <w:rFonts w:ascii="Times New Roman" w:hAnsi="Times New Roman"/>
          <w:bCs w:val="0"/>
          <w:color w:val="000000" w:themeColor="text1"/>
          <w:kern w:val="2"/>
          <w:szCs w:val="24"/>
          <w:highlight w:val="none"/>
          <w14:textFill>
            <w14:solidFill>
              <w14:schemeClr w14:val="tx1"/>
            </w14:solidFill>
          </w14:textFill>
        </w:rPr>
      </w:pPr>
      <w:r>
        <w:rPr>
          <w:rFonts w:hint="eastAsia" w:ascii="Times New Roman" w:hAnsi="Times New Roman"/>
          <w:bCs w:val="0"/>
          <w:color w:val="000000" w:themeColor="text1"/>
          <w:kern w:val="2"/>
          <w:szCs w:val="24"/>
          <w:highlight w:val="none"/>
          <w14:textFill>
            <w14:solidFill>
              <w14:schemeClr w14:val="tx1"/>
            </w14:solidFill>
          </w14:textFill>
        </w:rPr>
        <w:t>4.1.</w:t>
      </w:r>
      <w:r>
        <w:rPr>
          <w:rFonts w:hint="eastAsia"/>
          <w:bCs w:val="0"/>
          <w:color w:val="000000" w:themeColor="text1"/>
          <w:kern w:val="2"/>
          <w:szCs w:val="24"/>
          <w:highlight w:val="none"/>
          <w:lang w:val="en-US" w:eastAsia="zh-CN"/>
          <w14:textFill>
            <w14:solidFill>
              <w14:schemeClr w14:val="tx1"/>
            </w14:solidFill>
          </w14:textFill>
        </w:rPr>
        <w:t>4</w:t>
      </w:r>
      <w:r>
        <w:rPr>
          <w:rFonts w:hint="eastAsia" w:ascii="Times New Roman" w:hAnsi="Times New Roman"/>
          <w:bCs w:val="0"/>
          <w:color w:val="000000" w:themeColor="text1"/>
          <w:kern w:val="2"/>
          <w:szCs w:val="24"/>
          <w:highlight w:val="none"/>
          <w14:textFill>
            <w14:solidFill>
              <w14:schemeClr w14:val="tx1"/>
            </w14:solidFill>
          </w14:textFill>
        </w:rPr>
        <w:t>.1地层岩性</w:t>
      </w:r>
    </w:p>
    <w:p w14:paraId="451BE120">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内大面积被第四系覆盖，出露的地层有下寒武统双鹰山组第二岩性段（</w:t>
      </w:r>
      <w:r>
        <w:rPr>
          <w:rFonts w:hint="eastAsia" w:ascii="宋体" w:hAnsi="宋体" w:cs="宋体"/>
          <w:color w:val="000000" w:themeColor="text1"/>
          <w:sz w:val="24"/>
          <w:szCs w:val="24"/>
          <w:highlight w:val="none"/>
          <w14:textFill>
            <w14:solidFill>
              <w14:schemeClr w14:val="tx1"/>
            </w14:solidFill>
          </w14:textFill>
        </w:rPr>
        <w:t>∈</w:t>
      </w:r>
      <w:r>
        <w:rPr>
          <w:color w:val="000000" w:themeColor="text1"/>
          <w:sz w:val="24"/>
          <w:szCs w:val="24"/>
          <w:highlight w:val="none"/>
          <w:vertAlign w:val="subscript"/>
          <w14:textFill>
            <w14:solidFill>
              <w14:schemeClr w14:val="tx1"/>
            </w14:solidFill>
          </w14:textFill>
        </w:rPr>
        <w:t>1</w:t>
      </w:r>
      <w:r>
        <w:rPr>
          <w:color w:val="000000" w:themeColor="text1"/>
          <w:sz w:val="24"/>
          <w:szCs w:val="24"/>
          <w:highlight w:val="none"/>
          <w14:textFill>
            <w14:solidFill>
              <w14:schemeClr w14:val="tx1"/>
            </w14:solidFill>
          </w14:textFill>
        </w:rPr>
        <w:t>S</w:t>
      </w:r>
      <w:r>
        <w:rPr>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）及第四系全新统冲洪积物（Q</w:t>
      </w:r>
      <w:r>
        <w:rPr>
          <w:rFonts w:hint="eastAsia"/>
          <w:color w:val="000000" w:themeColor="text1"/>
          <w:sz w:val="24"/>
          <w:szCs w:val="24"/>
          <w:highlight w:val="none"/>
          <w:vertAlign w:val="subscript"/>
          <w14:textFill>
            <w14:solidFill>
              <w14:schemeClr w14:val="tx1"/>
            </w14:solidFill>
          </w14:textFill>
        </w:rPr>
        <w:t>4</w:t>
      </w:r>
      <w:r>
        <w:rPr>
          <w:rFonts w:hint="eastAsia"/>
          <w:color w:val="000000" w:themeColor="text1"/>
          <w:sz w:val="24"/>
          <w:szCs w:val="24"/>
          <w:highlight w:val="none"/>
          <w:vertAlign w:val="superscript"/>
          <w14:textFill>
            <w14:solidFill>
              <w14:schemeClr w14:val="tx1"/>
            </w14:solidFill>
          </w14:textFill>
        </w:rPr>
        <w:t>apl</w:t>
      </w:r>
      <w:r>
        <w:rPr>
          <w:rFonts w:hint="eastAsia"/>
          <w:color w:val="000000" w:themeColor="text1"/>
          <w:sz w:val="24"/>
          <w:szCs w:val="24"/>
          <w:highlight w:val="none"/>
          <w14:textFill>
            <w14:solidFill>
              <w14:schemeClr w14:val="tx1"/>
            </w14:solidFill>
          </w14:textFill>
        </w:rPr>
        <w:t>）。</w:t>
      </w:r>
    </w:p>
    <w:p w14:paraId="5AE7D026">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下寒武统双鹰山组（</w:t>
      </w:r>
      <w:r>
        <w:rPr>
          <w:rFonts w:hint="eastAsia" w:ascii="宋体" w:hAnsi="宋体" w:cs="宋体"/>
          <w:color w:val="000000" w:themeColor="text1"/>
          <w:sz w:val="24"/>
          <w:szCs w:val="24"/>
          <w:highlight w:val="none"/>
          <w14:textFill>
            <w14:solidFill>
              <w14:schemeClr w14:val="tx1"/>
            </w14:solidFill>
          </w14:textFill>
        </w:rPr>
        <w:t>∈</w:t>
      </w:r>
      <w:r>
        <w:rPr>
          <w:color w:val="000000" w:themeColor="text1"/>
          <w:sz w:val="24"/>
          <w:szCs w:val="24"/>
          <w:highlight w:val="none"/>
          <w:vertAlign w:val="subscript"/>
          <w14:textFill>
            <w14:solidFill>
              <w14:schemeClr w14:val="tx1"/>
            </w14:solidFill>
          </w14:textFill>
        </w:rPr>
        <w:t>1</w:t>
      </w:r>
      <w:r>
        <w:rPr>
          <w:color w:val="000000" w:themeColor="text1"/>
          <w:sz w:val="24"/>
          <w:szCs w:val="24"/>
          <w:highlight w:val="none"/>
          <w14:textFill>
            <w14:solidFill>
              <w14:schemeClr w14:val="tx1"/>
            </w14:solidFill>
          </w14:textFill>
        </w:rPr>
        <w:t>S</w:t>
      </w:r>
      <w:r>
        <w:rPr>
          <w:rFonts w:hint="eastAsia"/>
          <w:color w:val="000000" w:themeColor="text1"/>
          <w:sz w:val="24"/>
          <w:szCs w:val="24"/>
          <w:highlight w:val="none"/>
          <w14:textFill>
            <w14:solidFill>
              <w14:schemeClr w14:val="tx1"/>
            </w14:solidFill>
          </w14:textFill>
        </w:rPr>
        <w:t>）</w:t>
      </w:r>
    </w:p>
    <w:p w14:paraId="426D23BC">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根据地表出露地层和钻孔中岩性组合特征及分布规律可划分为五个岩性段，磁铁矿主要赋存于下寒武统双鹰山组第四岩性段（∈</w:t>
      </w:r>
      <w:r>
        <w:rPr>
          <w:rFonts w:hint="eastAsia"/>
          <w:color w:val="000000" w:themeColor="text1"/>
          <w:sz w:val="24"/>
          <w:szCs w:val="24"/>
          <w:highlight w:val="none"/>
          <w:vertAlign w:val="subscript"/>
          <w14:textFill>
            <w14:solidFill>
              <w14:schemeClr w14:val="tx1"/>
            </w14:solidFill>
          </w14:textFill>
        </w:rPr>
        <w:t>1</w:t>
      </w:r>
      <w:r>
        <w:rPr>
          <w:rFonts w:hint="eastAsia"/>
          <w:color w:val="000000" w:themeColor="text1"/>
          <w:sz w:val="24"/>
          <w:szCs w:val="24"/>
          <w:highlight w:val="none"/>
          <w14:textFill>
            <w14:solidFill>
              <w14:schemeClr w14:val="tx1"/>
            </w14:solidFill>
          </w14:textFill>
        </w:rPr>
        <w:t>S</w:t>
      </w:r>
      <w:r>
        <w:rPr>
          <w:rFonts w:hint="eastAsia"/>
          <w:color w:val="000000" w:themeColor="text1"/>
          <w:sz w:val="24"/>
          <w:szCs w:val="24"/>
          <w:highlight w:val="none"/>
          <w:vertAlign w:val="superscript"/>
          <w14:textFill>
            <w14:solidFill>
              <w14:schemeClr w14:val="tx1"/>
            </w14:solidFill>
          </w14:textFill>
        </w:rPr>
        <w:t>4</w:t>
      </w:r>
      <w:r>
        <w:rPr>
          <w:rFonts w:hint="eastAsia"/>
          <w:color w:val="000000" w:themeColor="text1"/>
          <w:sz w:val="24"/>
          <w:szCs w:val="24"/>
          <w:highlight w:val="none"/>
          <w14:textFill>
            <w14:solidFill>
              <w14:schemeClr w14:val="tx1"/>
            </w14:solidFill>
          </w14:textFill>
        </w:rPr>
        <w:t>）地层中。各地层特征如下：</w:t>
      </w:r>
    </w:p>
    <w:p w14:paraId="4E2EB078">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（1）第一岩性段（∈</w:t>
      </w:r>
      <w:r>
        <w:rPr>
          <w:rFonts w:hint="eastAsia"/>
          <w:color w:val="000000" w:themeColor="text1"/>
          <w:sz w:val="24"/>
          <w:szCs w:val="24"/>
          <w:highlight w:val="none"/>
          <w:vertAlign w:val="subscript"/>
          <w14:textFill>
            <w14:solidFill>
              <w14:schemeClr w14:val="tx1"/>
            </w14:solidFill>
          </w14:textFill>
        </w:rPr>
        <w:t>1</w:t>
      </w:r>
      <w:r>
        <w:rPr>
          <w:rFonts w:hint="eastAsia"/>
          <w:color w:val="000000" w:themeColor="text1"/>
          <w:sz w:val="24"/>
          <w:szCs w:val="24"/>
          <w:highlight w:val="none"/>
          <w14:textFill>
            <w14:solidFill>
              <w14:schemeClr w14:val="tx1"/>
            </w14:solidFill>
          </w14:textFill>
        </w:rPr>
        <w:t>S</w:t>
      </w:r>
      <w:r>
        <w:rPr>
          <w:rFonts w:hint="eastAsia"/>
          <w:color w:val="000000" w:themeColor="text1"/>
          <w:sz w:val="24"/>
          <w:szCs w:val="24"/>
          <w:highlight w:val="none"/>
          <w:vertAlign w:val="superscript"/>
          <w14:textFill>
            <w14:solidFill>
              <w14:schemeClr w14:val="tx1"/>
            </w14:solidFill>
          </w14:textFill>
        </w:rPr>
        <w:t>1</w:t>
      </w:r>
      <w:r>
        <w:rPr>
          <w:rFonts w:hint="eastAsia"/>
          <w:color w:val="000000" w:themeColor="text1"/>
          <w:sz w:val="24"/>
          <w:szCs w:val="24"/>
          <w:highlight w:val="none"/>
          <w14:textFill>
            <w14:solidFill>
              <w14:schemeClr w14:val="tx1"/>
            </w14:solidFill>
          </w14:textFill>
        </w:rPr>
        <w:t>）：红褐色粉砂质泥岩</w:t>
      </w:r>
    </w:p>
    <w:p w14:paraId="7F1D8BA7">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分布在</w:t>
      </w:r>
      <w:r>
        <w:rPr>
          <w:rFonts w:hint="eastAsia"/>
          <w:color w:val="000000" w:themeColor="text1"/>
          <w:sz w:val="24"/>
          <w:szCs w:val="24"/>
          <w:highlight w:val="none"/>
          <w:lang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东部钻孔顶部第四系以下，岩石呈红褐色，粉砂质泥状结构，中-厚层状层理构造。岩石由颗粒细小的碎屑矿物及粘土矿物组成。钻孔中控制厚度为3.20～83.60m。</w:t>
      </w:r>
    </w:p>
    <w:p w14:paraId="6875C3F0">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（2）第二岩性段（</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color w:val="000000" w:themeColor="text1"/>
          <w:sz w:val="24"/>
          <w:szCs w:val="24"/>
          <w:highlight w:val="none"/>
          <w:vertAlign w:val="subscript"/>
          <w14:textFill>
            <w14:solidFill>
              <w14:schemeClr w14:val="tx1"/>
            </w14:solidFill>
          </w14:textFill>
        </w:rPr>
        <w:t>1</w:t>
      </w:r>
      <w:r>
        <w:rPr>
          <w:rFonts w:hint="eastAsia"/>
          <w:color w:val="000000" w:themeColor="text1"/>
          <w:sz w:val="24"/>
          <w:szCs w:val="24"/>
          <w:highlight w:val="none"/>
          <w14:textFill>
            <w14:solidFill>
              <w14:schemeClr w14:val="tx1"/>
            </w14:solidFill>
          </w14:textFill>
        </w:rPr>
        <w:t>S</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p>
    <w:p w14:paraId="17C6BBCA">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出露地表分布于</w:t>
      </w:r>
      <w:r>
        <w:rPr>
          <w:rFonts w:hint="eastAsia"/>
          <w:color w:val="000000" w:themeColor="text1"/>
          <w:sz w:val="24"/>
          <w:szCs w:val="24"/>
          <w:highlight w:val="none"/>
          <w:lang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中北部和南西部，呈北东-南西走向，其他区域均被第四系覆盖。主要岩性为含水云母大理岩和含炭质硅质板岩，产状190～155°∠79～85°。地层厚度5.80～188.35m。</w:t>
      </w:r>
    </w:p>
    <w:p w14:paraId="4CD23076">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含水云母大理岩</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分布在</w:t>
      </w:r>
      <w:r>
        <w:rPr>
          <w:rFonts w:hint="eastAsia"/>
          <w:color w:val="000000" w:themeColor="text1"/>
          <w:sz w:val="24"/>
          <w:szCs w:val="24"/>
          <w:highlight w:val="none"/>
          <w:lang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中西部钻孔顶部第四系以下，岩石呈灰白色，鳞片粒状变晶结构，块状构造。主要矿物</w:t>
      </w:r>
      <w:r>
        <w:rPr>
          <w:rFonts w:hint="eastAsia"/>
          <w:color w:val="000000" w:themeColor="text1"/>
          <w:sz w:val="24"/>
          <w:szCs w:val="24"/>
          <w:highlight w:val="none"/>
          <w:lang w:eastAsia="zh-CN"/>
          <w14:textFill>
            <w14:solidFill>
              <w14:schemeClr w14:val="tx1"/>
            </w14:solidFill>
          </w14:textFill>
        </w:rPr>
        <w:t>成分</w:t>
      </w:r>
      <w:r>
        <w:rPr>
          <w:rFonts w:hint="eastAsia"/>
          <w:color w:val="000000" w:themeColor="text1"/>
          <w:sz w:val="24"/>
          <w:szCs w:val="24"/>
          <w:highlight w:val="none"/>
          <w14:textFill>
            <w14:solidFill>
              <w14:schemeClr w14:val="tx1"/>
            </w14:solidFill>
          </w14:textFill>
        </w:rPr>
        <w:t>：方解石，多呈&lt;0.3mm泥晶圆粒状，局部呈亮晶粒状，粒径0.4～0.7mm，密集分布，含量88%左右；水云母含量约10%；葡萄石2%，柱状，0.2～1.4×0.5mm</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零星分布；</w:t>
      </w:r>
    </w:p>
    <w:p w14:paraId="7A6E2F27">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金属矿物，粒径&lt;0.25～0.03mm，呈浸染状、微脉状分布，微量。</w:t>
      </w:r>
    </w:p>
    <w:p w14:paraId="757B7027">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含炭质硅质板岩</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分布在</w:t>
      </w:r>
      <w:r>
        <w:rPr>
          <w:rFonts w:hint="eastAsia"/>
          <w:color w:val="000000" w:themeColor="text1"/>
          <w:sz w:val="24"/>
          <w:szCs w:val="24"/>
          <w:highlight w:val="none"/>
          <w:lang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中部钻孔中含水云母大理岩以下，黑云母长英质片岩以上，呈薄层状分布，岩石呈暗黑-灰黑色，鳞片粒状变晶结构，板状构造。主要矿物</w:t>
      </w:r>
      <w:r>
        <w:rPr>
          <w:rFonts w:hint="eastAsia"/>
          <w:color w:val="000000" w:themeColor="text1"/>
          <w:sz w:val="24"/>
          <w:szCs w:val="24"/>
          <w:highlight w:val="none"/>
          <w:lang w:eastAsia="zh-CN"/>
          <w14:textFill>
            <w14:solidFill>
              <w14:schemeClr w14:val="tx1"/>
            </w14:solidFill>
          </w14:textFill>
        </w:rPr>
        <w:t>成分</w:t>
      </w:r>
      <w:r>
        <w:rPr>
          <w:rFonts w:hint="eastAsia"/>
          <w:color w:val="000000" w:themeColor="text1"/>
          <w:sz w:val="24"/>
          <w:szCs w:val="24"/>
          <w:highlight w:val="none"/>
          <w14:textFill>
            <w14:solidFill>
              <w14:schemeClr w14:val="tx1"/>
            </w14:solidFill>
          </w14:textFill>
        </w:rPr>
        <w:t>：方解石、石英颗粒约60</w:t>
      </w:r>
      <w:r>
        <w:rPr>
          <w:rFonts w:hint="eastAsia"/>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～70%；碳质含量20</w:t>
      </w:r>
      <w:r>
        <w:rPr>
          <w:rFonts w:hint="eastAsia"/>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～25%；含少量黄铁矿和微量的其他金属矿物。岩石受挤压破碎，绿泥石化严重。</w:t>
      </w:r>
    </w:p>
    <w:p w14:paraId="759C1866">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（3）第三岩性段（∈</w:t>
      </w:r>
      <w:r>
        <w:rPr>
          <w:rFonts w:hint="eastAsia"/>
          <w:color w:val="000000" w:themeColor="text1"/>
          <w:sz w:val="24"/>
          <w:szCs w:val="24"/>
          <w:highlight w:val="none"/>
          <w:vertAlign w:val="subscript"/>
          <w14:textFill>
            <w14:solidFill>
              <w14:schemeClr w14:val="tx1"/>
            </w14:solidFill>
          </w14:textFill>
        </w:rPr>
        <w:t>1</w:t>
      </w:r>
      <w:r>
        <w:rPr>
          <w:rFonts w:hint="eastAsia"/>
          <w:color w:val="000000" w:themeColor="text1"/>
          <w:sz w:val="24"/>
          <w:szCs w:val="24"/>
          <w:highlight w:val="none"/>
          <w14:textFill>
            <w14:solidFill>
              <w14:schemeClr w14:val="tx1"/>
            </w14:solidFill>
          </w14:textFill>
        </w:rPr>
        <w:t>S</w:t>
      </w:r>
      <w:r>
        <w:rPr>
          <w:rFonts w:hint="eastAsia"/>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w:t>
      </w:r>
    </w:p>
    <w:p w14:paraId="21F9D30E">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黑云母长英质片岩与黑云母长英质角岩互层，为磁铁矿层的顶板，钻孔中控制厚度为28.44～164.10m。</w:t>
      </w:r>
    </w:p>
    <w:p w14:paraId="6F21EFD6">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黑云母长英质片岩：岩石呈灰绿-灰黑色，鳞片细粒变晶结构，片状构造。主要矿物</w:t>
      </w:r>
      <w:r>
        <w:rPr>
          <w:rFonts w:hint="eastAsia"/>
          <w:color w:val="000000" w:themeColor="text1"/>
          <w:sz w:val="24"/>
          <w:szCs w:val="24"/>
          <w:highlight w:val="none"/>
          <w:lang w:eastAsia="zh-CN"/>
          <w14:textFill>
            <w14:solidFill>
              <w14:schemeClr w14:val="tx1"/>
            </w14:solidFill>
          </w14:textFill>
        </w:rPr>
        <w:t>成分</w:t>
      </w:r>
      <w:r>
        <w:rPr>
          <w:rFonts w:hint="eastAsia"/>
          <w:color w:val="000000" w:themeColor="text1"/>
          <w:sz w:val="24"/>
          <w:szCs w:val="24"/>
          <w:highlight w:val="none"/>
          <w14:textFill>
            <w14:solidFill>
              <w14:schemeClr w14:val="tx1"/>
            </w14:solidFill>
          </w14:textFill>
        </w:rPr>
        <w:t>：由长石、石英、白云母、黑云母组成，矿物平行定向排列明显，长石含量20%，石英含量50%，它形细粒，粒径0.05～0.4mm，二者相间均匀平行分布，长石双晶不发育，以斜长石为主，泥化、绢云母化中度，部分为钾长石；黑云母含量30%，细片状，褐-黄色，片径0.1～0.5×0.23mm，</w:t>
      </w:r>
      <w:r>
        <w:rPr>
          <w:rFonts w:hint="eastAsia"/>
          <w:color w:val="000000" w:themeColor="text1"/>
          <w:sz w:val="24"/>
          <w:szCs w:val="24"/>
          <w:highlight w:val="none"/>
          <w:lang w:eastAsia="zh-CN"/>
          <w14:textFill>
            <w14:solidFill>
              <w14:schemeClr w14:val="tx1"/>
            </w14:solidFill>
          </w14:textFill>
        </w:rPr>
        <w:t>呈</w:t>
      </w:r>
      <w:r>
        <w:rPr>
          <w:rFonts w:hint="eastAsia"/>
          <w:color w:val="000000" w:themeColor="text1"/>
          <w:sz w:val="24"/>
          <w:szCs w:val="24"/>
          <w:highlight w:val="none"/>
          <w14:textFill>
            <w14:solidFill>
              <w14:schemeClr w14:val="tx1"/>
            </w14:solidFill>
          </w14:textFill>
        </w:rPr>
        <w:t>条带平行分布。局部见微量磁铁矿，粒径0.3～0.07mm粒状，浸染状分布黑云母之间。</w:t>
      </w:r>
    </w:p>
    <w:p w14:paraId="4C772809">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黑云母长英质角岩：岩石呈灰色，角岩结构，块状构造。主要矿物</w:t>
      </w:r>
      <w:r>
        <w:rPr>
          <w:rFonts w:hint="eastAsia"/>
          <w:color w:val="000000" w:themeColor="text1"/>
          <w:sz w:val="24"/>
          <w:szCs w:val="24"/>
          <w:highlight w:val="none"/>
          <w:lang w:eastAsia="zh-CN"/>
          <w14:textFill>
            <w14:solidFill>
              <w14:schemeClr w14:val="tx1"/>
            </w14:solidFill>
          </w14:textFill>
        </w:rPr>
        <w:t>成分</w:t>
      </w:r>
      <w:r>
        <w:rPr>
          <w:rFonts w:hint="eastAsia"/>
          <w:color w:val="000000" w:themeColor="text1"/>
          <w:sz w:val="24"/>
          <w:szCs w:val="24"/>
          <w:highlight w:val="none"/>
          <w14:textFill>
            <w14:solidFill>
              <w14:schemeClr w14:val="tx1"/>
            </w14:solidFill>
          </w14:textFill>
        </w:rPr>
        <w:t>：由很细的长石、石英微粒及黑云母组成。长石含量50%、石英含量约30%，呈他形微细粒，粒径0.05～0.40</w:t>
      </w:r>
      <w:r>
        <w:rPr>
          <w:rFonts w:hint="eastAsia"/>
          <w:color w:val="000000" w:themeColor="text1"/>
          <w:sz w:val="24"/>
          <w:szCs w:val="24"/>
          <w:highlight w:val="none"/>
          <w:lang w:val="en-US" w:eastAsia="zh-CN"/>
          <w14:textFill>
            <w14:solidFill>
              <w14:schemeClr w14:val="tx1"/>
            </w14:solidFill>
          </w14:textFill>
        </w:rPr>
        <w:t>mm</w:t>
      </w:r>
      <w:r>
        <w:rPr>
          <w:rFonts w:hint="eastAsia"/>
          <w:color w:val="000000" w:themeColor="text1"/>
          <w:sz w:val="24"/>
          <w:szCs w:val="24"/>
          <w:highlight w:val="none"/>
          <w14:textFill>
            <w14:solidFill>
              <w14:schemeClr w14:val="tx1"/>
            </w14:solidFill>
          </w14:textFill>
        </w:rPr>
        <w:t>，二者相间均匀分布，长石以钾长石为主，部分为斜长石，斜长石普遍泥化、绢云母化蚀变强烈。黑云母含量约20%呈片状，片径0.07～0.6×0.2</w:t>
      </w:r>
      <w:r>
        <w:rPr>
          <w:rFonts w:hint="eastAsia"/>
          <w:color w:val="000000" w:themeColor="text1"/>
          <w:sz w:val="24"/>
          <w:szCs w:val="24"/>
          <w:highlight w:val="none"/>
          <w:lang w:val="en-US" w:eastAsia="zh-CN"/>
          <w14:textFill>
            <w14:solidFill>
              <w14:schemeClr w14:val="tx1"/>
            </w14:solidFill>
          </w14:textFill>
        </w:rPr>
        <w:t>mm</w:t>
      </w:r>
      <w:r>
        <w:rPr>
          <w:rFonts w:hint="eastAsia"/>
          <w:color w:val="000000" w:themeColor="text1"/>
          <w:sz w:val="24"/>
          <w:szCs w:val="24"/>
          <w:highlight w:val="none"/>
          <w14:textFill>
            <w14:solidFill>
              <w14:schemeClr w14:val="tx1"/>
            </w14:solidFill>
          </w14:textFill>
        </w:rPr>
        <w:t>，杂乱分布，黄-褐色，多色性显著。黄铁矿少量，粒状，粒径0.03～0.4</w:t>
      </w:r>
      <w:r>
        <w:rPr>
          <w:rFonts w:hint="eastAsia"/>
          <w:color w:val="000000" w:themeColor="text1"/>
          <w:sz w:val="24"/>
          <w:szCs w:val="24"/>
          <w:highlight w:val="none"/>
          <w:lang w:val="en-US" w:eastAsia="zh-CN"/>
          <w14:textFill>
            <w14:solidFill>
              <w14:schemeClr w14:val="tx1"/>
            </w14:solidFill>
          </w14:textFill>
        </w:rPr>
        <w:t>mm</w:t>
      </w:r>
      <w:r>
        <w:rPr>
          <w:rFonts w:hint="eastAsia"/>
          <w:color w:val="000000" w:themeColor="text1"/>
          <w:sz w:val="24"/>
          <w:szCs w:val="24"/>
          <w:highlight w:val="none"/>
          <w14:textFill>
            <w14:solidFill>
              <w14:schemeClr w14:val="tx1"/>
            </w14:solidFill>
          </w14:textFill>
        </w:rPr>
        <w:t>，浸染状分布。</w:t>
      </w:r>
    </w:p>
    <w:p w14:paraId="6BB57E31">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（4）第四岩性段（∈</w:t>
      </w:r>
      <w:r>
        <w:rPr>
          <w:rFonts w:hint="eastAsia"/>
          <w:color w:val="000000" w:themeColor="text1"/>
          <w:sz w:val="24"/>
          <w:szCs w:val="24"/>
          <w:highlight w:val="none"/>
          <w:vertAlign w:val="subscript"/>
          <w14:textFill>
            <w14:solidFill>
              <w14:schemeClr w14:val="tx1"/>
            </w14:solidFill>
          </w14:textFill>
        </w:rPr>
        <w:t>1</w:t>
      </w:r>
      <w:r>
        <w:rPr>
          <w:rFonts w:hint="eastAsia"/>
          <w:color w:val="000000" w:themeColor="text1"/>
          <w:sz w:val="24"/>
          <w:szCs w:val="24"/>
          <w:highlight w:val="none"/>
          <w14:textFill>
            <w14:solidFill>
              <w14:schemeClr w14:val="tx1"/>
            </w14:solidFill>
          </w14:textFill>
        </w:rPr>
        <w:t>S</w:t>
      </w:r>
      <w:r>
        <w:rPr>
          <w:rFonts w:hint="eastAsia"/>
          <w:color w:val="000000" w:themeColor="text1"/>
          <w:sz w:val="24"/>
          <w:szCs w:val="24"/>
          <w:highlight w:val="none"/>
          <w:vertAlign w:val="superscript"/>
          <w14:textFill>
            <w14:solidFill>
              <w14:schemeClr w14:val="tx1"/>
            </w14:solidFill>
          </w14:textFill>
        </w:rPr>
        <w:t>4</w:t>
      </w:r>
      <w:r>
        <w:rPr>
          <w:rFonts w:hint="eastAsia"/>
          <w:color w:val="000000" w:themeColor="text1"/>
          <w:sz w:val="24"/>
          <w:szCs w:val="24"/>
          <w:highlight w:val="none"/>
          <w14:textFill>
            <w14:solidFill>
              <w14:schemeClr w14:val="tx1"/>
            </w14:solidFill>
          </w14:textFill>
        </w:rPr>
        <w:t>）</w:t>
      </w:r>
    </w:p>
    <w:p w14:paraId="4F3F331B">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磁铁矿层，主要为磁铁矿化绿泥石石英片岩和绿泥石片岩，钻孔中控制厚度为4.35～82.21m。</w:t>
      </w:r>
    </w:p>
    <w:p w14:paraId="4C8DB698">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磁铁矿化绿泥石石英片岩：岩石呈灰绿-灰黑色，粒状鳞片变晶结构，片状构造。岩石变质作用形成，主要矿物由石英、绿泥石组成，矿物平行定向排列。绿泥石呈浅绿色，片径0.3～2.8×1.3mm片状，大致成条带平行分布，含量约45%；石英呈粒径0.5～2.6mm粒状，波形消光，成条带平行分布，含量约30%；碳酸盐粒径&lt;0.13mm微粒，</w:t>
      </w:r>
      <w:r>
        <w:rPr>
          <w:rFonts w:hint="eastAsia"/>
          <w:color w:val="000000" w:themeColor="text1"/>
          <w:sz w:val="24"/>
          <w:szCs w:val="24"/>
          <w:highlight w:val="none"/>
          <w:lang w:eastAsia="zh-CN"/>
          <w14:textFill>
            <w14:solidFill>
              <w14:schemeClr w14:val="tx1"/>
            </w14:solidFill>
          </w14:textFill>
        </w:rPr>
        <w:t>呈</w:t>
      </w:r>
      <w:r>
        <w:rPr>
          <w:rFonts w:hint="eastAsia"/>
          <w:color w:val="000000" w:themeColor="text1"/>
          <w:sz w:val="24"/>
          <w:szCs w:val="24"/>
          <w:highlight w:val="none"/>
          <w14:textFill>
            <w14:solidFill>
              <w14:schemeClr w14:val="tx1"/>
            </w14:solidFill>
          </w14:textFill>
        </w:rPr>
        <w:t>细条带分布于绿泥石、磁铁矿之间，含量约10%；磁铁矿粒径0.2～1.5mm粒状，成脉状、条带状分布于绿泥石条带内含量约15%。</w:t>
      </w:r>
    </w:p>
    <w:p w14:paraId="04C5F4FA">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磁铁矿化绿泥石片岩：岩石呈灰绿-灰黑色，粒状鳞片状变晶结构，片状构造。岩石经变质作用形成，主要矿物由绿泥石、石英组成，矿物平行定向排列。绿泥石呈浅绿色，片径0.4～2.5×1.4mm片状，大致成条带平行分布，含量约70%；石英呈粒径0.5～2.6mm粒状，波形消光，成条带平行分布，含量约10%；碳酸盐粒径&lt;0.13mm微粒，</w:t>
      </w:r>
      <w:r>
        <w:rPr>
          <w:rFonts w:hint="eastAsia"/>
          <w:color w:val="000000" w:themeColor="text1"/>
          <w:sz w:val="24"/>
          <w:szCs w:val="24"/>
          <w:highlight w:val="none"/>
          <w:lang w:eastAsia="zh-CN"/>
          <w14:textFill>
            <w14:solidFill>
              <w14:schemeClr w14:val="tx1"/>
            </w14:solidFill>
          </w14:textFill>
        </w:rPr>
        <w:t>呈</w:t>
      </w:r>
      <w:r>
        <w:rPr>
          <w:rFonts w:hint="eastAsia"/>
          <w:color w:val="000000" w:themeColor="text1"/>
          <w:sz w:val="24"/>
          <w:szCs w:val="24"/>
          <w:highlight w:val="none"/>
          <w14:textFill>
            <w14:solidFill>
              <w14:schemeClr w14:val="tx1"/>
            </w14:solidFill>
          </w14:textFill>
        </w:rPr>
        <w:t>细条带分布于绿泥石、磁铁矿之间，含量约10%；磁铁矿粒径0.2～1.5mm粒状，成脉状、条带状分布于绿泥石条带内含量约10%。</w:t>
      </w:r>
    </w:p>
    <w:p w14:paraId="3F996E58">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（5）第五岩性段（∈</w:t>
      </w:r>
      <w:r>
        <w:rPr>
          <w:rFonts w:hint="eastAsia"/>
          <w:color w:val="000000" w:themeColor="text1"/>
          <w:sz w:val="24"/>
          <w:szCs w:val="24"/>
          <w:highlight w:val="none"/>
          <w:vertAlign w:val="subscript"/>
          <w14:textFill>
            <w14:solidFill>
              <w14:schemeClr w14:val="tx1"/>
            </w14:solidFill>
          </w14:textFill>
        </w:rPr>
        <w:t>1</w:t>
      </w:r>
      <w:r>
        <w:rPr>
          <w:rFonts w:hint="eastAsia"/>
          <w:color w:val="000000" w:themeColor="text1"/>
          <w:sz w:val="24"/>
          <w:szCs w:val="24"/>
          <w:highlight w:val="none"/>
          <w14:textFill>
            <w14:solidFill>
              <w14:schemeClr w14:val="tx1"/>
            </w14:solidFill>
          </w14:textFill>
        </w:rPr>
        <w:t>S</w:t>
      </w:r>
      <w:r>
        <w:rPr>
          <w:rFonts w:hint="eastAsia"/>
          <w:color w:val="000000" w:themeColor="text1"/>
          <w:sz w:val="24"/>
          <w:szCs w:val="24"/>
          <w:highlight w:val="none"/>
          <w:vertAlign w:val="superscript"/>
          <w14:textFill>
            <w14:solidFill>
              <w14:schemeClr w14:val="tx1"/>
            </w14:solidFill>
          </w14:textFill>
        </w:rPr>
        <w:t>5</w:t>
      </w:r>
      <w:r>
        <w:rPr>
          <w:rFonts w:hint="eastAsia"/>
          <w:color w:val="000000" w:themeColor="text1"/>
          <w:sz w:val="24"/>
          <w:szCs w:val="24"/>
          <w:highlight w:val="none"/>
          <w14:textFill>
            <w14:solidFill>
              <w14:schemeClr w14:val="tx1"/>
            </w14:solidFill>
          </w14:textFill>
        </w:rPr>
        <w:t>）</w:t>
      </w:r>
    </w:p>
    <w:p w14:paraId="2CFDAAA1">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黄铁矿化透闪石岩和黄铁矿化透闪石角岩，为磁铁矿层的底板，钻孔中控制厚度为3.80～21.60m，该层未见底。</w:t>
      </w:r>
    </w:p>
    <w:p w14:paraId="44D16CA9">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黄铁矿化透闪石岩，黄绿色，柱状、纤维状变晶结构，块状构造。岩石变质重结晶，主要由透闪石组成，出现黄铁矿化。主要矿物</w:t>
      </w:r>
      <w:r>
        <w:rPr>
          <w:rFonts w:hint="eastAsia"/>
          <w:color w:val="000000" w:themeColor="text1"/>
          <w:sz w:val="24"/>
          <w:szCs w:val="24"/>
          <w:highlight w:val="none"/>
          <w:lang w:eastAsia="zh-CN"/>
          <w14:textFill>
            <w14:solidFill>
              <w14:schemeClr w14:val="tx1"/>
            </w14:solidFill>
          </w14:textFill>
        </w:rPr>
        <w:t>成分</w:t>
      </w:r>
      <w:r>
        <w:rPr>
          <w:rFonts w:hint="eastAsia"/>
          <w:color w:val="000000" w:themeColor="text1"/>
          <w:sz w:val="24"/>
          <w:szCs w:val="24"/>
          <w:highlight w:val="none"/>
          <w14:textFill>
            <w14:solidFill>
              <w14:schemeClr w14:val="tx1"/>
            </w14:solidFill>
          </w14:textFill>
        </w:rPr>
        <w:t>：透闪石，干涉色鲜艳，细小纤维状为主，少数柱状，粒径大多&lt;0.36</w:t>
      </w:r>
      <w:r>
        <w:rPr>
          <w:rFonts w:hint="eastAsia"/>
          <w:color w:val="000000" w:themeColor="text1"/>
          <w:sz w:val="24"/>
          <w:szCs w:val="24"/>
          <w:highlight w:val="none"/>
          <w:lang w:val="en-US" w:eastAsia="zh-CN"/>
          <w14:textFill>
            <w14:solidFill>
              <w14:schemeClr w14:val="tx1"/>
            </w14:solidFill>
          </w14:textFill>
        </w:rPr>
        <w:t>mm</w:t>
      </w:r>
      <w:r>
        <w:rPr>
          <w:rFonts w:hint="eastAsia"/>
          <w:color w:val="000000" w:themeColor="text1"/>
          <w:sz w:val="24"/>
          <w:szCs w:val="24"/>
          <w:highlight w:val="none"/>
          <w14:textFill>
            <w14:solidFill>
              <w14:schemeClr w14:val="tx1"/>
            </w14:solidFill>
          </w14:textFill>
        </w:rPr>
        <w:t>，少数0.4～0.8×0.3mm，半定向密集分布，含量约95%；黄铁矿呈粒状，粒径0.1～0.8mm，浸染状平行分布，含量约5%。</w:t>
      </w:r>
    </w:p>
    <w:p w14:paraId="55DAF2D9">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黄铁矿化透闪石角岩，灰绿色，变斑状基质鳞片粒状变晶结构，块状定向构造。岩石变质重结晶，主要由方解石、帘石组成。主要矿物</w:t>
      </w:r>
      <w:r>
        <w:rPr>
          <w:rFonts w:hint="eastAsia"/>
          <w:color w:val="000000" w:themeColor="text1"/>
          <w:sz w:val="24"/>
          <w:szCs w:val="24"/>
          <w:highlight w:val="none"/>
          <w:lang w:eastAsia="zh-CN"/>
          <w14:textFill>
            <w14:solidFill>
              <w14:schemeClr w14:val="tx1"/>
            </w14:solidFill>
          </w14:textFill>
        </w:rPr>
        <w:t>成分</w:t>
      </w:r>
      <w:r>
        <w:rPr>
          <w:rFonts w:hint="eastAsia"/>
          <w:color w:val="000000" w:themeColor="text1"/>
          <w:sz w:val="24"/>
          <w:szCs w:val="24"/>
          <w:highlight w:val="none"/>
          <w14:textFill>
            <w14:solidFill>
              <w14:schemeClr w14:val="tx1"/>
            </w14:solidFill>
          </w14:textFill>
        </w:rPr>
        <w:t>：方解石呈他形细粒，粒径0.35～0.02</w:t>
      </w:r>
      <w:r>
        <w:rPr>
          <w:rFonts w:hint="eastAsia"/>
          <w:color w:val="000000" w:themeColor="text1"/>
          <w:sz w:val="24"/>
          <w:szCs w:val="24"/>
          <w:highlight w:val="none"/>
          <w:lang w:val="en-US" w:eastAsia="zh-CN"/>
          <w14:textFill>
            <w14:solidFill>
              <w14:schemeClr w14:val="tx1"/>
            </w14:solidFill>
          </w14:textFill>
        </w:rPr>
        <w:t>mm</w:t>
      </w:r>
      <w:r>
        <w:rPr>
          <w:rFonts w:hint="eastAsia"/>
          <w:color w:val="000000" w:themeColor="text1"/>
          <w:sz w:val="24"/>
          <w:szCs w:val="24"/>
          <w:highlight w:val="none"/>
          <w14:textFill>
            <w14:solidFill>
              <w14:schemeClr w14:val="tx1"/>
            </w14:solidFill>
          </w14:textFill>
        </w:rPr>
        <w:t>，高级白干涉色，呈基质均匀定向分布，含量约60%；黄铁矿呈粒状，粒径0.9～0.06</w:t>
      </w:r>
      <w:r>
        <w:rPr>
          <w:rFonts w:hint="eastAsia"/>
          <w:color w:val="000000" w:themeColor="text1"/>
          <w:sz w:val="24"/>
          <w:szCs w:val="24"/>
          <w:highlight w:val="none"/>
          <w:lang w:val="en-US" w:eastAsia="zh-CN"/>
          <w14:textFill>
            <w14:solidFill>
              <w14:schemeClr w14:val="tx1"/>
            </w14:solidFill>
          </w14:textFill>
        </w:rPr>
        <w:t>mm</w:t>
      </w:r>
      <w:r>
        <w:rPr>
          <w:rFonts w:hint="eastAsia"/>
          <w:color w:val="000000" w:themeColor="text1"/>
          <w:sz w:val="24"/>
          <w:szCs w:val="24"/>
          <w:highlight w:val="none"/>
          <w14:textFill>
            <w14:solidFill>
              <w14:schemeClr w14:val="tx1"/>
            </w14:solidFill>
          </w14:textFill>
        </w:rPr>
        <w:t>，浸染状为主，局部微脉、透镜体分布，含量约25%；斜黝帘石呈柱状，粒径0.73～5×1.6</w:t>
      </w:r>
      <w:r>
        <w:rPr>
          <w:rFonts w:hint="eastAsia"/>
          <w:color w:val="000000" w:themeColor="text1"/>
          <w:sz w:val="24"/>
          <w:szCs w:val="24"/>
          <w:highlight w:val="none"/>
          <w:lang w:val="en-US" w:eastAsia="zh-CN"/>
          <w14:textFill>
            <w14:solidFill>
              <w14:schemeClr w14:val="tx1"/>
            </w14:solidFill>
          </w14:textFill>
        </w:rPr>
        <w:t>mm</w:t>
      </w:r>
      <w:r>
        <w:rPr>
          <w:rFonts w:hint="eastAsia"/>
          <w:color w:val="000000" w:themeColor="text1"/>
          <w:sz w:val="24"/>
          <w:szCs w:val="24"/>
          <w:highlight w:val="none"/>
          <w14:textFill>
            <w14:solidFill>
              <w14:schemeClr w14:val="tx1"/>
            </w14:solidFill>
          </w14:textFill>
        </w:rPr>
        <w:t>，呈变斑晶平行分布，含量约10%；白云母呈细小片状，片径&lt;0.28×0.1～0.05</w:t>
      </w:r>
      <w:r>
        <w:rPr>
          <w:rFonts w:hint="eastAsia"/>
          <w:color w:val="000000" w:themeColor="text1"/>
          <w:sz w:val="24"/>
          <w:szCs w:val="24"/>
          <w:highlight w:val="none"/>
          <w:lang w:val="en-US" w:eastAsia="zh-CN"/>
          <w14:textFill>
            <w14:solidFill>
              <w14:schemeClr w14:val="tx1"/>
            </w14:solidFill>
          </w14:textFill>
        </w:rPr>
        <w:t>mm</w:t>
      </w:r>
      <w:r>
        <w:rPr>
          <w:rFonts w:hint="eastAsia"/>
          <w:color w:val="000000" w:themeColor="text1"/>
          <w:sz w:val="24"/>
          <w:szCs w:val="24"/>
          <w:highlight w:val="none"/>
          <w14:textFill>
            <w14:solidFill>
              <w14:schemeClr w14:val="tx1"/>
            </w14:solidFill>
          </w14:textFill>
        </w:rPr>
        <w:t>，平行定向分布于方解石之间，含量约5%。</w:t>
      </w:r>
    </w:p>
    <w:p w14:paraId="1D53C40F">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第四系全新统冲洪积物（Q</w:t>
      </w:r>
      <w:r>
        <w:rPr>
          <w:rFonts w:hint="eastAsia"/>
          <w:color w:val="000000" w:themeColor="text1"/>
          <w:sz w:val="24"/>
          <w:szCs w:val="24"/>
          <w:highlight w:val="none"/>
          <w:vertAlign w:val="subscript"/>
          <w14:textFill>
            <w14:solidFill>
              <w14:schemeClr w14:val="tx1"/>
            </w14:solidFill>
          </w14:textFill>
        </w:rPr>
        <w:t>4</w:t>
      </w:r>
      <w:r>
        <w:rPr>
          <w:rFonts w:hint="eastAsia"/>
          <w:color w:val="000000" w:themeColor="text1"/>
          <w:sz w:val="24"/>
          <w:szCs w:val="24"/>
          <w:highlight w:val="none"/>
          <w:vertAlign w:val="superscript"/>
          <w14:textFill>
            <w14:solidFill>
              <w14:schemeClr w14:val="tx1"/>
            </w14:solidFill>
          </w14:textFill>
        </w:rPr>
        <w:t>apl</w:t>
      </w:r>
      <w:r>
        <w:rPr>
          <w:rFonts w:hint="eastAsia"/>
          <w:color w:val="000000" w:themeColor="text1"/>
          <w:sz w:val="24"/>
          <w:szCs w:val="24"/>
          <w:highlight w:val="none"/>
          <w14:textFill>
            <w14:solidFill>
              <w14:schemeClr w14:val="tx1"/>
            </w14:solidFill>
          </w14:textFill>
        </w:rPr>
        <w:t>）</w:t>
      </w:r>
    </w:p>
    <w:p w14:paraId="3AF69ECB">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该地层在</w:t>
      </w:r>
      <w:r>
        <w:rPr>
          <w:rFonts w:hint="eastAsia"/>
          <w:color w:val="000000" w:themeColor="text1"/>
          <w:sz w:val="24"/>
          <w:szCs w:val="24"/>
          <w:highlight w:val="none"/>
          <w:lang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及附近分布最广，由洪积和冲积而形成戈壁滩，岩性为砂砾石土，灰稍密，干燥，砾石粒径一般2～5厘米，含量在一般70%以上，以洪积成因为主，磨圆一般。</w:t>
      </w:r>
    </w:p>
    <w:p w14:paraId="2653198D">
      <w:pPr>
        <w:pStyle w:val="5"/>
        <w:spacing w:before="0" w:after="0" w:line="480" w:lineRule="exact"/>
        <w:ind w:firstLine="482"/>
        <w:rPr>
          <w:rFonts w:hint="eastAsia" w:ascii="Times New Roman" w:hAnsi="Times New Roman"/>
          <w:bCs w:val="0"/>
          <w:color w:val="000000" w:themeColor="text1"/>
          <w:kern w:val="2"/>
          <w:szCs w:val="24"/>
          <w:highlight w:val="none"/>
          <w14:textFill>
            <w14:solidFill>
              <w14:schemeClr w14:val="tx1"/>
            </w14:solidFill>
          </w14:textFill>
        </w:rPr>
      </w:pPr>
      <w:r>
        <w:rPr>
          <w:rFonts w:hint="eastAsia" w:ascii="Times New Roman" w:hAnsi="Times New Roman"/>
          <w:bCs w:val="0"/>
          <w:color w:val="000000" w:themeColor="text1"/>
          <w:kern w:val="2"/>
          <w:szCs w:val="24"/>
          <w:highlight w:val="none"/>
          <w14:textFill>
            <w14:solidFill>
              <w14:schemeClr w14:val="tx1"/>
            </w14:solidFill>
          </w14:textFill>
        </w:rPr>
        <w:t>4.1.</w:t>
      </w:r>
      <w:r>
        <w:rPr>
          <w:rFonts w:hint="eastAsia"/>
          <w:bCs w:val="0"/>
          <w:color w:val="000000" w:themeColor="text1"/>
          <w:kern w:val="2"/>
          <w:szCs w:val="24"/>
          <w:highlight w:val="none"/>
          <w:lang w:val="en-US" w:eastAsia="zh-CN"/>
          <w14:textFill>
            <w14:solidFill>
              <w14:schemeClr w14:val="tx1"/>
            </w14:solidFill>
          </w14:textFill>
        </w:rPr>
        <w:t>4</w:t>
      </w:r>
      <w:r>
        <w:rPr>
          <w:rFonts w:hint="eastAsia" w:ascii="Times New Roman" w:hAnsi="Times New Roman"/>
          <w:bCs w:val="0"/>
          <w:color w:val="000000" w:themeColor="text1"/>
          <w:kern w:val="2"/>
          <w:szCs w:val="24"/>
          <w:highlight w:val="none"/>
          <w14:textFill>
            <w14:solidFill>
              <w14:schemeClr w14:val="tx1"/>
            </w14:solidFill>
          </w14:textFill>
        </w:rPr>
        <w:t>.2地质构造</w:t>
      </w:r>
    </w:p>
    <w:p w14:paraId="20B81ADA">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区域地质构造</w:t>
      </w:r>
    </w:p>
    <w:p w14:paraId="6E14E254">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所处的大地构造位置为塔里木陆块（Ⅱ）-北山古生代裂谷系（Ⅱ</w:t>
      </w:r>
      <w:r>
        <w:rPr>
          <w:rFonts w:hint="eastAsia"/>
          <w:color w:val="000000" w:themeColor="text1"/>
          <w:sz w:val="24"/>
          <w:szCs w:val="24"/>
          <w:highlight w:val="none"/>
          <w:vertAlign w:val="sub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）-星星峡隆起区（Ⅱ</w:t>
      </w:r>
      <w:r>
        <w:rPr>
          <w:rFonts w:hint="eastAsia"/>
          <w:color w:val="000000" w:themeColor="text1"/>
          <w:sz w:val="24"/>
          <w:szCs w:val="24"/>
          <w:highlight w:val="none"/>
          <w:vertAlign w:val="subscript"/>
          <w14:textFill>
            <w14:solidFill>
              <w14:schemeClr w14:val="tx1"/>
            </w14:solidFill>
          </w14:textFill>
        </w:rPr>
        <w:t>2</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区域</w:t>
      </w:r>
      <w:r>
        <w:rPr>
          <w:rFonts w:hint="eastAsia"/>
          <w:color w:val="000000" w:themeColor="text1"/>
          <w:sz w:val="24"/>
          <w:szCs w:val="24"/>
          <w:highlight w:val="none"/>
          <w:lang w:eastAsia="zh-CN"/>
          <w14:textFill>
            <w14:solidFill>
              <w14:schemeClr w14:val="tx1"/>
            </w14:solidFill>
          </w14:textFill>
        </w:rPr>
        <w:t>地质</w:t>
      </w:r>
      <w:r>
        <w:rPr>
          <w:rFonts w:hint="eastAsia"/>
          <w:color w:val="000000" w:themeColor="text1"/>
          <w:sz w:val="24"/>
          <w:szCs w:val="24"/>
          <w:highlight w:val="none"/>
          <w14:textFill>
            <w14:solidFill>
              <w14:schemeClr w14:val="tx1"/>
            </w14:solidFill>
          </w14:textFill>
        </w:rPr>
        <w:t>构造位置见图</w:t>
      </w:r>
      <w:r>
        <w:rPr>
          <w:rFonts w:hint="eastAsia"/>
          <w:color w:val="000000" w:themeColor="text1"/>
          <w:sz w:val="24"/>
          <w:szCs w:val="24"/>
          <w:highlight w:val="none"/>
          <w:lang w:val="en-US" w:eastAsia="zh-CN"/>
          <w14:textFill>
            <w14:solidFill>
              <w14:schemeClr w14:val="tx1"/>
            </w14:solidFill>
          </w14:textFill>
        </w:rPr>
        <w:t>4.1</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。区内构造突出的特征表现在北东向构造迭置在东西向构造之上，它既改造了东西向构造又受东西向构造的牵制、影响，加之不甚发育的北东向构造的加入，它们复合、联合的结果构成了本区域构造的总貌。</w:t>
      </w:r>
    </w:p>
    <w:p w14:paraId="0D8FC0C4">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地质</w:t>
      </w:r>
    </w:p>
    <w:p w14:paraId="2F86D94F">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（1）褶皱</w:t>
      </w:r>
    </w:p>
    <w:p w14:paraId="0D5FDC82">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由于</w:t>
      </w:r>
      <w:r>
        <w:rPr>
          <w:rFonts w:hint="eastAsia"/>
          <w:color w:val="000000" w:themeColor="text1"/>
          <w:sz w:val="24"/>
          <w:szCs w:val="24"/>
          <w:highlight w:val="none"/>
          <w:lang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地表大面积被第四系覆盖，深部钻孔中岩层产状均为单斜,未见有褶皱构造。</w:t>
      </w:r>
    </w:p>
    <w:p w14:paraId="25A3E77C">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（2）断层</w:t>
      </w:r>
    </w:p>
    <w:p w14:paraId="7EC4F577">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由于</w:t>
      </w:r>
      <w:r>
        <w:rPr>
          <w:rFonts w:hint="eastAsia"/>
          <w:color w:val="000000" w:themeColor="text1"/>
          <w:sz w:val="24"/>
          <w:szCs w:val="24"/>
          <w:highlight w:val="none"/>
          <w:lang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地表被第四系覆盖，未见断层出露，深部钻孔中局部发育小裂隙，规模较小，宽度一般1.0～2.0cm，裂隙较单一，无多期次活动的痕迹，裂隙面较粗糙，蚀变较弱，蚀变主要有绿泥石化、绢云母化。深部小裂隙未对矿体和围岩有明显的破坏作用。</w:t>
      </w:r>
    </w:p>
    <w:p w14:paraId="3DCDEBB0">
      <w:pPr>
        <w:spacing w:line="480" w:lineRule="exact"/>
        <w:ind w:firstLine="480" w:firstLineChars="200"/>
        <w:rPr>
          <w:rFonts w:hint="eastAsia"/>
          <w:color w:val="000000" w:themeColor="text1"/>
          <w:sz w:val="24"/>
          <w:szCs w:val="24"/>
          <w:highlight w:val="none"/>
          <w14:textFill>
            <w14:solidFill>
              <w14:schemeClr w14:val="tx1"/>
            </w14:solidFill>
          </w14:textFill>
        </w:rPr>
      </w:pPr>
    </w:p>
    <w:p w14:paraId="6C3A3079">
      <w:pPr>
        <w:spacing w:line="480" w:lineRule="exact"/>
        <w:ind w:firstLine="480" w:firstLineChars="200"/>
        <w:rPr>
          <w:rFonts w:hint="eastAsia"/>
          <w:color w:val="000000" w:themeColor="text1"/>
          <w:sz w:val="24"/>
          <w:szCs w:val="24"/>
          <w:highlight w:val="none"/>
          <w14:textFill>
            <w14:solidFill>
              <w14:schemeClr w14:val="tx1"/>
            </w14:solidFill>
          </w14:textFill>
        </w:rPr>
      </w:pPr>
    </w:p>
    <w:p w14:paraId="642ACC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2289175</wp:posOffset>
                </wp:positionH>
                <wp:positionV relativeFrom="paragraph">
                  <wp:posOffset>2757170</wp:posOffset>
                </wp:positionV>
                <wp:extent cx="819150" cy="267335"/>
                <wp:effectExtent l="0" t="0" r="0" b="0"/>
                <wp:wrapNone/>
                <wp:docPr id="65" name="文本框 213"/>
                <wp:cNvGraphicFramePr/>
                <a:graphic xmlns:a="http://schemas.openxmlformats.org/drawingml/2006/main">
                  <a:graphicData uri="http://schemas.microsoft.com/office/word/2010/wordprocessingShape">
                    <wps:wsp>
                      <wps:cNvSpPr txBox="1"/>
                      <wps:spPr>
                        <a:xfrm>
                          <a:off x="0" y="0"/>
                          <a:ext cx="819150" cy="267335"/>
                        </a:xfrm>
                        <a:prstGeom prst="rect">
                          <a:avLst/>
                        </a:prstGeom>
                        <a:noFill/>
                        <a:ln>
                          <a:noFill/>
                        </a:ln>
                        <a:effectLst/>
                      </wps:spPr>
                      <wps:txbx>
                        <w:txbxContent>
                          <w:p w14:paraId="3F7E89BE">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1503FB"/>
                              </w:rPr>
                            </w:pPr>
                            <w:r>
                              <w:rPr>
                                <w:rFonts w:hint="eastAsia"/>
                                <w:b/>
                                <w:bCs/>
                                <w:color w:val="1503FB"/>
                                <w:lang w:val="en-US" w:eastAsia="zh-CN"/>
                              </w:rPr>
                              <w:t>项目</w:t>
                            </w:r>
                            <w:r>
                              <w:rPr>
                                <w:rFonts w:hint="eastAsia"/>
                                <w:b/>
                                <w:bCs/>
                                <w:color w:val="1503FB"/>
                              </w:rPr>
                              <w:t>位置</w:t>
                            </w:r>
                          </w:p>
                        </w:txbxContent>
                      </wps:txbx>
                      <wps:bodyPr wrap="square" upright="1"/>
                    </wps:wsp>
                  </a:graphicData>
                </a:graphic>
              </wp:anchor>
            </w:drawing>
          </mc:Choice>
          <mc:Fallback>
            <w:pict>
              <v:shape id="文本框 213" o:spid="_x0000_s1026" o:spt="202" type="#_x0000_t202" style="position:absolute;left:0pt;margin-left:180.25pt;margin-top:217.1pt;height:21.05pt;width:64.5pt;z-index:251672576;mso-width-relative:page;mso-height-relative:page;" filled="f" stroked="f" coordsize="21600,21600" o:gfxdata="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oeXPLYAAAACwEAAA8AAAAAAAAAAQAgAAAAIgAAAGRycy9kb3ducmV2LnhtbFBL&#10;AQIUABQAAAAIAIdO4kAh+jXlvQEAAGwDAAAOAAAAAAAAAAEAIAAAACcBAABkcnMvZTJvRG9jLnht&#10;bFBLBQYAAAAABgAGAFkBAABWBQAAAAA=&#10;">
                <v:fill on="f" focussize="0,0"/>
                <v:stroke on="f"/>
                <v:imagedata o:title=""/>
                <o:lock v:ext="edit" aspectratio="f"/>
                <v:textbox>
                  <w:txbxContent>
                    <w:p w14:paraId="3F7E89BE">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1503FB"/>
                        </w:rPr>
                      </w:pPr>
                      <w:r>
                        <w:rPr>
                          <w:rFonts w:hint="eastAsia"/>
                          <w:b/>
                          <w:bCs/>
                          <w:color w:val="1503FB"/>
                          <w:lang w:val="en-US" w:eastAsia="zh-CN"/>
                        </w:rPr>
                        <w:t>项目</w:t>
                      </w:r>
                      <w:r>
                        <w:rPr>
                          <w:rFonts w:hint="eastAsia"/>
                          <w:b/>
                          <w:bCs/>
                          <w:color w:val="1503FB"/>
                        </w:rPr>
                        <w:t>位置</w:t>
                      </w:r>
                    </w:p>
                  </w:txbxContent>
                </v:textbox>
              </v:shape>
            </w:pict>
          </mc:Fallback>
        </mc:AlternateContent>
      </w:r>
    </w:p>
    <w:p w14:paraId="503DAD42">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630FDD76">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662D163D">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3AD74297">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7942030A">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02B8BFBC">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2C1A47DD">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52065132">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3DFA47D7">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53E8F6F3">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69308593">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11EB4635">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376F3E4E">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6041B721">
      <w:pPr>
        <w:spacing w:line="480" w:lineRule="exact"/>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067EDFE9">
      <w:pPr>
        <w:spacing w:line="480" w:lineRule="exact"/>
        <w:ind w:left="0" w:leftChars="0" w:firstLine="0" w:firstLineChars="0"/>
        <w:jc w:val="center"/>
        <w:rPr>
          <w:rFonts w:hint="eastAsia"/>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图4</w:t>
      </w:r>
      <w:r>
        <w:rPr>
          <w:b/>
          <w:color w:val="000000" w:themeColor="text1"/>
          <w:sz w:val="24"/>
          <w:szCs w:val="24"/>
          <w:highlight w:val="none"/>
          <w14:textFill>
            <w14:solidFill>
              <w14:schemeClr w14:val="tx1"/>
            </w14:solidFill>
          </w14:textFill>
        </w:rPr>
        <w:t xml:space="preserve">.1-2    </w:t>
      </w:r>
      <w:r>
        <w:rPr>
          <w:rFonts w:hint="eastAsia"/>
          <w:b/>
          <w:color w:val="000000" w:themeColor="text1"/>
          <w:sz w:val="24"/>
          <w:szCs w:val="24"/>
          <w:highlight w:val="none"/>
          <w14:textFill>
            <w14:solidFill>
              <w14:schemeClr w14:val="tx1"/>
            </w14:solidFill>
          </w14:textFill>
        </w:rPr>
        <w:t>区域地质构造图</w:t>
      </w:r>
    </w:p>
    <w:p w14:paraId="142679D4">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岩浆岩</w:t>
      </w:r>
    </w:p>
    <w:p w14:paraId="413E4839">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项目区</w:t>
      </w:r>
      <w:r>
        <w:rPr>
          <w:rFonts w:hint="eastAsia"/>
          <w:color w:val="000000" w:themeColor="text1"/>
          <w:sz w:val="24"/>
          <w:szCs w:val="24"/>
          <w:highlight w:val="none"/>
          <w14:textFill>
            <w14:solidFill>
              <w14:schemeClr w14:val="tx1"/>
            </w14:solidFill>
          </w14:textFill>
        </w:rPr>
        <w:t>大面积被第四系覆盖，地表未见岩浆岩出露。深部钻孔中见有花岗闪长岩，呈细脉状。</w:t>
      </w:r>
    </w:p>
    <w:p w14:paraId="40CA4AE9">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花岗闪长岩：岩石呈灰白色，中细粒花岗结构，块状构造，主要矿物成分：斜长石呈灰白色，半自形板状，粒径0.2～5.0mm，含量约50%；钾长石，它形粒状，粒径0.2～5.0mm，含量约25%；石英呈烟灰色，它形粒状，粒径0.2～5.00mm，含量约25%；角闪石呈黑色，半自形粒状，粒径0.2～3.0mm，含量约5%；黑云母呈黑色片状，粒径0.2～3.0mm，含量约5%。</w:t>
      </w:r>
    </w:p>
    <w:p w14:paraId="714D13D6">
      <w:pPr>
        <w:pStyle w:val="5"/>
        <w:spacing w:before="0" w:after="0" w:line="480" w:lineRule="exact"/>
        <w:ind w:firstLine="482"/>
        <w:rPr>
          <w:rFonts w:hint="eastAsia" w:ascii="Times New Roman" w:hAnsi="Times New Roman"/>
          <w:bCs w:val="0"/>
          <w:color w:val="000000" w:themeColor="text1"/>
          <w:kern w:val="2"/>
          <w:szCs w:val="24"/>
          <w:highlight w:val="none"/>
          <w14:textFill>
            <w14:solidFill>
              <w14:schemeClr w14:val="tx1"/>
            </w14:solidFill>
          </w14:textFill>
        </w:rPr>
      </w:pPr>
      <w:r>
        <w:rPr>
          <w:rFonts w:hint="eastAsia" w:ascii="Times New Roman" w:hAnsi="Times New Roman"/>
          <w:bCs w:val="0"/>
          <w:color w:val="000000" w:themeColor="text1"/>
          <w:kern w:val="2"/>
          <w:szCs w:val="24"/>
          <w:highlight w:val="none"/>
          <w14:textFill>
            <w14:solidFill>
              <w14:schemeClr w14:val="tx1"/>
            </w14:solidFill>
          </w14:textFill>
        </w:rPr>
        <w:t>4.1.</w:t>
      </w:r>
      <w:r>
        <w:rPr>
          <w:rFonts w:hint="eastAsia"/>
          <w:bCs w:val="0"/>
          <w:color w:val="000000" w:themeColor="text1"/>
          <w:kern w:val="2"/>
          <w:szCs w:val="24"/>
          <w:highlight w:val="none"/>
          <w:lang w:val="en-US" w:eastAsia="zh-CN"/>
          <w14:textFill>
            <w14:solidFill>
              <w14:schemeClr w14:val="tx1"/>
            </w14:solidFill>
          </w14:textFill>
        </w:rPr>
        <w:t>4</w:t>
      </w:r>
      <w:r>
        <w:rPr>
          <w:rFonts w:hint="eastAsia" w:ascii="Times New Roman" w:hAnsi="Times New Roman"/>
          <w:bCs w:val="0"/>
          <w:color w:val="000000" w:themeColor="text1"/>
          <w:kern w:val="2"/>
          <w:szCs w:val="24"/>
          <w:highlight w:val="none"/>
          <w14:textFill>
            <w14:solidFill>
              <w14:schemeClr w14:val="tx1"/>
            </w14:solidFill>
          </w14:textFill>
        </w:rPr>
        <w:t>.</w:t>
      </w:r>
      <w:r>
        <w:rPr>
          <w:rFonts w:ascii="Times New Roman" w:hAnsi="Times New Roman"/>
          <w:bCs w:val="0"/>
          <w:color w:val="000000" w:themeColor="text1"/>
          <w:kern w:val="2"/>
          <w:szCs w:val="24"/>
          <w:highlight w:val="none"/>
          <w14:textFill>
            <w14:solidFill>
              <w14:schemeClr w14:val="tx1"/>
            </w14:solidFill>
          </w14:textFill>
        </w:rPr>
        <w:t>3</w:t>
      </w:r>
      <w:r>
        <w:rPr>
          <w:rFonts w:hint="eastAsia" w:ascii="Times New Roman" w:hAnsi="Times New Roman"/>
          <w:bCs w:val="0"/>
          <w:color w:val="000000" w:themeColor="text1"/>
          <w:kern w:val="2"/>
          <w:szCs w:val="24"/>
          <w:highlight w:val="none"/>
          <w14:textFill>
            <w14:solidFill>
              <w14:schemeClr w14:val="tx1"/>
            </w14:solidFill>
          </w14:textFill>
        </w:rPr>
        <w:t>水文地质</w:t>
      </w:r>
    </w:p>
    <w:p w14:paraId="6F806551">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水文地质条件概况</w:t>
      </w:r>
    </w:p>
    <w:p w14:paraId="30F3D12C">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（1）地形地貌</w:t>
      </w:r>
    </w:p>
    <w:p w14:paraId="1A8CBC21">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属低山丘陵地貌，</w:t>
      </w:r>
      <w:r>
        <w:rPr>
          <w:rFonts w:hint="eastAsia"/>
          <w:color w:val="000000" w:themeColor="text1"/>
          <w:sz w:val="24"/>
          <w:highlight w:val="none"/>
          <w:lang w:eastAsia="zh-CN"/>
          <w14:textFill>
            <w14:solidFill>
              <w14:schemeClr w14:val="tx1"/>
            </w14:solidFill>
          </w14:textFill>
        </w:rPr>
        <w:t>海拔</w:t>
      </w:r>
      <w:r>
        <w:rPr>
          <w:rFonts w:hint="eastAsia"/>
          <w:color w:val="000000" w:themeColor="text1"/>
          <w:sz w:val="24"/>
          <w:highlight w:val="none"/>
          <w14:textFill>
            <w14:solidFill>
              <w14:schemeClr w14:val="tx1"/>
            </w14:solidFill>
          </w14:textFill>
        </w:rPr>
        <w:t>在1234.57～1254.20m之间，相对高差2～5m，最大高差17m，总体地形北高南低，地势起伏不大，地形切割不强烈。</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内植被不发育，大部分地带被第四系覆盖，基岩零星出露。</w:t>
      </w:r>
    </w:p>
    <w:p w14:paraId="4B964637">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）水文条件</w:t>
      </w:r>
    </w:p>
    <w:p w14:paraId="03284531">
      <w:pPr>
        <w:spacing w:line="480" w:lineRule="exact"/>
        <w:ind w:firstLine="480" w:firstLineChars="200"/>
        <w:rPr>
          <w:rFonts w:hint="eastAsia"/>
          <w:color w:val="000000" w:themeColor="text1"/>
          <w:sz w:val="24"/>
          <w:highlight w:val="none"/>
          <w14:textFill>
            <w14:solidFill>
              <w14:schemeClr w14:val="tx1"/>
            </w14:solidFill>
          </w14:textFill>
        </w:rPr>
      </w:pPr>
      <w:bookmarkStart w:id="640" w:name="_Hlk111833339"/>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及附近地区地表水体不发育，无常年性流水，仅在6～8月份雨季，暴雨时期在地表形成暂时性水流在低洼地汇集蒸发</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内沟谷不发育。</w:t>
      </w:r>
    </w:p>
    <w:p w14:paraId="55FB9C22">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最低侵蚀基准面</w:t>
      </w:r>
    </w:p>
    <w:p w14:paraId="61FB5110">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附近最低点位于</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西南部，标高1234m，为</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最低排泄面标高。</w:t>
      </w:r>
    </w:p>
    <w:bookmarkEnd w:id="640"/>
    <w:p w14:paraId="5E23435A">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含（隔）水层划分</w:t>
      </w:r>
    </w:p>
    <w:p w14:paraId="61E0E003">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内大面积被第四系全新统冲洪积层（Q</w:t>
      </w:r>
      <w:r>
        <w:rPr>
          <w:rFonts w:hint="eastAsia"/>
          <w:color w:val="000000" w:themeColor="text1"/>
          <w:sz w:val="24"/>
          <w:highlight w:val="none"/>
          <w:vertAlign w:val="subscript"/>
          <w14:textFill>
            <w14:solidFill>
              <w14:schemeClr w14:val="tx1"/>
            </w14:solidFill>
          </w14:textFill>
        </w:rPr>
        <w:t>4</w:t>
      </w:r>
      <w:r>
        <w:rPr>
          <w:rFonts w:hint="eastAsia"/>
          <w:color w:val="000000" w:themeColor="text1"/>
          <w:sz w:val="24"/>
          <w:highlight w:val="none"/>
          <w:vertAlign w:val="superscript"/>
          <w14:textFill>
            <w14:solidFill>
              <w14:schemeClr w14:val="tx1"/>
            </w14:solidFill>
          </w14:textFill>
        </w:rPr>
        <w:t>aal</w:t>
      </w:r>
      <w:r>
        <w:rPr>
          <w:rFonts w:hint="eastAsia"/>
          <w:color w:val="000000" w:themeColor="text1"/>
          <w:sz w:val="24"/>
          <w:highlight w:val="none"/>
          <w14:textFill>
            <w14:solidFill>
              <w14:schemeClr w14:val="tx1"/>
            </w14:solidFill>
          </w14:textFill>
        </w:rPr>
        <w:t>）覆盖，出露的地层为下寒武统双鹰山组</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vertAlign w:val="subscript"/>
          <w14:textFill>
            <w14:solidFill>
              <w14:schemeClr w14:val="tx1"/>
            </w14:solidFill>
          </w14:textFill>
        </w:rPr>
        <w:t>1</w:t>
      </w:r>
      <w:r>
        <w:rPr>
          <w:rFonts w:hint="eastAsia"/>
          <w:color w:val="000000" w:themeColor="text1"/>
          <w:sz w:val="24"/>
          <w:highlight w:val="none"/>
          <w14:textFill>
            <w14:solidFill>
              <w14:schemeClr w14:val="tx1"/>
            </w14:solidFill>
          </w14:textFill>
        </w:rPr>
        <w:t>S</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。根据地下水赋存条件和水力特征，将</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内地下水划分为两个含水层组：</w:t>
      </w:r>
    </w:p>
    <w:p w14:paraId="322FC04B">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第四系松散岩类透水不含水层（Ⅰ）：在</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大面积分布，为第四系全新统冲洪积层（Q</w:t>
      </w:r>
      <w:r>
        <w:rPr>
          <w:rFonts w:hint="eastAsia"/>
          <w:color w:val="000000" w:themeColor="text1"/>
          <w:sz w:val="24"/>
          <w:highlight w:val="none"/>
          <w:vertAlign w:val="subscript"/>
          <w14:textFill>
            <w14:solidFill>
              <w14:schemeClr w14:val="tx1"/>
            </w14:solidFill>
          </w14:textFill>
        </w:rPr>
        <w:t>h</w:t>
      </w:r>
      <w:r>
        <w:rPr>
          <w:rFonts w:hint="eastAsia"/>
          <w:color w:val="000000" w:themeColor="text1"/>
          <w:sz w:val="24"/>
          <w:highlight w:val="none"/>
          <w:vertAlign w:val="superscript"/>
          <w14:textFill>
            <w14:solidFill>
              <w14:schemeClr w14:val="tx1"/>
            </w14:solidFill>
          </w14:textFill>
        </w:rPr>
        <w:t>apl</w:t>
      </w:r>
      <w:r>
        <w:rPr>
          <w:rFonts w:hint="eastAsia"/>
          <w:color w:val="000000" w:themeColor="text1"/>
          <w:sz w:val="24"/>
          <w:highlight w:val="none"/>
          <w14:textFill>
            <w14:solidFill>
              <w14:schemeClr w14:val="tx1"/>
            </w14:solidFill>
          </w14:textFill>
        </w:rPr>
        <w:t>），主要由砾石、砂、砂土为主，局部地带可见有淤泥沉积，砂砾分选性较好，磨圆度由次圆状到圆状，砾径大小悬殊，砾径1～50cm。钻孔控制厚度0.5～14.0m左右。据钻孔简易水文观测结果，该层基本在地下水位以上，说明该层不含水，但透水性较好，为透水不含水层。</w:t>
      </w:r>
    </w:p>
    <w:p w14:paraId="2A8A2A63">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变质岩类裂隙弱富水弱含水层（Ⅱ）：</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内零星出露，出露地层为下寒武统双鹰山组第二岩性段</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vertAlign w:val="subscript"/>
          <w14:textFill>
            <w14:solidFill>
              <w14:schemeClr w14:val="tx1"/>
            </w14:solidFill>
          </w14:textFill>
        </w:rPr>
        <w:t>1</w:t>
      </w:r>
      <w:r>
        <w:rPr>
          <w:rFonts w:hint="eastAsia"/>
          <w:color w:val="000000" w:themeColor="text1"/>
          <w:sz w:val="24"/>
          <w:highlight w:val="none"/>
          <w14:textFill>
            <w14:solidFill>
              <w14:schemeClr w14:val="tx1"/>
            </w14:solidFill>
          </w14:textFill>
        </w:rPr>
        <w:t>S</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，地表出露岩性</w:t>
      </w:r>
      <w:r>
        <w:rPr>
          <w:rFonts w:hint="eastAsia"/>
          <w:color w:val="000000" w:themeColor="text1"/>
          <w:sz w:val="24"/>
          <w:highlight w:val="none"/>
          <w:lang w:eastAsia="zh-CN"/>
          <w14:textFill>
            <w14:solidFill>
              <w14:schemeClr w14:val="tx1"/>
            </w14:solidFill>
          </w14:textFill>
        </w:rPr>
        <w:t>以含碳硅质板岩和大理岩为主</w:t>
      </w:r>
      <w:r>
        <w:rPr>
          <w:rFonts w:hint="eastAsia"/>
          <w:color w:val="000000" w:themeColor="text1"/>
          <w:sz w:val="24"/>
          <w:highlight w:val="none"/>
          <w14:textFill>
            <w14:solidFill>
              <w14:schemeClr w14:val="tx1"/>
            </w14:solidFill>
          </w14:textFill>
        </w:rPr>
        <w:t>，深部钻孔主要以黑云母长英质角岩、黑云母长英质片岩和绿泥石石英片岩为主，岩层呈层状、片状，受区域构造的影响，节理弱发育，分布不均匀，开启、连通程度中至一般，有利于大气降水的汇集下渗，易</w:t>
      </w:r>
      <w:r>
        <w:rPr>
          <w:rFonts w:hint="eastAsia"/>
          <w:color w:val="000000" w:themeColor="text1"/>
          <w:sz w:val="24"/>
          <w:highlight w:val="none"/>
          <w:lang w:eastAsia="zh-CN"/>
          <w14:textFill>
            <w14:solidFill>
              <w14:schemeClr w14:val="tx1"/>
            </w14:solidFill>
          </w14:textFill>
        </w:rPr>
        <w:t>形成</w:t>
      </w:r>
      <w:r>
        <w:rPr>
          <w:rFonts w:hint="eastAsia"/>
          <w:color w:val="000000" w:themeColor="text1"/>
          <w:sz w:val="24"/>
          <w:highlight w:val="none"/>
          <w14:textFill>
            <w14:solidFill>
              <w14:schemeClr w14:val="tx1"/>
            </w14:solidFill>
          </w14:textFill>
        </w:rPr>
        <w:t>一定数量的基岩裂隙网状水和脉状水，通过下渗补给地下水，因矿床为沉积变质型，岩石节理、裂隙弱发育，所以层状、片状岩石透水性弱。根据本次实际统计四中段（1030m）坑内水平钻孔平均涌水量为0.22L/s，总体判断层状、片状岩层整体富水性较弱，为弱富水含水层。主要补给来源为地下水沿裂隙的侧向补给，其次为少量大气降水沿裂隙的下渗。</w:t>
      </w:r>
    </w:p>
    <w:p w14:paraId="4DFEC90A">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地下水的补给、径流、排泄</w:t>
      </w:r>
    </w:p>
    <w:p w14:paraId="5E1D3216">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位于塔里木盆地南缘的山前低山丘陵地带，向北为天山山系，属于中高山区，区域水文单元为补给区，向南为昆仑山山系，区域水文单元为补给区，地下径流由</w:t>
      </w:r>
      <w:r>
        <w:rPr>
          <w:rFonts w:hint="eastAsia"/>
          <w:color w:val="000000" w:themeColor="text1"/>
          <w:sz w:val="24"/>
          <w:highlight w:val="none"/>
          <w:lang w:eastAsia="zh-CN"/>
          <w14:textFill>
            <w14:solidFill>
              <w14:schemeClr w14:val="tx1"/>
            </w14:solidFill>
          </w14:textFill>
        </w:rPr>
        <w:t>东</w:t>
      </w:r>
      <w:r>
        <w:rPr>
          <w:rFonts w:hint="eastAsia"/>
          <w:color w:val="000000" w:themeColor="text1"/>
          <w:sz w:val="24"/>
          <w:highlight w:val="none"/>
          <w14:textFill>
            <w14:solidFill>
              <w14:schemeClr w14:val="tx1"/>
            </w14:solidFill>
          </w14:textFill>
        </w:rPr>
        <w:t>向</w:t>
      </w:r>
      <w:r>
        <w:rPr>
          <w:rFonts w:hint="eastAsia"/>
          <w:color w:val="000000" w:themeColor="text1"/>
          <w:sz w:val="24"/>
          <w:highlight w:val="none"/>
          <w:lang w:eastAsia="zh-CN"/>
          <w14:textFill>
            <w14:solidFill>
              <w14:schemeClr w14:val="tx1"/>
            </w14:solidFill>
          </w14:textFill>
        </w:rPr>
        <w:t>西</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所处区域为区域水文单元径流区。</w:t>
      </w:r>
    </w:p>
    <w:p w14:paraId="5ED59FA4">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（1）地下水的补给条件</w:t>
      </w:r>
    </w:p>
    <w:p w14:paraId="314ED6F4">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区</w:t>
      </w:r>
      <w:r>
        <w:rPr>
          <w:rFonts w:hint="eastAsia"/>
          <w:color w:val="000000" w:themeColor="text1"/>
          <w:sz w:val="24"/>
          <w:highlight w:val="none"/>
          <w14:textFill>
            <w14:solidFill>
              <w14:schemeClr w14:val="tx1"/>
            </w14:solidFill>
          </w14:textFill>
        </w:rPr>
        <w:t>内地下水主要接受含水岩层沿裂隙的侧向补给，也是区内最主要的矿床充水因素，次为大气降水和冰雪消融水。大气降水和冰雪融水通过基岩裂隙渗漏，或经松散岩层的渗漏直接或间接入渗补给基岩地下水，但补给量微弱，地下水的侧向补给主要是沿总体地下径流方向补给相邻含水层。因</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构造弱发育，构造所产生的破碎带及裂隙带能构成导水通道，含水岩层沿裂隙下渗补给地下水。因矿床为沉积变质型矿床，裂隙弱发育，矿山自开采以来也没有发生突发涌水事件，由此判断含水岩层对地下水有一定的补给，但总体补给较弱。</w:t>
      </w:r>
    </w:p>
    <w:p w14:paraId="68A105F2">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综上所述，目前</w:t>
      </w:r>
      <w:r>
        <w:rPr>
          <w:rFonts w:hint="eastAsia"/>
          <w:color w:val="000000" w:themeColor="text1"/>
          <w:sz w:val="24"/>
          <w:highlight w:val="none"/>
          <w:lang w:val="en-US" w:eastAsia="zh-CN"/>
          <w14:textFill>
            <w14:solidFill>
              <w14:schemeClr w14:val="tx1"/>
            </w14:solidFill>
          </w14:textFill>
        </w:rPr>
        <w:t>区内</w:t>
      </w:r>
      <w:r>
        <w:rPr>
          <w:rFonts w:hint="eastAsia"/>
          <w:color w:val="000000" w:themeColor="text1"/>
          <w:sz w:val="24"/>
          <w:highlight w:val="none"/>
          <w14:textFill>
            <w14:solidFill>
              <w14:schemeClr w14:val="tx1"/>
            </w14:solidFill>
          </w14:textFill>
        </w:rPr>
        <w:t>地下水主要补给来源还是为地下水的侧向补给，大气降水、地表水沿裂隙下渗补给次之。</w:t>
      </w:r>
    </w:p>
    <w:p w14:paraId="0D7A41C9">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（2）地下水的径流条件</w:t>
      </w:r>
    </w:p>
    <w:p w14:paraId="473AECCF">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地下水的径流是地下水沿含水层介质通道由高向低运移的过程，这个过程与地下水的水力坡度、岩石孔隙通道的连续性和规模密切相关；</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为低山丘陵地带，地势北高南低，受构造影响</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内裂隙弱发育，少量裂隙经切割穿插为地下水流通开拓了通道，但开通量有限，运移较为缓慢，地下水的径流方向为由</w:t>
      </w:r>
      <w:r>
        <w:rPr>
          <w:rFonts w:hint="eastAsia"/>
          <w:color w:val="000000" w:themeColor="text1"/>
          <w:sz w:val="24"/>
          <w:highlight w:val="none"/>
          <w:lang w:eastAsia="zh-CN"/>
          <w14:textFill>
            <w14:solidFill>
              <w14:schemeClr w14:val="tx1"/>
            </w14:solidFill>
          </w14:textFill>
        </w:rPr>
        <w:t>东</w:t>
      </w:r>
      <w:r>
        <w:rPr>
          <w:rFonts w:hint="eastAsia"/>
          <w:color w:val="000000" w:themeColor="text1"/>
          <w:sz w:val="24"/>
          <w:highlight w:val="none"/>
          <w14:textFill>
            <w14:solidFill>
              <w14:schemeClr w14:val="tx1"/>
            </w14:solidFill>
          </w14:textFill>
        </w:rPr>
        <w:t>向</w:t>
      </w:r>
      <w:r>
        <w:rPr>
          <w:rFonts w:hint="eastAsia"/>
          <w:color w:val="000000" w:themeColor="text1"/>
          <w:sz w:val="24"/>
          <w:highlight w:val="none"/>
          <w:lang w:eastAsia="zh-CN"/>
          <w14:textFill>
            <w14:solidFill>
              <w14:schemeClr w14:val="tx1"/>
            </w14:solidFill>
          </w14:textFill>
        </w:rPr>
        <w:t>西</w:t>
      </w:r>
      <w:r>
        <w:rPr>
          <w:rFonts w:hint="eastAsia"/>
          <w:color w:val="000000" w:themeColor="text1"/>
          <w:sz w:val="24"/>
          <w:highlight w:val="none"/>
          <w14:textFill>
            <w14:solidFill>
              <w14:schemeClr w14:val="tx1"/>
            </w14:solidFill>
          </w14:textFill>
        </w:rPr>
        <w:t>径流，具有径流时间长、缓慢、相对稳定的特点。</w:t>
      </w:r>
    </w:p>
    <w:p w14:paraId="39261AF8">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（3）地下水的排泄</w:t>
      </w:r>
    </w:p>
    <w:p w14:paraId="3EDA24B1">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区域地下水径流方向是由东向西径流，</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地下水总体运动方向与区域地下水运动方向一致，以侧向径流为主，接受由北向南补给，由东向西径流出区。</w:t>
      </w:r>
    </w:p>
    <w:p w14:paraId="08DFB69F">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地下水的补给、径流、排泄条件与开采后相比未发生变化。后期开采过程中应注意观察节理裂隙的分布、松动、开裂及巷道出水情况，</w:t>
      </w:r>
      <w:r>
        <w:rPr>
          <w:rFonts w:hint="eastAsia"/>
          <w:color w:val="000000" w:themeColor="text1"/>
          <w:sz w:val="24"/>
          <w:highlight w:val="none"/>
          <w:lang w:eastAsia="zh-CN"/>
          <w14:textFill>
            <w14:solidFill>
              <w14:schemeClr w14:val="tx1"/>
            </w14:solidFill>
          </w14:textFill>
        </w:rPr>
        <w:t>防止</w:t>
      </w:r>
      <w:r>
        <w:rPr>
          <w:rFonts w:hint="eastAsia"/>
          <w:color w:val="000000" w:themeColor="text1"/>
          <w:sz w:val="24"/>
          <w:highlight w:val="none"/>
          <w14:textFill>
            <w14:solidFill>
              <w14:schemeClr w14:val="tx1"/>
            </w14:solidFill>
          </w14:textFill>
        </w:rPr>
        <w:t>巷道突发涌水事故。</w:t>
      </w:r>
    </w:p>
    <w:p w14:paraId="3FFE641A">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水力联系</w:t>
      </w:r>
    </w:p>
    <w:p w14:paraId="70511ADA">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（1）大气降水与地下水的水力联系</w:t>
      </w:r>
    </w:p>
    <w:p w14:paraId="3551AD37">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该区</w:t>
      </w:r>
      <w:r>
        <w:rPr>
          <w:rFonts w:hint="eastAsia"/>
          <w:color w:val="000000" w:themeColor="text1"/>
          <w:sz w:val="24"/>
          <w:highlight w:val="none"/>
          <w14:textFill>
            <w14:solidFill>
              <w14:schemeClr w14:val="tx1"/>
            </w14:solidFill>
          </w14:textFill>
        </w:rPr>
        <w:t>内只是在雨季、暴雨形成的积水构成短暂性地表流水，水过即干涸。在顺地形坡度向低凹处汇集运移时，主要汇集于</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西侧低洼处，由东向西径流，大气降水可通过地表风化、构造裂隙、岩石孔隙等缓慢渗透补给地下，但由于暂时性雨水降落地表水通过时，时间短、速度快，对地下水的补给主要表现在瞬间补给，不利于地下水的补给。因此，地下水与大气降水间存在一定的水力联系，但补给量微弱。</w:t>
      </w:r>
    </w:p>
    <w:p w14:paraId="08EE38B2">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（2）地表水与地下水的水力联系</w:t>
      </w:r>
    </w:p>
    <w:p w14:paraId="2C31A9D8">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该区</w:t>
      </w:r>
      <w:r>
        <w:rPr>
          <w:rFonts w:hint="eastAsia"/>
          <w:color w:val="000000" w:themeColor="text1"/>
          <w:sz w:val="24"/>
          <w:highlight w:val="none"/>
          <w14:textFill>
            <w14:solidFill>
              <w14:schemeClr w14:val="tx1"/>
            </w14:solidFill>
          </w14:textFill>
        </w:rPr>
        <w:t>范围内无常年性河流、水沟，亦无水库，仅分布季节性水沟，区内季节性水沟多为干沟，只是在积雪融水季节、雨季形成的间歇性地表流径流。在顺地形坡度向低凹处汇集运移时，可通过地表风化、构造裂隙、岩石孔隙等缓慢渗透补给地下，但由于暂时性地表水通过时，时间短，速度快，对地下水的补给主要表现在瞬间补给，不利于地下水的补给。因此，区内地下水与地表水间存在一定的水力联系，但补给量微弱。</w:t>
      </w:r>
    </w:p>
    <w:p w14:paraId="5C634B69">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（3）含水层之间的水力联系</w:t>
      </w:r>
    </w:p>
    <w:p w14:paraId="528636D2">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含水层之间的联系主要以深部岩石节理、裂隙发育程度所影响。</w:t>
      </w:r>
      <w:r>
        <w:rPr>
          <w:rFonts w:hint="eastAsia"/>
          <w:color w:val="000000" w:themeColor="text1"/>
          <w:sz w:val="24"/>
          <w:highlight w:val="none"/>
          <w:lang w:val="en-US" w:eastAsia="zh-CN"/>
          <w14:textFill>
            <w14:solidFill>
              <w14:schemeClr w14:val="tx1"/>
            </w14:solidFill>
          </w14:textFill>
        </w:rPr>
        <w:t>该区</w:t>
      </w:r>
      <w:r>
        <w:rPr>
          <w:rFonts w:hint="eastAsia"/>
          <w:color w:val="000000" w:themeColor="text1"/>
          <w:sz w:val="24"/>
          <w:highlight w:val="none"/>
          <w14:textFill>
            <w14:solidFill>
              <w14:schemeClr w14:val="tx1"/>
            </w14:solidFill>
          </w14:textFill>
        </w:rPr>
        <w:t>含水层之间存在着节理、裂隙发育的地段且相互连通，从而引起地下水沿总体地下径流方向补给相邻含水层，基本能形成相互连通的统一的地下水系统，</w:t>
      </w:r>
      <w:r>
        <w:rPr>
          <w:rFonts w:hint="eastAsia"/>
          <w:color w:val="000000" w:themeColor="text1"/>
          <w:sz w:val="24"/>
          <w:highlight w:val="none"/>
          <w:lang w:val="en-US" w:eastAsia="zh-CN"/>
          <w14:textFill>
            <w14:solidFill>
              <w14:schemeClr w14:val="tx1"/>
            </w14:solidFill>
          </w14:textFill>
        </w:rPr>
        <w:t>该区</w:t>
      </w:r>
      <w:r>
        <w:rPr>
          <w:rFonts w:hint="eastAsia"/>
          <w:color w:val="000000" w:themeColor="text1"/>
          <w:sz w:val="24"/>
          <w:highlight w:val="none"/>
          <w14:textFill>
            <w14:solidFill>
              <w14:schemeClr w14:val="tx1"/>
            </w14:solidFill>
          </w14:textFill>
        </w:rPr>
        <w:t>内裂隙多被充填，含水层之间的主要是补给沿未被充填的裂隙按地下径流方向补给相邻含水层，补给速度慢，区内地下水系统相对稳定，含水层之间的水力联系较为密切。</w:t>
      </w:r>
    </w:p>
    <w:p w14:paraId="55DF524B">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5</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矿床充水因素分析</w:t>
      </w:r>
    </w:p>
    <w:p w14:paraId="67D5032D">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（1）自然因素</w:t>
      </w:r>
    </w:p>
    <w:p w14:paraId="6A8DA102">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影响矿床充水的因素有构造裂隙发育程度、大气降水、地形、岩石吸水性质、基岩出露程度、岩石透水性等。</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内大面积被第四系覆盖，基岩出露较少，岩石节理裂隙弱发育，大气降水量少，岩石富水性弱，透水性弱，沿大气降水下渗补给弱。</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区域水文单元地处补给径流区，地下水的主要补给来源为相邻含水层的侧向补给，形成基岩裂隙水，地下基岩裂隙水为采矿充水的主要水源。</w:t>
      </w:r>
    </w:p>
    <w:p w14:paraId="53FC0C9D">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（2）人为因素</w:t>
      </w:r>
    </w:p>
    <w:p w14:paraId="377E1C8D">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采矿活动将产生大量的采矿裂隙，这些人为裂隙也会沟通上覆含水层与含矿地层的水力联系，成为地下水活动的良好通道。也会造成上层坑道采坑涌水沿裂隙向深部补给下层坑道采坑。</w:t>
      </w:r>
    </w:p>
    <w:p w14:paraId="7F1E342E">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（3）充水方式</w:t>
      </w:r>
    </w:p>
    <w:p w14:paraId="22EB1AEE">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内大面积被第四系覆盖，基岩出露较少，接受大气降水和地表水流水的补给弱，主要补给来源为地下弱含水层随着开采的释放，充水通道主要以岩石原生和采矿节理、裂隙为主，充水规模一般不大，由于</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裂隙为充填式裂隙，含水岩层富水性弱，推测矿坑涌水量较小，根据坑道内实际观测，目前矿坑内充水方式主要以滴水、淋水为主，随着开采深度的增加涌水量增大。由于人为采矿因素影响，裂隙易松动开裂，形成导水通道，不排除采坑局部有突发涌水的可能性。</w:t>
      </w:r>
    </w:p>
    <w:p w14:paraId="7BCC038D">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6</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地下水变化情况</w:t>
      </w:r>
    </w:p>
    <w:p w14:paraId="7E8DD397">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（1）地下水位标高的变化</w:t>
      </w:r>
    </w:p>
    <w:p w14:paraId="75D8648E">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根据观测数据得知，地下水水位标高在1213.71～1227.43m之间，水位埋深在10.08～24.80m，平均水位标高1222.32m。</w:t>
      </w:r>
    </w:p>
    <w:p w14:paraId="119C632F">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（2）地下水化学类型</w:t>
      </w:r>
    </w:p>
    <w:p w14:paraId="64406F34">
      <w:pPr>
        <w:spacing w:line="480" w:lineRule="exact"/>
        <w:ind w:firstLine="480" w:firstLineChars="200"/>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原生产地质报告中</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内地下水化学类型为HCO</w:t>
      </w:r>
      <w:r>
        <w:rPr>
          <w:rFonts w:hint="eastAsia"/>
          <w:color w:val="000000" w:themeColor="text1"/>
          <w:sz w:val="24"/>
          <w:highlight w:val="none"/>
          <w:vertAlign w:val="subscript"/>
          <w14:textFill>
            <w14:solidFill>
              <w14:schemeClr w14:val="tx1"/>
            </w14:solidFill>
          </w14:textFill>
        </w:rPr>
        <w:t>3</w:t>
      </w:r>
      <w:r>
        <w:rPr>
          <w:rFonts w:hint="eastAsia"/>
          <w:color w:val="000000" w:themeColor="text1"/>
          <w:sz w:val="24"/>
          <w:highlight w:val="none"/>
          <w14:textFill>
            <w14:solidFill>
              <w14:schemeClr w14:val="tx1"/>
            </w14:solidFill>
          </w14:textFill>
        </w:rPr>
        <w:t>·SO</w:t>
      </w:r>
      <w:r>
        <w:rPr>
          <w:rFonts w:hint="eastAsia"/>
          <w:color w:val="000000" w:themeColor="text1"/>
          <w:sz w:val="24"/>
          <w:highlight w:val="none"/>
          <w:vertAlign w:val="subscript"/>
          <w14:textFill>
            <w14:solidFill>
              <w14:schemeClr w14:val="tx1"/>
            </w14:solidFill>
          </w14:textFill>
        </w:rPr>
        <w:t>4</w:t>
      </w:r>
      <w:r>
        <w:rPr>
          <w:rFonts w:hint="eastAsia"/>
          <w:color w:val="000000" w:themeColor="text1"/>
          <w:sz w:val="24"/>
          <w:highlight w:val="none"/>
          <w14:textFill>
            <w14:solidFill>
              <w14:schemeClr w14:val="tx1"/>
            </w14:solidFill>
          </w14:textFill>
        </w:rPr>
        <w:t>-Ca·Na型水，随着矿山的开采，巷道中的地下水可能产生微弱的污染，本次核实期间未采集地下水，水化学类型沿用原生产地质报告地下水类型</w:t>
      </w:r>
      <w:r>
        <w:rPr>
          <w:rFonts w:hint="eastAsia"/>
          <w:color w:val="000000" w:themeColor="text1"/>
          <w:sz w:val="24"/>
          <w:highlight w:val="none"/>
          <w:lang w:eastAsia="zh-CN"/>
          <w14:textFill>
            <w14:solidFill>
              <w14:schemeClr w14:val="tx1"/>
            </w14:solidFill>
          </w14:textFill>
        </w:rPr>
        <w:t>。</w:t>
      </w:r>
    </w:p>
    <w:p w14:paraId="75622A7D">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M1033铁矿水文地质图见图4.1-3，水文地质剖面图见图4.1-4</w:t>
      </w:r>
      <w:r>
        <w:rPr>
          <w:rFonts w:hint="eastAsia"/>
          <w:color w:val="000000" w:themeColor="text1"/>
          <w:sz w:val="24"/>
          <w:highlight w:val="none"/>
          <w14:textFill>
            <w14:solidFill>
              <w14:schemeClr w14:val="tx1"/>
            </w14:solidFill>
          </w14:textFill>
        </w:rPr>
        <w:t>。</w:t>
      </w:r>
    </w:p>
    <w:p w14:paraId="36B7A7CA">
      <w:pPr>
        <w:pStyle w:val="5"/>
        <w:spacing w:before="0" w:after="0" w:line="480" w:lineRule="exact"/>
        <w:ind w:firstLine="482"/>
        <w:rPr>
          <w:rFonts w:hint="eastAsia" w:ascii="Times New Roman" w:hAnsi="Times New Roman"/>
          <w:bCs w:val="0"/>
          <w:color w:val="000000" w:themeColor="text1"/>
          <w:kern w:val="2"/>
          <w:szCs w:val="24"/>
          <w:highlight w:val="none"/>
          <w14:textFill>
            <w14:solidFill>
              <w14:schemeClr w14:val="tx1"/>
            </w14:solidFill>
          </w14:textFill>
        </w:rPr>
      </w:pPr>
      <w:r>
        <w:rPr>
          <w:rFonts w:hint="eastAsia" w:ascii="Times New Roman" w:hAnsi="Times New Roman"/>
          <w:bCs w:val="0"/>
          <w:color w:val="000000" w:themeColor="text1"/>
          <w:kern w:val="2"/>
          <w:szCs w:val="24"/>
          <w:highlight w:val="none"/>
          <w14:textFill>
            <w14:solidFill>
              <w14:schemeClr w14:val="tx1"/>
            </w14:solidFill>
          </w14:textFill>
        </w:rPr>
        <w:t>4.1.</w:t>
      </w:r>
      <w:r>
        <w:rPr>
          <w:rFonts w:hint="eastAsia"/>
          <w:bCs w:val="0"/>
          <w:color w:val="000000" w:themeColor="text1"/>
          <w:kern w:val="2"/>
          <w:szCs w:val="24"/>
          <w:highlight w:val="none"/>
          <w:lang w:val="en-US" w:eastAsia="zh-CN"/>
          <w14:textFill>
            <w14:solidFill>
              <w14:schemeClr w14:val="tx1"/>
            </w14:solidFill>
          </w14:textFill>
        </w:rPr>
        <w:t>4</w:t>
      </w:r>
      <w:r>
        <w:rPr>
          <w:rFonts w:hint="eastAsia" w:ascii="Times New Roman" w:hAnsi="Times New Roman"/>
          <w:bCs w:val="0"/>
          <w:color w:val="000000" w:themeColor="text1"/>
          <w:kern w:val="2"/>
          <w:szCs w:val="24"/>
          <w:highlight w:val="none"/>
          <w14:textFill>
            <w14:solidFill>
              <w14:schemeClr w14:val="tx1"/>
            </w14:solidFill>
          </w14:textFill>
        </w:rPr>
        <w:t>.</w:t>
      </w:r>
      <w:r>
        <w:rPr>
          <w:rFonts w:ascii="Times New Roman" w:hAnsi="Times New Roman"/>
          <w:bCs w:val="0"/>
          <w:color w:val="000000" w:themeColor="text1"/>
          <w:kern w:val="2"/>
          <w:szCs w:val="24"/>
          <w:highlight w:val="none"/>
          <w14:textFill>
            <w14:solidFill>
              <w14:schemeClr w14:val="tx1"/>
            </w14:solidFill>
          </w14:textFill>
        </w:rPr>
        <w:t>4</w:t>
      </w:r>
      <w:r>
        <w:rPr>
          <w:rFonts w:hint="eastAsia" w:ascii="Times New Roman" w:hAnsi="Times New Roman"/>
          <w:bCs w:val="0"/>
          <w:color w:val="000000" w:themeColor="text1"/>
          <w:kern w:val="2"/>
          <w:szCs w:val="24"/>
          <w:highlight w:val="none"/>
          <w14:textFill>
            <w14:solidFill>
              <w14:schemeClr w14:val="tx1"/>
            </w14:solidFill>
          </w14:textFill>
        </w:rPr>
        <w:t>工程地质</w:t>
      </w:r>
    </w:p>
    <w:p w14:paraId="0E6C6FEF">
      <w:pPr>
        <w:spacing w:line="480" w:lineRule="exact"/>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根据《哈密市西成矿业有限责任公司M1033铁矿选矿厂改建工程岩土工程详细勘察</w:t>
      </w:r>
      <w:r>
        <w:rPr>
          <w:rFonts w:hint="eastAsia"/>
          <w:color w:val="000000" w:themeColor="text1"/>
          <w:szCs w:val="24"/>
          <w:lang w:val="en-US" w:eastAsia="zh-CN"/>
          <w14:textFill>
            <w14:solidFill>
              <w14:schemeClr w14:val="tx1"/>
            </w14:solidFill>
          </w14:textFill>
        </w:rPr>
        <w:t>报告</w:t>
      </w:r>
      <w:r>
        <w:rPr>
          <w:rFonts w:hint="eastAsia"/>
          <w:color w:val="000000" w:themeColor="text1"/>
          <w:sz w:val="24"/>
          <w:lang w:val="en-US" w:eastAsia="zh-CN"/>
          <w14:textFill>
            <w14:solidFill>
              <w14:schemeClr w14:val="tx1"/>
            </w14:solidFill>
          </w14:textFill>
        </w:rPr>
        <w:t>》，各地层渗透系数经验值详见下表。</w:t>
      </w:r>
    </w:p>
    <w:p w14:paraId="331AAC37">
      <w:pPr>
        <w:spacing w:line="480" w:lineRule="exact"/>
        <w:jc w:val="center"/>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表4.1-1    渗透系数统计表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14DDC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00" w:type="pct"/>
            <w:tcBorders>
              <w:tl2br w:val="nil"/>
              <w:tr2bl w:val="nil"/>
            </w:tcBorders>
            <w:vAlign w:val="center"/>
          </w:tcPr>
          <w:p w14:paraId="28600C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层号及地层</w:t>
            </w:r>
          </w:p>
        </w:tc>
        <w:tc>
          <w:tcPr>
            <w:tcW w:w="2500" w:type="pct"/>
            <w:tcBorders>
              <w:tl2br w:val="nil"/>
              <w:tr2bl w:val="nil"/>
            </w:tcBorders>
            <w:vAlign w:val="center"/>
          </w:tcPr>
          <w:p w14:paraId="1C9F23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渗透系数K（cm/s）</w:t>
            </w:r>
          </w:p>
        </w:tc>
      </w:tr>
      <w:tr w14:paraId="1E9BA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7676AC8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①层角砾</w:t>
            </w:r>
          </w:p>
        </w:tc>
        <w:tc>
          <w:tcPr>
            <w:tcW w:w="2500" w:type="pct"/>
            <w:tcBorders>
              <w:tl2br w:val="nil"/>
              <w:tr2bl w:val="nil"/>
            </w:tcBorders>
            <w:vAlign w:val="center"/>
          </w:tcPr>
          <w:p w14:paraId="570801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5.2×10</w:t>
            </w:r>
            <w:r>
              <w:rPr>
                <w:rFonts w:hint="eastAsia"/>
                <w:color w:val="000000" w:themeColor="text1"/>
                <w:sz w:val="21"/>
                <w:szCs w:val="21"/>
                <w:vertAlign w:val="superscript"/>
                <w:lang w:val="en-US" w:eastAsia="zh-CN"/>
                <w14:textFill>
                  <w14:solidFill>
                    <w14:schemeClr w14:val="tx1"/>
                  </w14:solidFill>
                </w14:textFill>
              </w:rPr>
              <w:t>-2</w:t>
            </w:r>
            <w:r>
              <w:rPr>
                <w:rFonts w:hint="eastAsia"/>
                <w:color w:val="000000" w:themeColor="text1"/>
                <w:sz w:val="21"/>
                <w:szCs w:val="21"/>
                <w:vertAlign w:val="baseline"/>
                <w:lang w:val="en-US" w:eastAsia="zh-CN"/>
                <w14:textFill>
                  <w14:solidFill>
                    <w14:schemeClr w14:val="tx1"/>
                  </w14:solidFill>
                </w14:textFill>
              </w:rPr>
              <w:t>~5.78×10</w:t>
            </w:r>
            <w:r>
              <w:rPr>
                <w:rFonts w:hint="eastAsia"/>
                <w:color w:val="000000" w:themeColor="text1"/>
                <w:sz w:val="21"/>
                <w:szCs w:val="21"/>
                <w:vertAlign w:val="superscript"/>
                <w:lang w:val="en-US" w:eastAsia="zh-CN"/>
                <w14:textFill>
                  <w14:solidFill>
                    <w14:schemeClr w14:val="tx1"/>
                  </w14:solidFill>
                </w14:textFill>
              </w:rPr>
              <w:t>-2</w:t>
            </w:r>
          </w:p>
        </w:tc>
      </w:tr>
      <w:tr w14:paraId="664A01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2CB757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②层粉质黏土</w:t>
            </w:r>
          </w:p>
        </w:tc>
        <w:tc>
          <w:tcPr>
            <w:tcW w:w="2500" w:type="pct"/>
            <w:tcBorders>
              <w:tl2br w:val="nil"/>
              <w:tr2bl w:val="nil"/>
            </w:tcBorders>
            <w:vAlign w:val="center"/>
          </w:tcPr>
          <w:p w14:paraId="34DBB6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1.14×10</w:t>
            </w:r>
            <w:r>
              <w:rPr>
                <w:rFonts w:hint="eastAsia"/>
                <w:color w:val="000000" w:themeColor="text1"/>
                <w:sz w:val="21"/>
                <w:szCs w:val="21"/>
                <w:vertAlign w:val="superscript"/>
                <w:lang w:val="en-US" w:eastAsia="zh-CN"/>
                <w14:textFill>
                  <w14:solidFill>
                    <w14:schemeClr w14:val="tx1"/>
                  </w14:solidFill>
                </w14:textFill>
              </w:rPr>
              <w:t>-6</w:t>
            </w:r>
            <w:r>
              <w:rPr>
                <w:rFonts w:hint="eastAsia"/>
                <w:color w:val="000000" w:themeColor="text1"/>
                <w:sz w:val="21"/>
                <w:szCs w:val="21"/>
                <w:vertAlign w:val="baseline"/>
                <w:lang w:val="en-US" w:eastAsia="zh-CN"/>
                <w14:textFill>
                  <w14:solidFill>
                    <w14:schemeClr w14:val="tx1"/>
                  </w14:solidFill>
                </w14:textFill>
              </w:rPr>
              <w:t>~2.25×10</w:t>
            </w:r>
            <w:r>
              <w:rPr>
                <w:rFonts w:hint="eastAsia"/>
                <w:color w:val="000000" w:themeColor="text1"/>
                <w:sz w:val="21"/>
                <w:szCs w:val="21"/>
                <w:vertAlign w:val="superscript"/>
                <w:lang w:val="en-US" w:eastAsia="zh-CN"/>
                <w14:textFill>
                  <w14:solidFill>
                    <w14:schemeClr w14:val="tx1"/>
                  </w14:solidFill>
                </w14:textFill>
              </w:rPr>
              <w:t>-5</w:t>
            </w:r>
          </w:p>
        </w:tc>
      </w:tr>
      <w:tr w14:paraId="46771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42669D4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③层残积土</w:t>
            </w:r>
          </w:p>
        </w:tc>
        <w:tc>
          <w:tcPr>
            <w:tcW w:w="2500" w:type="pct"/>
            <w:tcBorders>
              <w:tl2br w:val="nil"/>
              <w:tr2bl w:val="nil"/>
            </w:tcBorders>
            <w:vAlign w:val="center"/>
          </w:tcPr>
          <w:p w14:paraId="0F4EE6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3×10</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vertAlign w:val="baseline"/>
                <w:lang w:val="en-US" w:eastAsia="zh-CN"/>
                <w14:textFill>
                  <w14:solidFill>
                    <w14:schemeClr w14:val="tx1"/>
                  </w14:solidFill>
                </w14:textFill>
              </w:rPr>
              <w:t>~5×10</w:t>
            </w:r>
            <w:r>
              <w:rPr>
                <w:rFonts w:hint="eastAsia"/>
                <w:color w:val="000000" w:themeColor="text1"/>
                <w:sz w:val="21"/>
                <w:szCs w:val="21"/>
                <w:vertAlign w:val="superscript"/>
                <w:lang w:val="en-US" w:eastAsia="zh-CN"/>
                <w14:textFill>
                  <w14:solidFill>
                    <w14:schemeClr w14:val="tx1"/>
                  </w14:solidFill>
                </w14:textFill>
              </w:rPr>
              <w:t>-3</w:t>
            </w:r>
          </w:p>
        </w:tc>
      </w:tr>
      <w:tr w14:paraId="1A0B5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0058D6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④层大理岩</w:t>
            </w:r>
          </w:p>
        </w:tc>
        <w:tc>
          <w:tcPr>
            <w:tcW w:w="2500" w:type="pct"/>
            <w:tcBorders>
              <w:tl2br w:val="nil"/>
              <w:tr2bl w:val="nil"/>
            </w:tcBorders>
            <w:vAlign w:val="center"/>
          </w:tcPr>
          <w:p w14:paraId="4AEDB7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3×10</w:t>
            </w:r>
            <w:r>
              <w:rPr>
                <w:rFonts w:hint="eastAsia"/>
                <w:color w:val="000000" w:themeColor="text1"/>
                <w:sz w:val="21"/>
                <w:szCs w:val="21"/>
                <w:vertAlign w:val="superscript"/>
                <w:lang w:val="en-US" w:eastAsia="zh-CN"/>
                <w14:textFill>
                  <w14:solidFill>
                    <w14:schemeClr w14:val="tx1"/>
                  </w14:solidFill>
                </w14:textFill>
              </w:rPr>
              <w:t>-4</w:t>
            </w:r>
            <w:r>
              <w:rPr>
                <w:rFonts w:hint="eastAsia"/>
                <w:color w:val="000000" w:themeColor="text1"/>
                <w:sz w:val="21"/>
                <w:szCs w:val="21"/>
                <w:vertAlign w:val="baseline"/>
                <w:lang w:val="en-US" w:eastAsia="zh-CN"/>
                <w14:textFill>
                  <w14:solidFill>
                    <w14:schemeClr w14:val="tx1"/>
                  </w14:solidFill>
                </w14:textFill>
              </w:rPr>
              <w:t>~5×10</w:t>
            </w:r>
            <w:r>
              <w:rPr>
                <w:rFonts w:hint="eastAsia"/>
                <w:color w:val="000000" w:themeColor="text1"/>
                <w:sz w:val="21"/>
                <w:szCs w:val="21"/>
                <w:vertAlign w:val="superscript"/>
                <w:lang w:val="en-US" w:eastAsia="zh-CN"/>
                <w14:textFill>
                  <w14:solidFill>
                    <w14:schemeClr w14:val="tx1"/>
                  </w14:solidFill>
                </w14:textFill>
              </w:rPr>
              <w:t>-3</w:t>
            </w:r>
          </w:p>
        </w:tc>
      </w:tr>
      <w:tr w14:paraId="006E7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65A24A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⑤层大理岩</w:t>
            </w:r>
          </w:p>
        </w:tc>
        <w:tc>
          <w:tcPr>
            <w:tcW w:w="2500" w:type="pct"/>
            <w:tcBorders>
              <w:tl2br w:val="nil"/>
              <w:tr2bl w:val="nil"/>
            </w:tcBorders>
            <w:vAlign w:val="center"/>
          </w:tcPr>
          <w:p w14:paraId="4CA128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3×10</w:t>
            </w:r>
            <w:r>
              <w:rPr>
                <w:rFonts w:hint="eastAsia"/>
                <w:color w:val="000000" w:themeColor="text1"/>
                <w:sz w:val="21"/>
                <w:szCs w:val="21"/>
                <w:vertAlign w:val="superscript"/>
                <w:lang w:val="en-US" w:eastAsia="zh-CN"/>
                <w14:textFill>
                  <w14:solidFill>
                    <w14:schemeClr w14:val="tx1"/>
                  </w14:solidFill>
                </w14:textFill>
              </w:rPr>
              <w:t>-4</w:t>
            </w:r>
            <w:r>
              <w:rPr>
                <w:rFonts w:hint="eastAsia"/>
                <w:color w:val="000000" w:themeColor="text1"/>
                <w:sz w:val="21"/>
                <w:szCs w:val="21"/>
                <w:vertAlign w:val="baseline"/>
                <w:lang w:val="en-US" w:eastAsia="zh-CN"/>
                <w14:textFill>
                  <w14:solidFill>
                    <w14:schemeClr w14:val="tx1"/>
                  </w14:solidFill>
                </w14:textFill>
              </w:rPr>
              <w:t>~5×10</w:t>
            </w:r>
            <w:r>
              <w:rPr>
                <w:rFonts w:hint="eastAsia"/>
                <w:color w:val="000000" w:themeColor="text1"/>
                <w:sz w:val="21"/>
                <w:szCs w:val="21"/>
                <w:vertAlign w:val="superscript"/>
                <w:lang w:val="en-US" w:eastAsia="zh-CN"/>
                <w14:textFill>
                  <w14:solidFill>
                    <w14:schemeClr w14:val="tx1"/>
                  </w14:solidFill>
                </w14:textFill>
              </w:rPr>
              <w:t>-4</w:t>
            </w:r>
          </w:p>
        </w:tc>
      </w:tr>
      <w:tr w14:paraId="7069B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16C74D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⑥层大理岩</w:t>
            </w:r>
          </w:p>
        </w:tc>
        <w:tc>
          <w:tcPr>
            <w:tcW w:w="2500" w:type="pct"/>
            <w:tcBorders>
              <w:tl2br w:val="nil"/>
              <w:tr2bl w:val="nil"/>
            </w:tcBorders>
            <w:vAlign w:val="center"/>
          </w:tcPr>
          <w:p w14:paraId="3A3F02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textAlignment w:val="auto"/>
              <w:rPr>
                <w:rFonts w:hint="eastAsia"/>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3×10</w:t>
            </w:r>
            <w:r>
              <w:rPr>
                <w:rFonts w:hint="eastAsia"/>
                <w:color w:val="000000" w:themeColor="text1"/>
                <w:sz w:val="21"/>
                <w:szCs w:val="21"/>
                <w:vertAlign w:val="superscript"/>
                <w:lang w:val="en-US" w:eastAsia="zh-CN"/>
                <w14:textFill>
                  <w14:solidFill>
                    <w14:schemeClr w14:val="tx1"/>
                  </w14:solidFill>
                </w14:textFill>
              </w:rPr>
              <w:t>-5</w:t>
            </w:r>
            <w:r>
              <w:rPr>
                <w:rFonts w:hint="eastAsia"/>
                <w:color w:val="000000" w:themeColor="text1"/>
                <w:sz w:val="21"/>
                <w:szCs w:val="21"/>
                <w:vertAlign w:val="baseline"/>
                <w:lang w:val="en-US" w:eastAsia="zh-CN"/>
                <w14:textFill>
                  <w14:solidFill>
                    <w14:schemeClr w14:val="tx1"/>
                  </w14:solidFill>
                </w14:textFill>
              </w:rPr>
              <w:t>~5×10</w:t>
            </w:r>
            <w:r>
              <w:rPr>
                <w:rFonts w:hint="eastAsia"/>
                <w:color w:val="000000" w:themeColor="text1"/>
                <w:sz w:val="21"/>
                <w:szCs w:val="21"/>
                <w:vertAlign w:val="superscript"/>
                <w:lang w:val="en-US" w:eastAsia="zh-CN"/>
                <w14:textFill>
                  <w14:solidFill>
                    <w14:schemeClr w14:val="tx1"/>
                  </w14:solidFill>
                </w14:textFill>
              </w:rPr>
              <w:t>-4</w:t>
            </w:r>
          </w:p>
        </w:tc>
      </w:tr>
    </w:tbl>
    <w:p w14:paraId="56915A12">
      <w:pPr>
        <w:pStyle w:val="5"/>
        <w:spacing w:before="0" w:after="0" w:line="480" w:lineRule="exact"/>
        <w:ind w:firstLine="482"/>
        <w:rPr>
          <w:rFonts w:hint="eastAsia" w:ascii="Times New Roman" w:hAnsi="Times New Roman"/>
          <w:bCs w:val="0"/>
          <w:color w:val="000000" w:themeColor="text1"/>
          <w:kern w:val="2"/>
          <w:szCs w:val="24"/>
          <w:highlight w:val="none"/>
          <w14:textFill>
            <w14:solidFill>
              <w14:schemeClr w14:val="tx1"/>
            </w14:solidFill>
          </w14:textFill>
        </w:rPr>
      </w:pPr>
      <w:r>
        <w:rPr>
          <w:rFonts w:hint="eastAsia" w:ascii="Times New Roman" w:hAnsi="Times New Roman"/>
          <w:bCs w:val="0"/>
          <w:color w:val="000000" w:themeColor="text1"/>
          <w:kern w:val="2"/>
          <w:szCs w:val="24"/>
          <w:highlight w:val="none"/>
          <w14:textFill>
            <w14:solidFill>
              <w14:schemeClr w14:val="tx1"/>
            </w14:solidFill>
          </w14:textFill>
        </w:rPr>
        <w:t>4.1.</w:t>
      </w:r>
      <w:r>
        <w:rPr>
          <w:rFonts w:hint="eastAsia"/>
          <w:bCs w:val="0"/>
          <w:color w:val="000000" w:themeColor="text1"/>
          <w:kern w:val="2"/>
          <w:szCs w:val="24"/>
          <w:highlight w:val="none"/>
          <w:lang w:val="en-US" w:eastAsia="zh-CN"/>
          <w14:textFill>
            <w14:solidFill>
              <w14:schemeClr w14:val="tx1"/>
            </w14:solidFill>
          </w14:textFill>
        </w:rPr>
        <w:t>4</w:t>
      </w:r>
      <w:r>
        <w:rPr>
          <w:rFonts w:hint="eastAsia" w:ascii="Times New Roman" w:hAnsi="Times New Roman"/>
          <w:bCs w:val="0"/>
          <w:color w:val="000000" w:themeColor="text1"/>
          <w:kern w:val="2"/>
          <w:szCs w:val="24"/>
          <w:highlight w:val="none"/>
          <w14:textFill>
            <w14:solidFill>
              <w14:schemeClr w14:val="tx1"/>
            </w14:solidFill>
          </w14:textFill>
        </w:rPr>
        <w:t>.</w:t>
      </w:r>
      <w:r>
        <w:rPr>
          <w:rFonts w:ascii="Times New Roman" w:hAnsi="Times New Roman"/>
          <w:bCs w:val="0"/>
          <w:color w:val="000000" w:themeColor="text1"/>
          <w:kern w:val="2"/>
          <w:szCs w:val="24"/>
          <w:highlight w:val="none"/>
          <w14:textFill>
            <w14:solidFill>
              <w14:schemeClr w14:val="tx1"/>
            </w14:solidFill>
          </w14:textFill>
        </w:rPr>
        <w:t>5</w:t>
      </w:r>
      <w:r>
        <w:rPr>
          <w:rFonts w:hint="eastAsia" w:ascii="Times New Roman" w:hAnsi="Times New Roman"/>
          <w:bCs w:val="0"/>
          <w:color w:val="000000" w:themeColor="text1"/>
          <w:kern w:val="2"/>
          <w:szCs w:val="24"/>
          <w:highlight w:val="none"/>
          <w14:textFill>
            <w14:solidFill>
              <w14:schemeClr w14:val="tx1"/>
            </w14:solidFill>
          </w14:textFill>
        </w:rPr>
        <w:t>环境地质</w:t>
      </w:r>
    </w:p>
    <w:p w14:paraId="2274F21F">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区域稳定性评价</w:t>
      </w:r>
    </w:p>
    <w:p w14:paraId="1FFFB4B6">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根据《中国地震动峰值加速度区划图》（GB18306-2015）</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地震动峰值加速度为0.05g，对应地震基本烈度为Ⅵ度。区内地壳呈层状构造，断裂构造强度较低，地壳完整性较好。因此根据地壳稳定性等级综合评价，</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所在区域地壳稳定性等级属稳定区，工程建设条件良好。</w:t>
      </w:r>
    </w:p>
    <w:p w14:paraId="265254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042A6C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7B4F88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0D5A1C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60DDC5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738B0D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4F258C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5822F4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350BB2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7ECABE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1A1A89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4508D6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39A1DB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15A114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2750A9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2B04EA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19D004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39D5AE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4D372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73BDA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17246F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highlight w:val="none"/>
          <w14:textFill>
            <w14:solidFill>
              <w14:schemeClr w14:val="tx1"/>
            </w14:solidFill>
          </w14:textFill>
        </w:rPr>
      </w:pPr>
    </w:p>
    <w:p w14:paraId="54E9B497">
      <w:pPr>
        <w:spacing w:line="480" w:lineRule="exact"/>
        <w:ind w:left="0" w:leftChars="0" w:firstLine="0" w:firstLineChars="0"/>
        <w:jc w:val="center"/>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图4</w:t>
      </w:r>
      <w:r>
        <w:rPr>
          <w:b/>
          <w:color w:val="000000" w:themeColor="text1"/>
          <w:sz w:val="24"/>
          <w:highlight w:val="none"/>
          <w14:textFill>
            <w14:solidFill>
              <w14:schemeClr w14:val="tx1"/>
            </w14:solidFill>
          </w14:textFill>
        </w:rPr>
        <w:t>.1-</w:t>
      </w:r>
      <w:r>
        <w:rPr>
          <w:rFonts w:hint="eastAsia"/>
          <w:b/>
          <w:color w:val="000000" w:themeColor="text1"/>
          <w:sz w:val="24"/>
          <w:highlight w:val="none"/>
          <w:lang w:val="en-US" w:eastAsia="zh-CN"/>
          <w14:textFill>
            <w14:solidFill>
              <w14:schemeClr w14:val="tx1"/>
            </w14:solidFill>
          </w14:textFill>
        </w:rPr>
        <w:t>5</w:t>
      </w:r>
      <w:r>
        <w:rPr>
          <w:b/>
          <w:color w:val="000000" w:themeColor="text1"/>
          <w:sz w:val="24"/>
          <w:highlight w:val="none"/>
          <w14:textFill>
            <w14:solidFill>
              <w14:schemeClr w14:val="tx1"/>
            </w14:solidFill>
          </w14:textFill>
        </w:rPr>
        <w:t xml:space="preserve">    </w:t>
      </w:r>
      <w:r>
        <w:rPr>
          <w:rFonts w:hint="eastAsia"/>
          <w:b/>
          <w:color w:val="000000" w:themeColor="text1"/>
          <w:sz w:val="24"/>
          <w:highlight w:val="none"/>
          <w14:textFill>
            <w14:solidFill>
              <w14:schemeClr w14:val="tx1"/>
            </w14:solidFill>
          </w14:textFill>
        </w:rPr>
        <w:t>地震动峰值加速度区划图</w:t>
      </w:r>
    </w:p>
    <w:p w14:paraId="36AA518E">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地震</w:t>
      </w:r>
    </w:p>
    <w:p w14:paraId="73753E5A">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区内新构造运动，主要表现为对老构造的继承性，亦有本期构造变动的新生性，时间上具有阶段性、间歇性及振荡性，活动方式以差异性垂直升降运动为主，在中新世后也曾有过相当普遍的活动。新构造运动塑造了区内近期地史发展的最新面貌。本区内近几十年未发生过大的地震及其他地质灾害。</w:t>
      </w:r>
    </w:p>
    <w:p w14:paraId="48B36242">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环境地质现状</w:t>
      </w:r>
    </w:p>
    <w:p w14:paraId="737E2D52">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区为低山丘陵地貌。海拔1237.57～1254.20m之间，相对高差2～5m，最大高差17m，总体为北高南低，区内地势起伏不大，无陡崖，自然排水条件较好，现场调查未发现泥石流、滑坡、崩塌地质灾害发生的痕迹。因此，现状评估</w:t>
      </w:r>
      <w:r>
        <w:rPr>
          <w:rFonts w:hint="eastAsia"/>
          <w:color w:val="000000" w:themeColor="text1"/>
          <w:sz w:val="24"/>
          <w:highlight w:val="none"/>
          <w:lang w:val="en-US"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发生泥石流、滑坡、崩塌、塌陷地质灾害的可能性小。</w:t>
      </w:r>
    </w:p>
    <w:p w14:paraId="54674FEE">
      <w:pPr>
        <w:pStyle w:val="4"/>
        <w:spacing w:before="60" w:after="60" w:line="480" w:lineRule="exact"/>
        <w:rPr>
          <w:color w:val="000000" w:themeColor="text1"/>
          <w:kern w:val="2"/>
          <w:highlight w:val="none"/>
          <w14:textFill>
            <w14:solidFill>
              <w14:schemeClr w14:val="tx1"/>
            </w14:solidFill>
          </w14:textFill>
        </w:rPr>
      </w:pPr>
      <w:bookmarkStart w:id="641" w:name="_Toc5863"/>
      <w:r>
        <w:rPr>
          <w:rFonts w:hint="eastAsia"/>
          <w:color w:val="000000" w:themeColor="text1"/>
          <w:kern w:val="2"/>
          <w:highlight w:val="none"/>
          <w14:textFill>
            <w14:solidFill>
              <w14:schemeClr w14:val="tx1"/>
            </w14:solidFill>
          </w14:textFill>
        </w:rPr>
        <w:t>4.1.</w:t>
      </w:r>
      <w:r>
        <w:rPr>
          <w:rFonts w:hint="eastAsia"/>
          <w:color w:val="000000" w:themeColor="text1"/>
          <w:kern w:val="2"/>
          <w:highlight w:val="none"/>
          <w:lang w:val="en-US" w:eastAsia="zh-CN"/>
          <w14:textFill>
            <w14:solidFill>
              <w14:schemeClr w14:val="tx1"/>
            </w14:solidFill>
          </w14:textFill>
        </w:rPr>
        <w:t>5</w:t>
      </w:r>
      <w:r>
        <w:rPr>
          <w:rFonts w:hint="eastAsia"/>
          <w:color w:val="000000" w:themeColor="text1"/>
          <w:kern w:val="2"/>
          <w:highlight w:val="none"/>
          <w14:textFill>
            <w14:solidFill>
              <w14:schemeClr w14:val="tx1"/>
            </w14:solidFill>
          </w14:textFill>
        </w:rPr>
        <w:t>地表水</w:t>
      </w:r>
      <w:bookmarkEnd w:id="641"/>
    </w:p>
    <w:p w14:paraId="6C432A9F">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及附近地区地表水体不发育，无常年性流水，仅在6～8月份雨季，暴雨时期在地表形成暂时性水流在低洼地汇集蒸发，区内沟谷不发育。</w:t>
      </w:r>
    </w:p>
    <w:p w14:paraId="347ECC14">
      <w:pPr>
        <w:pStyle w:val="4"/>
        <w:spacing w:before="60" w:after="60" w:line="480" w:lineRule="exact"/>
        <w:rPr>
          <w:color w:val="000000" w:themeColor="text1"/>
          <w:kern w:val="2"/>
          <w:highlight w:val="none"/>
          <w14:textFill>
            <w14:solidFill>
              <w14:schemeClr w14:val="tx1"/>
            </w14:solidFill>
          </w14:textFill>
        </w:rPr>
      </w:pPr>
      <w:bookmarkStart w:id="642" w:name="_Toc21558"/>
      <w:r>
        <w:rPr>
          <w:color w:val="000000" w:themeColor="text1"/>
          <w:kern w:val="2"/>
          <w:highlight w:val="none"/>
          <w14:textFill>
            <w14:solidFill>
              <w14:schemeClr w14:val="tx1"/>
            </w14:solidFill>
          </w14:textFill>
        </w:rPr>
        <w:t>4.1.</w:t>
      </w:r>
      <w:r>
        <w:rPr>
          <w:rFonts w:hint="eastAsia"/>
          <w:color w:val="000000" w:themeColor="text1"/>
          <w:kern w:val="2"/>
          <w:highlight w:val="none"/>
          <w:lang w:val="en-US" w:eastAsia="zh-CN"/>
          <w14:textFill>
            <w14:solidFill>
              <w14:schemeClr w14:val="tx1"/>
            </w14:solidFill>
          </w14:textFill>
        </w:rPr>
        <w:t>6</w:t>
      </w:r>
      <w:r>
        <w:rPr>
          <w:rFonts w:hint="eastAsia"/>
          <w:color w:val="000000" w:themeColor="text1"/>
          <w:kern w:val="2"/>
          <w:highlight w:val="none"/>
          <w14:textFill>
            <w14:solidFill>
              <w14:schemeClr w14:val="tx1"/>
            </w14:solidFill>
          </w14:textFill>
        </w:rPr>
        <w:t>地震等级</w:t>
      </w:r>
      <w:bookmarkEnd w:id="642"/>
    </w:p>
    <w:p w14:paraId="082E83A2">
      <w:pPr>
        <w:pStyle w:val="41"/>
        <w:overflowPunct w:val="0"/>
        <w:topLinePunct/>
        <w:spacing w:line="480" w:lineRule="exact"/>
        <w:ind w:firstLine="480"/>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根据《中国地震动参数区划图》</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GB18306-2001</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区内地震烈度为Ⅵ度区，地震动峰值加速度为0.05g。</w:t>
      </w:r>
    </w:p>
    <w:p w14:paraId="18BB3FBA">
      <w:pPr>
        <w:pStyle w:val="3"/>
        <w:rPr>
          <w:color w:val="000000" w:themeColor="text1"/>
          <w:highlight w:val="none"/>
          <w14:textFill>
            <w14:solidFill>
              <w14:schemeClr w14:val="tx1"/>
            </w14:solidFill>
          </w14:textFill>
        </w:rPr>
      </w:pPr>
      <w:bookmarkStart w:id="643" w:name="_Toc14371"/>
      <w:bookmarkStart w:id="644" w:name="_Toc107414662"/>
      <w:bookmarkStart w:id="645" w:name="_Toc30264"/>
      <w:bookmarkStart w:id="646" w:name="_Toc13643"/>
      <w:bookmarkStart w:id="647" w:name="_Toc27071"/>
      <w:bookmarkStart w:id="648" w:name="_Toc107413895"/>
      <w:bookmarkStart w:id="649" w:name="_Toc12837"/>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2</w:t>
      </w:r>
      <w:bookmarkStart w:id="650" w:name="_Toc20418"/>
      <w:bookmarkStart w:id="651" w:name="_Toc26966"/>
      <w:bookmarkStart w:id="652" w:name="_Toc10930"/>
      <w:bookmarkStart w:id="653" w:name="_Toc15748"/>
      <w:bookmarkStart w:id="654" w:name="_Toc611"/>
      <w:bookmarkStart w:id="655" w:name="_Toc13419"/>
      <w:bookmarkStart w:id="656" w:name="_Toc14680"/>
      <w:bookmarkStart w:id="657" w:name="_Toc7315"/>
      <w:bookmarkStart w:id="658" w:name="_Toc27679"/>
      <w:bookmarkStart w:id="659" w:name="_Toc20695"/>
      <w:bookmarkStart w:id="660" w:name="_Toc23905"/>
      <w:bookmarkStart w:id="661" w:name="_Toc31678"/>
      <w:bookmarkStart w:id="662" w:name="_Toc5163"/>
      <w:r>
        <w:rPr>
          <w:color w:val="000000" w:themeColor="text1"/>
          <w:highlight w:val="none"/>
          <w14:textFill>
            <w14:solidFill>
              <w14:schemeClr w14:val="tx1"/>
            </w14:solidFill>
          </w14:textFill>
        </w:rPr>
        <w:t>环境质量现状调查与评价</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65558C70">
      <w:pPr>
        <w:pStyle w:val="4"/>
        <w:rPr>
          <w:color w:val="000000" w:themeColor="text1"/>
          <w:highlight w:val="none"/>
          <w14:textFill>
            <w14:solidFill>
              <w14:schemeClr w14:val="tx1"/>
            </w14:solidFill>
          </w14:textFill>
        </w:rPr>
      </w:pPr>
      <w:bookmarkStart w:id="663" w:name="_Toc341282358"/>
      <w:bookmarkStart w:id="664" w:name="_Toc21136"/>
      <w:bookmarkStart w:id="665" w:name="_Toc484105105"/>
      <w:bookmarkStart w:id="666" w:name="_Toc10860"/>
      <w:bookmarkStart w:id="667" w:name="_Toc5243"/>
      <w:bookmarkStart w:id="668" w:name="_Toc4027"/>
      <w:bookmarkStart w:id="669" w:name="_Toc24390"/>
      <w:bookmarkStart w:id="670" w:name="_Toc32466"/>
      <w:bookmarkStart w:id="671" w:name="_Toc19413"/>
      <w:bookmarkStart w:id="672" w:name="_Toc24064"/>
      <w:bookmarkStart w:id="673" w:name="_Toc6403"/>
      <w:bookmarkStart w:id="674" w:name="_Toc12143"/>
      <w:bookmarkStart w:id="675" w:name="_Toc370052902"/>
      <w:bookmarkStart w:id="676" w:name="_Toc493523109"/>
      <w:bookmarkStart w:id="677" w:name="_Toc12180"/>
      <w:bookmarkStart w:id="678" w:name="_Toc391741196"/>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.1大气环境现状调查与评价</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13B79B6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highlight w:val="none"/>
          <w14:textFill>
            <w14:solidFill>
              <w14:schemeClr w14:val="tx1"/>
            </w14:solidFill>
          </w14:textFill>
        </w:rPr>
      </w:pPr>
      <w:bookmarkStart w:id="679" w:name="_Toc7374"/>
      <w:bookmarkStart w:id="680" w:name="_Toc11554"/>
      <w:bookmarkStart w:id="681" w:name="_Toc10684"/>
      <w:r>
        <w:rPr>
          <w:rFonts w:hint="eastAsia"/>
          <w:color w:val="000000" w:themeColor="text1"/>
          <w:sz w:val="24"/>
          <w:szCs w:val="24"/>
          <w:highlight w:val="none"/>
          <w14:textFill>
            <w14:solidFill>
              <w14:schemeClr w14:val="tx1"/>
            </w14:solidFill>
          </w14:textFill>
        </w:rPr>
        <w:t>（1）空气质量达标区的判定</w:t>
      </w:r>
    </w:p>
    <w:p w14:paraId="2EB97F1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本次大气环境影响评价等级为二级。根据《环境影响评价技术导则 大气环境》（HJ2.2-2018）》“6.1.2-二级评价项目-调查项目所在区域环境质量达标情况及调查评价范围内有环境质量标准的评价因子的环境质量监测数据或进行补充监测，用于评价项目所在区域污染物环境质量现状。”</w:t>
      </w:r>
    </w:p>
    <w:p w14:paraId="6E765C5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pacing w:val="0"/>
          <w:sz w:val="24"/>
          <w14:textFill>
            <w14:solidFill>
              <w14:schemeClr w14:val="tx1"/>
            </w14:solidFill>
          </w14:textFill>
        </w:rPr>
      </w:pPr>
      <w:r>
        <w:rPr>
          <w:rFonts w:hint="eastAsia"/>
          <w:color w:val="000000" w:themeColor="text1"/>
          <w:sz w:val="24"/>
          <w:szCs w:val="24"/>
          <w14:textFill>
            <w14:solidFill>
              <w14:schemeClr w14:val="tx1"/>
            </w14:solidFill>
          </w14:textFill>
        </w:rPr>
        <w:t>项目所在区域达标判定，优先采用国家或地方生态环境主管部门公开发布的评价基准年环境质量公告或环境质量报告中的数据或结论；采用评价范围内国家或地方环境空气质量监测网中评价基准年连续1年的监测数据，或采用生态环境主管部门公开发布的环境空气质量现状数据；评价范围内没有环境空气质量监测网数据或公开发布的环境空气质量现状数据的，可选择符合HJ664规定，并且与评价范围地理位置临近，地形、气候条件相近的环境空气质量城市点或区域点的监测数据。</w:t>
      </w:r>
      <w:r>
        <w:rPr>
          <w:rFonts w:hint="default" w:ascii="Times New Roman" w:hAnsi="Times New Roman" w:eastAsia="宋体" w:cs="Times New Roman"/>
          <w:color w:val="000000" w:themeColor="text1"/>
          <w:spacing w:val="0"/>
          <w:sz w:val="24"/>
          <w14:textFill>
            <w14:solidFill>
              <w14:schemeClr w14:val="tx1"/>
            </w14:solidFill>
          </w14:textFill>
        </w:rPr>
        <w:t>本次评价收集了中国环境影响评价网环境空气质量模型技术支持服务系统中与项目所在地最近的哈密市国控点202</w:t>
      </w:r>
      <w:r>
        <w:rPr>
          <w:rFonts w:hint="eastAsia" w:cs="Times New Roman"/>
          <w:color w:val="000000" w:themeColor="text1"/>
          <w:spacing w:val="0"/>
          <w:sz w:val="24"/>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4"/>
          <w14:textFill>
            <w14:solidFill>
              <w14:schemeClr w14:val="tx1"/>
            </w14:solidFill>
          </w14:textFill>
        </w:rPr>
        <w:t>年的环境空气质量监测数据，可作为区域大气达标判定的依据。</w:t>
      </w:r>
    </w:p>
    <w:p w14:paraId="01A1A214">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环境空气质量现状</w:t>
      </w:r>
      <w:r>
        <w:rPr>
          <w:rFonts w:hint="eastAsia"/>
          <w:color w:val="000000" w:themeColor="text1"/>
          <w:sz w:val="24"/>
          <w:szCs w:val="24"/>
          <w:highlight w:val="none"/>
          <w:lang w:eastAsia="zh-CN"/>
          <w14:textFill>
            <w14:solidFill>
              <w14:schemeClr w14:val="tx1"/>
            </w14:solidFill>
          </w14:textFill>
        </w:rPr>
        <w:t>评价</w:t>
      </w:r>
      <w:r>
        <w:rPr>
          <w:rFonts w:hint="eastAsia"/>
          <w:color w:val="000000" w:themeColor="text1"/>
          <w:sz w:val="24"/>
          <w:szCs w:val="24"/>
          <w:highlight w:val="none"/>
          <w14:textFill>
            <w14:solidFill>
              <w14:schemeClr w14:val="tx1"/>
            </w14:solidFill>
          </w14:textFill>
        </w:rPr>
        <w:t>见表4.</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-1。</w:t>
      </w:r>
    </w:p>
    <w:p w14:paraId="1C28D591">
      <w:pPr>
        <w:spacing w:line="480" w:lineRule="exact"/>
        <w:jc w:val="center"/>
        <w:rPr>
          <w:rFonts w:hint="eastAsia"/>
          <w:b/>
          <w:bCs/>
          <w:color w:val="000000" w:themeColor="text1"/>
          <w:kern w:val="10"/>
          <w:sz w:val="24"/>
          <w:szCs w:val="24"/>
          <w:highlight w:val="none"/>
          <w14:textFill>
            <w14:solidFill>
              <w14:schemeClr w14:val="tx1"/>
            </w14:solidFill>
          </w14:textFill>
        </w:rPr>
      </w:pPr>
      <w:r>
        <w:rPr>
          <w:rFonts w:hint="eastAsia"/>
          <w:b/>
          <w:bCs/>
          <w:color w:val="000000" w:themeColor="text1"/>
          <w:kern w:val="10"/>
          <w:sz w:val="24"/>
          <w:szCs w:val="24"/>
          <w:highlight w:val="none"/>
          <w14:textFill>
            <w14:solidFill>
              <w14:schemeClr w14:val="tx1"/>
            </w14:solidFill>
          </w14:textFill>
        </w:rPr>
        <w:t>表4.2-1     哈密市空气质量现状评价表</w:t>
      </w:r>
    </w:p>
    <w:tbl>
      <w:tblPr>
        <w:tblStyle w:val="32"/>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13"/>
        <w:gridCol w:w="754"/>
        <w:gridCol w:w="2701"/>
        <w:gridCol w:w="1105"/>
        <w:gridCol w:w="1126"/>
        <w:gridCol w:w="909"/>
        <w:gridCol w:w="903"/>
      </w:tblGrid>
      <w:tr w14:paraId="661259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0" w:hRule="atLeast"/>
          <w:tblHeader/>
          <w:jc w:val="center"/>
        </w:trPr>
        <w:tc>
          <w:tcPr>
            <w:tcW w:w="595" w:type="pct"/>
            <w:tcBorders>
              <w:tl2br w:val="nil"/>
              <w:tr2bl w:val="nil"/>
            </w:tcBorders>
            <w:noWrap w:val="0"/>
            <w:vAlign w:val="center"/>
          </w:tcPr>
          <w:p w14:paraId="1BC5F5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b/>
                <w:bCs/>
                <w:i w:val="0"/>
                <w:iCs w:val="0"/>
                <w:color w:val="000000" w:themeColor="text1"/>
                <w:sz w:val="21"/>
                <w:szCs w:val="28"/>
                <w:u w:val="none"/>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地区</w:t>
            </w:r>
          </w:p>
        </w:tc>
        <w:tc>
          <w:tcPr>
            <w:tcW w:w="443" w:type="pct"/>
            <w:tcBorders>
              <w:tl2br w:val="nil"/>
              <w:tr2bl w:val="nil"/>
            </w:tcBorders>
            <w:noWrap w:val="0"/>
            <w:vAlign w:val="center"/>
          </w:tcPr>
          <w:p w14:paraId="6026E1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b/>
                <w:bCs/>
                <w:i w:val="0"/>
                <w:iCs w:val="0"/>
                <w:color w:val="000000" w:themeColor="text1"/>
                <w:sz w:val="21"/>
                <w:szCs w:val="28"/>
                <w:u w:val="none"/>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评价因子</w:t>
            </w:r>
          </w:p>
        </w:tc>
        <w:tc>
          <w:tcPr>
            <w:tcW w:w="1586" w:type="pct"/>
            <w:tcBorders>
              <w:tl2br w:val="nil"/>
              <w:tr2bl w:val="nil"/>
            </w:tcBorders>
            <w:noWrap w:val="0"/>
            <w:vAlign w:val="center"/>
          </w:tcPr>
          <w:p w14:paraId="4EB6B9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b/>
                <w:bCs/>
                <w:i w:val="0"/>
                <w:iCs w:val="0"/>
                <w:color w:val="000000" w:themeColor="text1"/>
                <w:sz w:val="21"/>
                <w:szCs w:val="28"/>
                <w:u w:val="none"/>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年评价指标</w:t>
            </w:r>
          </w:p>
        </w:tc>
        <w:tc>
          <w:tcPr>
            <w:tcW w:w="649" w:type="pct"/>
            <w:tcBorders>
              <w:tl2br w:val="nil"/>
              <w:tr2bl w:val="nil"/>
            </w:tcBorders>
            <w:noWrap w:val="0"/>
            <w:vAlign w:val="center"/>
          </w:tcPr>
          <w:p w14:paraId="747B4B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现状浓度</w:t>
            </w:r>
          </w:p>
          <w:p w14:paraId="342499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b/>
                <w:bCs/>
                <w:i w:val="0"/>
                <w:iCs w:val="0"/>
                <w:color w:val="000000" w:themeColor="text1"/>
                <w:sz w:val="21"/>
                <w:szCs w:val="28"/>
                <w:u w:val="none"/>
                <w:lang w:val="en-US"/>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μg/</w:t>
            </w:r>
            <w:r>
              <w:rPr>
                <w:rFonts w:hint="eastAsia"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m</w:t>
            </w:r>
            <w:r>
              <w:rPr>
                <w:rFonts w:hint="eastAsia" w:ascii="Times New Roman" w:hAnsi="Times New Roman" w:eastAsia="宋体" w:cs="宋体"/>
                <w:b/>
                <w:bCs/>
                <w:i w:val="0"/>
                <w:iCs w:val="0"/>
                <w:color w:val="000000" w:themeColor="text1"/>
                <w:kern w:val="0"/>
                <w:sz w:val="21"/>
                <w:szCs w:val="28"/>
                <w:u w:val="none"/>
                <w:vertAlign w:val="superscript"/>
                <w:lang w:val="en-US" w:eastAsia="zh-CN" w:bidi="ar"/>
                <w14:textFill>
                  <w14:solidFill>
                    <w14:schemeClr w14:val="tx1"/>
                  </w14:solidFill>
                </w14:textFill>
              </w:rPr>
              <w:t>3</w:t>
            </w:r>
          </w:p>
        </w:tc>
        <w:tc>
          <w:tcPr>
            <w:tcW w:w="661" w:type="pct"/>
            <w:tcBorders>
              <w:tl2br w:val="nil"/>
              <w:tr2bl w:val="nil"/>
            </w:tcBorders>
            <w:noWrap w:val="0"/>
            <w:vAlign w:val="center"/>
          </w:tcPr>
          <w:p w14:paraId="72E514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标准限值</w:t>
            </w:r>
          </w:p>
          <w:p w14:paraId="25DCB2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b/>
                <w:bCs/>
                <w:i w:val="0"/>
                <w:iCs w:val="0"/>
                <w:color w:val="000000" w:themeColor="text1"/>
                <w:sz w:val="21"/>
                <w:szCs w:val="28"/>
                <w:u w:val="none"/>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μg/</w:t>
            </w:r>
            <w:r>
              <w:rPr>
                <w:rFonts w:hint="eastAsia"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m</w:t>
            </w:r>
            <w:r>
              <w:rPr>
                <w:rFonts w:hint="eastAsia" w:ascii="Times New Roman" w:hAnsi="Times New Roman" w:eastAsia="宋体" w:cs="宋体"/>
                <w:b/>
                <w:bCs/>
                <w:i w:val="0"/>
                <w:iCs w:val="0"/>
                <w:color w:val="000000" w:themeColor="text1"/>
                <w:kern w:val="0"/>
                <w:sz w:val="21"/>
                <w:szCs w:val="28"/>
                <w:u w:val="none"/>
                <w:vertAlign w:val="superscript"/>
                <w:lang w:val="en-US" w:eastAsia="zh-CN" w:bidi="ar"/>
                <w14:textFill>
                  <w14:solidFill>
                    <w14:schemeClr w14:val="tx1"/>
                  </w14:solidFill>
                </w14:textFill>
              </w:rPr>
              <w:t>3</w:t>
            </w:r>
          </w:p>
        </w:tc>
        <w:tc>
          <w:tcPr>
            <w:tcW w:w="534" w:type="pct"/>
            <w:tcBorders>
              <w:tl2br w:val="nil"/>
              <w:tr2bl w:val="nil"/>
            </w:tcBorders>
            <w:noWrap w:val="0"/>
            <w:vAlign w:val="center"/>
          </w:tcPr>
          <w:p w14:paraId="3FA88E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cente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占标率</w:t>
            </w:r>
          </w:p>
          <w:p w14:paraId="498D07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center"/>
              <w:rPr>
                <w:rFonts w:hint="default" w:ascii="Times New Roman" w:hAnsi="Times New Roman" w:eastAsia="宋体" w:cs="宋体"/>
                <w:b/>
                <w:bCs/>
                <w:i w:val="0"/>
                <w:iCs w:val="0"/>
                <w:color w:val="000000" w:themeColor="text1"/>
                <w:sz w:val="21"/>
                <w:szCs w:val="28"/>
                <w:u w:val="none"/>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w:t>
            </w:r>
          </w:p>
        </w:tc>
        <w:tc>
          <w:tcPr>
            <w:tcW w:w="530" w:type="pct"/>
            <w:tcBorders>
              <w:tl2br w:val="nil"/>
              <w:tr2bl w:val="nil"/>
            </w:tcBorders>
            <w:noWrap w:val="0"/>
            <w:vAlign w:val="center"/>
          </w:tcPr>
          <w:p w14:paraId="27D580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center"/>
              <w:rPr>
                <w:rFonts w:hint="default" w:ascii="Times New Roman" w:hAnsi="Times New Roman" w:eastAsia="宋体" w:cs="宋体"/>
                <w:b/>
                <w:bCs/>
                <w:i w:val="0"/>
                <w:iCs w:val="0"/>
                <w:color w:val="000000" w:themeColor="text1"/>
                <w:sz w:val="21"/>
                <w:szCs w:val="28"/>
                <w:u w:val="none"/>
                <w14:textFill>
                  <w14:solidFill>
                    <w14:schemeClr w14:val="tx1"/>
                  </w14:solidFill>
                </w14:textFill>
              </w:rPr>
            </w:pPr>
            <w:r>
              <w:rPr>
                <w:rFonts w:hint="default" w:ascii="Times New Roman" w:hAnsi="Times New Roman" w:eastAsia="宋体" w:cs="宋体"/>
                <w:b/>
                <w:bCs/>
                <w:i w:val="0"/>
                <w:iCs w:val="0"/>
                <w:color w:val="000000" w:themeColor="text1"/>
                <w:kern w:val="0"/>
                <w:sz w:val="21"/>
                <w:szCs w:val="28"/>
                <w:u w:val="none"/>
                <w:lang w:val="en-US" w:eastAsia="zh-CN" w:bidi="ar"/>
                <w14:textFill>
                  <w14:solidFill>
                    <w14:schemeClr w14:val="tx1"/>
                  </w14:solidFill>
                </w14:textFill>
              </w:rPr>
              <w:t>达标情况</w:t>
            </w:r>
          </w:p>
        </w:tc>
      </w:tr>
      <w:tr w14:paraId="6251A1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14:paraId="2A09B0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哈密市</w:t>
            </w:r>
          </w:p>
        </w:tc>
        <w:tc>
          <w:tcPr>
            <w:tcW w:w="443" w:type="pct"/>
            <w:tcBorders>
              <w:tl2br w:val="nil"/>
              <w:tr2bl w:val="nil"/>
            </w:tcBorders>
            <w:noWrap w:val="0"/>
            <w:vAlign w:val="center"/>
          </w:tcPr>
          <w:p w14:paraId="241CC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Calibri"/>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SO</w:t>
            </w:r>
            <w:r>
              <w:rPr>
                <w:rFonts w:hint="default" w:ascii="Times New Roman" w:hAnsi="Times New Roman" w:eastAsia="宋体" w:cs="Calibri"/>
                <w:color w:val="000000" w:themeColor="text1"/>
                <w:sz w:val="21"/>
                <w:szCs w:val="28"/>
                <w:u w:val="none"/>
                <w:lang w:val="en-US" w:eastAsia="zh-CN" w:bidi="ar"/>
                <w14:textFill>
                  <w14:solidFill>
                    <w14:schemeClr w14:val="tx1"/>
                  </w14:solidFill>
                </w14:textFill>
              </w:rPr>
              <w:t>₂</w:t>
            </w:r>
          </w:p>
        </w:tc>
        <w:tc>
          <w:tcPr>
            <w:tcW w:w="1586" w:type="pct"/>
            <w:tcBorders>
              <w:tl2br w:val="nil"/>
              <w:tr2bl w:val="nil"/>
            </w:tcBorders>
            <w:noWrap w:val="0"/>
            <w:vAlign w:val="center"/>
          </w:tcPr>
          <w:p w14:paraId="39B52B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年平均</w:t>
            </w:r>
          </w:p>
        </w:tc>
        <w:tc>
          <w:tcPr>
            <w:tcW w:w="649" w:type="pct"/>
            <w:tcBorders>
              <w:tl2br w:val="nil"/>
              <w:tr2bl w:val="nil"/>
            </w:tcBorders>
            <w:noWrap w:val="0"/>
            <w:vAlign w:val="center"/>
          </w:tcPr>
          <w:p w14:paraId="2A9C7C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6</w:t>
            </w:r>
          </w:p>
        </w:tc>
        <w:tc>
          <w:tcPr>
            <w:tcW w:w="661" w:type="pct"/>
            <w:tcBorders>
              <w:tl2br w:val="nil"/>
              <w:tr2bl w:val="nil"/>
            </w:tcBorders>
            <w:noWrap w:val="0"/>
            <w:vAlign w:val="center"/>
          </w:tcPr>
          <w:p w14:paraId="57D6ED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60</w:t>
            </w:r>
          </w:p>
        </w:tc>
        <w:tc>
          <w:tcPr>
            <w:tcW w:w="534" w:type="pct"/>
            <w:tcBorders>
              <w:tl2br w:val="nil"/>
              <w:tr2bl w:val="nil"/>
            </w:tcBorders>
            <w:noWrap w:val="0"/>
            <w:vAlign w:val="center"/>
          </w:tcPr>
          <w:p w14:paraId="43D1F4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eastAsia="zh-CN"/>
                <w14:textFill>
                  <w14:solidFill>
                    <w14:schemeClr w14:val="tx1"/>
                  </w14:solidFill>
                </w14:textFill>
              </w:rPr>
            </w:pPr>
            <w:r>
              <w:rPr>
                <w:rFonts w:hint="eastAsia" w:ascii="Times New Roman" w:hAnsi="Times New Roman" w:eastAsia="宋体" w:cs="宋体"/>
                <w:i w:val="0"/>
                <w:iCs w:val="0"/>
                <w:color w:val="000000" w:themeColor="text1"/>
                <w:sz w:val="21"/>
                <w:szCs w:val="28"/>
                <w:u w:val="none"/>
                <w:lang w:val="en-US" w:eastAsia="zh-CN"/>
                <w14:textFill>
                  <w14:solidFill>
                    <w14:schemeClr w14:val="tx1"/>
                  </w14:solidFill>
                </w14:textFill>
              </w:rPr>
              <w:t>10.0</w:t>
            </w:r>
          </w:p>
        </w:tc>
        <w:tc>
          <w:tcPr>
            <w:tcW w:w="530" w:type="pct"/>
            <w:tcBorders>
              <w:tl2br w:val="nil"/>
              <w:tr2bl w:val="nil"/>
            </w:tcBorders>
            <w:noWrap w:val="0"/>
            <w:vAlign w:val="center"/>
          </w:tcPr>
          <w:p w14:paraId="348370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达标</w:t>
            </w:r>
          </w:p>
        </w:tc>
      </w:tr>
      <w:tr w14:paraId="4E50FF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14:paraId="643044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哈密市</w:t>
            </w:r>
          </w:p>
        </w:tc>
        <w:tc>
          <w:tcPr>
            <w:tcW w:w="443" w:type="pct"/>
            <w:tcBorders>
              <w:tl2br w:val="nil"/>
              <w:tr2bl w:val="nil"/>
            </w:tcBorders>
            <w:noWrap w:val="0"/>
            <w:vAlign w:val="center"/>
          </w:tcPr>
          <w:p w14:paraId="263EEF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Calibri"/>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NO</w:t>
            </w:r>
            <w:r>
              <w:rPr>
                <w:rFonts w:hint="default" w:ascii="Times New Roman" w:hAnsi="Times New Roman" w:eastAsia="宋体" w:cs="Calibri"/>
                <w:color w:val="000000" w:themeColor="text1"/>
                <w:sz w:val="21"/>
                <w:szCs w:val="28"/>
                <w:u w:val="none"/>
                <w:lang w:val="en-US" w:eastAsia="zh-CN" w:bidi="ar"/>
                <w14:textFill>
                  <w14:solidFill>
                    <w14:schemeClr w14:val="tx1"/>
                  </w14:solidFill>
                </w14:textFill>
              </w:rPr>
              <w:t>₂</w:t>
            </w:r>
          </w:p>
        </w:tc>
        <w:tc>
          <w:tcPr>
            <w:tcW w:w="1586" w:type="pct"/>
            <w:tcBorders>
              <w:tl2br w:val="nil"/>
              <w:tr2bl w:val="nil"/>
            </w:tcBorders>
            <w:noWrap w:val="0"/>
            <w:vAlign w:val="center"/>
          </w:tcPr>
          <w:p w14:paraId="0B02A4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年平均</w:t>
            </w:r>
          </w:p>
        </w:tc>
        <w:tc>
          <w:tcPr>
            <w:tcW w:w="649" w:type="pct"/>
            <w:tcBorders>
              <w:tl2br w:val="nil"/>
              <w:tr2bl w:val="nil"/>
            </w:tcBorders>
            <w:noWrap w:val="0"/>
            <w:vAlign w:val="center"/>
          </w:tcPr>
          <w:p w14:paraId="1AE1F2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14:textFill>
                  <w14:solidFill>
                    <w14:schemeClr w14:val="tx1"/>
                  </w14:solidFill>
                </w14:textFill>
              </w:rPr>
            </w:pPr>
            <w:r>
              <w:rPr>
                <w:rFonts w:hint="eastAsia"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26</w:t>
            </w:r>
          </w:p>
        </w:tc>
        <w:tc>
          <w:tcPr>
            <w:tcW w:w="661" w:type="pct"/>
            <w:tcBorders>
              <w:tl2br w:val="nil"/>
              <w:tr2bl w:val="nil"/>
            </w:tcBorders>
            <w:noWrap w:val="0"/>
            <w:vAlign w:val="center"/>
          </w:tcPr>
          <w:p w14:paraId="079D5E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40</w:t>
            </w:r>
          </w:p>
        </w:tc>
        <w:tc>
          <w:tcPr>
            <w:tcW w:w="534" w:type="pct"/>
            <w:tcBorders>
              <w:tl2br w:val="nil"/>
              <w:tr2bl w:val="nil"/>
            </w:tcBorders>
            <w:noWrap w:val="0"/>
            <w:vAlign w:val="center"/>
          </w:tcPr>
          <w:p w14:paraId="7D0E68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eastAsia="zh-CN"/>
                <w14:textFill>
                  <w14:solidFill>
                    <w14:schemeClr w14:val="tx1"/>
                  </w14:solidFill>
                </w14:textFill>
              </w:rPr>
            </w:pPr>
            <w:r>
              <w:rPr>
                <w:rFonts w:hint="eastAsia" w:ascii="Times New Roman" w:hAnsi="Times New Roman" w:eastAsia="宋体" w:cs="宋体"/>
                <w:i w:val="0"/>
                <w:iCs w:val="0"/>
                <w:color w:val="000000" w:themeColor="text1"/>
                <w:sz w:val="21"/>
                <w:szCs w:val="28"/>
                <w:u w:val="none"/>
                <w:lang w:val="en-US" w:eastAsia="zh-CN"/>
                <w14:textFill>
                  <w14:solidFill>
                    <w14:schemeClr w14:val="tx1"/>
                  </w14:solidFill>
                </w14:textFill>
              </w:rPr>
              <w:t>65.0</w:t>
            </w:r>
          </w:p>
        </w:tc>
        <w:tc>
          <w:tcPr>
            <w:tcW w:w="530" w:type="pct"/>
            <w:tcBorders>
              <w:tl2br w:val="nil"/>
              <w:tr2bl w:val="nil"/>
            </w:tcBorders>
            <w:noWrap w:val="0"/>
            <w:vAlign w:val="center"/>
          </w:tcPr>
          <w:p w14:paraId="5DD5DC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达标</w:t>
            </w:r>
          </w:p>
        </w:tc>
      </w:tr>
      <w:tr w14:paraId="0B297B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14:paraId="70B686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哈密市</w:t>
            </w:r>
          </w:p>
        </w:tc>
        <w:tc>
          <w:tcPr>
            <w:tcW w:w="443" w:type="pct"/>
            <w:tcBorders>
              <w:tl2br w:val="nil"/>
              <w:tr2bl w:val="nil"/>
            </w:tcBorders>
            <w:noWrap w:val="0"/>
            <w:vAlign w:val="center"/>
          </w:tcPr>
          <w:p w14:paraId="3145E4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PM</w:t>
            </w:r>
            <w:r>
              <w:rPr>
                <w:rFonts w:hint="default" w:ascii="Times New Roman" w:hAnsi="Times New Roman" w:eastAsia="宋体" w:cs="宋体"/>
                <w:i w:val="0"/>
                <w:iCs w:val="0"/>
                <w:color w:val="000000" w:themeColor="text1"/>
                <w:kern w:val="0"/>
                <w:sz w:val="21"/>
                <w:szCs w:val="28"/>
                <w:u w:val="none"/>
                <w:vertAlign w:val="subscript"/>
                <w:lang w:val="en-US" w:eastAsia="zh-CN" w:bidi="ar"/>
                <w14:textFill>
                  <w14:solidFill>
                    <w14:schemeClr w14:val="tx1"/>
                  </w14:solidFill>
                </w14:textFill>
              </w:rPr>
              <w:t>10</w:t>
            </w:r>
          </w:p>
        </w:tc>
        <w:tc>
          <w:tcPr>
            <w:tcW w:w="1586" w:type="pct"/>
            <w:tcBorders>
              <w:tl2br w:val="nil"/>
              <w:tr2bl w:val="nil"/>
            </w:tcBorders>
            <w:noWrap w:val="0"/>
            <w:vAlign w:val="center"/>
          </w:tcPr>
          <w:p w14:paraId="2CEE68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年平均</w:t>
            </w:r>
          </w:p>
        </w:tc>
        <w:tc>
          <w:tcPr>
            <w:tcW w:w="649" w:type="pct"/>
            <w:tcBorders>
              <w:tl2br w:val="nil"/>
              <w:tr2bl w:val="nil"/>
            </w:tcBorders>
            <w:noWrap w:val="0"/>
            <w:vAlign w:val="center"/>
          </w:tcPr>
          <w:p w14:paraId="1C2369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6</w:t>
            </w:r>
            <w:r>
              <w:rPr>
                <w:rFonts w:hint="eastAsia"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2</w:t>
            </w:r>
          </w:p>
        </w:tc>
        <w:tc>
          <w:tcPr>
            <w:tcW w:w="661" w:type="pct"/>
            <w:tcBorders>
              <w:tl2br w:val="nil"/>
              <w:tr2bl w:val="nil"/>
            </w:tcBorders>
            <w:noWrap w:val="0"/>
            <w:vAlign w:val="center"/>
          </w:tcPr>
          <w:p w14:paraId="20D4EDC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14:textFill>
                  <w14:solidFill>
                    <w14:schemeClr w14:val="tx1"/>
                  </w14:solidFill>
                </w14:textFill>
              </w:rPr>
            </w:pPr>
            <w:r>
              <w:rPr>
                <w:rFonts w:hint="eastAsia" w:cs="宋体"/>
                <w:i w:val="0"/>
                <w:iCs w:val="0"/>
                <w:color w:val="000000" w:themeColor="text1"/>
                <w:kern w:val="0"/>
                <w:sz w:val="21"/>
                <w:szCs w:val="28"/>
                <w:u w:val="none"/>
                <w:lang w:val="en-US" w:eastAsia="zh-CN" w:bidi="ar"/>
                <w14:textFill>
                  <w14:solidFill>
                    <w14:schemeClr w14:val="tx1"/>
                  </w14:solidFill>
                </w14:textFill>
              </w:rPr>
              <w:t>60</w:t>
            </w:r>
          </w:p>
        </w:tc>
        <w:tc>
          <w:tcPr>
            <w:tcW w:w="534" w:type="pct"/>
            <w:tcBorders>
              <w:tl2br w:val="nil"/>
              <w:tr2bl w:val="nil"/>
            </w:tcBorders>
            <w:noWrap w:val="0"/>
            <w:vAlign w:val="center"/>
          </w:tcPr>
          <w:p w14:paraId="531C56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eastAsia="zh-CN"/>
                <w14:textFill>
                  <w14:solidFill>
                    <w14:schemeClr w14:val="tx1"/>
                  </w14:solidFill>
                </w14:textFill>
              </w:rPr>
            </w:pPr>
            <w:r>
              <w:rPr>
                <w:rFonts w:hint="eastAsia" w:cs="宋体"/>
                <w:i w:val="0"/>
                <w:iCs w:val="0"/>
                <w:color w:val="000000" w:themeColor="text1"/>
                <w:sz w:val="21"/>
                <w:szCs w:val="28"/>
                <w:u w:val="none"/>
                <w:lang w:val="en-US" w:eastAsia="zh-CN"/>
                <w14:textFill>
                  <w14:solidFill>
                    <w14:schemeClr w14:val="tx1"/>
                  </w14:solidFill>
                </w14:textFill>
              </w:rPr>
              <w:t>103.3</w:t>
            </w:r>
          </w:p>
        </w:tc>
        <w:tc>
          <w:tcPr>
            <w:tcW w:w="530" w:type="pct"/>
            <w:tcBorders>
              <w:tl2br w:val="nil"/>
              <w:tr2bl w:val="nil"/>
            </w:tcBorders>
            <w:noWrap w:val="0"/>
            <w:vAlign w:val="center"/>
          </w:tcPr>
          <w:p w14:paraId="3B573B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eastAsia" w:cs="宋体"/>
                <w:i w:val="0"/>
                <w:iCs w:val="0"/>
                <w:color w:val="000000" w:themeColor="text1"/>
                <w:kern w:val="0"/>
                <w:sz w:val="21"/>
                <w:szCs w:val="28"/>
                <w:u w:val="none"/>
                <w:lang w:val="en-US" w:eastAsia="zh-CN" w:bidi="ar"/>
                <w14:textFill>
                  <w14:solidFill>
                    <w14:schemeClr w14:val="tx1"/>
                  </w14:solidFill>
                </w14:textFill>
              </w:rPr>
              <w:t>不</w:t>
            </w: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达标</w:t>
            </w:r>
          </w:p>
        </w:tc>
      </w:tr>
      <w:tr w14:paraId="42CF65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14:paraId="6D0498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哈密市</w:t>
            </w:r>
          </w:p>
        </w:tc>
        <w:tc>
          <w:tcPr>
            <w:tcW w:w="443" w:type="pct"/>
            <w:tcBorders>
              <w:tl2br w:val="nil"/>
              <w:tr2bl w:val="nil"/>
            </w:tcBorders>
            <w:noWrap w:val="0"/>
            <w:vAlign w:val="center"/>
          </w:tcPr>
          <w:p w14:paraId="50B39A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PM</w:t>
            </w:r>
            <w:r>
              <w:rPr>
                <w:rFonts w:hint="default" w:ascii="Times New Roman" w:hAnsi="Times New Roman" w:eastAsia="宋体" w:cs="宋体"/>
                <w:i w:val="0"/>
                <w:iCs w:val="0"/>
                <w:color w:val="000000" w:themeColor="text1"/>
                <w:kern w:val="0"/>
                <w:sz w:val="21"/>
                <w:szCs w:val="28"/>
                <w:u w:val="none"/>
                <w:vertAlign w:val="subscript"/>
                <w:lang w:val="en-US" w:eastAsia="zh-CN" w:bidi="ar"/>
                <w14:textFill>
                  <w14:solidFill>
                    <w14:schemeClr w14:val="tx1"/>
                  </w14:solidFill>
                </w14:textFill>
              </w:rPr>
              <w:t>2.5</w:t>
            </w:r>
          </w:p>
        </w:tc>
        <w:tc>
          <w:tcPr>
            <w:tcW w:w="1586" w:type="pct"/>
            <w:tcBorders>
              <w:tl2br w:val="nil"/>
              <w:tr2bl w:val="nil"/>
            </w:tcBorders>
            <w:noWrap w:val="0"/>
            <w:vAlign w:val="center"/>
          </w:tcPr>
          <w:p w14:paraId="001F22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年平均</w:t>
            </w:r>
          </w:p>
        </w:tc>
        <w:tc>
          <w:tcPr>
            <w:tcW w:w="649" w:type="pct"/>
            <w:tcBorders>
              <w:tl2br w:val="nil"/>
              <w:tr2bl w:val="nil"/>
            </w:tcBorders>
            <w:noWrap w:val="0"/>
            <w:vAlign w:val="center"/>
          </w:tcPr>
          <w:p w14:paraId="2B0179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2</w:t>
            </w:r>
            <w:r>
              <w:rPr>
                <w:rFonts w:hint="eastAsia"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5</w:t>
            </w:r>
          </w:p>
        </w:tc>
        <w:tc>
          <w:tcPr>
            <w:tcW w:w="661" w:type="pct"/>
            <w:tcBorders>
              <w:tl2br w:val="nil"/>
              <w:tr2bl w:val="nil"/>
            </w:tcBorders>
            <w:noWrap w:val="0"/>
            <w:vAlign w:val="center"/>
          </w:tcPr>
          <w:p w14:paraId="4F5DD2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14:textFill>
                  <w14:solidFill>
                    <w14:schemeClr w14:val="tx1"/>
                  </w14:solidFill>
                </w14:textFill>
              </w:rPr>
            </w:pPr>
            <w:r>
              <w:rPr>
                <w:rFonts w:hint="eastAsia" w:cs="宋体"/>
                <w:i w:val="0"/>
                <w:iCs w:val="0"/>
                <w:color w:val="000000" w:themeColor="text1"/>
                <w:kern w:val="0"/>
                <w:sz w:val="21"/>
                <w:szCs w:val="28"/>
                <w:u w:val="none"/>
                <w:lang w:val="en-US" w:eastAsia="zh-CN" w:bidi="ar"/>
                <w14:textFill>
                  <w14:solidFill>
                    <w14:schemeClr w14:val="tx1"/>
                  </w14:solidFill>
                </w14:textFill>
              </w:rPr>
              <w:t>30</w:t>
            </w:r>
          </w:p>
        </w:tc>
        <w:tc>
          <w:tcPr>
            <w:tcW w:w="534" w:type="pct"/>
            <w:tcBorders>
              <w:tl2br w:val="nil"/>
              <w:tr2bl w:val="nil"/>
            </w:tcBorders>
            <w:noWrap w:val="0"/>
            <w:vAlign w:val="center"/>
          </w:tcPr>
          <w:p w14:paraId="4AD82D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top"/>
              <w:rPr>
                <w:rFonts w:hint="default" w:ascii="Times New Roman" w:hAnsi="Times New Roman" w:eastAsia="宋体" w:cs="宋体"/>
                <w:i w:val="0"/>
                <w:iCs w:val="0"/>
                <w:color w:val="000000" w:themeColor="text1"/>
                <w:sz w:val="21"/>
                <w:szCs w:val="28"/>
                <w:u w:val="none"/>
                <w:lang w:val="en-US" w:eastAsia="zh-CN"/>
                <w14:textFill>
                  <w14:solidFill>
                    <w14:schemeClr w14:val="tx1"/>
                  </w14:solidFill>
                </w14:textFill>
              </w:rPr>
            </w:pPr>
            <w:r>
              <w:rPr>
                <w:rFonts w:hint="eastAsia" w:cs="宋体"/>
                <w:i w:val="0"/>
                <w:iCs w:val="0"/>
                <w:color w:val="000000" w:themeColor="text1"/>
                <w:sz w:val="21"/>
                <w:szCs w:val="28"/>
                <w:u w:val="none"/>
                <w:lang w:val="en-US" w:eastAsia="zh-CN"/>
                <w14:textFill>
                  <w14:solidFill>
                    <w14:schemeClr w14:val="tx1"/>
                  </w14:solidFill>
                </w14:textFill>
              </w:rPr>
              <w:t>83.3</w:t>
            </w:r>
          </w:p>
        </w:tc>
        <w:tc>
          <w:tcPr>
            <w:tcW w:w="530" w:type="pct"/>
            <w:tcBorders>
              <w:tl2br w:val="nil"/>
              <w:tr2bl w:val="nil"/>
            </w:tcBorders>
            <w:noWrap w:val="0"/>
            <w:vAlign w:val="center"/>
          </w:tcPr>
          <w:p w14:paraId="43351D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达标</w:t>
            </w:r>
          </w:p>
        </w:tc>
      </w:tr>
      <w:tr w14:paraId="463EDE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14:paraId="0A0B11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哈密市</w:t>
            </w:r>
          </w:p>
        </w:tc>
        <w:tc>
          <w:tcPr>
            <w:tcW w:w="443" w:type="pct"/>
            <w:tcBorders>
              <w:tl2br w:val="nil"/>
              <w:tr2bl w:val="nil"/>
            </w:tcBorders>
            <w:noWrap w:val="0"/>
            <w:vAlign w:val="center"/>
          </w:tcPr>
          <w:p w14:paraId="0A042A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CO</w:t>
            </w:r>
          </w:p>
        </w:tc>
        <w:tc>
          <w:tcPr>
            <w:tcW w:w="1586" w:type="pct"/>
            <w:tcBorders>
              <w:tl2br w:val="nil"/>
              <w:tr2bl w:val="nil"/>
            </w:tcBorders>
            <w:noWrap w:val="0"/>
            <w:vAlign w:val="center"/>
          </w:tcPr>
          <w:p w14:paraId="6CA2F3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24小时平均第95百分位数</w:t>
            </w:r>
          </w:p>
        </w:tc>
        <w:tc>
          <w:tcPr>
            <w:tcW w:w="649" w:type="pct"/>
            <w:tcBorders>
              <w:tl2br w:val="nil"/>
              <w:tr2bl w:val="nil"/>
            </w:tcBorders>
            <w:noWrap w:val="0"/>
            <w:vAlign w:val="center"/>
          </w:tcPr>
          <w:p w14:paraId="0502B1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lang w:val="en-US"/>
                <w14:textFill>
                  <w14:solidFill>
                    <w14:schemeClr w14:val="tx1"/>
                  </w14:solidFill>
                </w14:textFill>
              </w:rPr>
            </w:pPr>
            <w:r>
              <w:rPr>
                <w:rFonts w:hint="eastAsia"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1000</w:t>
            </w:r>
          </w:p>
        </w:tc>
        <w:tc>
          <w:tcPr>
            <w:tcW w:w="661" w:type="pct"/>
            <w:tcBorders>
              <w:tl2br w:val="nil"/>
              <w:tr2bl w:val="nil"/>
            </w:tcBorders>
            <w:noWrap w:val="0"/>
            <w:vAlign w:val="center"/>
          </w:tcPr>
          <w:p w14:paraId="171670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4000</w:t>
            </w:r>
          </w:p>
        </w:tc>
        <w:tc>
          <w:tcPr>
            <w:tcW w:w="534" w:type="pct"/>
            <w:tcBorders>
              <w:tl2br w:val="nil"/>
              <w:tr2bl w:val="nil"/>
            </w:tcBorders>
            <w:noWrap w:val="0"/>
            <w:vAlign w:val="center"/>
          </w:tcPr>
          <w:p w14:paraId="3107DC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lang w:val="en-US" w:eastAsia="zh-CN"/>
                <w14:textFill>
                  <w14:solidFill>
                    <w14:schemeClr w14:val="tx1"/>
                  </w14:solidFill>
                </w14:textFill>
              </w:rPr>
            </w:pPr>
            <w:r>
              <w:rPr>
                <w:rFonts w:hint="eastAsia" w:ascii="Times New Roman" w:hAnsi="Times New Roman" w:eastAsia="宋体" w:cs="宋体"/>
                <w:i w:val="0"/>
                <w:iCs w:val="0"/>
                <w:color w:val="000000" w:themeColor="text1"/>
                <w:sz w:val="21"/>
                <w:szCs w:val="28"/>
                <w:u w:val="none"/>
                <w:lang w:val="en-US" w:eastAsia="zh-CN"/>
                <w14:textFill>
                  <w14:solidFill>
                    <w14:schemeClr w14:val="tx1"/>
                  </w14:solidFill>
                </w14:textFill>
              </w:rPr>
              <w:t>25.0</w:t>
            </w:r>
          </w:p>
        </w:tc>
        <w:tc>
          <w:tcPr>
            <w:tcW w:w="530" w:type="pct"/>
            <w:tcBorders>
              <w:tl2br w:val="nil"/>
              <w:tr2bl w:val="nil"/>
            </w:tcBorders>
            <w:noWrap w:val="0"/>
            <w:vAlign w:val="center"/>
          </w:tcPr>
          <w:p w14:paraId="2AEB06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达标</w:t>
            </w:r>
          </w:p>
        </w:tc>
      </w:tr>
      <w:tr w14:paraId="53F22D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14:paraId="5F694D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哈密市</w:t>
            </w:r>
          </w:p>
        </w:tc>
        <w:tc>
          <w:tcPr>
            <w:tcW w:w="443" w:type="pct"/>
            <w:tcBorders>
              <w:tl2br w:val="nil"/>
              <w:tr2bl w:val="nil"/>
            </w:tcBorders>
            <w:noWrap w:val="0"/>
            <w:vAlign w:val="center"/>
          </w:tcPr>
          <w:p w14:paraId="7FB564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Calibri"/>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O</w:t>
            </w:r>
            <w:r>
              <w:rPr>
                <w:rFonts w:hint="eastAsia" w:ascii="Times New Roman" w:hAnsi="Times New Roman" w:eastAsia="宋体" w:cs="Calibri"/>
                <w:color w:val="000000" w:themeColor="text1"/>
                <w:sz w:val="21"/>
                <w:szCs w:val="28"/>
                <w:u w:val="none"/>
                <w:vertAlign w:val="subscript"/>
                <w:lang w:val="en-US" w:eastAsia="zh-CN" w:bidi="ar"/>
                <w14:textFill>
                  <w14:solidFill>
                    <w14:schemeClr w14:val="tx1"/>
                  </w14:solidFill>
                </w14:textFill>
              </w:rPr>
              <w:t>3</w:t>
            </w:r>
          </w:p>
        </w:tc>
        <w:tc>
          <w:tcPr>
            <w:tcW w:w="1586" w:type="pct"/>
            <w:tcBorders>
              <w:tl2br w:val="nil"/>
              <w:tr2bl w:val="nil"/>
            </w:tcBorders>
            <w:noWrap w:val="0"/>
            <w:vAlign w:val="center"/>
          </w:tcPr>
          <w:p w14:paraId="7A722E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日最大8小时平均第90百分位数</w:t>
            </w:r>
          </w:p>
        </w:tc>
        <w:tc>
          <w:tcPr>
            <w:tcW w:w="649" w:type="pct"/>
            <w:tcBorders>
              <w:tl2br w:val="nil"/>
              <w:tr2bl w:val="nil"/>
            </w:tcBorders>
            <w:noWrap w:val="0"/>
            <w:vAlign w:val="center"/>
          </w:tcPr>
          <w:p w14:paraId="0E1492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lang w:val="en-US"/>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1</w:t>
            </w:r>
            <w:r>
              <w:rPr>
                <w:rFonts w:hint="eastAsia"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40</w:t>
            </w:r>
          </w:p>
        </w:tc>
        <w:tc>
          <w:tcPr>
            <w:tcW w:w="661" w:type="pct"/>
            <w:tcBorders>
              <w:tl2br w:val="nil"/>
              <w:tr2bl w:val="nil"/>
            </w:tcBorders>
            <w:noWrap w:val="0"/>
            <w:vAlign w:val="center"/>
          </w:tcPr>
          <w:p w14:paraId="23426F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160</w:t>
            </w:r>
          </w:p>
        </w:tc>
        <w:tc>
          <w:tcPr>
            <w:tcW w:w="534" w:type="pct"/>
            <w:tcBorders>
              <w:tl2br w:val="nil"/>
              <w:tr2bl w:val="nil"/>
            </w:tcBorders>
            <w:noWrap w:val="0"/>
            <w:vAlign w:val="center"/>
          </w:tcPr>
          <w:p w14:paraId="520DAC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lang w:val="en-US" w:eastAsia="zh-CN"/>
                <w14:textFill>
                  <w14:solidFill>
                    <w14:schemeClr w14:val="tx1"/>
                  </w14:solidFill>
                </w14:textFill>
              </w:rPr>
            </w:pPr>
            <w:r>
              <w:rPr>
                <w:rFonts w:hint="eastAsia" w:ascii="Times New Roman" w:hAnsi="Times New Roman" w:eastAsia="宋体" w:cs="宋体"/>
                <w:i w:val="0"/>
                <w:iCs w:val="0"/>
                <w:color w:val="000000" w:themeColor="text1"/>
                <w:sz w:val="21"/>
                <w:szCs w:val="28"/>
                <w:u w:val="none"/>
                <w:lang w:val="en-US" w:eastAsia="zh-CN"/>
                <w14:textFill>
                  <w14:solidFill>
                    <w14:schemeClr w14:val="tx1"/>
                  </w14:solidFill>
                </w14:textFill>
              </w:rPr>
              <w:t>87.5</w:t>
            </w:r>
          </w:p>
        </w:tc>
        <w:tc>
          <w:tcPr>
            <w:tcW w:w="530" w:type="pct"/>
            <w:tcBorders>
              <w:tl2br w:val="nil"/>
              <w:tr2bl w:val="nil"/>
            </w:tcBorders>
            <w:noWrap w:val="0"/>
            <w:vAlign w:val="center"/>
          </w:tcPr>
          <w:p w14:paraId="08995C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right="0" w:firstLine="0" w:firstLineChars="0"/>
              <w:jc w:val="center"/>
              <w:textAlignment w:val="center"/>
              <w:rPr>
                <w:rFonts w:hint="default" w:ascii="Times New Roman" w:hAnsi="Times New Roman" w:eastAsia="宋体" w:cs="宋体"/>
                <w:i w:val="0"/>
                <w:iCs w:val="0"/>
                <w:color w:val="000000" w:themeColor="text1"/>
                <w:sz w:val="21"/>
                <w:szCs w:val="28"/>
                <w:u w:val="none"/>
                <w14:textFill>
                  <w14:solidFill>
                    <w14:schemeClr w14:val="tx1"/>
                  </w14:solidFill>
                </w14:textFill>
              </w:rPr>
            </w:pPr>
            <w:r>
              <w:rPr>
                <w:rFonts w:hint="default" w:ascii="Times New Roman" w:hAnsi="Times New Roman" w:eastAsia="宋体" w:cs="宋体"/>
                <w:i w:val="0"/>
                <w:iCs w:val="0"/>
                <w:color w:val="000000" w:themeColor="text1"/>
                <w:kern w:val="0"/>
                <w:sz w:val="21"/>
                <w:szCs w:val="28"/>
                <w:u w:val="none"/>
                <w:lang w:val="en-US" w:eastAsia="zh-CN" w:bidi="ar"/>
                <w14:textFill>
                  <w14:solidFill>
                    <w14:schemeClr w14:val="tx1"/>
                  </w14:solidFill>
                </w14:textFill>
              </w:rPr>
              <w:t>达标</w:t>
            </w:r>
          </w:p>
        </w:tc>
      </w:tr>
    </w:tbl>
    <w:p w14:paraId="50C5EC83">
      <w:pPr>
        <w:spacing w:line="480" w:lineRule="exact"/>
        <w:ind w:firstLine="480" w:firstLineChars="200"/>
        <w:rPr>
          <w:color w:val="000000" w:themeColor="text1"/>
          <w:kern w:val="0"/>
          <w:sz w:val="24"/>
          <w:szCs w:val="26"/>
          <w:highlight w:val="none"/>
          <w14:textFill>
            <w14:solidFill>
              <w14:schemeClr w14:val="tx1"/>
            </w14:solidFill>
          </w14:textFill>
        </w:rPr>
      </w:pPr>
      <w:r>
        <w:rPr>
          <w:rFonts w:hint="eastAsia" w:ascii="Times New Roman" w:hAnsi="Times New Roman" w:eastAsia="宋体" w:cs="Times New Roman"/>
          <w:color w:val="000000" w:themeColor="text1"/>
          <w:sz w:val="24"/>
          <w:szCs w:val="22"/>
          <w:lang w:val="en-US" w:eastAsia="zh-CN"/>
          <w14:textFill>
            <w14:solidFill>
              <w14:schemeClr w14:val="tx1"/>
            </w14:solidFill>
          </w14:textFill>
        </w:rPr>
        <w:t>2024年哈密市SO</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、NO</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年均浓度分别为6</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、26</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、62</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；CO 24小时第95百分位数为1000</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，O</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日最大8小时平均第90百分位数为140</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w:t>
      </w:r>
      <w:r>
        <w:rPr>
          <w:rFonts w:hint="eastAsia" w:cs="Times New Roman"/>
          <w:color w:val="000000" w:themeColor="text1"/>
          <w:sz w:val="24"/>
          <w:szCs w:val="22"/>
          <w:lang w:val="en-US" w:eastAsia="zh-CN"/>
          <w14:textFill>
            <w14:solidFill>
              <w14:schemeClr w14:val="tx1"/>
            </w14:solidFill>
          </w14:textFill>
        </w:rPr>
        <w:t>其中，PM</w:t>
      </w:r>
      <w:r>
        <w:rPr>
          <w:rFonts w:hint="eastAsia" w:cs="Times New Roman"/>
          <w:color w:val="000000" w:themeColor="text1"/>
          <w:sz w:val="24"/>
          <w:szCs w:val="22"/>
          <w:vertAlign w:val="subscript"/>
          <w:lang w:val="en-US" w:eastAsia="zh-CN"/>
          <w14:textFill>
            <w14:solidFill>
              <w14:schemeClr w14:val="tx1"/>
            </w14:solidFill>
          </w14:textFill>
        </w:rPr>
        <w:t>10</w:t>
      </w:r>
      <w:r>
        <w:rPr>
          <w:rFonts w:hint="eastAsia" w:cs="Times New Roman"/>
          <w:color w:val="000000" w:themeColor="text1"/>
          <w:sz w:val="24"/>
          <w:szCs w:val="22"/>
          <w:lang w:val="en-US" w:eastAsia="zh-CN"/>
          <w14:textFill>
            <w14:solidFill>
              <w14:schemeClr w14:val="tx1"/>
            </w14:solidFill>
          </w14:textFill>
        </w:rPr>
        <w:t>占标率为103.3%＞100%，超过</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《环境空气质量标准》（GB3095-20</w:t>
      </w:r>
      <w:r>
        <w:rPr>
          <w:rFonts w:hint="eastAsia" w:cs="Times New Roman"/>
          <w:color w:val="000000" w:themeColor="text1"/>
          <w:sz w:val="24"/>
          <w:szCs w:val="22"/>
          <w:lang w:val="en-US" w:eastAsia="zh-CN"/>
          <w14:textFill>
            <w14:solidFill>
              <w14:schemeClr w14:val="tx1"/>
            </w14:solidFill>
          </w14:textFill>
        </w:rPr>
        <w:t>26</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w:t>
      </w:r>
      <w:r>
        <w:rPr>
          <w:rFonts w:hint="eastAsia" w:cs="Times New Roman"/>
          <w:color w:val="000000" w:themeColor="text1"/>
          <w:sz w:val="24"/>
          <w:szCs w:val="22"/>
          <w:lang w:val="en-US" w:eastAsia="zh-CN"/>
          <w14:textFill>
            <w14:solidFill>
              <w14:schemeClr w14:val="tx1"/>
            </w14:solidFill>
          </w14:textFill>
        </w:rPr>
        <w:t>过渡阶段</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二级</w:t>
      </w:r>
      <w:r>
        <w:rPr>
          <w:rFonts w:hint="eastAsia" w:cs="Times New Roman"/>
          <w:color w:val="000000" w:themeColor="text1"/>
          <w:sz w:val="24"/>
          <w:szCs w:val="22"/>
          <w:lang w:val="en-US" w:eastAsia="zh-CN"/>
          <w14:textFill>
            <w14:solidFill>
              <w14:schemeClr w14:val="tx1"/>
            </w14:solidFill>
          </w14:textFill>
        </w:rPr>
        <w:t>浓度</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限值</w:t>
      </w:r>
      <w:r>
        <w:rPr>
          <w:rFonts w:hint="default"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要求</w:t>
      </w:r>
      <w:r>
        <w:rPr>
          <w:rFonts w:hint="eastAsia"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w:t>
      </w:r>
      <w:r>
        <w:rPr>
          <w:rFonts w:hint="eastAsia"/>
          <w:color w:val="000000" w:themeColor="text1"/>
          <w:sz w:val="24"/>
          <w:szCs w:val="24"/>
          <w14:textFill>
            <w14:solidFill>
              <w14:schemeClr w14:val="tx1"/>
            </w14:solidFill>
          </w14:textFill>
        </w:rPr>
        <w:t>由此判定，</w:t>
      </w:r>
      <w:r>
        <w:rPr>
          <w:rFonts w:hint="default"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项目所在区域为</w:t>
      </w:r>
      <w:r>
        <w:rPr>
          <w:rFonts w:hint="default" w:ascii="Times New Roman" w:hAnsi="Times New Roman" w:eastAsia="宋体" w:cs="Times New Roman"/>
          <w:color w:val="000000" w:themeColor="text1"/>
          <w:sz w:val="24"/>
          <w:szCs w:val="24"/>
          <w:highlight w:val="none"/>
          <w14:textFill>
            <w14:solidFill>
              <w14:schemeClr w14:val="tx1"/>
            </w14:solidFill>
          </w14:textFill>
        </w:rPr>
        <w:t>环境空气质量</w:t>
      </w:r>
      <w:r>
        <w:rPr>
          <w:rFonts w:hint="eastAsia" w:cs="Times New Roman"/>
          <w:color w:val="000000" w:themeColor="text1"/>
          <w:spacing w:val="-4"/>
          <w:kern w:val="2"/>
          <w:sz w:val="24"/>
          <w:szCs w:val="24"/>
          <w:lang w:val="en-US" w:eastAsia="zh-CN" w:bidi="ar-SA"/>
          <w14:textFill>
            <w14:solidFill>
              <w14:schemeClr w14:val="tx1"/>
            </w14:solidFill>
          </w14:textFill>
        </w:rPr>
        <w:t>不达标区</w:t>
      </w:r>
      <w:r>
        <w:rPr>
          <w:rFonts w:hint="default"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w:t>
      </w:r>
    </w:p>
    <w:p w14:paraId="17D847CC">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（2）其他污染物监测结果及评价</w:t>
      </w:r>
    </w:p>
    <w:p w14:paraId="4609C3F5">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lang w:bidi="ar"/>
          <w14:textFill>
            <w14:solidFill>
              <w14:schemeClr w14:val="tx1"/>
            </w14:solidFill>
          </w14:textFill>
        </w:rPr>
        <w:t>根据《环境影响评价技术导则 大气环境》（HJ2.2-2018），本次环评委托</w:t>
      </w:r>
      <w:r>
        <w:rPr>
          <w:rFonts w:hint="eastAsia"/>
          <w:color w:val="000000" w:themeColor="text1"/>
          <w:spacing w:val="-6"/>
          <w:sz w:val="24"/>
          <w:szCs w:val="24"/>
          <w14:textFill>
            <w14:solidFill>
              <w14:schemeClr w14:val="tx1"/>
            </w14:solidFill>
          </w14:textFill>
        </w:rPr>
        <w:t>新疆齐新环境服务有限公司</w:t>
      </w:r>
      <w:r>
        <w:rPr>
          <w:rFonts w:hint="eastAsia"/>
          <w:color w:val="000000" w:themeColor="text1"/>
          <w:sz w:val="24"/>
          <w:szCs w:val="24"/>
          <w:lang w:bidi="ar"/>
          <w14:textFill>
            <w14:solidFill>
              <w14:schemeClr w14:val="tx1"/>
            </w14:solidFill>
          </w14:textFill>
        </w:rPr>
        <w:t>对本项目区特征污染物TSP的背景值进行监测，</w:t>
      </w:r>
      <w:r>
        <w:rPr>
          <w:color w:val="000000" w:themeColor="text1"/>
          <w:sz w:val="24"/>
          <w:szCs w:val="20"/>
          <w14:textFill>
            <w14:solidFill>
              <w14:schemeClr w14:val="tx1"/>
            </w14:solidFill>
          </w14:textFill>
        </w:rPr>
        <w:t>监测时间为</w:t>
      </w:r>
      <w:r>
        <w:rPr>
          <w:rFonts w:hint="eastAsia"/>
          <w:color w:val="000000" w:themeColor="text1"/>
          <w:sz w:val="24"/>
          <w:szCs w:val="20"/>
          <w14:textFill>
            <w14:solidFill>
              <w14:schemeClr w14:val="tx1"/>
            </w14:solidFill>
          </w14:textFill>
        </w:rPr>
        <w:t>202</w:t>
      </w:r>
      <w:r>
        <w:rPr>
          <w:rFonts w:hint="eastAsia"/>
          <w:color w:val="000000" w:themeColor="text1"/>
          <w:sz w:val="24"/>
          <w:szCs w:val="20"/>
          <w:lang w:val="en-US" w:eastAsia="zh-CN"/>
          <w14:textFill>
            <w14:solidFill>
              <w14:schemeClr w14:val="tx1"/>
            </w14:solidFill>
          </w14:textFill>
        </w:rPr>
        <w:t>6</w:t>
      </w:r>
      <w:r>
        <w:rPr>
          <w:rFonts w:hint="eastAsia"/>
          <w:color w:val="000000" w:themeColor="text1"/>
          <w:sz w:val="24"/>
          <w:szCs w:val="20"/>
          <w14:textFill>
            <w14:solidFill>
              <w14:schemeClr w14:val="tx1"/>
            </w14:solidFill>
          </w14:textFill>
        </w:rPr>
        <w:t>年</w:t>
      </w:r>
      <w:r>
        <w:rPr>
          <w:rFonts w:hint="eastAsia"/>
          <w:color w:val="000000" w:themeColor="text1"/>
          <w:sz w:val="24"/>
          <w:szCs w:val="20"/>
          <w:lang w:val="en-US" w:eastAsia="zh-CN"/>
          <w14:textFill>
            <w14:solidFill>
              <w14:schemeClr w14:val="tx1"/>
            </w14:solidFill>
          </w14:textFill>
        </w:rPr>
        <w:t>2</w:t>
      </w:r>
      <w:r>
        <w:rPr>
          <w:rFonts w:hint="eastAsia"/>
          <w:color w:val="000000" w:themeColor="text1"/>
          <w:sz w:val="24"/>
          <w:szCs w:val="20"/>
          <w14:textFill>
            <w14:solidFill>
              <w14:schemeClr w14:val="tx1"/>
            </w14:solidFill>
          </w14:textFill>
        </w:rPr>
        <w:t>月</w:t>
      </w:r>
      <w:r>
        <w:rPr>
          <w:rFonts w:hint="eastAsia"/>
          <w:color w:val="000000" w:themeColor="text1"/>
          <w:sz w:val="24"/>
          <w:szCs w:val="20"/>
          <w:lang w:val="en-US" w:eastAsia="zh-CN"/>
          <w14:textFill>
            <w14:solidFill>
              <w14:schemeClr w14:val="tx1"/>
            </w14:solidFill>
          </w14:textFill>
        </w:rPr>
        <w:t>28</w:t>
      </w:r>
      <w:r>
        <w:rPr>
          <w:rFonts w:hint="eastAsia"/>
          <w:color w:val="000000" w:themeColor="text1"/>
          <w:sz w:val="24"/>
          <w:szCs w:val="20"/>
          <w14:textFill>
            <w14:solidFill>
              <w14:schemeClr w14:val="tx1"/>
            </w14:solidFill>
          </w14:textFill>
        </w:rPr>
        <w:t>日</w:t>
      </w:r>
      <w:r>
        <w:rPr>
          <w:rFonts w:hint="eastAsia"/>
          <w:color w:val="000000" w:themeColor="text1"/>
          <w:sz w:val="24"/>
          <w:szCs w:val="20"/>
          <w:lang w:eastAsia="zh-CN"/>
          <w14:textFill>
            <w14:solidFill>
              <w14:schemeClr w14:val="tx1"/>
            </w14:solidFill>
          </w14:textFill>
        </w:rPr>
        <w:t>至</w:t>
      </w:r>
      <w:r>
        <w:rPr>
          <w:rFonts w:hint="eastAsia"/>
          <w:color w:val="000000" w:themeColor="text1"/>
          <w:sz w:val="24"/>
          <w:szCs w:val="20"/>
          <w:lang w:val="en-US" w:eastAsia="zh-CN"/>
          <w14:textFill>
            <w14:solidFill>
              <w14:schemeClr w14:val="tx1"/>
            </w14:solidFill>
          </w14:textFill>
        </w:rPr>
        <w:t>3月7</w:t>
      </w:r>
      <w:r>
        <w:rPr>
          <w:rFonts w:hint="eastAsia"/>
          <w:color w:val="000000" w:themeColor="text1"/>
          <w:sz w:val="24"/>
          <w:szCs w:val="20"/>
          <w14:textFill>
            <w14:solidFill>
              <w14:schemeClr w14:val="tx1"/>
            </w14:solidFill>
          </w14:textFill>
        </w:rPr>
        <w:t>日，监测及评价结果见表4.2-2。</w:t>
      </w:r>
    </w:p>
    <w:p w14:paraId="67C76C71">
      <w:pPr>
        <w:spacing w:line="480" w:lineRule="exact"/>
        <w:jc w:val="center"/>
        <w:rPr>
          <w:b/>
          <w:color w:val="000000" w:themeColor="text1"/>
          <w:kern w:val="0"/>
          <w:sz w:val="24"/>
          <w:szCs w:val="24"/>
          <w:highlight w:val="none"/>
          <w:lang w:bidi="ar"/>
          <w14:textFill>
            <w14:solidFill>
              <w14:schemeClr w14:val="tx1"/>
            </w14:solidFill>
          </w14:textFill>
        </w:rPr>
      </w:pPr>
      <w:r>
        <w:rPr>
          <w:rFonts w:hint="eastAsia"/>
          <w:b/>
          <w:color w:val="000000" w:themeColor="text1"/>
          <w:kern w:val="0"/>
          <w:sz w:val="24"/>
          <w:szCs w:val="24"/>
          <w:highlight w:val="none"/>
          <w:lang w:bidi="ar"/>
          <w14:textFill>
            <w14:solidFill>
              <w14:schemeClr w14:val="tx1"/>
            </w14:solidFill>
          </w14:textFill>
        </w:rPr>
        <w:t>表4.2-2    污染物TSP监测及评价结果</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41"/>
        <w:gridCol w:w="2278"/>
        <w:gridCol w:w="2157"/>
        <w:gridCol w:w="1840"/>
      </w:tblGrid>
      <w:tr w14:paraId="0E2EE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6" w:type="pct"/>
            <w:vMerge w:val="restart"/>
            <w:noWrap w:val="0"/>
            <w:vAlign w:val="center"/>
          </w:tcPr>
          <w:p w14:paraId="5A7AAFC9">
            <w:pPr>
              <w:keepNext w:val="0"/>
              <w:keepLines w:val="0"/>
              <w:suppressLineNumbers w:val="0"/>
              <w:adjustRightInd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监测点位</w:t>
            </w:r>
          </w:p>
        </w:tc>
        <w:tc>
          <w:tcPr>
            <w:tcW w:w="3683" w:type="pct"/>
            <w:gridSpan w:val="3"/>
            <w:noWrap w:val="0"/>
            <w:vAlign w:val="center"/>
          </w:tcPr>
          <w:p w14:paraId="42368643">
            <w:pPr>
              <w:keepNext w:val="0"/>
              <w:keepLines w:val="0"/>
              <w:suppressLineNumbers w:val="0"/>
              <w:adjustRightInd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日</w:t>
            </w: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平均</w:t>
            </w:r>
          </w:p>
        </w:tc>
      </w:tr>
      <w:tr w14:paraId="0E3C7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6" w:type="pct"/>
            <w:vMerge w:val="continue"/>
            <w:noWrap w:val="0"/>
            <w:vAlign w:val="center"/>
          </w:tcPr>
          <w:p w14:paraId="2B464076">
            <w:pPr>
              <w:keepNext w:val="0"/>
              <w:keepLines w:val="0"/>
              <w:suppressLineNumbers w:val="0"/>
              <w:adjustRightInd w:val="0"/>
              <w:snapToGrid w:val="0"/>
              <w:spacing w:before="0" w:beforeAutospacing="0" w:after="0" w:afterAutospacing="0" w:line="360" w:lineRule="exact"/>
              <w:ind w:left="-120" w:leftChars="-50" w:right="-120" w:rightChars="-50" w:firstLine="0" w:firstLineChars="0"/>
              <w:jc w:val="cente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337" w:type="pct"/>
            <w:noWrap w:val="0"/>
            <w:vAlign w:val="center"/>
          </w:tcPr>
          <w:p w14:paraId="4D2BAB8A">
            <w:pPr>
              <w:keepNext w:val="0"/>
              <w:keepLines w:val="0"/>
              <w:suppressLineNumbers w:val="0"/>
              <w:adjustRightInd w:val="0"/>
              <w:snapToGrid w:val="0"/>
              <w:spacing w:before="0" w:beforeAutospacing="0" w:after="0" w:afterAutospacing="0" w:line="360" w:lineRule="exact"/>
              <w:ind w:left="-120" w:leftChars="-50" w:right="-120" w:rightChars="-50" w:firstLine="0" w:firstLineChars="0"/>
              <w:jc w:val="cente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浓度范围</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（mg/m</w:t>
            </w:r>
            <w:r>
              <w:rPr>
                <w:rFonts w:hint="default" w:ascii="Times New Roman" w:hAnsi="Times New Roman" w:eastAsia="宋体" w:cs="Times New Roman"/>
                <w:b/>
                <w:bCs/>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w:t>
            </w:r>
          </w:p>
        </w:tc>
        <w:tc>
          <w:tcPr>
            <w:tcW w:w="1266" w:type="pct"/>
            <w:noWrap w:val="0"/>
            <w:vAlign w:val="center"/>
          </w:tcPr>
          <w:p w14:paraId="3F111021">
            <w:pPr>
              <w:keepNext w:val="0"/>
              <w:keepLines w:val="0"/>
              <w:suppressLineNumbers w:val="0"/>
              <w:adjustRightInd w:val="0"/>
              <w:snapToGrid w:val="0"/>
              <w:spacing w:before="0" w:beforeAutospacing="0" w:after="0" w:afterAutospacing="0" w:line="360" w:lineRule="exact"/>
              <w:ind w:left="-120" w:leftChars="-50" w:right="-120" w:rightChars="-50" w:firstLine="0" w:firstLineChars="0"/>
              <w:jc w:val="cente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最大占标率（%）</w:t>
            </w:r>
          </w:p>
        </w:tc>
        <w:tc>
          <w:tcPr>
            <w:tcW w:w="1080" w:type="pct"/>
            <w:noWrap w:val="0"/>
            <w:vAlign w:val="center"/>
          </w:tcPr>
          <w:p w14:paraId="65F0EB58">
            <w:pPr>
              <w:keepNext w:val="0"/>
              <w:keepLines w:val="0"/>
              <w:suppressLineNumbers w:val="0"/>
              <w:adjustRightInd w:val="0"/>
              <w:snapToGrid w:val="0"/>
              <w:spacing w:before="0" w:beforeAutospacing="0" w:after="0" w:afterAutospacing="0" w:line="360" w:lineRule="exact"/>
              <w:ind w:left="-120" w:leftChars="-50" w:right="-120" w:rightChars="-50" w:firstLine="0" w:firstLineChars="0"/>
              <w:jc w:val="cente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超标率（%）</w:t>
            </w:r>
          </w:p>
        </w:tc>
      </w:tr>
      <w:tr w14:paraId="1C8CB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6" w:type="pct"/>
            <w:noWrap w:val="0"/>
            <w:vAlign w:val="center"/>
          </w:tcPr>
          <w:p w14:paraId="43C05A32">
            <w:pPr>
              <w:keepNext w:val="0"/>
              <w:keepLines w:val="0"/>
              <w:suppressLineNumbers w:val="0"/>
              <w:adjustRightInd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项目区下风向</w:t>
            </w:r>
            <w:r>
              <w:rPr>
                <w:rFonts w:hint="eastAsia" w:cs="Times New Roman"/>
                <w:color w:val="000000" w:themeColor="text1"/>
                <w:kern w:val="0"/>
                <w:sz w:val="21"/>
                <w:szCs w:val="21"/>
                <w:highlight w:val="none"/>
                <w:lang w:val="en-US" w:eastAsia="zh-CN"/>
                <w14:textFill>
                  <w14:solidFill>
                    <w14:schemeClr w14:val="tx1"/>
                  </w14:solidFill>
                </w14:textFill>
              </w:rPr>
              <w:t>500m处</w:t>
            </w:r>
          </w:p>
        </w:tc>
        <w:tc>
          <w:tcPr>
            <w:tcW w:w="1337" w:type="pct"/>
            <w:noWrap w:val="0"/>
            <w:vAlign w:val="center"/>
          </w:tcPr>
          <w:p w14:paraId="239870F7">
            <w:pPr>
              <w:keepNext w:val="0"/>
              <w:keepLines w:val="0"/>
              <w:suppressLineNumbers w:val="0"/>
              <w:adjustRightInd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lang w:val="en-US" w:eastAsia="zh-CN"/>
                <w14:textFill>
                  <w14:solidFill>
                    <w14:schemeClr w14:val="tx1"/>
                  </w14:solidFill>
                </w14:textFill>
              </w:rPr>
              <w:t>0.176~0.184</w:t>
            </w:r>
          </w:p>
        </w:tc>
        <w:tc>
          <w:tcPr>
            <w:tcW w:w="1266" w:type="pct"/>
            <w:noWrap w:val="0"/>
            <w:vAlign w:val="center"/>
          </w:tcPr>
          <w:p w14:paraId="045A8735">
            <w:pPr>
              <w:keepNext w:val="0"/>
              <w:keepLines w:val="0"/>
              <w:suppressLineNumbers w:val="0"/>
              <w:adjustRightInd w:val="0"/>
              <w:snapToGrid w:val="0"/>
              <w:spacing w:before="0" w:beforeAutospacing="0" w:after="0" w:afterAutospacing="0" w:line="360" w:lineRule="exact"/>
              <w:ind w:left="-120" w:leftChars="-50" w:right="-120" w:rightChars="-50" w:firstLine="0" w:firstLineChars="0"/>
              <w:jc w:val="center"/>
              <w:rPr>
                <w:rFonts w:hint="eastAsia"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97.0</w:t>
            </w: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080" w:type="pct"/>
            <w:noWrap w:val="0"/>
            <w:vAlign w:val="center"/>
          </w:tcPr>
          <w:p w14:paraId="388E1A3E">
            <w:pPr>
              <w:keepNext w:val="0"/>
              <w:keepLines w:val="0"/>
              <w:suppressLineNumbers w:val="0"/>
              <w:adjustRightInd w:val="0"/>
              <w:snapToGrid w:val="0"/>
              <w:spacing w:before="0" w:beforeAutospacing="0" w:after="0" w:afterAutospacing="0" w:line="360" w:lineRule="exact"/>
              <w:ind w:left="-120" w:leftChars="-50" w:right="-120" w:rightChars="-50" w:firstLine="0" w:firstLineChars="0"/>
              <w:jc w:val="center"/>
              <w:rPr>
                <w:rFonts w:hint="eastAsia"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0</w:t>
            </w:r>
          </w:p>
        </w:tc>
      </w:tr>
      <w:tr w14:paraId="3ECD4E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6" w:type="pct"/>
            <w:noWrap w:val="0"/>
            <w:vAlign w:val="center"/>
          </w:tcPr>
          <w:p w14:paraId="1BC05308">
            <w:pPr>
              <w:keepNext w:val="0"/>
              <w:keepLines w:val="0"/>
              <w:suppressLineNumbers w:val="0"/>
              <w:adjustRightInd w:val="0"/>
              <w:snapToGrid w:val="0"/>
              <w:spacing w:before="0" w:beforeAutospacing="0" w:after="0" w:afterAutospacing="0" w:line="360" w:lineRule="exact"/>
              <w:ind w:left="-120" w:leftChars="-50" w:right="-120" w:rightChars="-50" w:firstLine="0" w:firstLineChars="0"/>
              <w:jc w:val="center"/>
              <w:rPr>
                <w:rFonts w:hint="eastAsia"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备注</w:t>
            </w:r>
          </w:p>
        </w:tc>
        <w:tc>
          <w:tcPr>
            <w:tcW w:w="3683" w:type="pct"/>
            <w:gridSpan w:val="3"/>
            <w:noWrap w:val="0"/>
            <w:vAlign w:val="center"/>
          </w:tcPr>
          <w:p w14:paraId="06560216">
            <w:pPr>
              <w:keepNext w:val="0"/>
              <w:keepLines w:val="0"/>
              <w:suppressLineNumbers w:val="0"/>
              <w:adjustRightInd w:val="0"/>
              <w:snapToGrid w:val="0"/>
              <w:spacing w:before="0" w:beforeAutospacing="0" w:after="0" w:afterAutospacing="0" w:line="360" w:lineRule="exact"/>
              <w:ind w:left="-120" w:leftChars="-50" w:right="-120" w:rightChars="-50" w:firstLine="0" w:firstLineChars="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1"/>
                <w:lang w:eastAsia="zh-CN"/>
                <w14:textFill>
                  <w14:solidFill>
                    <w14:schemeClr w14:val="tx1"/>
                  </w14:solidFill>
                </w14:textFill>
              </w:rPr>
              <w:t>监测点位坐标：</w:t>
            </w:r>
            <w:r>
              <w:rPr>
                <w:rFonts w:hint="default" w:ascii="Times New Roman" w:hAnsi="Times New Roman" w:eastAsia="宋体" w:cs="Times New Roman"/>
                <w:b w:val="0"/>
                <w:bCs/>
                <w:color w:val="000000" w:themeColor="text1"/>
                <w:sz w:val="21"/>
                <w:lang w:eastAsia="zh-CN"/>
                <w14:textFill>
                  <w14:solidFill>
                    <w14:schemeClr w14:val="tx1"/>
                  </w14:solidFill>
                </w14:textFill>
              </w:rPr>
              <w:t>E***********</w:t>
            </w:r>
            <w:r>
              <w:rPr>
                <w:rFonts w:hint="eastAsia" w:ascii="Times New Roman" w:hAnsi="Times New Roman" w:eastAsia="宋体" w:cs="Times New Roman"/>
                <w:b w:val="0"/>
                <w:bCs/>
                <w:color w:val="000000" w:themeColor="text1"/>
                <w:sz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lang w:eastAsia="zh-CN"/>
                <w14:textFill>
                  <w14:solidFill>
                    <w14:schemeClr w14:val="tx1"/>
                  </w14:solidFill>
                </w14:textFill>
              </w:rPr>
              <w:t>N***********</w:t>
            </w:r>
          </w:p>
        </w:tc>
      </w:tr>
    </w:tbl>
    <w:p w14:paraId="33B2C650">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lang w:bidi="ar"/>
          <w14:textFill>
            <w14:solidFill>
              <w14:schemeClr w14:val="tx1"/>
            </w14:solidFill>
          </w14:textFill>
        </w:rPr>
        <w:t>监测结果表明，评价区域环境空气中污染物TSP浓度满足</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《环境空气质量标准》（GB3095-20</w:t>
      </w:r>
      <w:r>
        <w:rPr>
          <w:rFonts w:hint="eastAsia" w:cs="Times New Roman"/>
          <w:color w:val="000000" w:themeColor="text1"/>
          <w:sz w:val="24"/>
          <w:szCs w:val="22"/>
          <w:lang w:val="en-US" w:eastAsia="zh-CN"/>
          <w14:textFill>
            <w14:solidFill>
              <w14:schemeClr w14:val="tx1"/>
            </w14:solidFill>
          </w14:textFill>
        </w:rPr>
        <w:t>26</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w:t>
      </w:r>
      <w:r>
        <w:rPr>
          <w:rFonts w:hint="eastAsia"/>
          <w:color w:val="000000" w:themeColor="text1"/>
          <w:sz w:val="24"/>
          <w:szCs w:val="24"/>
          <w:lang w:bidi="ar"/>
          <w14:textFill>
            <w14:solidFill>
              <w14:schemeClr w14:val="tx1"/>
            </w14:solidFill>
          </w14:textFill>
        </w:rPr>
        <w:t>二级标准浓度限值（0.30mg/m</w:t>
      </w:r>
      <w:r>
        <w:rPr>
          <w:rFonts w:hint="eastAsia"/>
          <w:color w:val="000000" w:themeColor="text1"/>
          <w:sz w:val="24"/>
          <w:szCs w:val="24"/>
          <w:vertAlign w:val="superscript"/>
          <w:lang w:bidi="ar"/>
          <w14:textFill>
            <w14:solidFill>
              <w14:schemeClr w14:val="tx1"/>
            </w14:solidFill>
          </w14:textFill>
        </w:rPr>
        <w:t>3</w:t>
      </w:r>
      <w:r>
        <w:rPr>
          <w:rFonts w:hint="eastAsia"/>
          <w:color w:val="000000" w:themeColor="text1"/>
          <w:sz w:val="24"/>
          <w:szCs w:val="24"/>
          <w:lang w:bidi="ar"/>
          <w14:textFill>
            <w14:solidFill>
              <w14:schemeClr w14:val="tx1"/>
            </w14:solidFill>
          </w14:textFill>
        </w:rPr>
        <w:t>）要求。</w:t>
      </w:r>
    </w:p>
    <w:p w14:paraId="6D7BBBC7">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2.2地表水</w:t>
      </w:r>
      <w:r>
        <w:rPr>
          <w:color w:val="000000" w:themeColor="text1"/>
          <w:highlight w:val="none"/>
          <w14:textFill>
            <w14:solidFill>
              <w14:schemeClr w14:val="tx1"/>
            </w14:solidFill>
          </w14:textFill>
        </w:rPr>
        <w:t>环境现状调查与评价</w:t>
      </w:r>
      <w:bookmarkEnd w:id="679"/>
      <w:bookmarkEnd w:id="680"/>
      <w:bookmarkEnd w:id="681"/>
    </w:p>
    <w:p w14:paraId="5BC4AD68">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项目区</w:t>
      </w:r>
      <w:r>
        <w:rPr>
          <w:rFonts w:hint="eastAsia"/>
          <w:color w:val="000000" w:themeColor="text1"/>
          <w:highlight w:val="none"/>
          <w14:textFill>
            <w14:solidFill>
              <w14:schemeClr w14:val="tx1"/>
            </w14:solidFill>
          </w14:textFill>
        </w:rPr>
        <w:t>及附近地区地表水体不发育，无常年性流水，仅在6～8月份雨季，暴雨时期在地表形成暂时性水流在低洼地汇集蒸发，区内沟谷不发育</w:t>
      </w:r>
      <w:r>
        <w:rPr>
          <w:color w:val="000000" w:themeColor="text1"/>
          <w:highlight w:val="none"/>
          <w14:textFill>
            <w14:solidFill>
              <w14:schemeClr w14:val="tx1"/>
            </w14:solidFill>
          </w14:textFill>
        </w:rPr>
        <w:t>。</w:t>
      </w:r>
      <w:r>
        <w:rPr>
          <w:rFonts w:hint="eastAsia"/>
          <w:color w:val="000000" w:themeColor="text1"/>
          <w:sz w:val="24"/>
          <w:szCs w:val="24"/>
          <w14:textFill>
            <w14:solidFill>
              <w14:schemeClr w14:val="tx1"/>
            </w14:solidFill>
          </w14:textFill>
        </w:rPr>
        <w:t>距项目区最近的地表水体库如克郭勒河约153.8km，区域水系图见图2.</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-1。</w:t>
      </w:r>
    </w:p>
    <w:p w14:paraId="23E71958">
      <w:pPr>
        <w:pStyle w:val="4"/>
        <w:rPr>
          <w:color w:val="000000" w:themeColor="text1"/>
          <w:highlight w:val="none"/>
          <w14:textFill>
            <w14:solidFill>
              <w14:schemeClr w14:val="tx1"/>
            </w14:solidFill>
          </w14:textFill>
        </w:rPr>
      </w:pPr>
      <w:bookmarkStart w:id="682" w:name="_Toc24273"/>
      <w:bookmarkStart w:id="683" w:name="_Toc9217"/>
      <w:bookmarkStart w:id="684" w:name="_Toc21084"/>
      <w:bookmarkStart w:id="685" w:name="_Toc12019"/>
      <w:bookmarkStart w:id="686" w:name="_Toc18222"/>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.3地下水环境质量现状调查与评价</w:t>
      </w:r>
      <w:bookmarkEnd w:id="682"/>
      <w:bookmarkEnd w:id="683"/>
      <w:bookmarkEnd w:id="684"/>
      <w:bookmarkEnd w:id="685"/>
      <w:bookmarkEnd w:id="686"/>
    </w:p>
    <w:p w14:paraId="3F8BE8A6">
      <w:pPr>
        <w:pStyle w:val="5"/>
        <w:spacing w:before="0" w:after="0" w:line="480" w:lineRule="exact"/>
        <w:ind w:firstLine="482"/>
        <w:rPr>
          <w:rFonts w:ascii="Times New Roman" w:hAnsi="Times New Roman"/>
          <w:bCs w:val="0"/>
          <w:color w:val="000000" w:themeColor="text1"/>
          <w:kern w:val="2"/>
          <w:szCs w:val="24"/>
          <w14:textFill>
            <w14:solidFill>
              <w14:schemeClr w14:val="tx1"/>
            </w14:solidFill>
          </w14:textFill>
        </w:rPr>
      </w:pPr>
      <w:bookmarkStart w:id="687" w:name="_Toc16093"/>
      <w:bookmarkStart w:id="688" w:name="_Toc22779"/>
      <w:bookmarkStart w:id="689" w:name="_Toc23819"/>
      <w:bookmarkStart w:id="690" w:name="_Toc31393"/>
      <w:bookmarkStart w:id="691" w:name="_Toc17201"/>
      <w:bookmarkStart w:id="692" w:name="_Toc24500"/>
      <w:bookmarkStart w:id="693" w:name="_Toc8719"/>
      <w:bookmarkStart w:id="694" w:name="_Toc9872"/>
      <w:bookmarkStart w:id="695" w:name="_Toc15076"/>
      <w:bookmarkStart w:id="696" w:name="_Toc2142"/>
      <w:bookmarkStart w:id="697" w:name="_Toc13408"/>
      <w:r>
        <w:rPr>
          <w:rFonts w:hint="eastAsia" w:ascii="Times New Roman" w:hAnsi="Times New Roman"/>
          <w:bCs w:val="0"/>
          <w:color w:val="000000" w:themeColor="text1"/>
          <w:kern w:val="2"/>
          <w:szCs w:val="24"/>
          <w14:textFill>
            <w14:solidFill>
              <w14:schemeClr w14:val="tx1"/>
            </w14:solidFill>
          </w14:textFill>
        </w:rPr>
        <w:t>4.2.3.1监测点位</w:t>
      </w:r>
    </w:p>
    <w:p w14:paraId="20019429">
      <w:pPr>
        <w:spacing w:line="480" w:lineRule="exact"/>
        <w:ind w:firstLine="456" w:firstLineChars="200"/>
        <w:rPr>
          <w:rFonts w:hint="eastAsia" w:ascii="Times New Roman" w:hAnsi="Times New Roman" w:eastAsia="宋体" w:cs="Times New Roman"/>
          <w:color w:val="000000" w:themeColor="text1"/>
          <w:spacing w:val="-6"/>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建设单位在</w:t>
      </w:r>
      <w:r>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t>项目区周边</w:t>
      </w:r>
      <w:r>
        <w:rPr>
          <w:rFonts w:hint="eastAsia" w:ascii="Times New Roman" w:hAnsi="Times New Roman" w:eastAsia="宋体" w:cs="Times New Roman"/>
          <w:color w:val="000000" w:themeColor="text1"/>
          <w:spacing w:val="-6"/>
          <w:sz w:val="24"/>
          <w:szCs w:val="24"/>
          <w14:textFill>
            <w14:solidFill>
              <w14:schemeClr w14:val="tx1"/>
            </w14:solidFill>
          </w14:textFill>
        </w:rPr>
        <w:t>地下水监测点位布置详见表4.2-3、图4.2-1。</w:t>
      </w:r>
    </w:p>
    <w:p w14:paraId="568AD0D4">
      <w:pPr>
        <w:widowControl w:val="0"/>
        <w:spacing w:beforeLines="0" w:afterLines="0" w:line="480" w:lineRule="exact"/>
        <w:ind w:firstLine="0" w:firstLineChars="0"/>
        <w:jc w:val="center"/>
        <w:rPr>
          <w:rFonts w:hint="default" w:ascii="Times New Roman" w:hAnsi="Times New Roman" w:eastAsia="宋体" w:cs="Times New Roman"/>
          <w:b/>
          <w:color w:val="000000" w:themeColor="text1"/>
          <w:kern w:val="0"/>
          <w:sz w:val="24"/>
          <w:szCs w:val="24"/>
          <w:lang w:val="zh-CN" w:eastAsia="zh-CN" w:bidi="ar-SA"/>
          <w14:textFill>
            <w14:solidFill>
              <w14:schemeClr w14:val="tx1"/>
            </w14:solidFill>
          </w14:textFill>
        </w:rPr>
      </w:pPr>
      <w:r>
        <w:rPr>
          <w:rFonts w:hint="default" w:ascii="Times New Roman" w:hAnsi="Times New Roman" w:eastAsia="宋体" w:cs="Times New Roman"/>
          <w:b/>
          <w:color w:val="000000" w:themeColor="text1"/>
          <w:kern w:val="0"/>
          <w:sz w:val="24"/>
          <w:szCs w:val="24"/>
          <w:lang w:val="zh-CN" w:eastAsia="zh-CN" w:bidi="ar-SA"/>
          <w14:textFill>
            <w14:solidFill>
              <w14:schemeClr w14:val="tx1"/>
            </w14:solidFill>
          </w14:textFill>
        </w:rPr>
        <w:t>表4.2-</w:t>
      </w:r>
      <w:r>
        <w:rPr>
          <w:rFonts w:hint="eastAsia" w:ascii="Times New Roman" w:hAnsi="Times New Roman" w:eastAsia="宋体" w:cs="Times New Roman"/>
          <w:b/>
          <w:color w:val="000000" w:themeColor="text1"/>
          <w:kern w:val="0"/>
          <w:sz w:val="24"/>
          <w:szCs w:val="24"/>
          <w:lang w:val="en-US" w:eastAsia="zh-CN" w:bidi="ar-SA"/>
          <w14:textFill>
            <w14:solidFill>
              <w14:schemeClr w14:val="tx1"/>
            </w14:solidFill>
          </w14:textFill>
        </w:rPr>
        <w:t>3</w:t>
      </w:r>
      <w:r>
        <w:rPr>
          <w:rFonts w:hint="default" w:ascii="Times New Roman" w:hAnsi="Times New Roman" w:eastAsia="宋体" w:cs="Times New Roman"/>
          <w:b/>
          <w:color w:val="000000" w:themeColor="text1"/>
          <w:kern w:val="0"/>
          <w:sz w:val="24"/>
          <w:szCs w:val="24"/>
          <w:lang w:val="zh-CN" w:eastAsia="zh-CN" w:bidi="ar-SA"/>
          <w14:textFill>
            <w14:solidFill>
              <w14:schemeClr w14:val="tx1"/>
            </w14:solidFill>
          </w14:textFill>
        </w:rPr>
        <w:t xml:space="preserve">    地下水监测点位情况表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488"/>
        <w:gridCol w:w="1447"/>
        <w:gridCol w:w="1784"/>
        <w:gridCol w:w="1718"/>
        <w:gridCol w:w="903"/>
      </w:tblGrid>
      <w:tr w14:paraId="1AB39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90" w:type="pct"/>
            <w:tcBorders>
              <w:tl2br w:val="nil"/>
              <w:tr2bl w:val="nil"/>
            </w:tcBorders>
            <w:vAlign w:val="center"/>
          </w:tcPr>
          <w:p w14:paraId="44745E8F">
            <w:pPr>
              <w:keepNext w:val="0"/>
              <w:keepLines w:val="0"/>
              <w:suppressLineNumbers w:val="0"/>
              <w:tabs>
                <w:tab w:val="left" w:pos="1080"/>
                <w:tab w:val="left" w:pos="6090"/>
              </w:tabs>
              <w:overflowPunct w:val="0"/>
              <w:topLinePunct/>
              <w:snapToGrid w:val="0"/>
              <w:spacing w:before="0" w:beforeAutospacing="0" w:after="0" w:afterAutospacing="0" w:line="360" w:lineRule="exact"/>
              <w:ind w:left="0" w:leftChars="0" w:right="-120" w:rightChars="-50" w:firstLine="0" w:firstLineChars="0"/>
              <w:jc w:val="center"/>
              <w:rPr>
                <w:rFonts w:hint="default" w:ascii="Times New Roman" w:hAnsi="Times New Roman" w:eastAsia="宋体" w:cs="Times New Roman"/>
                <w:b/>
                <w:color w:val="000000" w:themeColor="text1"/>
                <w:sz w:val="21"/>
                <w:szCs w:val="22"/>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2"/>
                <w:highlight w:val="none"/>
                <w14:textFill>
                  <w14:solidFill>
                    <w14:schemeClr w14:val="tx1"/>
                  </w14:solidFill>
                </w14:textFill>
              </w:rPr>
              <w:t>点位</w:t>
            </w:r>
            <w:r>
              <w:rPr>
                <w:rFonts w:hint="default" w:ascii="Times New Roman" w:hAnsi="Times New Roman" w:eastAsia="宋体" w:cs="Times New Roman"/>
                <w:b/>
                <w:color w:val="000000" w:themeColor="text1"/>
                <w:sz w:val="21"/>
                <w:szCs w:val="22"/>
                <w:highlight w:val="none"/>
                <w:lang w:eastAsia="zh-CN"/>
                <w14:textFill>
                  <w14:solidFill>
                    <w14:schemeClr w14:val="tx1"/>
                  </w14:solidFill>
                </w14:textFill>
              </w:rPr>
              <w:t>序号</w:t>
            </w:r>
          </w:p>
        </w:tc>
        <w:tc>
          <w:tcPr>
            <w:tcW w:w="873" w:type="pct"/>
            <w:tcBorders>
              <w:tl2br w:val="nil"/>
              <w:tr2bl w:val="nil"/>
            </w:tcBorders>
            <w:vAlign w:val="center"/>
          </w:tcPr>
          <w:p w14:paraId="7C626058">
            <w:pPr>
              <w:keepNext w:val="0"/>
              <w:keepLines w:val="0"/>
              <w:suppressLineNumbers w:val="0"/>
              <w:tabs>
                <w:tab w:val="left" w:pos="1080"/>
                <w:tab w:val="left" w:pos="6090"/>
              </w:tabs>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000000" w:themeColor="text1"/>
                <w:sz w:val="21"/>
                <w:szCs w:val="22"/>
                <w:highlight w:val="none"/>
                <w14:textFill>
                  <w14:solidFill>
                    <w14:schemeClr w14:val="tx1"/>
                  </w14:solidFill>
                </w14:textFill>
              </w:rPr>
            </w:pPr>
            <w:r>
              <w:rPr>
                <w:rFonts w:hint="default" w:ascii="Times New Roman" w:hAnsi="Times New Roman" w:eastAsia="宋体" w:cs="Times New Roman"/>
                <w:b/>
                <w:color w:val="000000" w:themeColor="text1"/>
                <w:sz w:val="21"/>
                <w:szCs w:val="22"/>
                <w:highlight w:val="none"/>
                <w14:textFill>
                  <w14:solidFill>
                    <w14:schemeClr w14:val="tx1"/>
                  </w14:solidFill>
                </w14:textFill>
              </w:rPr>
              <w:t>经度</w:t>
            </w:r>
          </w:p>
        </w:tc>
        <w:tc>
          <w:tcPr>
            <w:tcW w:w="849" w:type="pct"/>
            <w:tcBorders>
              <w:tl2br w:val="nil"/>
              <w:tr2bl w:val="nil"/>
            </w:tcBorders>
            <w:vAlign w:val="center"/>
          </w:tcPr>
          <w:p w14:paraId="40749E7D">
            <w:pPr>
              <w:keepNext w:val="0"/>
              <w:keepLines w:val="0"/>
              <w:suppressLineNumbers w:val="0"/>
              <w:tabs>
                <w:tab w:val="left" w:pos="1080"/>
                <w:tab w:val="left" w:pos="6090"/>
              </w:tabs>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000000" w:themeColor="text1"/>
                <w:sz w:val="21"/>
                <w:szCs w:val="22"/>
                <w:highlight w:val="none"/>
                <w14:textFill>
                  <w14:solidFill>
                    <w14:schemeClr w14:val="tx1"/>
                  </w14:solidFill>
                </w14:textFill>
              </w:rPr>
            </w:pPr>
            <w:r>
              <w:rPr>
                <w:rFonts w:hint="default" w:ascii="Times New Roman" w:hAnsi="Times New Roman" w:eastAsia="宋体" w:cs="Times New Roman"/>
                <w:b/>
                <w:color w:val="000000" w:themeColor="text1"/>
                <w:sz w:val="21"/>
                <w:szCs w:val="22"/>
                <w:highlight w:val="none"/>
                <w14:textFill>
                  <w14:solidFill>
                    <w14:schemeClr w14:val="tx1"/>
                  </w14:solidFill>
                </w14:textFill>
              </w:rPr>
              <w:t>纬度</w:t>
            </w:r>
          </w:p>
        </w:tc>
        <w:tc>
          <w:tcPr>
            <w:tcW w:w="1047" w:type="pct"/>
            <w:tcBorders>
              <w:tl2br w:val="nil"/>
              <w:tr2bl w:val="nil"/>
            </w:tcBorders>
            <w:vAlign w:val="center"/>
          </w:tcPr>
          <w:p w14:paraId="282F072F">
            <w:pPr>
              <w:keepNext w:val="0"/>
              <w:keepLines w:val="0"/>
              <w:suppressLineNumbers w:val="0"/>
              <w:tabs>
                <w:tab w:val="left" w:pos="1080"/>
                <w:tab w:val="left" w:pos="6090"/>
              </w:tabs>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000000" w:themeColor="text1"/>
                <w:sz w:val="21"/>
                <w:szCs w:val="22"/>
                <w:highlight w:val="none"/>
                <w14:textFill>
                  <w14:solidFill>
                    <w14:schemeClr w14:val="tx1"/>
                  </w14:solidFill>
                </w14:textFill>
              </w:rPr>
            </w:pPr>
            <w:r>
              <w:rPr>
                <w:rFonts w:hint="eastAsia" w:ascii="Times New Roman" w:hAnsi="Times New Roman" w:eastAsia="宋体" w:cs="Times New Roman"/>
                <w:b/>
                <w:color w:val="000000" w:themeColor="text1"/>
                <w:sz w:val="21"/>
                <w:szCs w:val="22"/>
                <w:highlight w:val="none"/>
                <w:lang w:val="en-US" w:eastAsia="zh-CN"/>
                <w14:textFill>
                  <w14:solidFill>
                    <w14:schemeClr w14:val="tx1"/>
                  </w14:solidFill>
                </w14:textFill>
              </w:rPr>
              <w:t>井深</w:t>
            </w:r>
            <w:r>
              <w:rPr>
                <w:rFonts w:hint="default" w:ascii="Times New Roman" w:hAnsi="Times New Roman" w:eastAsia="宋体" w:cs="Times New Roman"/>
                <w:b/>
                <w:color w:val="000000" w:themeColor="text1"/>
                <w:sz w:val="21"/>
                <w:szCs w:val="22"/>
                <w:highlight w:val="none"/>
                <w14:textFill>
                  <w14:solidFill>
                    <w14:schemeClr w14:val="tx1"/>
                  </w14:solidFill>
                </w14:textFill>
              </w:rPr>
              <w:t>（m）</w:t>
            </w:r>
          </w:p>
        </w:tc>
        <w:tc>
          <w:tcPr>
            <w:tcW w:w="1008" w:type="pct"/>
            <w:tcBorders>
              <w:tl2br w:val="nil"/>
              <w:tr2bl w:val="nil"/>
            </w:tcBorders>
            <w:vAlign w:val="center"/>
          </w:tcPr>
          <w:p w14:paraId="74D643AA">
            <w:pPr>
              <w:keepNext w:val="0"/>
              <w:keepLines w:val="0"/>
              <w:suppressLineNumbers w:val="0"/>
              <w:tabs>
                <w:tab w:val="left" w:pos="1080"/>
                <w:tab w:val="left" w:pos="6090"/>
              </w:tabs>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000000" w:themeColor="text1"/>
                <w:sz w:val="21"/>
                <w:szCs w:val="22"/>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2"/>
                <w:highlight w:val="none"/>
                <w:lang w:eastAsia="zh-CN"/>
                <w14:textFill>
                  <w14:solidFill>
                    <w14:schemeClr w14:val="tx1"/>
                  </w14:solidFill>
                </w14:textFill>
              </w:rPr>
              <w:t>水位埋深（</w:t>
            </w:r>
            <w:r>
              <w:rPr>
                <w:rFonts w:hint="default" w:ascii="Times New Roman" w:hAnsi="Times New Roman" w:eastAsia="宋体" w:cs="Times New Roman"/>
                <w:b/>
                <w:color w:val="000000" w:themeColor="text1"/>
                <w:sz w:val="21"/>
                <w:szCs w:val="22"/>
                <w:highlight w:val="none"/>
                <w:lang w:val="en-US" w:eastAsia="zh-CN"/>
                <w14:textFill>
                  <w14:solidFill>
                    <w14:schemeClr w14:val="tx1"/>
                  </w14:solidFill>
                </w14:textFill>
              </w:rPr>
              <w:t>m</w:t>
            </w:r>
            <w:r>
              <w:rPr>
                <w:rFonts w:hint="default" w:ascii="Times New Roman" w:hAnsi="Times New Roman" w:eastAsia="宋体" w:cs="Times New Roman"/>
                <w:b/>
                <w:color w:val="000000" w:themeColor="text1"/>
                <w:sz w:val="21"/>
                <w:szCs w:val="22"/>
                <w:highlight w:val="none"/>
                <w:lang w:eastAsia="zh-CN"/>
                <w14:textFill>
                  <w14:solidFill>
                    <w14:schemeClr w14:val="tx1"/>
                  </w14:solidFill>
                </w14:textFill>
              </w:rPr>
              <w:t>）</w:t>
            </w:r>
          </w:p>
        </w:tc>
        <w:tc>
          <w:tcPr>
            <w:tcW w:w="530" w:type="pct"/>
            <w:tcBorders>
              <w:tl2br w:val="nil"/>
              <w:tr2bl w:val="nil"/>
            </w:tcBorders>
            <w:vAlign w:val="center"/>
          </w:tcPr>
          <w:p w14:paraId="39FE772B">
            <w:pPr>
              <w:keepNext w:val="0"/>
              <w:keepLines w:val="0"/>
              <w:suppressLineNumbers w:val="0"/>
              <w:tabs>
                <w:tab w:val="left" w:pos="1080"/>
                <w:tab w:val="left" w:pos="6090"/>
              </w:tabs>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000000" w:themeColor="text1"/>
                <w:sz w:val="21"/>
                <w:szCs w:val="22"/>
                <w:highlight w:val="none"/>
                <w14:textFill>
                  <w14:solidFill>
                    <w14:schemeClr w14:val="tx1"/>
                  </w14:solidFill>
                </w14:textFill>
              </w:rPr>
            </w:pPr>
            <w:r>
              <w:rPr>
                <w:rFonts w:hint="default" w:ascii="Times New Roman" w:hAnsi="Times New Roman" w:eastAsia="宋体" w:cs="Times New Roman"/>
                <w:b/>
                <w:color w:val="000000" w:themeColor="text1"/>
                <w:sz w:val="21"/>
                <w:szCs w:val="22"/>
                <w:highlight w:val="none"/>
                <w14:textFill>
                  <w14:solidFill>
                    <w14:schemeClr w14:val="tx1"/>
                  </w14:solidFill>
                </w14:textFill>
              </w:rPr>
              <w:t>井结构</w:t>
            </w:r>
          </w:p>
        </w:tc>
      </w:tr>
      <w:tr w14:paraId="7549F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704A6881">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873" w:type="pct"/>
            <w:tcBorders>
              <w:tl2br w:val="nil"/>
              <w:tr2bl w:val="nil"/>
            </w:tcBorders>
            <w:vAlign w:val="center"/>
          </w:tcPr>
          <w:p w14:paraId="379DCF3B">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93°55′45.39″</w:t>
            </w:r>
          </w:p>
        </w:tc>
        <w:tc>
          <w:tcPr>
            <w:tcW w:w="849" w:type="pct"/>
            <w:tcBorders>
              <w:tl2br w:val="nil"/>
              <w:tr2bl w:val="nil"/>
            </w:tcBorders>
            <w:vAlign w:val="center"/>
          </w:tcPr>
          <w:p w14:paraId="65150AE0">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41°12′54.34″</w:t>
            </w:r>
          </w:p>
        </w:tc>
        <w:tc>
          <w:tcPr>
            <w:tcW w:w="1047" w:type="pct"/>
            <w:tcBorders>
              <w:tl2br w:val="nil"/>
              <w:tr2bl w:val="nil"/>
            </w:tcBorders>
            <w:vAlign w:val="center"/>
          </w:tcPr>
          <w:p w14:paraId="0EA6F870">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150</w:t>
            </w:r>
          </w:p>
        </w:tc>
        <w:tc>
          <w:tcPr>
            <w:tcW w:w="1008" w:type="pct"/>
            <w:tcBorders>
              <w:tl2br w:val="nil"/>
              <w:tr2bl w:val="nil"/>
            </w:tcBorders>
            <w:vAlign w:val="center"/>
          </w:tcPr>
          <w:p w14:paraId="06CEE48D">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7.5</w:t>
            </w:r>
          </w:p>
        </w:tc>
        <w:tc>
          <w:tcPr>
            <w:tcW w:w="530" w:type="pct"/>
            <w:tcBorders>
              <w:tl2br w:val="nil"/>
              <w:tr2bl w:val="nil"/>
            </w:tcBorders>
            <w:vAlign w:val="center"/>
          </w:tcPr>
          <w:p w14:paraId="11FFD2CE">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直井</w:t>
            </w:r>
          </w:p>
        </w:tc>
      </w:tr>
      <w:tr w14:paraId="1E2E6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6DD3A4A3">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873" w:type="pct"/>
            <w:tcBorders>
              <w:tl2br w:val="nil"/>
              <w:tr2bl w:val="nil"/>
            </w:tcBorders>
            <w:vAlign w:val="center"/>
          </w:tcPr>
          <w:p w14:paraId="7D2D08CB">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93°55′29.42″</w:t>
            </w:r>
          </w:p>
        </w:tc>
        <w:tc>
          <w:tcPr>
            <w:tcW w:w="849" w:type="pct"/>
            <w:tcBorders>
              <w:tl2br w:val="nil"/>
              <w:tr2bl w:val="nil"/>
            </w:tcBorders>
            <w:vAlign w:val="center"/>
          </w:tcPr>
          <w:p w14:paraId="425A97AD">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41°12′45.23″</w:t>
            </w:r>
          </w:p>
        </w:tc>
        <w:tc>
          <w:tcPr>
            <w:tcW w:w="1047" w:type="pct"/>
            <w:tcBorders>
              <w:tl2br w:val="nil"/>
              <w:tr2bl w:val="nil"/>
            </w:tcBorders>
            <w:vAlign w:val="center"/>
          </w:tcPr>
          <w:p w14:paraId="237531AC">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130</w:t>
            </w:r>
          </w:p>
        </w:tc>
        <w:tc>
          <w:tcPr>
            <w:tcW w:w="1008" w:type="pct"/>
            <w:tcBorders>
              <w:tl2br w:val="nil"/>
              <w:tr2bl w:val="nil"/>
            </w:tcBorders>
            <w:vAlign w:val="center"/>
          </w:tcPr>
          <w:p w14:paraId="43A63881">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8.3</w:t>
            </w:r>
          </w:p>
        </w:tc>
        <w:tc>
          <w:tcPr>
            <w:tcW w:w="530" w:type="pct"/>
            <w:tcBorders>
              <w:tl2br w:val="nil"/>
              <w:tr2bl w:val="nil"/>
            </w:tcBorders>
            <w:vAlign w:val="center"/>
          </w:tcPr>
          <w:p w14:paraId="14CB30F1">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直井</w:t>
            </w:r>
          </w:p>
        </w:tc>
      </w:tr>
      <w:tr w14:paraId="48038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tcBorders>
              <w:tl2br w:val="nil"/>
              <w:tr2bl w:val="nil"/>
            </w:tcBorders>
            <w:vAlign w:val="center"/>
          </w:tcPr>
          <w:p w14:paraId="45ED0239">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73" w:type="pct"/>
            <w:tcBorders>
              <w:tl2br w:val="nil"/>
              <w:tr2bl w:val="nil"/>
            </w:tcBorders>
            <w:vAlign w:val="center"/>
          </w:tcPr>
          <w:p w14:paraId="59112E23">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93°56′11.76″</w:t>
            </w:r>
          </w:p>
        </w:tc>
        <w:tc>
          <w:tcPr>
            <w:tcW w:w="849" w:type="pct"/>
            <w:tcBorders>
              <w:tl2br w:val="nil"/>
              <w:tr2bl w:val="nil"/>
            </w:tcBorders>
            <w:vAlign w:val="center"/>
          </w:tcPr>
          <w:p w14:paraId="05DBB867">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41°14′41.06″</w:t>
            </w:r>
          </w:p>
        </w:tc>
        <w:tc>
          <w:tcPr>
            <w:tcW w:w="1047" w:type="pct"/>
            <w:tcBorders>
              <w:tl2br w:val="nil"/>
              <w:tr2bl w:val="nil"/>
            </w:tcBorders>
            <w:vAlign w:val="center"/>
          </w:tcPr>
          <w:p w14:paraId="4C9DA230">
            <w:pPr>
              <w:keepNext w:val="0"/>
              <w:keepLines w:val="0"/>
              <w:suppressLineNumbers w:val="0"/>
              <w:overflowPunct w:val="0"/>
              <w:topLinePunct/>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140</w:t>
            </w:r>
          </w:p>
        </w:tc>
        <w:tc>
          <w:tcPr>
            <w:tcW w:w="1008" w:type="pct"/>
            <w:tcBorders>
              <w:tl2br w:val="nil"/>
              <w:tr2bl w:val="nil"/>
            </w:tcBorders>
            <w:vAlign w:val="center"/>
          </w:tcPr>
          <w:p w14:paraId="33D838FC">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4.5</w:t>
            </w:r>
          </w:p>
        </w:tc>
        <w:tc>
          <w:tcPr>
            <w:tcW w:w="530" w:type="pct"/>
            <w:tcBorders>
              <w:tl2br w:val="nil"/>
              <w:tr2bl w:val="nil"/>
            </w:tcBorders>
            <w:vAlign w:val="center"/>
          </w:tcPr>
          <w:p w14:paraId="113F614D">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直井</w:t>
            </w:r>
          </w:p>
        </w:tc>
      </w:tr>
    </w:tbl>
    <w:p w14:paraId="504DE7B0">
      <w:pPr>
        <w:keepNext/>
        <w:keepLines/>
        <w:widowControl w:val="0"/>
        <w:spacing w:before="0" w:after="0" w:line="480" w:lineRule="exact"/>
        <w:ind w:firstLine="482" w:firstLineChars="200"/>
        <w:jc w:val="both"/>
        <w:outlineLvl w:val="3"/>
        <w:rPr>
          <w:rFonts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4.2.3.2</w:t>
      </w:r>
      <w:r>
        <w:rPr>
          <w:rFonts w:hint="default" w:ascii="Times New Roman" w:hAnsi="Times New Roman" w:eastAsia="宋体" w:cs="Times New Roman"/>
          <w:b/>
          <w:bCs/>
          <w:color w:val="000000" w:themeColor="text1"/>
          <w:kern w:val="0"/>
          <w:sz w:val="24"/>
          <w:szCs w:val="28"/>
          <w:highlight w:val="none"/>
          <w:lang w:val="en-US" w:eastAsia="zh-CN" w:bidi="ar-SA"/>
          <w14:textFill>
            <w14:solidFill>
              <w14:schemeClr w14:val="tx1"/>
            </w14:solidFill>
          </w14:textFill>
        </w:rPr>
        <w:t>监测时间与监测单位</w:t>
      </w:r>
    </w:p>
    <w:p w14:paraId="3B3A1C51">
      <w:pPr>
        <w:spacing w:line="480" w:lineRule="exact"/>
        <w:ind w:firstLine="456" w:firstLineChars="200"/>
        <w:rPr>
          <w:rFonts w:hint="eastAsia" w:eastAsia="宋体"/>
          <w:color w:val="000000" w:themeColor="text1"/>
          <w:spacing w:val="-6"/>
          <w:sz w:val="24"/>
          <w:szCs w:val="24"/>
          <w14:textFill>
            <w14:solidFill>
              <w14:schemeClr w14:val="tx1"/>
            </w14:solidFill>
          </w14:textFill>
        </w:rPr>
      </w:pPr>
      <w:r>
        <w:rPr>
          <w:rFonts w:hint="eastAsia" w:eastAsia="宋体"/>
          <w:color w:val="000000" w:themeColor="text1"/>
          <w:spacing w:val="-6"/>
          <w:sz w:val="24"/>
          <w:szCs w:val="24"/>
          <w14:textFill>
            <w14:solidFill>
              <w14:schemeClr w14:val="tx1"/>
            </w14:solidFill>
          </w14:textFill>
        </w:rPr>
        <w:t>监测时间：2025年</w:t>
      </w:r>
      <w:r>
        <w:rPr>
          <w:rFonts w:hint="eastAsia" w:eastAsia="宋体"/>
          <w:color w:val="000000" w:themeColor="text1"/>
          <w:spacing w:val="-6"/>
          <w:sz w:val="24"/>
          <w:szCs w:val="24"/>
          <w:lang w:val="en-US" w:eastAsia="zh-CN"/>
          <w14:textFill>
            <w14:solidFill>
              <w14:schemeClr w14:val="tx1"/>
            </w14:solidFill>
          </w14:textFill>
        </w:rPr>
        <w:t>12</w:t>
      </w:r>
      <w:r>
        <w:rPr>
          <w:rFonts w:hint="eastAsia" w:eastAsia="宋体"/>
          <w:color w:val="000000" w:themeColor="text1"/>
          <w:spacing w:val="-6"/>
          <w:sz w:val="24"/>
          <w:szCs w:val="24"/>
          <w14:textFill>
            <w14:solidFill>
              <w14:schemeClr w14:val="tx1"/>
            </w14:solidFill>
          </w14:textFill>
        </w:rPr>
        <w:t>月30日。</w:t>
      </w:r>
    </w:p>
    <w:p w14:paraId="477FEE74">
      <w:pPr>
        <w:spacing w:line="480" w:lineRule="exact"/>
        <w:ind w:firstLine="456" w:firstLineChars="200"/>
        <w:rPr>
          <w:rFonts w:hint="eastAsia" w:eastAsia="宋体"/>
          <w:color w:val="000000" w:themeColor="text1"/>
          <w:spacing w:val="-6"/>
          <w:sz w:val="24"/>
          <w:szCs w:val="24"/>
          <w14:textFill>
            <w14:solidFill>
              <w14:schemeClr w14:val="tx1"/>
            </w14:solidFill>
          </w14:textFill>
        </w:rPr>
      </w:pPr>
      <w:r>
        <w:rPr>
          <w:rFonts w:hint="eastAsia" w:eastAsia="宋体"/>
          <w:color w:val="000000" w:themeColor="text1"/>
          <w:spacing w:val="-6"/>
          <w:sz w:val="24"/>
          <w:szCs w:val="24"/>
          <w14:textFill>
            <w14:solidFill>
              <w14:schemeClr w14:val="tx1"/>
            </w14:solidFill>
          </w14:textFill>
        </w:rPr>
        <w:t>监测单位：新疆齐新环境服务有限公司。</w:t>
      </w:r>
    </w:p>
    <w:p w14:paraId="0F7643CE">
      <w:pPr>
        <w:keepNext/>
        <w:keepLines/>
        <w:widowControl w:val="0"/>
        <w:spacing w:before="0" w:after="0" w:line="480" w:lineRule="exact"/>
        <w:ind w:firstLine="482" w:firstLineChars="200"/>
        <w:jc w:val="both"/>
        <w:outlineLvl w:val="3"/>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4.2.3.3监测因子</w:t>
      </w:r>
    </w:p>
    <w:p w14:paraId="44D7F41D">
      <w:pPr>
        <w:spacing w:line="480" w:lineRule="exact"/>
        <w:ind w:firstLine="480" w:firstLineChars="200"/>
        <w:rPr>
          <w:rFonts w:hint="eastAsia"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钾、钠、钙、镁、碳酸盐、重碳酸盐、氯化物、硫酸盐以及pH值、总硬度、溶解性总固体、铁、锰、铜、锌、挥发性酚类、氨氮、总大肠菌群、亚硝酸盐、硝酸盐、氰化物、氟化物、汞、砷、镉、铬（六价）、铅、镍。</w:t>
      </w:r>
    </w:p>
    <w:p w14:paraId="1F299123">
      <w:pPr>
        <w:keepNext/>
        <w:keepLines/>
        <w:widowControl w:val="0"/>
        <w:spacing w:before="0" w:after="0" w:line="480" w:lineRule="exact"/>
        <w:ind w:firstLine="482" w:firstLineChars="200"/>
        <w:jc w:val="both"/>
        <w:outlineLvl w:val="3"/>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4.2.3.4评价标准</w:t>
      </w:r>
    </w:p>
    <w:p w14:paraId="61CC7138">
      <w:pPr>
        <w:widowControl/>
        <w:spacing w:after="0" w:line="480" w:lineRule="exact"/>
        <w:ind w:firstLine="480" w:firstLineChars="200"/>
        <w:jc w:val="both"/>
        <w:rPr>
          <w:rFonts w:ascii="Times New Roman" w:hAnsi="Times New Roman" w:eastAsia="宋体" w:cs="Times New Roman"/>
          <w:color w:val="000000" w:themeColor="text1"/>
          <w:kern w:val="0"/>
          <w:sz w:val="24"/>
          <w:szCs w:val="24"/>
          <w:lang w:val="en-US" w:eastAsia="zh-CN" w:bidi="en-US"/>
          <w14:textFill>
            <w14:solidFill>
              <w14:schemeClr w14:val="tx1"/>
            </w14:solidFill>
          </w14:textFill>
        </w:rPr>
      </w:pPr>
      <w:r>
        <w:rPr>
          <w:rFonts w:ascii="Times New Roman" w:hAnsi="Times New Roman" w:eastAsia="宋体" w:cs="Times New Roman"/>
          <w:color w:val="000000" w:themeColor="text1"/>
          <w:kern w:val="0"/>
          <w:sz w:val="24"/>
          <w:szCs w:val="24"/>
          <w:lang w:val="en-US" w:eastAsia="zh-CN" w:bidi="en-US"/>
          <w14:textFill>
            <w14:solidFill>
              <w14:schemeClr w14:val="tx1"/>
            </w14:solidFill>
          </w14:textFill>
        </w:rPr>
        <w:t>执行《地下水质量标准》（GB/T14848-2017）</w:t>
      </w:r>
      <w:r>
        <w:rPr>
          <w:rFonts w:hint="eastAsia" w:ascii="Times New Roman" w:hAnsi="Times New Roman" w:eastAsia="宋体" w:cs="Times New Roman"/>
          <w:snapToGrid w:val="0"/>
          <w:color w:val="000000" w:themeColor="text1"/>
          <w:kern w:val="0"/>
          <w:sz w:val="24"/>
          <w:szCs w:val="24"/>
          <w:lang w:val="en-US" w:eastAsia="zh-CN" w:bidi="en-US"/>
          <w14:textFill>
            <w14:solidFill>
              <w14:schemeClr w14:val="tx1"/>
            </w14:solidFill>
          </w14:textFill>
        </w:rPr>
        <w:t>Ⅲ</w:t>
      </w:r>
      <w:r>
        <w:rPr>
          <w:rFonts w:ascii="Times New Roman" w:hAnsi="Times New Roman" w:eastAsia="宋体" w:cs="Times New Roman"/>
          <w:color w:val="000000" w:themeColor="text1"/>
          <w:kern w:val="0"/>
          <w:sz w:val="24"/>
          <w:szCs w:val="24"/>
          <w:lang w:val="en-US" w:eastAsia="zh-CN" w:bidi="en-US"/>
          <w14:textFill>
            <w14:solidFill>
              <w14:schemeClr w14:val="tx1"/>
            </w14:solidFill>
          </w14:textFill>
        </w:rPr>
        <w:t>类标准。</w:t>
      </w:r>
    </w:p>
    <w:p w14:paraId="7087C572">
      <w:pPr>
        <w:keepNext/>
        <w:keepLines/>
        <w:widowControl w:val="0"/>
        <w:spacing w:before="0" w:after="0" w:line="480" w:lineRule="exact"/>
        <w:ind w:firstLine="482" w:firstLineChars="200"/>
        <w:jc w:val="both"/>
        <w:outlineLvl w:val="3"/>
        <w:rPr>
          <w:rFonts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4.2.3.5评价方法</w:t>
      </w:r>
    </w:p>
    <w:p w14:paraId="482BF796">
      <w:pPr>
        <w:spacing w:line="480" w:lineRule="exact"/>
        <w:ind w:firstLine="480" w:firstLineChars="200"/>
        <w:rPr>
          <w:rFonts w:hint="eastAsia"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本次地下水环境质量评价采用单因子标准指数法对各污染物进行评价，评价公式如下：</w:t>
      </w:r>
    </w:p>
    <w:p w14:paraId="296DFD45">
      <w:pPr>
        <w:widowControl/>
        <w:spacing w:after="0"/>
        <w:ind w:firstLine="200"/>
        <w:jc w:val="cente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pP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P</w:t>
      </w:r>
      <w:r>
        <w:rPr>
          <w:rFonts w:ascii="Times New Roman" w:hAnsi="Times New Roman" w:eastAsia="宋体" w:cs="Times New Roman"/>
          <w:snapToGrid w:val="0"/>
          <w:color w:val="000000" w:themeColor="text1"/>
          <w:kern w:val="0"/>
          <w:sz w:val="24"/>
          <w:szCs w:val="24"/>
          <w:vertAlign w:val="subscript"/>
          <w:lang w:val="en-US" w:eastAsia="en-US" w:bidi="en-US"/>
          <w14:textFill>
            <w14:solidFill>
              <w14:schemeClr w14:val="tx1"/>
            </w14:solidFill>
          </w14:textFill>
        </w:rPr>
        <w:t>i</w:t>
      </w: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=C</w:t>
      </w:r>
      <w:r>
        <w:rPr>
          <w:rFonts w:ascii="Times New Roman" w:hAnsi="Times New Roman" w:eastAsia="宋体" w:cs="Times New Roman"/>
          <w:snapToGrid w:val="0"/>
          <w:color w:val="000000" w:themeColor="text1"/>
          <w:kern w:val="0"/>
          <w:sz w:val="24"/>
          <w:szCs w:val="24"/>
          <w:vertAlign w:val="subscript"/>
          <w:lang w:val="en-US" w:eastAsia="en-US" w:bidi="en-US"/>
          <w14:textFill>
            <w14:solidFill>
              <w14:schemeClr w14:val="tx1"/>
            </w14:solidFill>
          </w14:textFill>
        </w:rPr>
        <w:t>i</w:t>
      </w: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/S</w:t>
      </w:r>
      <w:r>
        <w:rPr>
          <w:rFonts w:ascii="Times New Roman" w:hAnsi="Times New Roman" w:eastAsia="宋体" w:cs="Times New Roman"/>
          <w:snapToGrid w:val="0"/>
          <w:color w:val="000000" w:themeColor="text1"/>
          <w:kern w:val="0"/>
          <w:sz w:val="24"/>
          <w:szCs w:val="24"/>
          <w:vertAlign w:val="subscript"/>
          <w:lang w:val="en-US" w:eastAsia="en-US" w:bidi="en-US"/>
          <w14:textFill>
            <w14:solidFill>
              <w14:schemeClr w14:val="tx1"/>
            </w14:solidFill>
          </w14:textFill>
        </w:rPr>
        <w:t>i</w:t>
      </w:r>
    </w:p>
    <w:p w14:paraId="35FB8AF1">
      <w:pPr>
        <w:widowControl/>
        <w:spacing w:after="0" w:line="480" w:lineRule="exact"/>
        <w:ind w:firstLine="480" w:firstLineChars="200"/>
        <w:jc w:val="both"/>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pP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式中：P</w:t>
      </w:r>
      <w:r>
        <w:rPr>
          <w:rFonts w:ascii="Times New Roman" w:hAnsi="Times New Roman" w:eastAsia="宋体" w:cs="Times New Roman"/>
          <w:snapToGrid w:val="0"/>
          <w:color w:val="000000" w:themeColor="text1"/>
          <w:kern w:val="0"/>
          <w:sz w:val="24"/>
          <w:szCs w:val="24"/>
          <w:vertAlign w:val="subscript"/>
          <w:lang w:val="en-US" w:eastAsia="en-US" w:bidi="en-US"/>
          <w14:textFill>
            <w14:solidFill>
              <w14:schemeClr w14:val="tx1"/>
            </w14:solidFill>
          </w14:textFill>
        </w:rPr>
        <w:t>i</w:t>
      </w: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——第i种污染物的标准指数；</w:t>
      </w:r>
    </w:p>
    <w:p w14:paraId="6A559305">
      <w:pPr>
        <w:widowControl/>
        <w:spacing w:after="0" w:line="480" w:lineRule="exact"/>
        <w:ind w:firstLine="480" w:firstLineChars="200"/>
        <w:jc w:val="both"/>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pP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C</w:t>
      </w:r>
      <w:r>
        <w:rPr>
          <w:rFonts w:ascii="Times New Roman" w:hAnsi="Times New Roman" w:eastAsia="宋体" w:cs="Times New Roman"/>
          <w:snapToGrid w:val="0"/>
          <w:color w:val="000000" w:themeColor="text1"/>
          <w:kern w:val="0"/>
          <w:sz w:val="24"/>
          <w:szCs w:val="24"/>
          <w:vertAlign w:val="subscript"/>
          <w:lang w:val="en-US" w:eastAsia="en-US" w:bidi="en-US"/>
          <w14:textFill>
            <w14:solidFill>
              <w14:schemeClr w14:val="tx1"/>
            </w14:solidFill>
          </w14:textFill>
        </w:rPr>
        <w:t>i</w:t>
      </w: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——第i种污染物的实测浓度值（mg/L）；</w:t>
      </w:r>
    </w:p>
    <w:p w14:paraId="71314E6F">
      <w:pPr>
        <w:widowControl/>
        <w:spacing w:after="0" w:line="480" w:lineRule="exact"/>
        <w:ind w:firstLine="480" w:firstLineChars="200"/>
        <w:jc w:val="both"/>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pP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S</w:t>
      </w:r>
      <w:r>
        <w:rPr>
          <w:rFonts w:ascii="Times New Roman" w:hAnsi="Times New Roman" w:eastAsia="宋体" w:cs="Times New Roman"/>
          <w:snapToGrid w:val="0"/>
          <w:color w:val="000000" w:themeColor="text1"/>
          <w:kern w:val="0"/>
          <w:sz w:val="24"/>
          <w:szCs w:val="24"/>
          <w:vertAlign w:val="subscript"/>
          <w:lang w:val="en-US" w:eastAsia="en-US" w:bidi="en-US"/>
          <w14:textFill>
            <w14:solidFill>
              <w14:schemeClr w14:val="tx1"/>
            </w14:solidFill>
          </w14:textFill>
        </w:rPr>
        <w:t>i</w:t>
      </w: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——第i种污染物的标准浓度值（mg/L）。</w:t>
      </w:r>
    </w:p>
    <w:p w14:paraId="1B76FC60">
      <w:pPr>
        <w:widowControl/>
        <w:spacing w:after="0" w:line="480" w:lineRule="exact"/>
        <w:ind w:firstLine="480" w:firstLineChars="200"/>
        <w:jc w:val="both"/>
        <w:rPr>
          <w:rFonts w:ascii="Times New Roman" w:hAnsi="Times New Roman" w:eastAsia="宋体" w:cs="Times New Roman"/>
          <w:snapToGrid w:val="0"/>
          <w:color w:val="000000" w:themeColor="text1"/>
          <w:kern w:val="0"/>
          <w:sz w:val="24"/>
          <w:szCs w:val="24"/>
          <w:lang w:val="en-US" w:eastAsia="zh-CN" w:bidi="en-US"/>
          <w14:textFill>
            <w14:solidFill>
              <w14:schemeClr w14:val="tx1"/>
            </w14:solidFill>
          </w14:textFill>
        </w:rPr>
      </w:pPr>
      <w:r>
        <w:rPr>
          <w:rFonts w:ascii="Times New Roman" w:hAnsi="Times New Roman" w:eastAsia="宋体" w:cs="Times New Roman"/>
          <w:snapToGrid w:val="0"/>
          <w:color w:val="000000" w:themeColor="text1"/>
          <w:kern w:val="0"/>
          <w:sz w:val="24"/>
          <w:szCs w:val="24"/>
          <w:lang w:val="en-US" w:eastAsia="zh-CN" w:bidi="en-US"/>
          <w14:textFill>
            <w14:solidFill>
              <w14:schemeClr w14:val="tx1"/>
            </w14:solidFill>
          </w14:textFill>
        </w:rPr>
        <w:t>pH标准指数计算公式为：</w:t>
      </w:r>
    </w:p>
    <w:p w14:paraId="41E2FD0E">
      <w:pPr>
        <w:widowControl/>
        <w:spacing w:after="0" w:line="480" w:lineRule="exact"/>
        <w:jc w:val="cente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pP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P</w:t>
      </w:r>
      <w:r>
        <w:rPr>
          <w:rFonts w:ascii="Times New Roman" w:hAnsi="Times New Roman" w:eastAsia="宋体" w:cs="Times New Roman"/>
          <w:snapToGrid w:val="0"/>
          <w:color w:val="000000" w:themeColor="text1"/>
          <w:kern w:val="0"/>
          <w:sz w:val="24"/>
          <w:szCs w:val="24"/>
          <w:vertAlign w:val="subscript"/>
          <w:lang w:val="en-US" w:eastAsia="en-US" w:bidi="en-US"/>
          <w14:textFill>
            <w14:solidFill>
              <w14:schemeClr w14:val="tx1"/>
            </w14:solidFill>
          </w14:textFill>
        </w:rPr>
        <w:t>pH</w:t>
      </w: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=7.0-pH</w:t>
      </w:r>
      <w:r>
        <w:rPr>
          <w:rFonts w:ascii="Times New Roman" w:hAnsi="Times New Roman" w:eastAsia="宋体" w:cs="Times New Roman"/>
          <w:snapToGrid w:val="0"/>
          <w:color w:val="000000" w:themeColor="text1"/>
          <w:kern w:val="0"/>
          <w:sz w:val="24"/>
          <w:szCs w:val="24"/>
          <w:vertAlign w:val="subscript"/>
          <w:lang w:val="en-US" w:eastAsia="en-US" w:bidi="en-US"/>
          <w14:textFill>
            <w14:solidFill>
              <w14:schemeClr w14:val="tx1"/>
            </w14:solidFill>
          </w14:textFill>
        </w:rPr>
        <w:t>i</w:t>
      </w: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/7.0-pH</w:t>
      </w:r>
      <w:r>
        <w:rPr>
          <w:rFonts w:ascii="Times New Roman" w:hAnsi="Times New Roman" w:eastAsia="宋体" w:cs="Times New Roman"/>
          <w:snapToGrid w:val="0"/>
          <w:color w:val="000000" w:themeColor="text1"/>
          <w:kern w:val="0"/>
          <w:sz w:val="24"/>
          <w:szCs w:val="24"/>
          <w:vertAlign w:val="subscript"/>
          <w:lang w:val="en-US" w:eastAsia="en-US" w:bidi="en-US"/>
          <w14:textFill>
            <w14:solidFill>
              <w14:schemeClr w14:val="tx1"/>
            </w14:solidFill>
          </w14:textFill>
        </w:rPr>
        <w:t>sd</w:t>
      </w: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 xml:space="preserve">   pH≤7.0</w:t>
      </w:r>
    </w:p>
    <w:p w14:paraId="61247195">
      <w:pPr>
        <w:widowControl/>
        <w:tabs>
          <w:tab w:val="left" w:pos="5504"/>
        </w:tabs>
        <w:spacing w:after="0" w:line="480" w:lineRule="exact"/>
        <w:jc w:val="cente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pP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P</w:t>
      </w:r>
      <w:r>
        <w:rPr>
          <w:rFonts w:ascii="Times New Roman" w:hAnsi="Times New Roman" w:eastAsia="宋体" w:cs="Times New Roman"/>
          <w:snapToGrid w:val="0"/>
          <w:color w:val="000000" w:themeColor="text1"/>
          <w:kern w:val="0"/>
          <w:sz w:val="24"/>
          <w:szCs w:val="24"/>
          <w:vertAlign w:val="subscript"/>
          <w:lang w:val="en-US" w:eastAsia="en-US" w:bidi="en-US"/>
          <w14:textFill>
            <w14:solidFill>
              <w14:schemeClr w14:val="tx1"/>
            </w14:solidFill>
          </w14:textFill>
        </w:rPr>
        <w:t>pH</w:t>
      </w: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=pH</w:t>
      </w:r>
      <w:r>
        <w:rPr>
          <w:rFonts w:ascii="Times New Roman" w:hAnsi="Times New Roman" w:eastAsia="宋体" w:cs="Times New Roman"/>
          <w:snapToGrid w:val="0"/>
          <w:color w:val="000000" w:themeColor="text1"/>
          <w:kern w:val="0"/>
          <w:sz w:val="24"/>
          <w:szCs w:val="24"/>
          <w:vertAlign w:val="subscript"/>
          <w:lang w:val="en-US" w:eastAsia="en-US" w:bidi="en-US"/>
          <w14:textFill>
            <w14:solidFill>
              <w14:schemeClr w14:val="tx1"/>
            </w14:solidFill>
          </w14:textFill>
        </w:rPr>
        <w:t>i</w:t>
      </w: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-7.0/pH</w:t>
      </w:r>
      <w:r>
        <w:rPr>
          <w:rFonts w:ascii="Times New Roman" w:hAnsi="Times New Roman" w:eastAsia="宋体" w:cs="Times New Roman"/>
          <w:snapToGrid w:val="0"/>
          <w:color w:val="000000" w:themeColor="text1"/>
          <w:kern w:val="0"/>
          <w:sz w:val="24"/>
          <w:szCs w:val="24"/>
          <w:vertAlign w:val="subscript"/>
          <w:lang w:val="en-US" w:eastAsia="en-US" w:bidi="en-US"/>
          <w14:textFill>
            <w14:solidFill>
              <w14:schemeClr w14:val="tx1"/>
            </w14:solidFill>
          </w14:textFill>
        </w:rPr>
        <w:t>su</w:t>
      </w:r>
      <w:r>
        <w:rPr>
          <w:rFonts w:ascii="Times New Roman" w:hAnsi="Times New Roman" w:eastAsia="宋体" w:cs="Times New Roman"/>
          <w:snapToGrid w:val="0"/>
          <w:color w:val="000000" w:themeColor="text1"/>
          <w:kern w:val="0"/>
          <w:sz w:val="24"/>
          <w:szCs w:val="24"/>
          <w:lang w:val="en-US" w:eastAsia="en-US" w:bidi="en-US"/>
          <w14:textFill>
            <w14:solidFill>
              <w14:schemeClr w14:val="tx1"/>
            </w14:solidFill>
          </w14:textFill>
        </w:rPr>
        <w:t>-7.0   pH＞7.0</w:t>
      </w:r>
    </w:p>
    <w:p w14:paraId="6A062950">
      <w:pPr>
        <w:spacing w:line="480" w:lineRule="exact"/>
        <w:ind w:firstLine="480" w:firstLineChars="200"/>
        <w:rPr>
          <w:rFonts w:eastAsia="宋体"/>
          <w:snapToGrid w:val="0"/>
          <w:color w:val="000000" w:themeColor="text1"/>
          <w:kern w:val="0"/>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式中：P</w:t>
      </w:r>
      <w:r>
        <w:rPr>
          <w:rFonts w:eastAsia="宋体"/>
          <w:snapToGrid w:val="0"/>
          <w:color w:val="000000" w:themeColor="text1"/>
          <w:kern w:val="0"/>
          <w:sz w:val="24"/>
          <w:szCs w:val="24"/>
          <w:vertAlign w:val="subscript"/>
          <w14:textFill>
            <w14:solidFill>
              <w14:schemeClr w14:val="tx1"/>
            </w14:solidFill>
          </w14:textFill>
        </w:rPr>
        <w:t>pH</w:t>
      </w:r>
      <w:r>
        <w:rPr>
          <w:rFonts w:eastAsia="宋体"/>
          <w:snapToGrid w:val="0"/>
          <w:color w:val="000000" w:themeColor="text1"/>
          <w:kern w:val="0"/>
          <w:sz w:val="24"/>
          <w:szCs w:val="24"/>
          <w14:textFill>
            <w14:solidFill>
              <w14:schemeClr w14:val="tx1"/>
            </w14:solidFill>
          </w14:textFill>
        </w:rPr>
        <w:t>——pH</w:t>
      </w:r>
      <w:r>
        <w:rPr>
          <w:rFonts w:eastAsia="宋体"/>
          <w:snapToGrid w:val="0"/>
          <w:color w:val="000000" w:themeColor="text1"/>
          <w:kern w:val="0"/>
          <w:sz w:val="24"/>
          <w:szCs w:val="24"/>
          <w:vertAlign w:val="subscript"/>
          <w14:textFill>
            <w14:solidFill>
              <w14:schemeClr w14:val="tx1"/>
            </w14:solidFill>
          </w14:textFill>
        </w:rPr>
        <w:t>i</w:t>
      </w:r>
      <w:r>
        <w:rPr>
          <w:rFonts w:eastAsia="宋体"/>
          <w:snapToGrid w:val="0"/>
          <w:color w:val="000000" w:themeColor="text1"/>
          <w:kern w:val="0"/>
          <w:sz w:val="24"/>
          <w:szCs w:val="24"/>
          <w14:textFill>
            <w14:solidFill>
              <w14:schemeClr w14:val="tx1"/>
            </w14:solidFill>
          </w14:textFill>
        </w:rPr>
        <w:t>的标准指数；</w:t>
      </w:r>
    </w:p>
    <w:p w14:paraId="4C71C75C">
      <w:pPr>
        <w:widowControl/>
        <w:spacing w:after="0" w:line="480" w:lineRule="exact"/>
        <w:ind w:firstLine="482"/>
        <w:jc w:val="both"/>
        <w:rPr>
          <w:rFonts w:ascii="Times New Roman" w:hAnsi="Times New Roman" w:eastAsia="宋体" w:cs="Times New Roman"/>
          <w:snapToGrid w:val="0"/>
          <w:color w:val="000000" w:themeColor="text1"/>
          <w:kern w:val="0"/>
          <w:sz w:val="24"/>
          <w:szCs w:val="24"/>
          <w:lang w:val="en-US" w:eastAsia="zh-CN" w:bidi="en-US"/>
          <w14:textFill>
            <w14:solidFill>
              <w14:schemeClr w14:val="tx1"/>
            </w14:solidFill>
          </w14:textFill>
        </w:rPr>
      </w:pPr>
      <w:r>
        <w:rPr>
          <w:rFonts w:ascii="Times New Roman" w:hAnsi="Times New Roman" w:eastAsia="宋体" w:cs="Times New Roman"/>
          <w:snapToGrid w:val="0"/>
          <w:color w:val="000000" w:themeColor="text1"/>
          <w:kern w:val="0"/>
          <w:sz w:val="24"/>
          <w:szCs w:val="24"/>
          <w:lang w:val="en-US" w:eastAsia="zh-CN" w:bidi="en-US"/>
          <w14:textFill>
            <w14:solidFill>
              <w14:schemeClr w14:val="tx1"/>
            </w14:solidFill>
          </w14:textFill>
        </w:rPr>
        <w:t>pH</w:t>
      </w:r>
      <w:r>
        <w:rPr>
          <w:rFonts w:ascii="Times New Roman" w:hAnsi="Times New Roman" w:eastAsia="宋体" w:cs="Times New Roman"/>
          <w:snapToGrid w:val="0"/>
          <w:color w:val="000000" w:themeColor="text1"/>
          <w:kern w:val="0"/>
          <w:sz w:val="24"/>
          <w:szCs w:val="24"/>
          <w:vertAlign w:val="subscript"/>
          <w:lang w:val="en-US" w:eastAsia="zh-CN" w:bidi="en-US"/>
          <w14:textFill>
            <w14:solidFill>
              <w14:schemeClr w14:val="tx1"/>
            </w14:solidFill>
          </w14:textFill>
        </w:rPr>
        <w:t>i</w:t>
      </w:r>
      <w:r>
        <w:rPr>
          <w:rFonts w:ascii="Times New Roman" w:hAnsi="Times New Roman" w:eastAsia="宋体" w:cs="Times New Roman"/>
          <w:snapToGrid w:val="0"/>
          <w:color w:val="000000" w:themeColor="text1"/>
          <w:kern w:val="0"/>
          <w:sz w:val="24"/>
          <w:szCs w:val="24"/>
          <w:lang w:val="en-US" w:eastAsia="zh-CN" w:bidi="en-US"/>
          <w14:textFill>
            <w14:solidFill>
              <w14:schemeClr w14:val="tx1"/>
            </w14:solidFill>
          </w14:textFill>
        </w:rPr>
        <w:t>——i点实测pH值；</w:t>
      </w:r>
    </w:p>
    <w:p w14:paraId="501A9C5B">
      <w:pPr>
        <w:widowControl/>
        <w:spacing w:after="0" w:line="480" w:lineRule="exact"/>
        <w:ind w:firstLine="482"/>
        <w:jc w:val="both"/>
        <w:rPr>
          <w:rFonts w:ascii="Times New Roman" w:hAnsi="Times New Roman" w:eastAsia="宋体" w:cs="Times New Roman"/>
          <w:snapToGrid w:val="0"/>
          <w:color w:val="000000" w:themeColor="text1"/>
          <w:kern w:val="0"/>
          <w:sz w:val="24"/>
          <w:szCs w:val="24"/>
          <w:lang w:val="en-US" w:eastAsia="zh-CN" w:bidi="en-US"/>
          <w14:textFill>
            <w14:solidFill>
              <w14:schemeClr w14:val="tx1"/>
            </w14:solidFill>
          </w14:textFill>
        </w:rPr>
      </w:pPr>
      <w:r>
        <w:rPr>
          <w:rFonts w:ascii="Times New Roman" w:hAnsi="Times New Roman" w:eastAsia="宋体" w:cs="Times New Roman"/>
          <w:snapToGrid w:val="0"/>
          <w:color w:val="000000" w:themeColor="text1"/>
          <w:kern w:val="0"/>
          <w:sz w:val="24"/>
          <w:szCs w:val="24"/>
          <w:lang w:val="en-US" w:eastAsia="zh-CN" w:bidi="en-US"/>
          <w14:textFill>
            <w14:solidFill>
              <w14:schemeClr w14:val="tx1"/>
            </w14:solidFill>
          </w14:textFill>
        </w:rPr>
        <w:t>pH</w:t>
      </w:r>
      <w:r>
        <w:rPr>
          <w:rFonts w:ascii="Times New Roman" w:hAnsi="Times New Roman" w:eastAsia="宋体" w:cs="Times New Roman"/>
          <w:snapToGrid w:val="0"/>
          <w:color w:val="000000" w:themeColor="text1"/>
          <w:kern w:val="0"/>
          <w:sz w:val="24"/>
          <w:szCs w:val="24"/>
          <w:vertAlign w:val="subscript"/>
          <w:lang w:val="en-US" w:eastAsia="zh-CN" w:bidi="en-US"/>
          <w14:textFill>
            <w14:solidFill>
              <w14:schemeClr w14:val="tx1"/>
            </w14:solidFill>
          </w14:textFill>
        </w:rPr>
        <w:t>sd</w:t>
      </w:r>
      <w:r>
        <w:rPr>
          <w:rFonts w:ascii="Times New Roman" w:hAnsi="Times New Roman" w:eastAsia="宋体" w:cs="Times New Roman"/>
          <w:snapToGrid w:val="0"/>
          <w:color w:val="000000" w:themeColor="text1"/>
          <w:kern w:val="0"/>
          <w:sz w:val="24"/>
          <w:szCs w:val="24"/>
          <w:lang w:val="en-US" w:eastAsia="zh-CN" w:bidi="en-US"/>
          <w14:textFill>
            <w14:solidFill>
              <w14:schemeClr w14:val="tx1"/>
            </w14:solidFill>
          </w14:textFill>
        </w:rPr>
        <w:t>——标准中pH值的下限值；</w:t>
      </w:r>
    </w:p>
    <w:p w14:paraId="7A93E7F6">
      <w:pPr>
        <w:widowControl/>
        <w:spacing w:after="0" w:line="480" w:lineRule="exact"/>
        <w:ind w:firstLine="482"/>
        <w:jc w:val="both"/>
        <w:rPr>
          <w:rFonts w:ascii="Times New Roman" w:hAnsi="Times New Roman" w:eastAsia="宋体" w:cs="Times New Roman"/>
          <w:snapToGrid w:val="0"/>
          <w:color w:val="000000" w:themeColor="text1"/>
          <w:kern w:val="0"/>
          <w:sz w:val="24"/>
          <w:szCs w:val="24"/>
          <w:lang w:val="en-US" w:eastAsia="zh-CN" w:bidi="en-US"/>
          <w14:textFill>
            <w14:solidFill>
              <w14:schemeClr w14:val="tx1"/>
            </w14:solidFill>
          </w14:textFill>
        </w:rPr>
      </w:pPr>
      <w:r>
        <w:rPr>
          <w:rFonts w:ascii="Times New Roman" w:hAnsi="Times New Roman" w:eastAsia="宋体" w:cs="Times New Roman"/>
          <w:snapToGrid w:val="0"/>
          <w:color w:val="000000" w:themeColor="text1"/>
          <w:kern w:val="0"/>
          <w:sz w:val="24"/>
          <w:szCs w:val="24"/>
          <w:lang w:val="en-US" w:eastAsia="zh-CN" w:bidi="en-US"/>
          <w14:textFill>
            <w14:solidFill>
              <w14:schemeClr w14:val="tx1"/>
            </w14:solidFill>
          </w14:textFill>
        </w:rPr>
        <w:t>pH</w:t>
      </w:r>
      <w:r>
        <w:rPr>
          <w:rFonts w:ascii="Times New Roman" w:hAnsi="Times New Roman" w:eastAsia="宋体" w:cs="Times New Roman"/>
          <w:snapToGrid w:val="0"/>
          <w:color w:val="000000" w:themeColor="text1"/>
          <w:kern w:val="0"/>
          <w:sz w:val="24"/>
          <w:szCs w:val="24"/>
          <w:vertAlign w:val="subscript"/>
          <w:lang w:val="en-US" w:eastAsia="zh-CN" w:bidi="en-US"/>
          <w14:textFill>
            <w14:solidFill>
              <w14:schemeClr w14:val="tx1"/>
            </w14:solidFill>
          </w14:textFill>
        </w:rPr>
        <w:t>su</w:t>
      </w:r>
      <w:r>
        <w:rPr>
          <w:rFonts w:ascii="Times New Roman" w:hAnsi="Times New Roman" w:eastAsia="宋体" w:cs="Times New Roman"/>
          <w:snapToGrid w:val="0"/>
          <w:color w:val="000000" w:themeColor="text1"/>
          <w:kern w:val="0"/>
          <w:sz w:val="24"/>
          <w:szCs w:val="24"/>
          <w:lang w:val="en-US" w:eastAsia="zh-CN" w:bidi="en-US"/>
          <w14:textFill>
            <w14:solidFill>
              <w14:schemeClr w14:val="tx1"/>
            </w14:solidFill>
          </w14:textFill>
        </w:rPr>
        <w:t>——标准中pH值的上限值。</w:t>
      </w:r>
    </w:p>
    <w:p w14:paraId="08C8C39B">
      <w:pPr>
        <w:spacing w:line="480" w:lineRule="exact"/>
        <w:ind w:firstLine="480" w:firstLineChars="200"/>
        <w:rPr>
          <w:rFonts w:hint="eastAsia" w:eastAsia="宋体"/>
          <w:color w:val="000000" w:themeColor="text1"/>
          <w:sz w:val="24"/>
          <w:szCs w:val="24"/>
          <w14:textFill>
            <w14:solidFill>
              <w14:schemeClr w14:val="tx1"/>
            </w14:solidFill>
          </w14:textFill>
        </w:rPr>
      </w:pPr>
      <w:r>
        <w:rPr>
          <w:rFonts w:eastAsia="宋体"/>
          <w:snapToGrid w:val="0"/>
          <w:color w:val="000000" w:themeColor="text1"/>
          <w:kern w:val="0"/>
          <w:sz w:val="24"/>
          <w:szCs w:val="24"/>
          <w14:textFill>
            <w14:solidFill>
              <w14:schemeClr w14:val="tx1"/>
            </w14:solidFill>
          </w14:textFill>
        </w:rPr>
        <w:t>评价水质参数的标准指数＞1时，表明该水质参数超过了规定的水质标准，已经不能满足使用要求。</w:t>
      </w:r>
    </w:p>
    <w:p w14:paraId="339757CA">
      <w:pPr>
        <w:keepNext/>
        <w:keepLines/>
        <w:widowControl w:val="0"/>
        <w:spacing w:before="0" w:after="0" w:line="480" w:lineRule="exact"/>
        <w:ind w:firstLine="482" w:firstLineChars="200"/>
        <w:jc w:val="both"/>
        <w:outlineLvl w:val="3"/>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4.2.3.6监测结果及评价</w:t>
      </w:r>
    </w:p>
    <w:p w14:paraId="17C258FB">
      <w:pPr>
        <w:spacing w:line="480" w:lineRule="exact"/>
        <w:ind w:firstLine="480" w:firstLineChars="200"/>
        <w:rPr>
          <w:rFonts w:hint="eastAsia"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各监测点位地下水因子监测结果见表4.2-</w:t>
      </w:r>
      <w:r>
        <w:rPr>
          <w:rFonts w:eastAsia="宋体"/>
          <w:color w:val="000000" w:themeColor="text1"/>
          <w:sz w:val="24"/>
          <w:szCs w:val="24"/>
          <w14:textFill>
            <w14:solidFill>
              <w14:schemeClr w14:val="tx1"/>
            </w14:solidFill>
          </w14:textFill>
        </w:rPr>
        <w:t>4</w:t>
      </w:r>
      <w:r>
        <w:rPr>
          <w:rFonts w:hint="eastAsia" w:eastAsia="宋体"/>
          <w:color w:val="000000" w:themeColor="text1"/>
          <w:sz w:val="24"/>
          <w:szCs w:val="24"/>
          <w14:textFill>
            <w14:solidFill>
              <w14:schemeClr w14:val="tx1"/>
            </w14:solidFill>
          </w14:textFill>
        </w:rPr>
        <w:t>。</w:t>
      </w:r>
    </w:p>
    <w:p w14:paraId="7A864271">
      <w:pPr>
        <w:spacing w:line="480" w:lineRule="exact"/>
        <w:ind w:firstLine="0" w:firstLineChars="0"/>
        <w:jc w:val="center"/>
        <w:rPr>
          <w:rFonts w:hint="eastAsia" w:eastAsia="宋体"/>
          <w:color w:val="000000" w:themeColor="text1"/>
          <w:sz w:val="24"/>
          <w:szCs w:val="24"/>
          <w14:textFill>
            <w14:solidFill>
              <w14:schemeClr w14:val="tx1"/>
            </w14:solidFill>
          </w14:textFill>
        </w:rPr>
      </w:pPr>
      <w:r>
        <w:rPr>
          <w:rFonts w:eastAsia="宋体"/>
          <w:b/>
          <w:color w:val="000000" w:themeColor="text1"/>
          <w:kern w:val="0"/>
          <w:sz w:val="24"/>
          <w:szCs w:val="24"/>
          <w:lang w:val="zh-CN" w:bidi="ar"/>
          <w14:textFill>
            <w14:solidFill>
              <w14:schemeClr w14:val="tx1"/>
            </w14:solidFill>
          </w14:textFill>
        </w:rPr>
        <w:t>表4.</w:t>
      </w:r>
      <w:r>
        <w:rPr>
          <w:rFonts w:hint="eastAsia" w:eastAsia="宋体"/>
          <w:b/>
          <w:color w:val="000000" w:themeColor="text1"/>
          <w:kern w:val="0"/>
          <w:sz w:val="24"/>
          <w:szCs w:val="24"/>
          <w:lang w:bidi="ar"/>
          <w14:textFill>
            <w14:solidFill>
              <w14:schemeClr w14:val="tx1"/>
            </w14:solidFill>
          </w14:textFill>
        </w:rPr>
        <w:t>2</w:t>
      </w:r>
      <w:r>
        <w:rPr>
          <w:rFonts w:eastAsia="宋体"/>
          <w:b/>
          <w:color w:val="000000" w:themeColor="text1"/>
          <w:kern w:val="0"/>
          <w:sz w:val="24"/>
          <w:szCs w:val="24"/>
          <w:lang w:val="zh-CN" w:bidi="ar"/>
          <w14:textFill>
            <w14:solidFill>
              <w14:schemeClr w14:val="tx1"/>
            </w14:solidFill>
          </w14:textFill>
        </w:rPr>
        <w:t>-</w:t>
      </w:r>
      <w:r>
        <w:rPr>
          <w:rFonts w:eastAsia="宋体"/>
          <w:b/>
          <w:color w:val="000000" w:themeColor="text1"/>
          <w:kern w:val="0"/>
          <w:sz w:val="24"/>
          <w:szCs w:val="24"/>
          <w:lang w:bidi="ar"/>
          <w14:textFill>
            <w14:solidFill>
              <w14:schemeClr w14:val="tx1"/>
            </w14:solidFill>
          </w14:textFill>
        </w:rPr>
        <w:t>4</w:t>
      </w:r>
      <w:r>
        <w:rPr>
          <w:rFonts w:eastAsia="宋体"/>
          <w:b/>
          <w:color w:val="000000" w:themeColor="text1"/>
          <w:kern w:val="0"/>
          <w:sz w:val="24"/>
          <w:szCs w:val="24"/>
          <w:lang w:val="zh-CN" w:bidi="ar"/>
          <w14:textFill>
            <w14:solidFill>
              <w14:schemeClr w14:val="tx1"/>
            </w14:solidFill>
          </w14:textFill>
        </w:rPr>
        <w:t xml:space="preserve">    地下水现状监测及评价结果</w:t>
      </w:r>
    </w:p>
    <w:tbl>
      <w:tblPr>
        <w:tblStyle w:val="32"/>
        <w:tblW w:w="9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480"/>
        <w:gridCol w:w="993"/>
        <w:gridCol w:w="993"/>
        <w:gridCol w:w="991"/>
        <w:gridCol w:w="994"/>
        <w:gridCol w:w="848"/>
        <w:gridCol w:w="850"/>
        <w:gridCol w:w="853"/>
        <w:gridCol w:w="701"/>
      </w:tblGrid>
      <w:tr w14:paraId="33B41F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1" w:type="dxa"/>
            <w:vMerge w:val="restart"/>
            <w:vAlign w:val="center"/>
          </w:tcPr>
          <w:p w14:paraId="4557703F">
            <w:pPr>
              <w:keepNext w:val="0"/>
              <w:keepLines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1480" w:type="dxa"/>
            <w:vMerge w:val="restart"/>
            <w:vAlign w:val="center"/>
          </w:tcPr>
          <w:p w14:paraId="11A3C23D">
            <w:pPr>
              <w:keepNext w:val="0"/>
              <w:keepLines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监测项目</w:t>
            </w:r>
          </w:p>
        </w:tc>
        <w:tc>
          <w:tcPr>
            <w:tcW w:w="993" w:type="dxa"/>
            <w:vMerge w:val="restart"/>
            <w:vAlign w:val="center"/>
          </w:tcPr>
          <w:p w14:paraId="21C848FC">
            <w:pPr>
              <w:keepNext w:val="0"/>
              <w:keepLines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2978" w:type="dxa"/>
            <w:gridSpan w:val="3"/>
            <w:vAlign w:val="center"/>
          </w:tcPr>
          <w:p w14:paraId="5006A893">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监测结果</w:t>
            </w:r>
          </w:p>
        </w:tc>
        <w:tc>
          <w:tcPr>
            <w:tcW w:w="2551" w:type="dxa"/>
            <w:gridSpan w:val="3"/>
          </w:tcPr>
          <w:p w14:paraId="04603D36">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标准指数</w:t>
            </w:r>
          </w:p>
        </w:tc>
        <w:tc>
          <w:tcPr>
            <w:tcW w:w="701" w:type="dxa"/>
            <w:vMerge w:val="restart"/>
            <w:vAlign w:val="center"/>
          </w:tcPr>
          <w:p w14:paraId="721C93D9">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标准限值</w:t>
            </w:r>
          </w:p>
        </w:tc>
      </w:tr>
      <w:tr w14:paraId="79EEE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1" w:type="dxa"/>
            <w:vMerge w:val="continue"/>
            <w:vAlign w:val="center"/>
          </w:tcPr>
          <w:p w14:paraId="1442E6A5">
            <w:pPr>
              <w:keepNext w:val="0"/>
              <w:keepLines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1480" w:type="dxa"/>
            <w:vMerge w:val="continue"/>
            <w:vAlign w:val="center"/>
          </w:tcPr>
          <w:p w14:paraId="505B1359">
            <w:pPr>
              <w:keepNext w:val="0"/>
              <w:keepLines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993" w:type="dxa"/>
            <w:vMerge w:val="continue"/>
            <w:vAlign w:val="center"/>
          </w:tcPr>
          <w:p w14:paraId="7118A7B0">
            <w:pPr>
              <w:keepNext w:val="0"/>
              <w:keepLines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993" w:type="dxa"/>
            <w:vAlign w:val="center"/>
          </w:tcPr>
          <w:p w14:paraId="36C79B8C">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1#</w:t>
            </w:r>
          </w:p>
        </w:tc>
        <w:tc>
          <w:tcPr>
            <w:tcW w:w="991" w:type="dxa"/>
          </w:tcPr>
          <w:p w14:paraId="4DDB49EB">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2#</w:t>
            </w:r>
          </w:p>
        </w:tc>
        <w:tc>
          <w:tcPr>
            <w:tcW w:w="994" w:type="dxa"/>
          </w:tcPr>
          <w:p w14:paraId="10ACDC88">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3#</w:t>
            </w:r>
          </w:p>
        </w:tc>
        <w:tc>
          <w:tcPr>
            <w:tcW w:w="848" w:type="dxa"/>
            <w:vAlign w:val="center"/>
          </w:tcPr>
          <w:p w14:paraId="4D833634">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1#</w:t>
            </w:r>
          </w:p>
        </w:tc>
        <w:tc>
          <w:tcPr>
            <w:tcW w:w="850" w:type="dxa"/>
          </w:tcPr>
          <w:p w14:paraId="496BD0DF">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2#</w:t>
            </w:r>
          </w:p>
        </w:tc>
        <w:tc>
          <w:tcPr>
            <w:tcW w:w="853" w:type="dxa"/>
          </w:tcPr>
          <w:p w14:paraId="0DFB99CE">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3#</w:t>
            </w:r>
          </w:p>
        </w:tc>
        <w:tc>
          <w:tcPr>
            <w:tcW w:w="701" w:type="dxa"/>
            <w:vMerge w:val="continue"/>
            <w:vAlign w:val="center"/>
          </w:tcPr>
          <w:p w14:paraId="43AA400D">
            <w:pPr>
              <w:keepNext w:val="0"/>
              <w:keepLines w:val="0"/>
              <w:suppressLineNumbers w:val="0"/>
              <w:spacing w:before="0" w:beforeAutospacing="0" w:after="0" w:afterAutospacing="0" w:line="360" w:lineRule="exact"/>
              <w:ind w:left="-50" w:right="-5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p>
        </w:tc>
      </w:tr>
      <w:tr w14:paraId="50CF6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0060E0E1">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w:t>
            </w:r>
          </w:p>
        </w:tc>
        <w:tc>
          <w:tcPr>
            <w:tcW w:w="1480" w:type="dxa"/>
            <w:vAlign w:val="center"/>
          </w:tcPr>
          <w:p w14:paraId="331456E2">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pH值</w:t>
            </w:r>
          </w:p>
        </w:tc>
        <w:tc>
          <w:tcPr>
            <w:tcW w:w="993" w:type="dxa"/>
            <w:vAlign w:val="center"/>
          </w:tcPr>
          <w:p w14:paraId="63A6B58B">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无量纲</w:t>
            </w:r>
          </w:p>
        </w:tc>
        <w:tc>
          <w:tcPr>
            <w:tcW w:w="993" w:type="dxa"/>
            <w:vAlign w:val="center"/>
          </w:tcPr>
          <w:p w14:paraId="49E573BB">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7.8</w:t>
            </w:r>
          </w:p>
        </w:tc>
        <w:tc>
          <w:tcPr>
            <w:tcW w:w="991" w:type="dxa"/>
            <w:vAlign w:val="center"/>
          </w:tcPr>
          <w:p w14:paraId="34DA880C">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7.7</w:t>
            </w:r>
          </w:p>
        </w:tc>
        <w:tc>
          <w:tcPr>
            <w:tcW w:w="994" w:type="dxa"/>
            <w:vAlign w:val="center"/>
          </w:tcPr>
          <w:p w14:paraId="2384AED8">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7.7</w:t>
            </w:r>
          </w:p>
        </w:tc>
        <w:tc>
          <w:tcPr>
            <w:tcW w:w="848" w:type="dxa"/>
            <w:vAlign w:val="center"/>
          </w:tcPr>
          <w:p w14:paraId="0DEB7446">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0.53</w:t>
            </w:r>
          </w:p>
        </w:tc>
        <w:tc>
          <w:tcPr>
            <w:tcW w:w="850" w:type="dxa"/>
            <w:vAlign w:val="center"/>
          </w:tcPr>
          <w:p w14:paraId="639FDDD8">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0.47</w:t>
            </w:r>
          </w:p>
        </w:tc>
        <w:tc>
          <w:tcPr>
            <w:tcW w:w="853" w:type="dxa"/>
            <w:vAlign w:val="center"/>
          </w:tcPr>
          <w:p w14:paraId="2622784C">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0.47</w:t>
            </w:r>
          </w:p>
        </w:tc>
        <w:tc>
          <w:tcPr>
            <w:tcW w:w="701" w:type="dxa"/>
            <w:vAlign w:val="center"/>
          </w:tcPr>
          <w:p w14:paraId="13FC8A0A">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6.5~8.5</w:t>
            </w:r>
          </w:p>
        </w:tc>
      </w:tr>
      <w:tr w14:paraId="2C959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65BA151">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w:t>
            </w:r>
          </w:p>
        </w:tc>
        <w:tc>
          <w:tcPr>
            <w:tcW w:w="1480" w:type="dxa"/>
            <w:vAlign w:val="center"/>
          </w:tcPr>
          <w:p w14:paraId="4561D8A6">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溶解性总固体</w:t>
            </w:r>
          </w:p>
        </w:tc>
        <w:tc>
          <w:tcPr>
            <w:tcW w:w="993" w:type="dxa"/>
            <w:vAlign w:val="center"/>
          </w:tcPr>
          <w:p w14:paraId="0F7D6094">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37A83820">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eastAsia"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2.81×10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4</w:t>
            </w:r>
          </w:p>
        </w:tc>
        <w:tc>
          <w:tcPr>
            <w:tcW w:w="991" w:type="dxa"/>
            <w:vAlign w:val="center"/>
          </w:tcPr>
          <w:p w14:paraId="2A558251">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5.82×10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4</w:t>
            </w:r>
          </w:p>
        </w:tc>
        <w:tc>
          <w:tcPr>
            <w:tcW w:w="994" w:type="dxa"/>
            <w:vAlign w:val="center"/>
          </w:tcPr>
          <w:p w14:paraId="583C0269">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6.18×10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4</w:t>
            </w:r>
          </w:p>
        </w:tc>
        <w:tc>
          <w:tcPr>
            <w:tcW w:w="848" w:type="dxa"/>
            <w:vAlign w:val="center"/>
          </w:tcPr>
          <w:p w14:paraId="55BD53AA">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28.10</w:t>
            </w:r>
          </w:p>
        </w:tc>
        <w:tc>
          <w:tcPr>
            <w:tcW w:w="850" w:type="dxa"/>
            <w:vAlign w:val="center"/>
          </w:tcPr>
          <w:p w14:paraId="3FE4A1EF">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58.20</w:t>
            </w:r>
          </w:p>
        </w:tc>
        <w:tc>
          <w:tcPr>
            <w:tcW w:w="853" w:type="dxa"/>
            <w:vAlign w:val="center"/>
          </w:tcPr>
          <w:p w14:paraId="1D074ABB">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61.80</w:t>
            </w:r>
          </w:p>
        </w:tc>
        <w:tc>
          <w:tcPr>
            <w:tcW w:w="701" w:type="dxa"/>
            <w:vAlign w:val="center"/>
          </w:tcPr>
          <w:p w14:paraId="32A2AB5C">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1000</w:t>
            </w:r>
          </w:p>
        </w:tc>
      </w:tr>
      <w:tr w14:paraId="6F2FD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4E4BC936">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3</w:t>
            </w:r>
          </w:p>
        </w:tc>
        <w:tc>
          <w:tcPr>
            <w:tcW w:w="1480" w:type="dxa"/>
            <w:vAlign w:val="center"/>
          </w:tcPr>
          <w:p w14:paraId="7EE4999E">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总硬度</w:t>
            </w:r>
          </w:p>
        </w:tc>
        <w:tc>
          <w:tcPr>
            <w:tcW w:w="993" w:type="dxa"/>
            <w:vAlign w:val="center"/>
          </w:tcPr>
          <w:p w14:paraId="66C0D276">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735EDF19">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612</w:t>
            </w:r>
          </w:p>
        </w:tc>
        <w:tc>
          <w:tcPr>
            <w:tcW w:w="991" w:type="dxa"/>
            <w:vAlign w:val="center"/>
          </w:tcPr>
          <w:p w14:paraId="0F6B226B">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1.81×10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3</w:t>
            </w:r>
          </w:p>
        </w:tc>
        <w:tc>
          <w:tcPr>
            <w:tcW w:w="994" w:type="dxa"/>
            <w:vAlign w:val="center"/>
          </w:tcPr>
          <w:p w14:paraId="5EBB9551">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1.68×10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3</w:t>
            </w:r>
          </w:p>
        </w:tc>
        <w:tc>
          <w:tcPr>
            <w:tcW w:w="848" w:type="dxa"/>
            <w:vAlign w:val="center"/>
          </w:tcPr>
          <w:p w14:paraId="096A17C8">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1.36</w:t>
            </w:r>
          </w:p>
        </w:tc>
        <w:tc>
          <w:tcPr>
            <w:tcW w:w="850" w:type="dxa"/>
            <w:vAlign w:val="center"/>
          </w:tcPr>
          <w:p w14:paraId="0F09074F">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4.02</w:t>
            </w:r>
          </w:p>
        </w:tc>
        <w:tc>
          <w:tcPr>
            <w:tcW w:w="853" w:type="dxa"/>
            <w:vAlign w:val="center"/>
          </w:tcPr>
          <w:p w14:paraId="7742D9C4">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3.73</w:t>
            </w:r>
          </w:p>
        </w:tc>
        <w:tc>
          <w:tcPr>
            <w:tcW w:w="701" w:type="dxa"/>
            <w:vAlign w:val="center"/>
          </w:tcPr>
          <w:p w14:paraId="69F9957F">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450</w:t>
            </w:r>
          </w:p>
        </w:tc>
      </w:tr>
      <w:tr w14:paraId="10EA0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24E72EA1">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4</w:t>
            </w:r>
          </w:p>
        </w:tc>
        <w:tc>
          <w:tcPr>
            <w:tcW w:w="1480" w:type="dxa"/>
            <w:vAlign w:val="center"/>
          </w:tcPr>
          <w:p w14:paraId="1A0E3270">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氨氮</w:t>
            </w:r>
          </w:p>
        </w:tc>
        <w:tc>
          <w:tcPr>
            <w:tcW w:w="993" w:type="dxa"/>
            <w:vAlign w:val="center"/>
          </w:tcPr>
          <w:p w14:paraId="754797D6">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4FE886E4">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&lt;0.025</w:t>
            </w:r>
          </w:p>
        </w:tc>
        <w:tc>
          <w:tcPr>
            <w:tcW w:w="991" w:type="dxa"/>
            <w:vAlign w:val="center"/>
          </w:tcPr>
          <w:p w14:paraId="4607EA43">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&lt;0.025</w:t>
            </w:r>
          </w:p>
        </w:tc>
        <w:tc>
          <w:tcPr>
            <w:tcW w:w="994" w:type="dxa"/>
            <w:vAlign w:val="center"/>
          </w:tcPr>
          <w:p w14:paraId="0C6B6794">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&lt;0.025</w:t>
            </w:r>
          </w:p>
        </w:tc>
        <w:tc>
          <w:tcPr>
            <w:tcW w:w="848" w:type="dxa"/>
            <w:vAlign w:val="center"/>
          </w:tcPr>
          <w:p w14:paraId="3EC5401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65B14A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0E7D50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6EC3ABD9">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r>
      <w:tr w14:paraId="3DDDE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19980C12">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5</w:t>
            </w:r>
          </w:p>
        </w:tc>
        <w:tc>
          <w:tcPr>
            <w:tcW w:w="1480" w:type="dxa"/>
            <w:vAlign w:val="center"/>
          </w:tcPr>
          <w:p w14:paraId="104F8DC3">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氰化物</w:t>
            </w:r>
          </w:p>
        </w:tc>
        <w:tc>
          <w:tcPr>
            <w:tcW w:w="993" w:type="dxa"/>
            <w:vAlign w:val="center"/>
          </w:tcPr>
          <w:p w14:paraId="55CFD7DD">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002A0184">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&lt;0.001</w:t>
            </w:r>
          </w:p>
        </w:tc>
        <w:tc>
          <w:tcPr>
            <w:tcW w:w="991" w:type="dxa"/>
            <w:vAlign w:val="center"/>
          </w:tcPr>
          <w:p w14:paraId="76C2A3DB">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&lt;0.001</w:t>
            </w:r>
          </w:p>
        </w:tc>
        <w:tc>
          <w:tcPr>
            <w:tcW w:w="994" w:type="dxa"/>
            <w:vAlign w:val="center"/>
          </w:tcPr>
          <w:p w14:paraId="45157A65">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&lt;0.001</w:t>
            </w:r>
          </w:p>
        </w:tc>
        <w:tc>
          <w:tcPr>
            <w:tcW w:w="848" w:type="dxa"/>
            <w:vAlign w:val="center"/>
          </w:tcPr>
          <w:p w14:paraId="203ED0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187504D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6C4156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0D680A02">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r>
      <w:tr w14:paraId="2C0F3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BA35495">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6</w:t>
            </w:r>
          </w:p>
        </w:tc>
        <w:tc>
          <w:tcPr>
            <w:tcW w:w="1480" w:type="dxa"/>
            <w:vAlign w:val="center"/>
          </w:tcPr>
          <w:p w14:paraId="4FB2FBAD">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挥发酚</w:t>
            </w:r>
          </w:p>
        </w:tc>
        <w:tc>
          <w:tcPr>
            <w:tcW w:w="993" w:type="dxa"/>
            <w:vAlign w:val="center"/>
          </w:tcPr>
          <w:p w14:paraId="4B123192">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142BB5EB">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&lt;0.0003</w:t>
            </w:r>
          </w:p>
        </w:tc>
        <w:tc>
          <w:tcPr>
            <w:tcW w:w="991" w:type="dxa"/>
            <w:vAlign w:val="center"/>
          </w:tcPr>
          <w:p w14:paraId="5F313383">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&lt;0.0003</w:t>
            </w:r>
          </w:p>
        </w:tc>
        <w:tc>
          <w:tcPr>
            <w:tcW w:w="994" w:type="dxa"/>
            <w:vAlign w:val="center"/>
          </w:tcPr>
          <w:p w14:paraId="09A767D5">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&lt;0.0003</w:t>
            </w:r>
          </w:p>
        </w:tc>
        <w:tc>
          <w:tcPr>
            <w:tcW w:w="848" w:type="dxa"/>
            <w:vAlign w:val="center"/>
          </w:tcPr>
          <w:p w14:paraId="7213533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57D9C84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0D17827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3B942493">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0.002</w:t>
            </w:r>
          </w:p>
        </w:tc>
      </w:tr>
      <w:tr w14:paraId="37D08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3180A738">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7</w:t>
            </w:r>
          </w:p>
        </w:tc>
        <w:tc>
          <w:tcPr>
            <w:tcW w:w="1480" w:type="dxa"/>
            <w:vAlign w:val="center"/>
          </w:tcPr>
          <w:p w14:paraId="38AE1786">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亚硝酸盐</w:t>
            </w:r>
          </w:p>
        </w:tc>
        <w:tc>
          <w:tcPr>
            <w:tcW w:w="993" w:type="dxa"/>
            <w:vAlign w:val="center"/>
          </w:tcPr>
          <w:p w14:paraId="26691573">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0BC19695">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&lt;0.003</w:t>
            </w:r>
          </w:p>
        </w:tc>
        <w:tc>
          <w:tcPr>
            <w:tcW w:w="991" w:type="dxa"/>
            <w:vAlign w:val="center"/>
          </w:tcPr>
          <w:p w14:paraId="5CFE0A4F">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&lt;0.003</w:t>
            </w:r>
          </w:p>
        </w:tc>
        <w:tc>
          <w:tcPr>
            <w:tcW w:w="994" w:type="dxa"/>
            <w:vAlign w:val="center"/>
          </w:tcPr>
          <w:p w14:paraId="2EDF7128">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&lt;0.003</w:t>
            </w:r>
          </w:p>
        </w:tc>
        <w:tc>
          <w:tcPr>
            <w:tcW w:w="848" w:type="dxa"/>
            <w:vAlign w:val="center"/>
          </w:tcPr>
          <w:p w14:paraId="6F13B7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0B27CD8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54F2BCA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7D17C021">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6A883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28D5B04">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8</w:t>
            </w:r>
          </w:p>
        </w:tc>
        <w:tc>
          <w:tcPr>
            <w:tcW w:w="1480" w:type="dxa"/>
            <w:vAlign w:val="center"/>
          </w:tcPr>
          <w:p w14:paraId="644A9BE1">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锌</w:t>
            </w:r>
          </w:p>
        </w:tc>
        <w:tc>
          <w:tcPr>
            <w:tcW w:w="993" w:type="dxa"/>
            <w:vAlign w:val="center"/>
          </w:tcPr>
          <w:p w14:paraId="23BEA3B9">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44C89339">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0.010</w:t>
            </w:r>
          </w:p>
        </w:tc>
        <w:tc>
          <w:tcPr>
            <w:tcW w:w="991" w:type="dxa"/>
            <w:vAlign w:val="center"/>
          </w:tcPr>
          <w:p w14:paraId="7D5F129A">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0.063</w:t>
            </w:r>
          </w:p>
        </w:tc>
        <w:tc>
          <w:tcPr>
            <w:tcW w:w="994" w:type="dxa"/>
            <w:vAlign w:val="center"/>
          </w:tcPr>
          <w:p w14:paraId="7DAF524D">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0.067</w:t>
            </w:r>
          </w:p>
        </w:tc>
        <w:tc>
          <w:tcPr>
            <w:tcW w:w="848" w:type="dxa"/>
            <w:vAlign w:val="center"/>
          </w:tcPr>
          <w:p w14:paraId="7312C149">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0.010</w:t>
            </w:r>
          </w:p>
        </w:tc>
        <w:tc>
          <w:tcPr>
            <w:tcW w:w="850" w:type="dxa"/>
            <w:vAlign w:val="center"/>
          </w:tcPr>
          <w:p w14:paraId="33695C3E">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0.063</w:t>
            </w:r>
          </w:p>
        </w:tc>
        <w:tc>
          <w:tcPr>
            <w:tcW w:w="853" w:type="dxa"/>
            <w:vAlign w:val="center"/>
          </w:tcPr>
          <w:p w14:paraId="4D5C0C0D">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0.067</w:t>
            </w:r>
          </w:p>
        </w:tc>
        <w:tc>
          <w:tcPr>
            <w:tcW w:w="701" w:type="dxa"/>
            <w:vAlign w:val="center"/>
          </w:tcPr>
          <w:p w14:paraId="20C5356E">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02521F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7B205FBB">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9</w:t>
            </w:r>
          </w:p>
        </w:tc>
        <w:tc>
          <w:tcPr>
            <w:tcW w:w="1480" w:type="dxa"/>
            <w:vAlign w:val="center"/>
          </w:tcPr>
          <w:p w14:paraId="5DAD48B0">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铅</w:t>
            </w:r>
          </w:p>
        </w:tc>
        <w:tc>
          <w:tcPr>
            <w:tcW w:w="993" w:type="dxa"/>
            <w:vAlign w:val="center"/>
          </w:tcPr>
          <w:p w14:paraId="1EE30D91">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2"/>
                <w14:textFill>
                  <w14:solidFill>
                    <w14:schemeClr w14:val="tx1"/>
                  </w14:solidFill>
                </w14:textFill>
              </w:rPr>
              <w:t>g/L</w:t>
            </w:r>
          </w:p>
        </w:tc>
        <w:tc>
          <w:tcPr>
            <w:tcW w:w="993" w:type="dxa"/>
            <w:vAlign w:val="center"/>
          </w:tcPr>
          <w:p w14:paraId="4393C2FB">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&lt;0.0025</w:t>
            </w:r>
          </w:p>
        </w:tc>
        <w:tc>
          <w:tcPr>
            <w:tcW w:w="991" w:type="dxa"/>
            <w:vAlign w:val="center"/>
          </w:tcPr>
          <w:p w14:paraId="4E152807">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&lt;0.0025</w:t>
            </w:r>
          </w:p>
        </w:tc>
        <w:tc>
          <w:tcPr>
            <w:tcW w:w="994" w:type="dxa"/>
            <w:vAlign w:val="center"/>
          </w:tcPr>
          <w:p w14:paraId="1A216C00">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&lt;0.0025</w:t>
            </w:r>
          </w:p>
        </w:tc>
        <w:tc>
          <w:tcPr>
            <w:tcW w:w="848" w:type="dxa"/>
            <w:vAlign w:val="center"/>
          </w:tcPr>
          <w:p w14:paraId="25AAED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6ACBA7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688AFD5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696D3525">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w:t>
            </w:r>
          </w:p>
        </w:tc>
      </w:tr>
      <w:tr w14:paraId="20C68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E87375C">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10</w:t>
            </w:r>
          </w:p>
        </w:tc>
        <w:tc>
          <w:tcPr>
            <w:tcW w:w="1480" w:type="dxa"/>
            <w:vAlign w:val="center"/>
          </w:tcPr>
          <w:p w14:paraId="053FA3E3">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砷</w:t>
            </w:r>
          </w:p>
        </w:tc>
        <w:tc>
          <w:tcPr>
            <w:tcW w:w="993" w:type="dxa"/>
            <w:vAlign w:val="center"/>
          </w:tcPr>
          <w:p w14:paraId="3C764EFE">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2"/>
                <w14:textFill>
                  <w14:solidFill>
                    <w14:schemeClr w14:val="tx1"/>
                  </w14:solidFill>
                </w14:textFill>
              </w:rPr>
              <w:t>g/L</w:t>
            </w:r>
          </w:p>
        </w:tc>
        <w:tc>
          <w:tcPr>
            <w:tcW w:w="993" w:type="dxa"/>
            <w:vAlign w:val="center"/>
          </w:tcPr>
          <w:p w14:paraId="79A45E64">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&lt;0.0003</w:t>
            </w:r>
          </w:p>
        </w:tc>
        <w:tc>
          <w:tcPr>
            <w:tcW w:w="991" w:type="dxa"/>
            <w:vAlign w:val="center"/>
          </w:tcPr>
          <w:p w14:paraId="5DB7B95A">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&lt;0.0003</w:t>
            </w:r>
          </w:p>
        </w:tc>
        <w:tc>
          <w:tcPr>
            <w:tcW w:w="994" w:type="dxa"/>
            <w:vAlign w:val="center"/>
          </w:tcPr>
          <w:p w14:paraId="61E4A562">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&lt;0.0003</w:t>
            </w:r>
          </w:p>
        </w:tc>
        <w:tc>
          <w:tcPr>
            <w:tcW w:w="848" w:type="dxa"/>
            <w:vAlign w:val="center"/>
          </w:tcPr>
          <w:p w14:paraId="7B91D1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1813D8C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071B370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0FF64506">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w:t>
            </w:r>
          </w:p>
        </w:tc>
      </w:tr>
      <w:tr w14:paraId="3EFB1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3B0895E9">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11</w:t>
            </w:r>
          </w:p>
        </w:tc>
        <w:tc>
          <w:tcPr>
            <w:tcW w:w="1480" w:type="dxa"/>
            <w:vAlign w:val="center"/>
          </w:tcPr>
          <w:p w14:paraId="7D7C9317">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汞</w:t>
            </w:r>
          </w:p>
        </w:tc>
        <w:tc>
          <w:tcPr>
            <w:tcW w:w="993" w:type="dxa"/>
            <w:vAlign w:val="center"/>
          </w:tcPr>
          <w:p w14:paraId="6F618FAE">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2"/>
                <w14:textFill>
                  <w14:solidFill>
                    <w14:schemeClr w14:val="tx1"/>
                  </w14:solidFill>
                </w14:textFill>
              </w:rPr>
              <w:t>g/L</w:t>
            </w:r>
          </w:p>
        </w:tc>
        <w:tc>
          <w:tcPr>
            <w:tcW w:w="993" w:type="dxa"/>
            <w:vAlign w:val="center"/>
          </w:tcPr>
          <w:p w14:paraId="39E7AD57">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&lt;0.00004</w:t>
            </w:r>
          </w:p>
        </w:tc>
        <w:tc>
          <w:tcPr>
            <w:tcW w:w="991" w:type="dxa"/>
            <w:vAlign w:val="center"/>
          </w:tcPr>
          <w:p w14:paraId="0AAC2A0E">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&lt;0.00004</w:t>
            </w:r>
          </w:p>
        </w:tc>
        <w:tc>
          <w:tcPr>
            <w:tcW w:w="994" w:type="dxa"/>
            <w:vAlign w:val="center"/>
          </w:tcPr>
          <w:p w14:paraId="7D269167">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&lt;0.00004</w:t>
            </w:r>
          </w:p>
        </w:tc>
        <w:tc>
          <w:tcPr>
            <w:tcW w:w="848" w:type="dxa"/>
            <w:vAlign w:val="center"/>
          </w:tcPr>
          <w:p w14:paraId="527BF6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417025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550E96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19016BF5">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0.001</w:t>
            </w:r>
          </w:p>
        </w:tc>
      </w:tr>
      <w:tr w14:paraId="683F5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12194D0A">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12</w:t>
            </w:r>
          </w:p>
        </w:tc>
        <w:tc>
          <w:tcPr>
            <w:tcW w:w="1480" w:type="dxa"/>
            <w:vAlign w:val="center"/>
          </w:tcPr>
          <w:p w14:paraId="289646B2">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镉</w:t>
            </w:r>
          </w:p>
        </w:tc>
        <w:tc>
          <w:tcPr>
            <w:tcW w:w="993" w:type="dxa"/>
            <w:vAlign w:val="center"/>
          </w:tcPr>
          <w:p w14:paraId="2AE8CA31">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2"/>
                <w14:textFill>
                  <w14:solidFill>
                    <w14:schemeClr w14:val="tx1"/>
                  </w14:solidFill>
                </w14:textFill>
              </w:rPr>
              <w:t>g/L</w:t>
            </w:r>
          </w:p>
        </w:tc>
        <w:tc>
          <w:tcPr>
            <w:tcW w:w="993" w:type="dxa"/>
            <w:vAlign w:val="center"/>
          </w:tcPr>
          <w:p w14:paraId="4845EBD6">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&lt;0.004</w:t>
            </w:r>
          </w:p>
        </w:tc>
        <w:tc>
          <w:tcPr>
            <w:tcW w:w="991" w:type="dxa"/>
            <w:vAlign w:val="center"/>
          </w:tcPr>
          <w:p w14:paraId="156D0E06">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&lt;0.004</w:t>
            </w:r>
          </w:p>
        </w:tc>
        <w:tc>
          <w:tcPr>
            <w:tcW w:w="994" w:type="dxa"/>
            <w:vAlign w:val="center"/>
          </w:tcPr>
          <w:p w14:paraId="4569F6D5">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&lt;0.004</w:t>
            </w:r>
          </w:p>
        </w:tc>
        <w:tc>
          <w:tcPr>
            <w:tcW w:w="848" w:type="dxa"/>
            <w:vAlign w:val="center"/>
          </w:tcPr>
          <w:p w14:paraId="33EB20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644EA9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15288B7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23831F85">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0.005</w:t>
            </w:r>
          </w:p>
        </w:tc>
      </w:tr>
      <w:tr w14:paraId="3C3F0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07F3EC2">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13</w:t>
            </w:r>
          </w:p>
        </w:tc>
        <w:tc>
          <w:tcPr>
            <w:tcW w:w="1480" w:type="dxa"/>
            <w:vAlign w:val="center"/>
          </w:tcPr>
          <w:p w14:paraId="2A014ADB">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六价铬</w:t>
            </w:r>
          </w:p>
        </w:tc>
        <w:tc>
          <w:tcPr>
            <w:tcW w:w="993" w:type="dxa"/>
            <w:vAlign w:val="center"/>
          </w:tcPr>
          <w:p w14:paraId="0A512114">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423480A6">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&lt;0.004</w:t>
            </w:r>
          </w:p>
        </w:tc>
        <w:tc>
          <w:tcPr>
            <w:tcW w:w="991" w:type="dxa"/>
            <w:vAlign w:val="center"/>
          </w:tcPr>
          <w:p w14:paraId="060306F6">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&lt;0.004</w:t>
            </w:r>
          </w:p>
        </w:tc>
        <w:tc>
          <w:tcPr>
            <w:tcW w:w="994" w:type="dxa"/>
            <w:vAlign w:val="center"/>
          </w:tcPr>
          <w:p w14:paraId="0D919A71">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&lt;0.004</w:t>
            </w:r>
          </w:p>
        </w:tc>
        <w:tc>
          <w:tcPr>
            <w:tcW w:w="848" w:type="dxa"/>
            <w:vAlign w:val="center"/>
          </w:tcPr>
          <w:p w14:paraId="013E36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1C00982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426D82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4B122787">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r>
      <w:tr w14:paraId="694E8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71" w:type="dxa"/>
            <w:vAlign w:val="center"/>
          </w:tcPr>
          <w:p w14:paraId="70D0CC12">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14</w:t>
            </w:r>
          </w:p>
        </w:tc>
        <w:tc>
          <w:tcPr>
            <w:tcW w:w="1480" w:type="dxa"/>
            <w:vAlign w:val="center"/>
          </w:tcPr>
          <w:p w14:paraId="1B9BE589">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钾</w:t>
            </w:r>
          </w:p>
        </w:tc>
        <w:tc>
          <w:tcPr>
            <w:tcW w:w="993" w:type="dxa"/>
            <w:vAlign w:val="center"/>
          </w:tcPr>
          <w:p w14:paraId="78EBAAAB">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03449223">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87.0</w:t>
            </w:r>
          </w:p>
        </w:tc>
        <w:tc>
          <w:tcPr>
            <w:tcW w:w="991" w:type="dxa"/>
            <w:vAlign w:val="center"/>
          </w:tcPr>
          <w:p w14:paraId="28025378">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91.1</w:t>
            </w:r>
          </w:p>
        </w:tc>
        <w:tc>
          <w:tcPr>
            <w:tcW w:w="994" w:type="dxa"/>
            <w:vAlign w:val="center"/>
          </w:tcPr>
          <w:p w14:paraId="1B72FA0E">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94.1</w:t>
            </w:r>
          </w:p>
        </w:tc>
        <w:tc>
          <w:tcPr>
            <w:tcW w:w="848" w:type="dxa"/>
            <w:vAlign w:val="center"/>
          </w:tcPr>
          <w:p w14:paraId="241349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479CD7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6F4F478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0D0534A4">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w:t>
            </w:r>
          </w:p>
        </w:tc>
      </w:tr>
      <w:tr w14:paraId="3CB64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03BBB1D5">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15</w:t>
            </w:r>
          </w:p>
        </w:tc>
        <w:tc>
          <w:tcPr>
            <w:tcW w:w="1480" w:type="dxa"/>
            <w:vAlign w:val="center"/>
          </w:tcPr>
          <w:p w14:paraId="5593D689">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钠</w:t>
            </w:r>
          </w:p>
        </w:tc>
        <w:tc>
          <w:tcPr>
            <w:tcW w:w="993" w:type="dxa"/>
            <w:vAlign w:val="center"/>
          </w:tcPr>
          <w:p w14:paraId="766E37AA">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3E42B938">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9.99×10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3</w:t>
            </w:r>
          </w:p>
        </w:tc>
        <w:tc>
          <w:tcPr>
            <w:tcW w:w="991" w:type="dxa"/>
            <w:vAlign w:val="center"/>
          </w:tcPr>
          <w:p w14:paraId="167DB678">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2.17×10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4</w:t>
            </w:r>
          </w:p>
        </w:tc>
        <w:tc>
          <w:tcPr>
            <w:tcW w:w="994" w:type="dxa"/>
            <w:vAlign w:val="center"/>
          </w:tcPr>
          <w:p w14:paraId="79BE9D92">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2.13×10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4</w:t>
            </w:r>
          </w:p>
        </w:tc>
        <w:tc>
          <w:tcPr>
            <w:tcW w:w="848" w:type="dxa"/>
            <w:vAlign w:val="center"/>
          </w:tcPr>
          <w:p w14:paraId="084CB95E">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49.95</w:t>
            </w:r>
          </w:p>
        </w:tc>
        <w:tc>
          <w:tcPr>
            <w:tcW w:w="850" w:type="dxa"/>
            <w:vAlign w:val="center"/>
          </w:tcPr>
          <w:p w14:paraId="71272138">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108.5</w:t>
            </w:r>
          </w:p>
        </w:tc>
        <w:tc>
          <w:tcPr>
            <w:tcW w:w="853" w:type="dxa"/>
            <w:vAlign w:val="center"/>
          </w:tcPr>
          <w:p w14:paraId="00CA764D">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106.5</w:t>
            </w:r>
          </w:p>
        </w:tc>
        <w:tc>
          <w:tcPr>
            <w:tcW w:w="701" w:type="dxa"/>
            <w:vAlign w:val="center"/>
          </w:tcPr>
          <w:p w14:paraId="6E17E011">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lang w:val="en-US" w:eastAsia="zh-CN"/>
                <w14:textFill>
                  <w14:solidFill>
                    <w14:schemeClr w14:val="tx1"/>
                  </w14:solidFill>
                </w14:textFill>
              </w:rPr>
              <w:t>200</w:t>
            </w:r>
          </w:p>
        </w:tc>
      </w:tr>
      <w:tr w14:paraId="2E3F2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21DA5123">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16</w:t>
            </w:r>
          </w:p>
        </w:tc>
        <w:tc>
          <w:tcPr>
            <w:tcW w:w="1480" w:type="dxa"/>
            <w:vAlign w:val="center"/>
          </w:tcPr>
          <w:p w14:paraId="4725642D">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总大肠菌群</w:t>
            </w:r>
          </w:p>
        </w:tc>
        <w:tc>
          <w:tcPr>
            <w:tcW w:w="993" w:type="dxa"/>
            <w:vAlign w:val="center"/>
          </w:tcPr>
          <w:p w14:paraId="251F2098">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MPN/L</w:t>
            </w:r>
          </w:p>
        </w:tc>
        <w:tc>
          <w:tcPr>
            <w:tcW w:w="993" w:type="dxa"/>
            <w:vAlign w:val="center"/>
          </w:tcPr>
          <w:p w14:paraId="017228A7">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&lt;20</w:t>
            </w:r>
          </w:p>
        </w:tc>
        <w:tc>
          <w:tcPr>
            <w:tcW w:w="991" w:type="dxa"/>
            <w:vAlign w:val="center"/>
          </w:tcPr>
          <w:p w14:paraId="5990EBD2">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&lt;20</w:t>
            </w:r>
          </w:p>
        </w:tc>
        <w:tc>
          <w:tcPr>
            <w:tcW w:w="994" w:type="dxa"/>
            <w:vAlign w:val="center"/>
          </w:tcPr>
          <w:p w14:paraId="3C852B06">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&lt;20</w:t>
            </w:r>
          </w:p>
        </w:tc>
        <w:tc>
          <w:tcPr>
            <w:tcW w:w="848" w:type="dxa"/>
            <w:vAlign w:val="center"/>
          </w:tcPr>
          <w:p w14:paraId="58180B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2AF716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7DB156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7AA6DEB7">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30</w:t>
            </w:r>
          </w:p>
        </w:tc>
      </w:tr>
      <w:tr w14:paraId="76624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33509E39">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17</w:t>
            </w:r>
          </w:p>
        </w:tc>
        <w:tc>
          <w:tcPr>
            <w:tcW w:w="1480" w:type="dxa"/>
            <w:vAlign w:val="center"/>
          </w:tcPr>
          <w:p w14:paraId="5E04D480">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lang w:val="en-US" w:eastAsia="zh-CN"/>
                <w14:textFill>
                  <w14:solidFill>
                    <w14:schemeClr w14:val="tx1"/>
                  </w14:solidFill>
                </w14:textFill>
              </w:rPr>
              <w:t>铜</w:t>
            </w:r>
          </w:p>
        </w:tc>
        <w:tc>
          <w:tcPr>
            <w:tcW w:w="993" w:type="dxa"/>
            <w:vAlign w:val="center"/>
          </w:tcPr>
          <w:p w14:paraId="4C77029E">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1551FD67">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&lt;0.009</w:t>
            </w:r>
          </w:p>
        </w:tc>
        <w:tc>
          <w:tcPr>
            <w:tcW w:w="991" w:type="dxa"/>
            <w:vAlign w:val="center"/>
          </w:tcPr>
          <w:p w14:paraId="632EBF31">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&lt;0.009</w:t>
            </w:r>
          </w:p>
        </w:tc>
        <w:tc>
          <w:tcPr>
            <w:tcW w:w="994" w:type="dxa"/>
            <w:vAlign w:val="center"/>
          </w:tcPr>
          <w:p w14:paraId="6BA02ACD">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&lt;0.009</w:t>
            </w:r>
          </w:p>
        </w:tc>
        <w:tc>
          <w:tcPr>
            <w:tcW w:w="848" w:type="dxa"/>
            <w:vAlign w:val="center"/>
          </w:tcPr>
          <w:p w14:paraId="3E04229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33B999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5633378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38846AC6">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lang w:val="en-US" w:eastAsia="zh-CN"/>
                <w14:textFill>
                  <w14:solidFill>
                    <w14:schemeClr w14:val="tx1"/>
                  </w14:solidFill>
                </w14:textFill>
              </w:rPr>
              <w:t>1.00</w:t>
            </w:r>
          </w:p>
        </w:tc>
      </w:tr>
      <w:tr w14:paraId="13B0F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2DAFDE03">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18</w:t>
            </w:r>
          </w:p>
        </w:tc>
        <w:tc>
          <w:tcPr>
            <w:tcW w:w="1480" w:type="dxa"/>
            <w:vAlign w:val="center"/>
          </w:tcPr>
          <w:p w14:paraId="333A8540">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氯化物</w:t>
            </w:r>
          </w:p>
        </w:tc>
        <w:tc>
          <w:tcPr>
            <w:tcW w:w="993" w:type="dxa"/>
            <w:vAlign w:val="center"/>
          </w:tcPr>
          <w:p w14:paraId="131DBEAF">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4DDFFF6F">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eastAsia"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9.59×10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3</w:t>
            </w:r>
          </w:p>
        </w:tc>
        <w:tc>
          <w:tcPr>
            <w:tcW w:w="991" w:type="dxa"/>
            <w:vAlign w:val="center"/>
          </w:tcPr>
          <w:p w14:paraId="5C50870A">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2.50×10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4</w:t>
            </w:r>
          </w:p>
        </w:tc>
        <w:tc>
          <w:tcPr>
            <w:tcW w:w="994" w:type="dxa"/>
            <w:vAlign w:val="center"/>
          </w:tcPr>
          <w:p w14:paraId="468101D8">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2.69×10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4</w:t>
            </w:r>
          </w:p>
        </w:tc>
        <w:tc>
          <w:tcPr>
            <w:tcW w:w="848" w:type="dxa"/>
            <w:vAlign w:val="center"/>
          </w:tcPr>
          <w:p w14:paraId="60E14E47">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38.36</w:t>
            </w:r>
          </w:p>
        </w:tc>
        <w:tc>
          <w:tcPr>
            <w:tcW w:w="850" w:type="dxa"/>
            <w:vAlign w:val="center"/>
          </w:tcPr>
          <w:p w14:paraId="5890F086">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100.0</w:t>
            </w:r>
          </w:p>
        </w:tc>
        <w:tc>
          <w:tcPr>
            <w:tcW w:w="853" w:type="dxa"/>
            <w:vAlign w:val="center"/>
          </w:tcPr>
          <w:p w14:paraId="7FD562F2">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107.6</w:t>
            </w:r>
          </w:p>
        </w:tc>
        <w:tc>
          <w:tcPr>
            <w:tcW w:w="701" w:type="dxa"/>
            <w:vAlign w:val="center"/>
          </w:tcPr>
          <w:p w14:paraId="61F05049">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w:t>
            </w:r>
          </w:p>
        </w:tc>
      </w:tr>
      <w:tr w14:paraId="311DA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754D15DD">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19</w:t>
            </w:r>
          </w:p>
        </w:tc>
        <w:tc>
          <w:tcPr>
            <w:tcW w:w="1480" w:type="dxa"/>
            <w:vAlign w:val="center"/>
          </w:tcPr>
          <w:p w14:paraId="4C32671D">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硫酸盐</w:t>
            </w:r>
          </w:p>
        </w:tc>
        <w:tc>
          <w:tcPr>
            <w:tcW w:w="993" w:type="dxa"/>
            <w:vAlign w:val="center"/>
          </w:tcPr>
          <w:p w14:paraId="4C66D6D0">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57E34B24">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6.84×10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3</w:t>
            </w:r>
          </w:p>
        </w:tc>
        <w:tc>
          <w:tcPr>
            <w:tcW w:w="991" w:type="dxa"/>
            <w:vAlign w:val="center"/>
          </w:tcPr>
          <w:p w14:paraId="6482905C">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8.23×10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3</w:t>
            </w:r>
          </w:p>
        </w:tc>
        <w:tc>
          <w:tcPr>
            <w:tcW w:w="994" w:type="dxa"/>
            <w:vAlign w:val="center"/>
          </w:tcPr>
          <w:p w14:paraId="45DE72C3">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7.37×10</w:t>
            </w:r>
            <w:r>
              <w:rPr>
                <w:rFonts w:hint="eastAsia" w:ascii="Times New Roman" w:hAnsi="Times New Roman" w:eastAsia="宋体" w:cs="Times New Roman"/>
                <w:color w:val="000000" w:themeColor="text1"/>
                <w:sz w:val="21"/>
                <w:szCs w:val="22"/>
                <w:vertAlign w:val="superscript"/>
                <w:lang w:val="en-US" w:eastAsia="zh-CN"/>
                <w14:textFill>
                  <w14:solidFill>
                    <w14:schemeClr w14:val="tx1"/>
                  </w14:solidFill>
                </w14:textFill>
              </w:rPr>
              <w:t>3</w:t>
            </w:r>
          </w:p>
        </w:tc>
        <w:tc>
          <w:tcPr>
            <w:tcW w:w="848" w:type="dxa"/>
            <w:vAlign w:val="center"/>
          </w:tcPr>
          <w:p w14:paraId="46D8F24A">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27.36</w:t>
            </w:r>
          </w:p>
        </w:tc>
        <w:tc>
          <w:tcPr>
            <w:tcW w:w="850" w:type="dxa"/>
            <w:vAlign w:val="center"/>
          </w:tcPr>
          <w:p w14:paraId="60035B5A">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32.92</w:t>
            </w:r>
          </w:p>
        </w:tc>
        <w:tc>
          <w:tcPr>
            <w:tcW w:w="853" w:type="dxa"/>
            <w:vAlign w:val="center"/>
          </w:tcPr>
          <w:p w14:paraId="7A44FA48">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29.48</w:t>
            </w:r>
          </w:p>
        </w:tc>
        <w:tc>
          <w:tcPr>
            <w:tcW w:w="701" w:type="dxa"/>
            <w:vAlign w:val="center"/>
          </w:tcPr>
          <w:p w14:paraId="6D2418F4">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w:t>
            </w:r>
          </w:p>
        </w:tc>
      </w:tr>
      <w:tr w14:paraId="63F0F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DE163C5">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20</w:t>
            </w:r>
          </w:p>
        </w:tc>
        <w:tc>
          <w:tcPr>
            <w:tcW w:w="1480" w:type="dxa"/>
            <w:vAlign w:val="center"/>
          </w:tcPr>
          <w:p w14:paraId="530E6A9D">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硝酸盐</w:t>
            </w:r>
          </w:p>
        </w:tc>
        <w:tc>
          <w:tcPr>
            <w:tcW w:w="993" w:type="dxa"/>
            <w:vAlign w:val="center"/>
          </w:tcPr>
          <w:p w14:paraId="2E399212">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75C7C0CF">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2.14</w:t>
            </w:r>
          </w:p>
        </w:tc>
        <w:tc>
          <w:tcPr>
            <w:tcW w:w="991" w:type="dxa"/>
            <w:vAlign w:val="center"/>
          </w:tcPr>
          <w:p w14:paraId="1F9A2D7A">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1.58</w:t>
            </w:r>
          </w:p>
        </w:tc>
        <w:tc>
          <w:tcPr>
            <w:tcW w:w="994" w:type="dxa"/>
            <w:vAlign w:val="center"/>
          </w:tcPr>
          <w:p w14:paraId="08EA1047">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1.76</w:t>
            </w:r>
          </w:p>
        </w:tc>
        <w:tc>
          <w:tcPr>
            <w:tcW w:w="848" w:type="dxa"/>
            <w:vAlign w:val="center"/>
          </w:tcPr>
          <w:p w14:paraId="0A139021">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0.107</w:t>
            </w:r>
          </w:p>
        </w:tc>
        <w:tc>
          <w:tcPr>
            <w:tcW w:w="850" w:type="dxa"/>
            <w:vAlign w:val="center"/>
          </w:tcPr>
          <w:p w14:paraId="0B42FE11">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0.079</w:t>
            </w:r>
          </w:p>
        </w:tc>
        <w:tc>
          <w:tcPr>
            <w:tcW w:w="853" w:type="dxa"/>
            <w:vAlign w:val="center"/>
          </w:tcPr>
          <w:p w14:paraId="0445ABFA">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0.088</w:t>
            </w:r>
          </w:p>
        </w:tc>
        <w:tc>
          <w:tcPr>
            <w:tcW w:w="701" w:type="dxa"/>
            <w:vAlign w:val="center"/>
          </w:tcPr>
          <w:p w14:paraId="7F537285">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20</w:t>
            </w:r>
          </w:p>
        </w:tc>
      </w:tr>
      <w:tr w14:paraId="1806E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5BD6D5B">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21</w:t>
            </w:r>
          </w:p>
        </w:tc>
        <w:tc>
          <w:tcPr>
            <w:tcW w:w="1480" w:type="dxa"/>
            <w:vAlign w:val="center"/>
          </w:tcPr>
          <w:p w14:paraId="7932F00C">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铁</w:t>
            </w:r>
          </w:p>
        </w:tc>
        <w:tc>
          <w:tcPr>
            <w:tcW w:w="993" w:type="dxa"/>
            <w:vAlign w:val="center"/>
          </w:tcPr>
          <w:p w14:paraId="0DD0B741">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09959615">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0.80</w:t>
            </w:r>
          </w:p>
        </w:tc>
        <w:tc>
          <w:tcPr>
            <w:tcW w:w="991" w:type="dxa"/>
            <w:vAlign w:val="center"/>
          </w:tcPr>
          <w:p w14:paraId="359240ED">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1.00</w:t>
            </w:r>
          </w:p>
        </w:tc>
        <w:tc>
          <w:tcPr>
            <w:tcW w:w="994" w:type="dxa"/>
            <w:vAlign w:val="center"/>
          </w:tcPr>
          <w:p w14:paraId="25140F78">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1.01</w:t>
            </w:r>
          </w:p>
        </w:tc>
        <w:tc>
          <w:tcPr>
            <w:tcW w:w="848" w:type="dxa"/>
            <w:vAlign w:val="center"/>
          </w:tcPr>
          <w:p w14:paraId="7B738926">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2.67</w:t>
            </w:r>
          </w:p>
        </w:tc>
        <w:tc>
          <w:tcPr>
            <w:tcW w:w="850" w:type="dxa"/>
            <w:vAlign w:val="center"/>
          </w:tcPr>
          <w:p w14:paraId="5C2DCEF4">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3.33</w:t>
            </w:r>
          </w:p>
        </w:tc>
        <w:tc>
          <w:tcPr>
            <w:tcW w:w="853" w:type="dxa"/>
            <w:vAlign w:val="center"/>
          </w:tcPr>
          <w:p w14:paraId="5E7BF8BE">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3.37</w:t>
            </w:r>
          </w:p>
        </w:tc>
        <w:tc>
          <w:tcPr>
            <w:tcW w:w="701" w:type="dxa"/>
            <w:vAlign w:val="center"/>
          </w:tcPr>
          <w:p w14:paraId="2167E120">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w:t>
            </w:r>
          </w:p>
        </w:tc>
      </w:tr>
      <w:tr w14:paraId="3D707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1B1A205">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22</w:t>
            </w:r>
          </w:p>
        </w:tc>
        <w:tc>
          <w:tcPr>
            <w:tcW w:w="1480" w:type="dxa"/>
            <w:vAlign w:val="center"/>
          </w:tcPr>
          <w:p w14:paraId="5996458A">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锰</w:t>
            </w:r>
          </w:p>
        </w:tc>
        <w:tc>
          <w:tcPr>
            <w:tcW w:w="993" w:type="dxa"/>
            <w:vAlign w:val="center"/>
          </w:tcPr>
          <w:p w14:paraId="4896ACC5">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291E34DE">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0.08</w:t>
            </w:r>
          </w:p>
        </w:tc>
        <w:tc>
          <w:tcPr>
            <w:tcW w:w="991" w:type="dxa"/>
            <w:vAlign w:val="center"/>
          </w:tcPr>
          <w:p w14:paraId="5B7A1591">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0.24</w:t>
            </w:r>
          </w:p>
        </w:tc>
        <w:tc>
          <w:tcPr>
            <w:tcW w:w="994" w:type="dxa"/>
            <w:vAlign w:val="center"/>
          </w:tcPr>
          <w:p w14:paraId="3911D4B2">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0.25</w:t>
            </w:r>
          </w:p>
        </w:tc>
        <w:tc>
          <w:tcPr>
            <w:tcW w:w="848" w:type="dxa"/>
            <w:vAlign w:val="center"/>
          </w:tcPr>
          <w:p w14:paraId="7F43D779">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0.80</w:t>
            </w:r>
          </w:p>
        </w:tc>
        <w:tc>
          <w:tcPr>
            <w:tcW w:w="850" w:type="dxa"/>
            <w:vAlign w:val="center"/>
          </w:tcPr>
          <w:p w14:paraId="07520522">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2.40</w:t>
            </w:r>
          </w:p>
        </w:tc>
        <w:tc>
          <w:tcPr>
            <w:tcW w:w="853" w:type="dxa"/>
            <w:vAlign w:val="center"/>
          </w:tcPr>
          <w:p w14:paraId="601969E7">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2.50</w:t>
            </w:r>
          </w:p>
        </w:tc>
        <w:tc>
          <w:tcPr>
            <w:tcW w:w="701" w:type="dxa"/>
            <w:vAlign w:val="center"/>
          </w:tcPr>
          <w:p w14:paraId="2E399221">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0.10</w:t>
            </w:r>
          </w:p>
        </w:tc>
      </w:tr>
      <w:tr w14:paraId="1ADF0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1AF42C86">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23</w:t>
            </w:r>
          </w:p>
        </w:tc>
        <w:tc>
          <w:tcPr>
            <w:tcW w:w="1480" w:type="dxa"/>
            <w:vAlign w:val="center"/>
          </w:tcPr>
          <w:p w14:paraId="33BC999F">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钙</w:t>
            </w:r>
          </w:p>
        </w:tc>
        <w:tc>
          <w:tcPr>
            <w:tcW w:w="993" w:type="dxa"/>
            <w:vAlign w:val="center"/>
          </w:tcPr>
          <w:p w14:paraId="0DDCEE89">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64E1511E">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162</w:t>
            </w:r>
          </w:p>
        </w:tc>
        <w:tc>
          <w:tcPr>
            <w:tcW w:w="991" w:type="dxa"/>
            <w:vAlign w:val="center"/>
          </w:tcPr>
          <w:p w14:paraId="76A48347">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284</w:t>
            </w:r>
          </w:p>
        </w:tc>
        <w:tc>
          <w:tcPr>
            <w:tcW w:w="994" w:type="dxa"/>
            <w:vAlign w:val="center"/>
          </w:tcPr>
          <w:p w14:paraId="318E241A">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281</w:t>
            </w:r>
          </w:p>
        </w:tc>
        <w:tc>
          <w:tcPr>
            <w:tcW w:w="848" w:type="dxa"/>
            <w:vAlign w:val="center"/>
          </w:tcPr>
          <w:p w14:paraId="743100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53496B5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70B28FF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13E3BCE4">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w:t>
            </w:r>
          </w:p>
        </w:tc>
      </w:tr>
      <w:tr w14:paraId="59590A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FF73B3C">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24</w:t>
            </w:r>
          </w:p>
        </w:tc>
        <w:tc>
          <w:tcPr>
            <w:tcW w:w="1480" w:type="dxa"/>
            <w:vAlign w:val="center"/>
          </w:tcPr>
          <w:p w14:paraId="093293D2">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镁</w:t>
            </w:r>
          </w:p>
        </w:tc>
        <w:tc>
          <w:tcPr>
            <w:tcW w:w="993" w:type="dxa"/>
            <w:vAlign w:val="center"/>
          </w:tcPr>
          <w:p w14:paraId="5D17E65D">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1545F15E">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41.8</w:t>
            </w:r>
          </w:p>
        </w:tc>
        <w:tc>
          <w:tcPr>
            <w:tcW w:w="991" w:type="dxa"/>
            <w:vAlign w:val="center"/>
          </w:tcPr>
          <w:p w14:paraId="15603224">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237</w:t>
            </w:r>
          </w:p>
        </w:tc>
        <w:tc>
          <w:tcPr>
            <w:tcW w:w="994" w:type="dxa"/>
            <w:vAlign w:val="center"/>
          </w:tcPr>
          <w:p w14:paraId="7F64F1E5">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258</w:t>
            </w:r>
          </w:p>
        </w:tc>
        <w:tc>
          <w:tcPr>
            <w:tcW w:w="848" w:type="dxa"/>
            <w:vAlign w:val="center"/>
          </w:tcPr>
          <w:p w14:paraId="22AD7DF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6BAAD44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03B6F87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2CB91200">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w:t>
            </w:r>
          </w:p>
        </w:tc>
      </w:tr>
      <w:tr w14:paraId="590CC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471151CC">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25</w:t>
            </w:r>
          </w:p>
        </w:tc>
        <w:tc>
          <w:tcPr>
            <w:tcW w:w="1480" w:type="dxa"/>
            <w:vAlign w:val="center"/>
          </w:tcPr>
          <w:p w14:paraId="3EAC6F5D">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碳酸盐</w:t>
            </w:r>
          </w:p>
        </w:tc>
        <w:tc>
          <w:tcPr>
            <w:tcW w:w="993" w:type="dxa"/>
            <w:vAlign w:val="center"/>
          </w:tcPr>
          <w:p w14:paraId="64666163">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mmol/L</w:t>
            </w:r>
          </w:p>
        </w:tc>
        <w:tc>
          <w:tcPr>
            <w:tcW w:w="993" w:type="dxa"/>
            <w:vAlign w:val="center"/>
          </w:tcPr>
          <w:p w14:paraId="5B81EE5B">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&lt;0.08</w:t>
            </w:r>
          </w:p>
        </w:tc>
        <w:tc>
          <w:tcPr>
            <w:tcW w:w="991" w:type="dxa"/>
            <w:vAlign w:val="center"/>
          </w:tcPr>
          <w:p w14:paraId="5019E5BE">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&lt;0.08</w:t>
            </w:r>
          </w:p>
        </w:tc>
        <w:tc>
          <w:tcPr>
            <w:tcW w:w="994" w:type="dxa"/>
            <w:vAlign w:val="center"/>
          </w:tcPr>
          <w:p w14:paraId="775DDBD3">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&lt;0.08</w:t>
            </w:r>
          </w:p>
        </w:tc>
        <w:tc>
          <w:tcPr>
            <w:tcW w:w="848" w:type="dxa"/>
            <w:vAlign w:val="center"/>
          </w:tcPr>
          <w:p w14:paraId="6AB4747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5160BCB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413856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5DAB77F1">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w:t>
            </w:r>
          </w:p>
        </w:tc>
      </w:tr>
      <w:tr w14:paraId="533439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DD00768">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26</w:t>
            </w:r>
          </w:p>
        </w:tc>
        <w:tc>
          <w:tcPr>
            <w:tcW w:w="1480" w:type="dxa"/>
            <w:vAlign w:val="center"/>
          </w:tcPr>
          <w:p w14:paraId="3909AFB6">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重碳酸盐</w:t>
            </w:r>
          </w:p>
        </w:tc>
        <w:tc>
          <w:tcPr>
            <w:tcW w:w="993" w:type="dxa"/>
            <w:vAlign w:val="center"/>
          </w:tcPr>
          <w:p w14:paraId="675EA5EA">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mmol/L</w:t>
            </w:r>
          </w:p>
        </w:tc>
        <w:tc>
          <w:tcPr>
            <w:tcW w:w="993" w:type="dxa"/>
            <w:vAlign w:val="center"/>
          </w:tcPr>
          <w:p w14:paraId="2D7680F2">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1.89</w:t>
            </w:r>
          </w:p>
        </w:tc>
        <w:tc>
          <w:tcPr>
            <w:tcW w:w="991" w:type="dxa"/>
            <w:vAlign w:val="center"/>
          </w:tcPr>
          <w:p w14:paraId="6A2451AD">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2.15</w:t>
            </w:r>
          </w:p>
        </w:tc>
        <w:tc>
          <w:tcPr>
            <w:tcW w:w="994" w:type="dxa"/>
            <w:vAlign w:val="center"/>
          </w:tcPr>
          <w:p w14:paraId="76F62057">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2.02</w:t>
            </w:r>
          </w:p>
        </w:tc>
        <w:tc>
          <w:tcPr>
            <w:tcW w:w="848" w:type="dxa"/>
            <w:vAlign w:val="center"/>
          </w:tcPr>
          <w:p w14:paraId="5D0EFC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0" w:type="dxa"/>
            <w:vAlign w:val="center"/>
          </w:tcPr>
          <w:p w14:paraId="356689B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853" w:type="dxa"/>
            <w:vAlign w:val="center"/>
          </w:tcPr>
          <w:p w14:paraId="44F091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w:t>
            </w:r>
          </w:p>
        </w:tc>
        <w:tc>
          <w:tcPr>
            <w:tcW w:w="701" w:type="dxa"/>
            <w:vAlign w:val="center"/>
          </w:tcPr>
          <w:p w14:paraId="310F0BD9">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w:t>
            </w:r>
          </w:p>
        </w:tc>
      </w:tr>
      <w:tr w14:paraId="6A049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16850525">
            <w:pPr>
              <w:keepNext w:val="0"/>
              <w:keepLines w:val="0"/>
              <w:suppressLineNumbers w:val="0"/>
              <w:tabs>
                <w:tab w:val="left" w:pos="1080"/>
                <w:tab w:val="left" w:pos="6090"/>
              </w:tabs>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27</w:t>
            </w:r>
          </w:p>
        </w:tc>
        <w:tc>
          <w:tcPr>
            <w:tcW w:w="1480" w:type="dxa"/>
            <w:vAlign w:val="center"/>
          </w:tcPr>
          <w:p w14:paraId="6E5168A7">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lang w:val="en-US" w:eastAsia="zh-CN"/>
                <w14:textFill>
                  <w14:solidFill>
                    <w14:schemeClr w14:val="tx1"/>
                  </w14:solidFill>
                </w14:textFill>
              </w:rPr>
              <w:t>氟化物</w:t>
            </w:r>
          </w:p>
        </w:tc>
        <w:tc>
          <w:tcPr>
            <w:tcW w:w="993" w:type="dxa"/>
            <w:vAlign w:val="center"/>
          </w:tcPr>
          <w:p w14:paraId="0357C690">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mg/L</w:t>
            </w:r>
          </w:p>
        </w:tc>
        <w:tc>
          <w:tcPr>
            <w:tcW w:w="993" w:type="dxa"/>
            <w:vAlign w:val="center"/>
          </w:tcPr>
          <w:p w14:paraId="428FA32B">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0.44</w:t>
            </w:r>
          </w:p>
        </w:tc>
        <w:tc>
          <w:tcPr>
            <w:tcW w:w="991" w:type="dxa"/>
            <w:vAlign w:val="center"/>
          </w:tcPr>
          <w:p w14:paraId="0F67FCF1">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0.41</w:t>
            </w:r>
          </w:p>
        </w:tc>
        <w:tc>
          <w:tcPr>
            <w:tcW w:w="994" w:type="dxa"/>
            <w:vAlign w:val="center"/>
          </w:tcPr>
          <w:p w14:paraId="58FC76E9">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0.48</w:t>
            </w:r>
          </w:p>
        </w:tc>
        <w:tc>
          <w:tcPr>
            <w:tcW w:w="848" w:type="dxa"/>
            <w:vAlign w:val="center"/>
          </w:tcPr>
          <w:p w14:paraId="2EEB20E0">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0.44</w:t>
            </w:r>
          </w:p>
        </w:tc>
        <w:tc>
          <w:tcPr>
            <w:tcW w:w="850" w:type="dxa"/>
            <w:vAlign w:val="center"/>
          </w:tcPr>
          <w:p w14:paraId="7CAD00DE">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0.41</w:t>
            </w:r>
          </w:p>
        </w:tc>
        <w:tc>
          <w:tcPr>
            <w:tcW w:w="853" w:type="dxa"/>
            <w:vAlign w:val="center"/>
          </w:tcPr>
          <w:p w14:paraId="3E789207">
            <w:pPr>
              <w:keepNext w:val="0"/>
              <w:keepLines w:val="0"/>
              <w:suppressLineNumbers w:val="0"/>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0.48</w:t>
            </w:r>
          </w:p>
        </w:tc>
        <w:tc>
          <w:tcPr>
            <w:tcW w:w="701" w:type="dxa"/>
            <w:vAlign w:val="center"/>
          </w:tcPr>
          <w:p w14:paraId="50E83F0A">
            <w:pPr>
              <w:keepNext w:val="0"/>
              <w:keepLines w:val="0"/>
              <w:suppressLineNumbers w:val="0"/>
              <w:tabs>
                <w:tab w:val="left" w:pos="1080"/>
                <w:tab w:val="left" w:pos="6090"/>
              </w:tabs>
              <w:snapToGrid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lang w:val="en-US" w:eastAsia="zh-CN"/>
                <w14:textFill>
                  <w14:solidFill>
                    <w14:schemeClr w14:val="tx1"/>
                  </w14:solidFill>
                </w14:textFill>
              </w:rPr>
              <w:t>1.0</w:t>
            </w:r>
          </w:p>
        </w:tc>
      </w:tr>
    </w:tbl>
    <w:p w14:paraId="52084016">
      <w:pPr>
        <w:spacing w:line="480" w:lineRule="exact"/>
        <w:ind w:firstLine="480" w:firstLineChars="200"/>
        <w:rPr>
          <w:rFonts w:hint="eastAsia" w:ascii="Times New Roman" w:hAnsi="Times New Roman" w:eastAsia="宋体" w:cs="Times New Roman"/>
          <w:color w:val="000000" w:themeColor="text1"/>
          <w:spacing w:val="-6"/>
          <w:sz w:val="24"/>
          <w:szCs w:val="24"/>
          <w:highlight w:val="none"/>
          <w14:textFill>
            <w14:solidFill>
              <w14:schemeClr w14:val="tx1"/>
            </w14:solidFill>
          </w14:textFill>
        </w:rPr>
      </w:pPr>
      <w:r>
        <w:rPr>
          <w:rFonts w:hint="eastAsia" w:eastAsia="宋体"/>
          <w:color w:val="000000" w:themeColor="text1"/>
          <w:sz w:val="24"/>
          <w:szCs w:val="24"/>
          <w14:textFill>
            <w14:solidFill>
              <w14:schemeClr w14:val="tx1"/>
            </w14:solidFill>
          </w14:textFill>
        </w:rPr>
        <w:t>根据评价结果，各点位</w:t>
      </w:r>
      <w:r>
        <w:rPr>
          <w:rFonts w:hint="eastAsia"/>
          <w:color w:val="000000" w:themeColor="text1"/>
          <w:sz w:val="24"/>
          <w:szCs w:val="24"/>
          <w:lang w:val="en-US" w:eastAsia="zh-CN"/>
          <w14:textFill>
            <w14:solidFill>
              <w14:schemeClr w14:val="tx1"/>
            </w14:solidFill>
          </w14:textFill>
        </w:rPr>
        <w:t>地下水中</w:t>
      </w:r>
      <w:r>
        <w:rPr>
          <w:rFonts w:hint="eastAsia" w:eastAsia="宋体"/>
          <w:color w:val="000000" w:themeColor="text1"/>
          <w:sz w:val="24"/>
          <w:szCs w:val="24"/>
          <w14:textFill>
            <w14:solidFill>
              <w14:schemeClr w14:val="tx1"/>
            </w14:solidFill>
          </w14:textFill>
        </w:rPr>
        <w:t>溶解性总固体、总硬度、硫酸盐、氯化物、钠、铁等指标均超过《地下水质量标准》（GB/T14848-2017）Ⅲ类标准限值，锰在1#点位达标外，其余点位已超过《地下水质量标准》（GB/T14848-2017）Ⅲ类标准限值。本次监测地下水超标指标主要为常规无机盐类和硬度指标，其超标原因是区域天然地质背景及干旱气候条件下地下水长期蒸发浓缩所致</w:t>
      </w:r>
      <w:r>
        <w:rPr>
          <w:rFonts w:hint="eastAsia" w:eastAsia="宋体"/>
          <w:color w:val="000000" w:themeColor="text1"/>
          <w:sz w:val="24"/>
          <w:szCs w:val="24"/>
          <w:lang w:eastAsia="zh-CN"/>
          <w14:textFill>
            <w14:solidFill>
              <w14:schemeClr w14:val="tx1"/>
            </w14:solidFill>
          </w14:textFill>
        </w:rPr>
        <w:t>。</w:t>
      </w:r>
    </w:p>
    <w:p w14:paraId="3DAADD7E">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.4声环境质量现状评价</w:t>
      </w:r>
      <w:bookmarkEnd w:id="687"/>
      <w:bookmarkEnd w:id="688"/>
      <w:bookmarkEnd w:id="689"/>
      <w:bookmarkEnd w:id="690"/>
      <w:bookmarkEnd w:id="691"/>
      <w:bookmarkEnd w:id="692"/>
      <w:bookmarkEnd w:id="693"/>
      <w:bookmarkEnd w:id="694"/>
      <w:bookmarkEnd w:id="695"/>
      <w:bookmarkEnd w:id="696"/>
      <w:bookmarkEnd w:id="697"/>
    </w:p>
    <w:p w14:paraId="65321731">
      <w:pPr>
        <w:spacing w:line="480" w:lineRule="exact"/>
        <w:ind w:firstLine="480" w:firstLineChars="200"/>
        <w:rPr>
          <w:rFonts w:hint="default" w:eastAsia="宋体"/>
          <w:color w:val="000000" w:themeColor="text1"/>
          <w:sz w:val="24"/>
          <w:szCs w:val="24"/>
          <w:lang w:val="en-US" w:eastAsia="zh-CN"/>
          <w14:textFill>
            <w14:solidFill>
              <w14:schemeClr w14:val="tx1"/>
            </w14:solidFill>
          </w14:textFill>
        </w:rPr>
      </w:pPr>
      <w:r>
        <w:rPr>
          <w:rFonts w:hint="eastAsia" w:eastAsia="宋体"/>
          <w:color w:val="000000" w:themeColor="text1"/>
          <w:sz w:val="24"/>
          <w:szCs w:val="24"/>
          <w14:textFill>
            <w14:solidFill>
              <w14:schemeClr w14:val="tx1"/>
            </w14:solidFill>
          </w14:textFill>
        </w:rPr>
        <w:t>本次评价委托新疆齐新环境服务有限公司对</w:t>
      </w:r>
      <w:r>
        <w:rPr>
          <w:rFonts w:hint="eastAsia" w:eastAsia="宋体"/>
          <w:color w:val="000000" w:themeColor="text1"/>
          <w:sz w:val="24"/>
          <w:szCs w:val="24"/>
          <w:lang w:val="en-US" w:eastAsia="zh-CN"/>
          <w14:textFill>
            <w14:solidFill>
              <w14:schemeClr w14:val="tx1"/>
            </w14:solidFill>
          </w14:textFill>
        </w:rPr>
        <w:t>矿区四周进行噪声监测。</w:t>
      </w:r>
    </w:p>
    <w:p w14:paraId="4027E4D4">
      <w:pPr>
        <w:spacing w:line="48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（1）监测布点</w:t>
      </w:r>
    </w:p>
    <w:p w14:paraId="1B039F85">
      <w:pPr>
        <w:spacing w:line="480" w:lineRule="exact"/>
        <w:ind w:firstLine="480" w:firstLineChars="200"/>
        <w:rPr>
          <w:rFonts w:hint="eastAsia"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在项目区的东、西、南、北四个方向的厂界各设置1个监测点。</w:t>
      </w:r>
      <w:r>
        <w:rPr>
          <w:rFonts w:eastAsia="宋体"/>
          <w:color w:val="000000" w:themeColor="text1"/>
          <w:spacing w:val="-1"/>
          <w:position w:val="2"/>
          <w:sz w:val="24"/>
          <w:szCs w:val="24"/>
          <w14:textFill>
            <w14:solidFill>
              <w14:schemeClr w14:val="tx1"/>
            </w14:solidFill>
          </w14:textFill>
        </w:rPr>
        <w:t>噪声监测点位置见图4.2-1及表4.2-5。</w:t>
      </w:r>
    </w:p>
    <w:p w14:paraId="64110884">
      <w:pPr>
        <w:adjustRightInd w:val="0"/>
        <w:snapToGrid w:val="0"/>
        <w:spacing w:line="480" w:lineRule="exact"/>
        <w:ind w:firstLine="0" w:firstLineChars="0"/>
        <w:jc w:val="center"/>
        <w:rPr>
          <w:rFonts w:eastAsia="宋体"/>
          <w:b/>
          <w:color w:val="000000" w:themeColor="text1"/>
          <w:kern w:val="0"/>
          <w:sz w:val="24"/>
          <w:szCs w:val="22"/>
          <w:lang w:val="zh-CN"/>
          <w14:textFill>
            <w14:solidFill>
              <w14:schemeClr w14:val="tx1"/>
            </w14:solidFill>
          </w14:textFill>
        </w:rPr>
      </w:pPr>
      <w:r>
        <w:rPr>
          <w:rFonts w:eastAsia="宋体"/>
          <w:b/>
          <w:color w:val="000000" w:themeColor="text1"/>
          <w:kern w:val="0"/>
          <w:sz w:val="24"/>
          <w:szCs w:val="22"/>
          <w:lang w:val="zh-CN"/>
          <w14:textFill>
            <w14:solidFill>
              <w14:schemeClr w14:val="tx1"/>
            </w14:solidFill>
          </w14:textFill>
        </w:rPr>
        <w:t>表</w:t>
      </w:r>
      <w:r>
        <w:rPr>
          <w:rFonts w:eastAsia="宋体"/>
          <w:b/>
          <w:color w:val="000000" w:themeColor="text1"/>
          <w:kern w:val="0"/>
          <w:sz w:val="24"/>
          <w:szCs w:val="22"/>
          <w14:textFill>
            <w14:solidFill>
              <w14:schemeClr w14:val="tx1"/>
            </w14:solidFill>
          </w14:textFill>
        </w:rPr>
        <w:t>4</w:t>
      </w:r>
      <w:r>
        <w:rPr>
          <w:rFonts w:eastAsia="宋体"/>
          <w:b/>
          <w:color w:val="000000" w:themeColor="text1"/>
          <w:kern w:val="0"/>
          <w:sz w:val="24"/>
          <w:szCs w:val="22"/>
          <w:lang w:val="zh-CN"/>
          <w14:textFill>
            <w14:solidFill>
              <w14:schemeClr w14:val="tx1"/>
            </w14:solidFill>
          </w14:textFill>
        </w:rPr>
        <w:t>.</w:t>
      </w:r>
      <w:r>
        <w:rPr>
          <w:rFonts w:eastAsia="宋体"/>
          <w:b/>
          <w:color w:val="000000" w:themeColor="text1"/>
          <w:kern w:val="0"/>
          <w:sz w:val="24"/>
          <w:szCs w:val="22"/>
          <w14:textFill>
            <w14:solidFill>
              <w14:schemeClr w14:val="tx1"/>
            </w14:solidFill>
          </w14:textFill>
        </w:rPr>
        <w:t>2</w:t>
      </w:r>
      <w:r>
        <w:rPr>
          <w:rFonts w:eastAsia="宋体"/>
          <w:b/>
          <w:color w:val="000000" w:themeColor="text1"/>
          <w:kern w:val="0"/>
          <w:sz w:val="24"/>
          <w:szCs w:val="22"/>
          <w:lang w:val="zh-CN"/>
          <w14:textFill>
            <w14:solidFill>
              <w14:schemeClr w14:val="tx1"/>
            </w14:solidFill>
          </w14:textFill>
        </w:rPr>
        <w:t>-</w:t>
      </w:r>
      <w:r>
        <w:rPr>
          <w:rFonts w:eastAsia="宋体"/>
          <w:b/>
          <w:color w:val="000000" w:themeColor="text1"/>
          <w:kern w:val="0"/>
          <w:sz w:val="24"/>
          <w:szCs w:val="22"/>
          <w14:textFill>
            <w14:solidFill>
              <w14:schemeClr w14:val="tx1"/>
            </w14:solidFill>
          </w14:textFill>
        </w:rPr>
        <w:t>5    厂界声环境质量现状监测点位情况一览表</w:t>
      </w:r>
    </w:p>
    <w:tbl>
      <w:tblPr>
        <w:tblStyle w:val="32"/>
        <w:tblW w:w="501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34"/>
        <w:gridCol w:w="4050"/>
        <w:gridCol w:w="3473"/>
      </w:tblGrid>
      <w:tr w14:paraId="34E75F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499" w:type="pct"/>
            <w:noWrap w:val="0"/>
            <w:vAlign w:val="center"/>
          </w:tcPr>
          <w:p w14:paraId="28CE63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编号</w:t>
            </w:r>
          </w:p>
        </w:tc>
        <w:tc>
          <w:tcPr>
            <w:tcW w:w="2422" w:type="pct"/>
            <w:noWrap w:val="0"/>
            <w:vAlign w:val="center"/>
          </w:tcPr>
          <w:p w14:paraId="219A07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监测点位置</w:t>
            </w:r>
          </w:p>
        </w:tc>
        <w:tc>
          <w:tcPr>
            <w:tcW w:w="2077" w:type="pct"/>
            <w:noWrap w:val="0"/>
            <w:vAlign w:val="center"/>
          </w:tcPr>
          <w:p w14:paraId="0B49FA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与项目区相对位置</w:t>
            </w:r>
          </w:p>
        </w:tc>
      </w:tr>
      <w:tr w14:paraId="4BCF7D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trPr>
        <w:tc>
          <w:tcPr>
            <w:tcW w:w="499" w:type="pct"/>
            <w:noWrap w:val="0"/>
            <w:vAlign w:val="top"/>
          </w:tcPr>
          <w:p w14:paraId="145FBA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w:t>
            </w:r>
          </w:p>
        </w:tc>
        <w:tc>
          <w:tcPr>
            <w:tcW w:w="2422" w:type="pct"/>
            <w:noWrap w:val="0"/>
            <w:vAlign w:val="top"/>
          </w:tcPr>
          <w:p w14:paraId="010F09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项目区东侧</w:t>
            </w:r>
          </w:p>
        </w:tc>
        <w:tc>
          <w:tcPr>
            <w:tcW w:w="2077" w:type="pct"/>
            <w:noWrap w:val="0"/>
            <w:vAlign w:val="top"/>
          </w:tcPr>
          <w:p w14:paraId="7C8834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厂界外1m</w:t>
            </w:r>
          </w:p>
        </w:tc>
      </w:tr>
      <w:tr w14:paraId="7BEF0B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trPr>
        <w:tc>
          <w:tcPr>
            <w:tcW w:w="499" w:type="pct"/>
            <w:noWrap w:val="0"/>
            <w:vAlign w:val="top"/>
          </w:tcPr>
          <w:p w14:paraId="2E5545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2#</w:t>
            </w:r>
          </w:p>
        </w:tc>
        <w:tc>
          <w:tcPr>
            <w:tcW w:w="2422" w:type="pct"/>
            <w:noWrap w:val="0"/>
            <w:vAlign w:val="top"/>
          </w:tcPr>
          <w:p w14:paraId="692E5E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项目区南侧</w:t>
            </w:r>
          </w:p>
        </w:tc>
        <w:tc>
          <w:tcPr>
            <w:tcW w:w="2077" w:type="pct"/>
            <w:noWrap w:val="0"/>
            <w:vAlign w:val="top"/>
          </w:tcPr>
          <w:p w14:paraId="522AAD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厂界外1m</w:t>
            </w:r>
          </w:p>
        </w:tc>
      </w:tr>
      <w:tr w14:paraId="432733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trPr>
        <w:tc>
          <w:tcPr>
            <w:tcW w:w="499" w:type="pct"/>
            <w:noWrap w:val="0"/>
            <w:vAlign w:val="top"/>
          </w:tcPr>
          <w:p w14:paraId="41FBC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3#</w:t>
            </w:r>
          </w:p>
        </w:tc>
        <w:tc>
          <w:tcPr>
            <w:tcW w:w="2422" w:type="pct"/>
            <w:noWrap w:val="0"/>
            <w:vAlign w:val="top"/>
          </w:tcPr>
          <w:p w14:paraId="4345AC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项目区西侧</w:t>
            </w:r>
          </w:p>
        </w:tc>
        <w:tc>
          <w:tcPr>
            <w:tcW w:w="2077" w:type="pct"/>
            <w:noWrap w:val="0"/>
            <w:vAlign w:val="top"/>
          </w:tcPr>
          <w:p w14:paraId="175F2E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厂界外1m</w:t>
            </w:r>
          </w:p>
        </w:tc>
      </w:tr>
      <w:tr w14:paraId="59E9A3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trPr>
        <w:tc>
          <w:tcPr>
            <w:tcW w:w="499" w:type="pct"/>
            <w:noWrap w:val="0"/>
            <w:vAlign w:val="top"/>
          </w:tcPr>
          <w:p w14:paraId="3CD45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4#</w:t>
            </w:r>
          </w:p>
        </w:tc>
        <w:tc>
          <w:tcPr>
            <w:tcW w:w="2422" w:type="pct"/>
            <w:noWrap w:val="0"/>
            <w:vAlign w:val="top"/>
          </w:tcPr>
          <w:p w14:paraId="7B3257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项目区北侧</w:t>
            </w:r>
          </w:p>
        </w:tc>
        <w:tc>
          <w:tcPr>
            <w:tcW w:w="2077" w:type="pct"/>
            <w:noWrap w:val="0"/>
            <w:vAlign w:val="top"/>
          </w:tcPr>
          <w:p w14:paraId="63B87F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厂界外1m</w:t>
            </w:r>
          </w:p>
        </w:tc>
      </w:tr>
    </w:tbl>
    <w:p w14:paraId="6AB9E046">
      <w:pPr>
        <w:spacing w:line="480" w:lineRule="exact"/>
        <w:ind w:firstLine="480" w:firstLineChars="200"/>
        <w:rPr>
          <w:rFonts w:hint="eastAsia"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（2）监测因子</w:t>
      </w:r>
    </w:p>
    <w:p w14:paraId="2CBB7C0F">
      <w:pPr>
        <w:spacing w:line="48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等效连续A声级。</w:t>
      </w:r>
    </w:p>
    <w:p w14:paraId="3686BEAB">
      <w:pPr>
        <w:spacing w:line="480" w:lineRule="exact"/>
        <w:ind w:firstLine="480" w:firstLineChars="200"/>
        <w:rPr>
          <w:rFonts w:hint="eastAsia"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（3）监测方法</w:t>
      </w:r>
    </w:p>
    <w:p w14:paraId="5CE37A7B">
      <w:pPr>
        <w:spacing w:line="480" w:lineRule="exact"/>
        <w:ind w:firstLine="480" w:firstLineChars="200"/>
        <w:rPr>
          <w:rFonts w:hint="eastAsia"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按照《声环境质量标准》（GB3096-2008</w:t>
      </w:r>
      <w:r>
        <w:rPr>
          <w:rFonts w:hint="eastAsia"/>
          <w:color w:val="000000" w:themeColor="text1"/>
          <w:sz w:val="24"/>
          <w:szCs w:val="24"/>
          <w:lang w:eastAsia="zh-CN"/>
          <w14:textFill>
            <w14:solidFill>
              <w14:schemeClr w14:val="tx1"/>
            </w14:solidFill>
          </w14:textFill>
        </w:rPr>
        <w:t>）</w:t>
      </w:r>
      <w:r>
        <w:rPr>
          <w:rFonts w:eastAsia="宋体"/>
          <w:color w:val="000000" w:themeColor="text1"/>
          <w:sz w:val="24"/>
          <w:szCs w:val="24"/>
          <w14:textFill>
            <w14:solidFill>
              <w14:schemeClr w14:val="tx1"/>
            </w14:solidFill>
          </w14:textFill>
        </w:rPr>
        <w:t>规定方法进行。</w:t>
      </w:r>
    </w:p>
    <w:p w14:paraId="433CD2EA">
      <w:pPr>
        <w:spacing w:line="480" w:lineRule="exact"/>
        <w:ind w:firstLine="480" w:firstLineChars="200"/>
        <w:rPr>
          <w:rFonts w:hint="eastAsia"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（4）</w:t>
      </w:r>
      <w:r>
        <w:rPr>
          <w:rFonts w:eastAsia="宋体"/>
          <w:color w:val="000000" w:themeColor="text1"/>
          <w:sz w:val="24"/>
          <w:szCs w:val="24"/>
          <w14:textFill>
            <w14:solidFill>
              <w14:schemeClr w14:val="tx1"/>
            </w14:solidFill>
          </w14:textFill>
        </w:rPr>
        <w:t>监测时间及频率</w:t>
      </w:r>
    </w:p>
    <w:p w14:paraId="1037C3C1">
      <w:pPr>
        <w:spacing w:line="48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监测时间为2025年12月30</w:t>
      </w:r>
      <w:r>
        <w:rPr>
          <w:rFonts w:eastAsia="宋体"/>
          <w:color w:val="000000" w:themeColor="text1"/>
          <w:sz w:val="24"/>
          <w:szCs w:val="24"/>
          <w14:textFill>
            <w14:solidFill>
              <w14:schemeClr w14:val="tx1"/>
            </w14:solidFill>
          </w14:textFill>
        </w:rPr>
        <w:t>日，昼</w:t>
      </w:r>
      <w:r>
        <w:rPr>
          <w:rFonts w:hint="eastAsia" w:eastAsia="宋体"/>
          <w:color w:val="000000" w:themeColor="text1"/>
          <w:sz w:val="24"/>
          <w:szCs w:val="24"/>
          <w:lang w:eastAsia="zh-CN"/>
          <w14:textFill>
            <w14:solidFill>
              <w14:schemeClr w14:val="tx1"/>
            </w14:solidFill>
          </w14:textFill>
        </w:rPr>
        <w:t>、</w:t>
      </w:r>
      <w:r>
        <w:rPr>
          <w:rFonts w:eastAsia="宋体"/>
          <w:color w:val="000000" w:themeColor="text1"/>
          <w:sz w:val="24"/>
          <w:szCs w:val="24"/>
          <w14:textFill>
            <w14:solidFill>
              <w14:schemeClr w14:val="tx1"/>
            </w14:solidFill>
          </w14:textFill>
        </w:rPr>
        <w:t>夜各监测一次。</w:t>
      </w:r>
    </w:p>
    <w:p w14:paraId="16A0175C">
      <w:pPr>
        <w:spacing w:line="480" w:lineRule="exact"/>
        <w:ind w:firstLine="480" w:firstLineChars="200"/>
        <w:rPr>
          <w:rFonts w:hint="eastAsia"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（5）评价标准</w:t>
      </w:r>
    </w:p>
    <w:p w14:paraId="16A3A187">
      <w:pPr>
        <w:spacing w:line="480" w:lineRule="exact"/>
        <w:ind w:firstLine="476" w:firstLineChars="200"/>
        <w:rPr>
          <w:rFonts w:hint="eastAsia" w:eastAsia="宋体"/>
          <w:color w:val="000000" w:themeColor="text1"/>
          <w:sz w:val="24"/>
          <w:szCs w:val="24"/>
          <w14:textFill>
            <w14:solidFill>
              <w14:schemeClr w14:val="tx1"/>
            </w14:solidFill>
          </w14:textFill>
        </w:rPr>
      </w:pPr>
      <w:r>
        <w:rPr>
          <w:rFonts w:eastAsia="宋体"/>
          <w:color w:val="000000" w:themeColor="text1"/>
          <w:spacing w:val="-1"/>
          <w:position w:val="2"/>
          <w:sz w:val="24"/>
          <w:szCs w:val="24"/>
          <w14:textFill>
            <w14:solidFill>
              <w14:schemeClr w14:val="tx1"/>
            </w14:solidFill>
          </w14:textFill>
        </w:rPr>
        <w:t>本项目声环境评价标准执行</w:t>
      </w:r>
      <w:r>
        <w:rPr>
          <w:rFonts w:eastAsia="宋体"/>
          <w:color w:val="000000" w:themeColor="text1"/>
          <w:sz w:val="24"/>
          <w:szCs w:val="24"/>
          <w14:textFill>
            <w14:solidFill>
              <w14:schemeClr w14:val="tx1"/>
            </w14:solidFill>
          </w14:textFill>
        </w:rPr>
        <w:t>《声环境质量标准》（GB3096-2008</w:t>
      </w:r>
      <w:r>
        <w:rPr>
          <w:rFonts w:hint="eastAsia" w:eastAsia="宋体"/>
          <w:color w:val="000000" w:themeColor="text1"/>
          <w:sz w:val="24"/>
          <w:szCs w:val="24"/>
          <w14:textFill>
            <w14:solidFill>
              <w14:schemeClr w14:val="tx1"/>
            </w14:solidFill>
          </w14:textFill>
        </w:rPr>
        <w:t>）2类</w:t>
      </w:r>
      <w:r>
        <w:rPr>
          <w:rFonts w:eastAsia="宋体"/>
          <w:color w:val="000000" w:themeColor="text1"/>
          <w:sz w:val="24"/>
          <w:szCs w:val="24"/>
          <w14:textFill>
            <w14:solidFill>
              <w14:schemeClr w14:val="tx1"/>
            </w14:solidFill>
          </w14:textFill>
        </w:rPr>
        <w:t>区标准</w:t>
      </w:r>
      <w:r>
        <w:rPr>
          <w:rFonts w:eastAsia="宋体"/>
          <w:color w:val="000000" w:themeColor="text1"/>
          <w:spacing w:val="-1"/>
          <w:position w:val="2"/>
          <w:sz w:val="24"/>
          <w:szCs w:val="24"/>
          <w14:textFill>
            <w14:solidFill>
              <w14:schemeClr w14:val="tx1"/>
            </w14:solidFill>
          </w14:textFill>
        </w:rPr>
        <w:t>。</w:t>
      </w:r>
    </w:p>
    <w:p w14:paraId="3D6B6DA0">
      <w:pPr>
        <w:spacing w:line="48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（6）监测结果及评价</w:t>
      </w:r>
    </w:p>
    <w:p w14:paraId="4FE8C89F">
      <w:pPr>
        <w:spacing w:line="48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声环境监测结果见表4.2-6。</w:t>
      </w:r>
    </w:p>
    <w:p w14:paraId="21D2D678">
      <w:pPr>
        <w:adjustRightInd w:val="0"/>
        <w:snapToGrid w:val="0"/>
        <w:spacing w:line="480" w:lineRule="exact"/>
        <w:ind w:firstLine="0" w:firstLineChars="0"/>
        <w:jc w:val="center"/>
        <w:rPr>
          <w:rFonts w:eastAsia="宋体"/>
          <w:b/>
          <w:color w:val="000000" w:themeColor="text1"/>
          <w:kern w:val="0"/>
          <w:sz w:val="24"/>
          <w:szCs w:val="22"/>
          <w14:textFill>
            <w14:solidFill>
              <w14:schemeClr w14:val="tx1"/>
            </w14:solidFill>
          </w14:textFill>
        </w:rPr>
      </w:pPr>
      <w:r>
        <w:rPr>
          <w:rFonts w:eastAsia="宋体"/>
          <w:b/>
          <w:color w:val="000000" w:themeColor="text1"/>
          <w:kern w:val="0"/>
          <w:sz w:val="24"/>
          <w:szCs w:val="22"/>
          <w:lang w:val="zh-CN"/>
          <w14:textFill>
            <w14:solidFill>
              <w14:schemeClr w14:val="tx1"/>
            </w14:solidFill>
          </w14:textFill>
        </w:rPr>
        <w:t>表4.</w:t>
      </w:r>
      <w:r>
        <w:rPr>
          <w:rFonts w:eastAsia="宋体"/>
          <w:b/>
          <w:color w:val="000000" w:themeColor="text1"/>
          <w:kern w:val="0"/>
          <w:sz w:val="24"/>
          <w:szCs w:val="22"/>
          <w14:textFill>
            <w14:solidFill>
              <w14:schemeClr w14:val="tx1"/>
            </w14:solidFill>
          </w14:textFill>
        </w:rPr>
        <w:t>2</w:t>
      </w:r>
      <w:r>
        <w:rPr>
          <w:rFonts w:eastAsia="宋体"/>
          <w:b/>
          <w:color w:val="000000" w:themeColor="text1"/>
          <w:kern w:val="0"/>
          <w:sz w:val="24"/>
          <w:szCs w:val="22"/>
          <w:lang w:val="zh-CN"/>
          <w14:textFill>
            <w14:solidFill>
              <w14:schemeClr w14:val="tx1"/>
            </w14:solidFill>
          </w14:textFill>
        </w:rPr>
        <w:t>-</w:t>
      </w:r>
      <w:r>
        <w:rPr>
          <w:rFonts w:eastAsia="宋体"/>
          <w:b/>
          <w:color w:val="000000" w:themeColor="text1"/>
          <w:kern w:val="0"/>
          <w:sz w:val="24"/>
          <w:szCs w:val="22"/>
          <w14:textFill>
            <w14:solidFill>
              <w14:schemeClr w14:val="tx1"/>
            </w14:solidFill>
          </w14:textFill>
        </w:rPr>
        <w:t>6</w:t>
      </w:r>
      <w:r>
        <w:rPr>
          <w:rFonts w:hint="eastAsia" w:eastAsia="宋体"/>
          <w:b/>
          <w:color w:val="000000" w:themeColor="text1"/>
          <w:kern w:val="0"/>
          <w:sz w:val="24"/>
          <w:szCs w:val="22"/>
          <w14:textFill>
            <w14:solidFill>
              <w14:schemeClr w14:val="tx1"/>
            </w14:solidFill>
          </w14:textFill>
        </w:rPr>
        <w:t xml:space="preserve">    </w:t>
      </w:r>
      <w:r>
        <w:rPr>
          <w:rFonts w:eastAsia="宋体"/>
          <w:b/>
          <w:color w:val="000000" w:themeColor="text1"/>
          <w:kern w:val="0"/>
          <w:sz w:val="24"/>
          <w:szCs w:val="22"/>
          <w:lang w:val="zh-CN"/>
          <w14:textFill>
            <w14:solidFill>
              <w14:schemeClr w14:val="tx1"/>
            </w14:solidFill>
          </w14:textFill>
        </w:rPr>
        <w:t>噪声现状监测及评价结果统计表    单位：dB</w:t>
      </w:r>
      <w:r>
        <w:rPr>
          <w:rFonts w:hint="eastAsia" w:eastAsia="宋体"/>
          <w:b/>
          <w:color w:val="000000" w:themeColor="text1"/>
          <w:kern w:val="0"/>
          <w:sz w:val="24"/>
          <w:szCs w:val="22"/>
          <w:lang w:val="zh-CN"/>
          <w14:textFill>
            <w14:solidFill>
              <w14:schemeClr w14:val="tx1"/>
            </w14:solidFill>
          </w14:textFill>
        </w:rPr>
        <w:t>（</w:t>
      </w:r>
      <w:r>
        <w:rPr>
          <w:rFonts w:eastAsia="宋体"/>
          <w:b/>
          <w:color w:val="000000" w:themeColor="text1"/>
          <w:kern w:val="0"/>
          <w:sz w:val="24"/>
          <w:szCs w:val="22"/>
          <w:lang w:val="zh-CN"/>
          <w14:textFill>
            <w14:solidFill>
              <w14:schemeClr w14:val="tx1"/>
            </w14:solidFill>
          </w14:textFill>
        </w:rPr>
        <w:t>A</w:t>
      </w:r>
      <w:r>
        <w:rPr>
          <w:rFonts w:hint="eastAsia" w:eastAsia="宋体"/>
          <w:b/>
          <w:color w:val="000000" w:themeColor="text1"/>
          <w:kern w:val="0"/>
          <w:sz w:val="24"/>
          <w:szCs w:val="22"/>
          <w:lang w:val="zh-CN"/>
          <w14:textFill>
            <w14:solidFill>
              <w14:schemeClr w14:val="tx1"/>
            </w14:solidFill>
          </w14:textFill>
        </w:rPr>
        <w:t>）</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120"/>
        <w:gridCol w:w="3113"/>
        <w:gridCol w:w="3120"/>
      </w:tblGrid>
      <w:tr w14:paraId="26AA2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blHeader/>
          <w:jc w:val="center"/>
        </w:trPr>
        <w:tc>
          <w:tcPr>
            <w:tcW w:w="1269" w:type="pct"/>
            <w:vMerge w:val="restart"/>
            <w:noWrap w:val="0"/>
            <w:vAlign w:val="center"/>
          </w:tcPr>
          <w:p w14:paraId="3D6F8D1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2"/>
                <w14:textFill>
                  <w14:solidFill>
                    <w14:schemeClr w14:val="tx1"/>
                  </w14:solidFill>
                </w14:textFill>
              </w:rPr>
            </w:pPr>
            <w:r>
              <w:rPr>
                <w:rFonts w:hint="default" w:ascii="Times New Roman" w:hAnsi="Times New Roman" w:eastAsia="宋体" w:cs="Times New Roman"/>
                <w:b/>
                <w:bCs/>
                <w:color w:val="000000" w:themeColor="text1"/>
                <w:sz w:val="21"/>
                <w:szCs w:val="22"/>
                <w14:textFill>
                  <w14:solidFill>
                    <w14:schemeClr w14:val="tx1"/>
                  </w14:solidFill>
                </w14:textFill>
              </w:rPr>
              <w:t>编号测点</w:t>
            </w:r>
          </w:p>
        </w:tc>
        <w:tc>
          <w:tcPr>
            <w:tcW w:w="3730" w:type="pct"/>
            <w:gridSpan w:val="2"/>
            <w:noWrap w:val="0"/>
            <w:vAlign w:val="center"/>
          </w:tcPr>
          <w:p w14:paraId="45367E7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2"/>
                <w14:textFill>
                  <w14:solidFill>
                    <w14:schemeClr w14:val="tx1"/>
                  </w14:solidFill>
                </w14:textFill>
              </w:rPr>
            </w:pPr>
            <w:r>
              <w:rPr>
                <w:rFonts w:hint="default" w:ascii="Times New Roman" w:hAnsi="Times New Roman" w:eastAsia="宋体" w:cs="Times New Roman"/>
                <w:b/>
                <w:bCs/>
                <w:color w:val="000000" w:themeColor="text1"/>
                <w:sz w:val="21"/>
                <w:szCs w:val="22"/>
                <w14:textFill>
                  <w14:solidFill>
                    <w14:schemeClr w14:val="tx1"/>
                  </w14:solidFill>
                </w14:textFill>
              </w:rPr>
              <w:t>2025年12月30日</w:t>
            </w:r>
          </w:p>
        </w:tc>
      </w:tr>
      <w:tr w14:paraId="1955D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80" w:hRule="atLeast"/>
          <w:tblHeader/>
          <w:jc w:val="center"/>
        </w:trPr>
        <w:tc>
          <w:tcPr>
            <w:tcW w:w="1269" w:type="pct"/>
            <w:vMerge w:val="continue"/>
            <w:noWrap w:val="0"/>
            <w:vAlign w:val="center"/>
          </w:tcPr>
          <w:p w14:paraId="28470B2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2"/>
                <w14:textFill>
                  <w14:solidFill>
                    <w14:schemeClr w14:val="tx1"/>
                  </w14:solidFill>
                </w14:textFill>
              </w:rPr>
            </w:pPr>
          </w:p>
        </w:tc>
        <w:tc>
          <w:tcPr>
            <w:tcW w:w="1863" w:type="pct"/>
            <w:noWrap w:val="0"/>
            <w:vAlign w:val="center"/>
          </w:tcPr>
          <w:p w14:paraId="6E9D8BA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2"/>
                <w14:textFill>
                  <w14:solidFill>
                    <w14:schemeClr w14:val="tx1"/>
                  </w14:solidFill>
                </w14:textFill>
              </w:rPr>
            </w:pPr>
            <w:r>
              <w:rPr>
                <w:rFonts w:hint="default" w:ascii="Times New Roman" w:hAnsi="Times New Roman" w:eastAsia="宋体" w:cs="Times New Roman"/>
                <w:b/>
                <w:bCs/>
                <w:color w:val="000000" w:themeColor="text1"/>
                <w:sz w:val="21"/>
                <w:szCs w:val="22"/>
                <w14:textFill>
                  <w14:solidFill>
                    <w14:schemeClr w14:val="tx1"/>
                  </w14:solidFill>
                </w14:textFill>
              </w:rPr>
              <w:t>昼间</w:t>
            </w:r>
          </w:p>
        </w:tc>
        <w:tc>
          <w:tcPr>
            <w:tcW w:w="1866" w:type="pct"/>
            <w:noWrap w:val="0"/>
            <w:vAlign w:val="center"/>
          </w:tcPr>
          <w:p w14:paraId="704F0AC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2"/>
                <w14:textFill>
                  <w14:solidFill>
                    <w14:schemeClr w14:val="tx1"/>
                  </w14:solidFill>
                </w14:textFill>
              </w:rPr>
            </w:pPr>
            <w:r>
              <w:rPr>
                <w:rFonts w:hint="default" w:ascii="Times New Roman" w:hAnsi="Times New Roman" w:eastAsia="宋体" w:cs="Times New Roman"/>
                <w:b/>
                <w:bCs/>
                <w:color w:val="000000" w:themeColor="text1"/>
                <w:sz w:val="21"/>
                <w:szCs w:val="22"/>
                <w14:textFill>
                  <w14:solidFill>
                    <w14:schemeClr w14:val="tx1"/>
                  </w14:solidFill>
                </w14:textFill>
              </w:rPr>
              <w:t>夜间</w:t>
            </w:r>
          </w:p>
        </w:tc>
      </w:tr>
      <w:tr w14:paraId="5FE36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269" w:type="pct"/>
            <w:noWrap w:val="0"/>
            <w:vAlign w:val="top"/>
          </w:tcPr>
          <w:p w14:paraId="59DDA9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项目区东侧</w:t>
            </w:r>
          </w:p>
        </w:tc>
        <w:tc>
          <w:tcPr>
            <w:tcW w:w="1863" w:type="pct"/>
            <w:noWrap w:val="0"/>
            <w:vAlign w:val="center"/>
          </w:tcPr>
          <w:p w14:paraId="7B767F2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eastAsia="宋体" w:cs="Times New Roman"/>
                <w:color w:val="000000" w:themeColor="text1"/>
                <w:sz w:val="21"/>
                <w:szCs w:val="22"/>
                <w:lang w:val="en-US" w:eastAsia="zh-CN"/>
                <w14:textFill>
                  <w14:solidFill>
                    <w14:schemeClr w14:val="tx1"/>
                  </w14:solidFill>
                </w14:textFill>
              </w:rPr>
              <w:t>45</w:t>
            </w:r>
          </w:p>
        </w:tc>
        <w:tc>
          <w:tcPr>
            <w:tcW w:w="1866" w:type="pct"/>
            <w:noWrap w:val="0"/>
            <w:vAlign w:val="center"/>
          </w:tcPr>
          <w:p w14:paraId="5CA56B2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eastAsia="宋体" w:cs="Times New Roman"/>
                <w:color w:val="000000" w:themeColor="text1"/>
                <w:sz w:val="21"/>
                <w:szCs w:val="22"/>
                <w:lang w:val="en-US" w:eastAsia="zh-CN"/>
                <w14:textFill>
                  <w14:solidFill>
                    <w14:schemeClr w14:val="tx1"/>
                  </w14:solidFill>
                </w14:textFill>
              </w:rPr>
              <w:t>42</w:t>
            </w:r>
          </w:p>
        </w:tc>
      </w:tr>
      <w:tr w14:paraId="1019F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269" w:type="pct"/>
            <w:noWrap w:val="0"/>
            <w:vAlign w:val="top"/>
          </w:tcPr>
          <w:p w14:paraId="6BE7AF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项目区南侧</w:t>
            </w:r>
          </w:p>
        </w:tc>
        <w:tc>
          <w:tcPr>
            <w:tcW w:w="1863" w:type="pct"/>
            <w:noWrap w:val="0"/>
            <w:vAlign w:val="center"/>
          </w:tcPr>
          <w:p w14:paraId="2D7F4B2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eastAsia="宋体" w:cs="Times New Roman"/>
                <w:color w:val="000000" w:themeColor="text1"/>
                <w:sz w:val="21"/>
                <w:szCs w:val="22"/>
                <w:lang w:val="en-US" w:eastAsia="zh-CN"/>
                <w14:textFill>
                  <w14:solidFill>
                    <w14:schemeClr w14:val="tx1"/>
                  </w14:solidFill>
                </w14:textFill>
              </w:rPr>
              <w:t>45</w:t>
            </w:r>
          </w:p>
        </w:tc>
        <w:tc>
          <w:tcPr>
            <w:tcW w:w="1866" w:type="pct"/>
            <w:noWrap w:val="0"/>
            <w:vAlign w:val="center"/>
          </w:tcPr>
          <w:p w14:paraId="72248A1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eastAsia="宋体" w:cs="Times New Roman"/>
                <w:color w:val="000000" w:themeColor="text1"/>
                <w:sz w:val="21"/>
                <w:szCs w:val="22"/>
                <w:lang w:val="en-US" w:eastAsia="zh-CN"/>
                <w14:textFill>
                  <w14:solidFill>
                    <w14:schemeClr w14:val="tx1"/>
                  </w14:solidFill>
                </w14:textFill>
              </w:rPr>
              <w:t>42</w:t>
            </w:r>
          </w:p>
        </w:tc>
      </w:tr>
      <w:tr w14:paraId="7321D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269" w:type="pct"/>
            <w:noWrap w:val="0"/>
            <w:vAlign w:val="top"/>
          </w:tcPr>
          <w:p w14:paraId="2367E0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项目区西侧</w:t>
            </w:r>
          </w:p>
        </w:tc>
        <w:tc>
          <w:tcPr>
            <w:tcW w:w="1863" w:type="pct"/>
            <w:noWrap w:val="0"/>
            <w:vAlign w:val="center"/>
          </w:tcPr>
          <w:p w14:paraId="56A2367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eastAsia="宋体" w:cs="Times New Roman"/>
                <w:color w:val="000000" w:themeColor="text1"/>
                <w:sz w:val="21"/>
                <w:szCs w:val="22"/>
                <w:lang w:val="en-US" w:eastAsia="zh-CN"/>
                <w14:textFill>
                  <w14:solidFill>
                    <w14:schemeClr w14:val="tx1"/>
                  </w14:solidFill>
                </w14:textFill>
              </w:rPr>
              <w:t>45</w:t>
            </w:r>
          </w:p>
        </w:tc>
        <w:tc>
          <w:tcPr>
            <w:tcW w:w="1866" w:type="pct"/>
            <w:noWrap w:val="0"/>
            <w:vAlign w:val="center"/>
          </w:tcPr>
          <w:p w14:paraId="0A6C0C0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eastAsia="宋体" w:cs="Times New Roman"/>
                <w:color w:val="000000" w:themeColor="text1"/>
                <w:sz w:val="21"/>
                <w:szCs w:val="22"/>
                <w:lang w:val="en-US" w:eastAsia="zh-CN"/>
                <w14:textFill>
                  <w14:solidFill>
                    <w14:schemeClr w14:val="tx1"/>
                  </w14:solidFill>
                </w14:textFill>
              </w:rPr>
              <w:t>43</w:t>
            </w:r>
          </w:p>
        </w:tc>
      </w:tr>
      <w:tr w14:paraId="53E5C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1269" w:type="pct"/>
            <w:noWrap w:val="0"/>
            <w:vAlign w:val="top"/>
          </w:tcPr>
          <w:p w14:paraId="639C51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项目区北侧</w:t>
            </w:r>
          </w:p>
        </w:tc>
        <w:tc>
          <w:tcPr>
            <w:tcW w:w="1863" w:type="pct"/>
            <w:noWrap w:val="0"/>
            <w:vAlign w:val="center"/>
          </w:tcPr>
          <w:p w14:paraId="309652F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eastAsia="宋体" w:cs="Times New Roman"/>
                <w:color w:val="000000" w:themeColor="text1"/>
                <w:sz w:val="21"/>
                <w:szCs w:val="22"/>
                <w:lang w:val="en-US" w:eastAsia="zh-CN"/>
                <w14:textFill>
                  <w14:solidFill>
                    <w14:schemeClr w14:val="tx1"/>
                  </w14:solidFill>
                </w14:textFill>
              </w:rPr>
              <w:t>45</w:t>
            </w:r>
          </w:p>
        </w:tc>
        <w:tc>
          <w:tcPr>
            <w:tcW w:w="1866" w:type="pct"/>
            <w:noWrap w:val="0"/>
            <w:vAlign w:val="center"/>
          </w:tcPr>
          <w:p w14:paraId="7139500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eastAsia="宋体" w:cs="Times New Roman"/>
                <w:color w:val="000000" w:themeColor="text1"/>
                <w:sz w:val="21"/>
                <w:szCs w:val="22"/>
                <w:lang w:val="en-US" w:eastAsia="zh-CN"/>
                <w14:textFill>
                  <w14:solidFill>
                    <w14:schemeClr w14:val="tx1"/>
                  </w14:solidFill>
                </w14:textFill>
              </w:rPr>
              <w:t>43</w:t>
            </w:r>
          </w:p>
        </w:tc>
      </w:tr>
    </w:tbl>
    <w:p w14:paraId="28BCD501">
      <w:pPr>
        <w:overflowPunct w:val="0"/>
        <w:topLinePunct/>
        <w:ind w:firstLine="480"/>
        <w:rPr>
          <w:color w:val="000000" w:themeColor="text1"/>
          <w:highlight w:val="none"/>
          <w14:textFill>
            <w14:solidFill>
              <w14:schemeClr w14:val="tx1"/>
            </w14:solidFill>
          </w14:textFill>
        </w:rPr>
      </w:pPr>
      <w:r>
        <w:rPr>
          <w:rFonts w:eastAsia="宋体"/>
          <w:color w:val="000000" w:themeColor="text1"/>
          <w:sz w:val="24"/>
          <w:szCs w:val="22"/>
          <w14:textFill>
            <w14:solidFill>
              <w14:schemeClr w14:val="tx1"/>
            </w14:solidFill>
          </w14:textFill>
        </w:rPr>
        <w:t>根据评价结果，</w:t>
      </w:r>
      <w:r>
        <w:rPr>
          <w:rFonts w:hint="eastAsia" w:eastAsia="宋体"/>
          <w:bCs/>
          <w:color w:val="000000" w:themeColor="text1"/>
          <w:sz w:val="24"/>
          <w:szCs w:val="22"/>
          <w14:textFill>
            <w14:solidFill>
              <w14:schemeClr w14:val="tx1"/>
            </w14:solidFill>
          </w14:textFill>
        </w:rPr>
        <w:t>项目区厂界四周及项目区中心的</w:t>
      </w:r>
      <w:r>
        <w:rPr>
          <w:rFonts w:eastAsia="宋体"/>
          <w:bCs/>
          <w:color w:val="000000" w:themeColor="text1"/>
          <w:sz w:val="24"/>
          <w:szCs w:val="22"/>
          <w14:textFill>
            <w14:solidFill>
              <w14:schemeClr w14:val="tx1"/>
            </w14:solidFill>
          </w14:textFill>
        </w:rPr>
        <w:t>昼间、夜间声环境质量</w:t>
      </w:r>
      <w:r>
        <w:rPr>
          <w:rFonts w:eastAsia="宋体"/>
          <w:color w:val="000000" w:themeColor="text1"/>
          <w:sz w:val="24"/>
          <w:szCs w:val="22"/>
          <w14:textFill>
            <w14:solidFill>
              <w14:schemeClr w14:val="tx1"/>
            </w14:solidFill>
          </w14:textFill>
        </w:rPr>
        <w:t>均能达到《</w:t>
      </w:r>
      <w:r>
        <w:rPr>
          <w:rFonts w:eastAsia="宋体"/>
          <w:color w:val="000000" w:themeColor="text1"/>
          <w:sz w:val="24"/>
          <w:szCs w:val="24"/>
          <w14:textFill>
            <w14:solidFill>
              <w14:schemeClr w14:val="tx1"/>
            </w14:solidFill>
          </w14:textFill>
        </w:rPr>
        <w:t>声环境质量标准》（GB3096-2008）</w:t>
      </w:r>
      <w:r>
        <w:rPr>
          <w:rFonts w:hint="eastAsia" w:eastAsia="宋体"/>
          <w:color w:val="000000" w:themeColor="text1"/>
          <w:sz w:val="24"/>
          <w:szCs w:val="24"/>
          <w14:textFill>
            <w14:solidFill>
              <w14:schemeClr w14:val="tx1"/>
            </w14:solidFill>
          </w14:textFill>
        </w:rPr>
        <w:t>2类</w:t>
      </w:r>
      <w:r>
        <w:rPr>
          <w:rFonts w:eastAsia="宋体"/>
          <w:color w:val="000000" w:themeColor="text1"/>
          <w:sz w:val="24"/>
          <w:szCs w:val="24"/>
          <w14:textFill>
            <w14:solidFill>
              <w14:schemeClr w14:val="tx1"/>
            </w14:solidFill>
          </w14:textFill>
        </w:rPr>
        <w:t>区标准</w:t>
      </w:r>
      <w:r>
        <w:rPr>
          <w:rFonts w:eastAsia="宋体"/>
          <w:color w:val="000000" w:themeColor="text1"/>
          <w:sz w:val="24"/>
          <w:szCs w:val="22"/>
          <w14:textFill>
            <w14:solidFill>
              <w14:schemeClr w14:val="tx1"/>
            </w14:solidFill>
          </w14:textFill>
        </w:rPr>
        <w:t>要求</w:t>
      </w:r>
      <w:r>
        <w:rPr>
          <w:rFonts w:hint="eastAsia" w:eastAsia="宋体"/>
          <w:color w:val="000000" w:themeColor="text1"/>
          <w:sz w:val="24"/>
          <w:szCs w:val="22"/>
          <w14:textFill>
            <w14:solidFill>
              <w14:schemeClr w14:val="tx1"/>
            </w14:solidFill>
          </w14:textFill>
        </w:rPr>
        <w:t>（昼间：60dB（A），夜间：50dB（A））</w:t>
      </w:r>
      <w:r>
        <w:rPr>
          <w:rFonts w:eastAsia="宋体"/>
          <w:color w:val="000000" w:themeColor="text1"/>
          <w:sz w:val="24"/>
          <w:szCs w:val="22"/>
          <w14:textFill>
            <w14:solidFill>
              <w14:schemeClr w14:val="tx1"/>
            </w14:solidFill>
          </w14:textFill>
        </w:rPr>
        <w:t>。</w:t>
      </w:r>
    </w:p>
    <w:p w14:paraId="457A5A3A">
      <w:pPr>
        <w:pStyle w:val="4"/>
        <w:rPr>
          <w:color w:val="000000" w:themeColor="text1"/>
          <w:highlight w:val="none"/>
          <w14:textFill>
            <w14:solidFill>
              <w14:schemeClr w14:val="tx1"/>
            </w14:solidFill>
          </w14:textFill>
        </w:rPr>
      </w:pPr>
      <w:bookmarkStart w:id="698" w:name="_Toc23597"/>
      <w:bookmarkStart w:id="699" w:name="_Toc22122"/>
      <w:bookmarkStart w:id="700" w:name="_Toc173"/>
      <w:bookmarkStart w:id="701" w:name="_Toc25512"/>
      <w:bookmarkStart w:id="702" w:name="_Toc19078"/>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.5土壤环境质量现状评价</w:t>
      </w:r>
      <w:bookmarkEnd w:id="698"/>
      <w:bookmarkEnd w:id="699"/>
      <w:bookmarkEnd w:id="700"/>
      <w:bookmarkEnd w:id="701"/>
      <w:bookmarkEnd w:id="702"/>
    </w:p>
    <w:p w14:paraId="62175BC7">
      <w:pPr>
        <w:keepNext w:val="0"/>
        <w:keepLines w:val="0"/>
        <w:pageBreakBefore w:val="0"/>
        <w:widowControl w:val="0"/>
        <w:kinsoku/>
        <w:wordWrap/>
        <w:autoSpaceDE/>
        <w:autoSpaceDN/>
        <w:bidi w:val="0"/>
        <w:adjustRightInd/>
        <w:snapToGrid/>
        <w:spacing w:line="440" w:lineRule="exact"/>
        <w:ind w:firstLine="48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14:textFill>
            <w14:solidFill>
              <w14:schemeClr w14:val="tx1"/>
            </w14:solidFill>
          </w14:textFill>
        </w:rPr>
        <w:t>本次土壤现状调查采用新疆齐新环境服务有限公司对评价区域进行土壤质量监测的数据。</w:t>
      </w:r>
    </w:p>
    <w:p w14:paraId="0FE8E0A1">
      <w:pPr>
        <w:keepNext w:val="0"/>
        <w:keepLines w:val="0"/>
        <w:pageBreakBefore w:val="0"/>
        <w:widowControl w:val="0"/>
        <w:kinsoku/>
        <w:wordWrap/>
        <w:autoSpaceDE/>
        <w:autoSpaceDN/>
        <w:bidi w:val="0"/>
        <w:adjustRightInd/>
        <w:snapToGrid/>
        <w:spacing w:line="440" w:lineRule="exact"/>
        <w:ind w:firstLine="48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（1）监测布点</w:t>
      </w:r>
    </w:p>
    <w:p w14:paraId="7654C195">
      <w:pPr>
        <w:keepNext w:val="0"/>
        <w:keepLines w:val="0"/>
        <w:pageBreakBefore w:val="0"/>
        <w:widowControl w:val="0"/>
        <w:kinsoku/>
        <w:wordWrap/>
        <w:overflowPunct w:val="0"/>
        <w:topLinePunct/>
        <w:autoSpaceDE/>
        <w:autoSpaceDN/>
        <w:bidi w:val="0"/>
        <w:adjustRightInd/>
        <w:snapToGrid/>
        <w:spacing w:line="440" w:lineRule="exact"/>
        <w:ind w:firstLine="480"/>
        <w:textAlignment w:val="auto"/>
        <w:rPr>
          <w:color w:val="000000" w:themeColor="text1"/>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在选矿厂占地范围内布设3个柱状样、1个表层样，在选矿厂范围外引用2个土壤表层样监测数据（来源：哈密市西成矿业有限责任公司M1033铁矿60万吨/年铁矿石开采技改项目、哈密市西成矿业有限责任公司M1033铁矿选矿厂改建工程环境检测报告）；在尾矿库占地范围内布设3个柱状样、1个表层样，在尾矿库范围外布设2个表层样。</w:t>
      </w:r>
      <w:r>
        <w:rPr>
          <w:color w:val="000000" w:themeColor="text1"/>
          <w:sz w:val="24"/>
          <w:szCs w:val="24"/>
          <w:highlight w:val="none"/>
          <w14:textFill>
            <w14:solidFill>
              <w14:schemeClr w14:val="tx1"/>
            </w14:solidFill>
          </w14:textFill>
        </w:rPr>
        <w:t>点</w:t>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\l "_bookmark33"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位具体位置布设见表4.2-7及图</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\l "_bookmark33" </w:instrText>
      </w:r>
      <w:r>
        <w:rPr>
          <w:color w:val="000000" w:themeColor="text1"/>
          <w:sz w:val="24"/>
          <w:szCs w:val="24"/>
          <w:highlight w:val="none"/>
          <w14:textFill>
            <w14:solidFill>
              <w14:schemeClr w14:val="tx1"/>
            </w14:solidFill>
          </w14:textFill>
        </w:rPr>
        <w:fldChar w:fldCharType="separate"/>
      </w:r>
      <w:r>
        <w:rPr>
          <w:rFonts w:eastAsia="Times New Roman"/>
          <w:color w:val="000000" w:themeColor="text1"/>
          <w:sz w:val="24"/>
          <w:szCs w:val="24"/>
          <w:highlight w:val="none"/>
          <w14:textFill>
            <w14:solidFill>
              <w14:schemeClr w14:val="tx1"/>
            </w14:solidFill>
          </w14:textFill>
        </w:rPr>
        <w:t>4.</w:t>
      </w:r>
      <w:r>
        <w:rPr>
          <w:color w:val="000000" w:themeColor="text1"/>
          <w:sz w:val="24"/>
          <w:szCs w:val="24"/>
          <w:highlight w:val="none"/>
          <w14:textFill>
            <w14:solidFill>
              <w14:schemeClr w14:val="tx1"/>
            </w14:solidFill>
          </w14:textFill>
        </w:rPr>
        <w:t>2</w:t>
      </w:r>
      <w:r>
        <w:rPr>
          <w:rFonts w:eastAsia="Times New Roman"/>
          <w:color w:val="000000" w:themeColor="text1"/>
          <w:sz w:val="24"/>
          <w:szCs w:val="24"/>
          <w:highlight w:val="none"/>
          <w14:textFill>
            <w14:solidFill>
              <w14:schemeClr w14:val="tx1"/>
            </w14:solidFill>
          </w14:textFill>
        </w:rPr>
        <w:fldChar w:fldCharType="end"/>
      </w:r>
      <w:r>
        <w:rPr>
          <w:rFonts w:eastAsia="Times New Roman"/>
          <w:color w:val="000000" w:themeColor="text1"/>
          <w:sz w:val="24"/>
          <w:szCs w:val="24"/>
          <w:highlight w:val="none"/>
          <w14:textFill>
            <w14:solidFill>
              <w14:schemeClr w14:val="tx1"/>
            </w14:solidFill>
          </w14:textFill>
        </w:rPr>
        <w:t>-1</w:t>
      </w:r>
      <w:r>
        <w:rPr>
          <w:rFonts w:hint="eastAsia"/>
          <w:color w:val="000000" w:themeColor="text1"/>
          <w:highlight w:val="none"/>
          <w14:textFill>
            <w14:solidFill>
              <w14:schemeClr w14:val="tx1"/>
            </w14:solidFill>
          </w14:textFill>
        </w:rPr>
        <w:t>。</w:t>
      </w:r>
    </w:p>
    <w:p w14:paraId="12E5D9AB">
      <w:pPr>
        <w:keepNext w:val="0"/>
        <w:keepLines w:val="0"/>
        <w:pageBreakBefore w:val="0"/>
        <w:widowControl w:val="0"/>
        <w:kinsoku/>
        <w:wordWrap/>
        <w:autoSpaceDE/>
        <w:autoSpaceDN/>
        <w:bidi w:val="0"/>
        <w:adjustRightInd/>
        <w:snapToGrid/>
        <w:spacing w:line="440" w:lineRule="exact"/>
        <w:ind w:firstLine="0" w:firstLineChars="0"/>
        <w:jc w:val="center"/>
        <w:textAlignment w:val="auto"/>
        <w:rPr>
          <w:rFonts w:eastAsia="宋体"/>
          <w:b/>
          <w:bCs/>
          <w:color w:val="000000" w:themeColor="text1"/>
          <w:sz w:val="24"/>
          <w:szCs w:val="24"/>
          <w:highlight w:val="none"/>
          <w14:textFill>
            <w14:solidFill>
              <w14:schemeClr w14:val="tx1"/>
            </w14:solidFill>
          </w14:textFill>
        </w:rPr>
      </w:pPr>
      <w:r>
        <w:rPr>
          <w:rFonts w:eastAsia="宋体"/>
          <w:b/>
          <w:bCs/>
          <w:color w:val="000000" w:themeColor="text1"/>
          <w:sz w:val="24"/>
          <w:szCs w:val="24"/>
          <w:highlight w:val="none"/>
          <w14:textFill>
            <w14:solidFill>
              <w14:schemeClr w14:val="tx1"/>
            </w14:solidFill>
          </w14:textFill>
        </w:rPr>
        <w:t>表4.2-7    土壤监测点位一览表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35"/>
        <w:gridCol w:w="2887"/>
        <w:gridCol w:w="1896"/>
        <w:gridCol w:w="1150"/>
      </w:tblGrid>
      <w:tr w14:paraId="73AAA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81" w:type="pct"/>
            <w:noWrap w:val="0"/>
            <w:vAlign w:val="center"/>
          </w:tcPr>
          <w:p w14:paraId="75D98F5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编号</w:t>
            </w:r>
          </w:p>
        </w:tc>
        <w:tc>
          <w:tcPr>
            <w:tcW w:w="1136" w:type="pct"/>
            <w:noWrap w:val="0"/>
            <w:vAlign w:val="center"/>
          </w:tcPr>
          <w:p w14:paraId="4C4FE74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监测点位</w:t>
            </w:r>
          </w:p>
        </w:tc>
        <w:tc>
          <w:tcPr>
            <w:tcW w:w="1695" w:type="pct"/>
            <w:noWrap w:val="0"/>
            <w:vAlign w:val="top"/>
          </w:tcPr>
          <w:p w14:paraId="736C9EF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坐标</w:t>
            </w:r>
          </w:p>
        </w:tc>
        <w:tc>
          <w:tcPr>
            <w:tcW w:w="1113" w:type="pct"/>
            <w:noWrap w:val="0"/>
            <w:vAlign w:val="top"/>
          </w:tcPr>
          <w:p w14:paraId="02B4201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用地类型</w:t>
            </w:r>
          </w:p>
        </w:tc>
        <w:tc>
          <w:tcPr>
            <w:tcW w:w="674" w:type="pct"/>
            <w:noWrap w:val="0"/>
            <w:vAlign w:val="center"/>
          </w:tcPr>
          <w:p w14:paraId="6646140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备注</w:t>
            </w:r>
          </w:p>
        </w:tc>
      </w:tr>
      <w:tr w14:paraId="04951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14:paraId="5F70634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T11</w:t>
            </w:r>
          </w:p>
        </w:tc>
        <w:tc>
          <w:tcPr>
            <w:tcW w:w="1136" w:type="pct"/>
            <w:noWrap w:val="0"/>
            <w:vAlign w:val="center"/>
          </w:tcPr>
          <w:p w14:paraId="38F3E227">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选矿厂</w:t>
            </w:r>
            <w:r>
              <w:rPr>
                <w:rFonts w:hint="eastAsia" w:cs="Times New Roman"/>
                <w:color w:val="000000" w:themeColor="text1"/>
                <w:sz w:val="21"/>
                <w:szCs w:val="21"/>
                <w:highlight w:val="none"/>
                <w:lang w:val="en-US" w:eastAsia="zh-CN"/>
                <w14:textFill>
                  <w14:solidFill>
                    <w14:schemeClr w14:val="tx1"/>
                  </w14:solidFill>
                </w14:textFill>
              </w:rPr>
              <w:t>占地范围内</w:t>
            </w:r>
          </w:p>
        </w:tc>
        <w:tc>
          <w:tcPr>
            <w:tcW w:w="1695" w:type="pct"/>
            <w:noWrap w:val="0"/>
            <w:vAlign w:val="top"/>
          </w:tcPr>
          <w:p w14:paraId="48FAF1C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E**********</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N**********</w:t>
            </w:r>
          </w:p>
        </w:tc>
        <w:tc>
          <w:tcPr>
            <w:tcW w:w="1113" w:type="pct"/>
            <w:shd w:val="clear" w:color="auto" w:fill="auto"/>
            <w:noWrap w:val="0"/>
            <w:vAlign w:val="top"/>
          </w:tcPr>
          <w:p w14:paraId="77E00D7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建设用地</w:t>
            </w:r>
          </w:p>
        </w:tc>
        <w:tc>
          <w:tcPr>
            <w:tcW w:w="674" w:type="pct"/>
            <w:shd w:val="clear" w:color="auto" w:fill="auto"/>
            <w:noWrap w:val="0"/>
            <w:vAlign w:val="top"/>
          </w:tcPr>
          <w:p w14:paraId="4E4D6BB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柱状土</w:t>
            </w:r>
          </w:p>
        </w:tc>
      </w:tr>
      <w:tr w14:paraId="1CBCE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14:paraId="586A475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T12</w:t>
            </w:r>
          </w:p>
        </w:tc>
        <w:tc>
          <w:tcPr>
            <w:tcW w:w="1136" w:type="pct"/>
            <w:noWrap w:val="0"/>
            <w:vAlign w:val="center"/>
          </w:tcPr>
          <w:p w14:paraId="1E6A60F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选矿厂</w:t>
            </w:r>
            <w:r>
              <w:rPr>
                <w:rFonts w:hint="eastAsia" w:cs="Times New Roman"/>
                <w:color w:val="000000" w:themeColor="text1"/>
                <w:sz w:val="21"/>
                <w:szCs w:val="21"/>
                <w:highlight w:val="none"/>
                <w:lang w:val="en-US" w:eastAsia="zh-CN"/>
                <w14:textFill>
                  <w14:solidFill>
                    <w14:schemeClr w14:val="tx1"/>
                  </w14:solidFill>
                </w14:textFill>
              </w:rPr>
              <w:t>占地范围内</w:t>
            </w:r>
          </w:p>
        </w:tc>
        <w:tc>
          <w:tcPr>
            <w:tcW w:w="1695" w:type="pct"/>
            <w:noWrap w:val="0"/>
            <w:vAlign w:val="top"/>
          </w:tcPr>
          <w:p w14:paraId="440B7CFA">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E**********</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N**********</w:t>
            </w:r>
          </w:p>
        </w:tc>
        <w:tc>
          <w:tcPr>
            <w:tcW w:w="1113" w:type="pct"/>
            <w:shd w:val="clear" w:color="auto" w:fill="auto"/>
            <w:noWrap w:val="0"/>
            <w:vAlign w:val="top"/>
          </w:tcPr>
          <w:p w14:paraId="4B32100C">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建设用地</w:t>
            </w:r>
          </w:p>
        </w:tc>
        <w:tc>
          <w:tcPr>
            <w:tcW w:w="674" w:type="pct"/>
            <w:shd w:val="clear" w:color="auto" w:fill="auto"/>
            <w:noWrap w:val="0"/>
            <w:vAlign w:val="center"/>
          </w:tcPr>
          <w:p w14:paraId="3758FB1C">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柱状土</w:t>
            </w:r>
          </w:p>
        </w:tc>
      </w:tr>
      <w:tr w14:paraId="040CA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14:paraId="3ABFB1C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T13</w:t>
            </w:r>
          </w:p>
        </w:tc>
        <w:tc>
          <w:tcPr>
            <w:tcW w:w="1136" w:type="pct"/>
            <w:noWrap w:val="0"/>
            <w:vAlign w:val="center"/>
          </w:tcPr>
          <w:p w14:paraId="125090D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选矿厂</w:t>
            </w:r>
            <w:r>
              <w:rPr>
                <w:rFonts w:hint="eastAsia" w:cs="Times New Roman"/>
                <w:color w:val="000000" w:themeColor="text1"/>
                <w:sz w:val="21"/>
                <w:szCs w:val="21"/>
                <w:highlight w:val="none"/>
                <w:lang w:val="en-US" w:eastAsia="zh-CN"/>
                <w14:textFill>
                  <w14:solidFill>
                    <w14:schemeClr w14:val="tx1"/>
                  </w14:solidFill>
                </w14:textFill>
              </w:rPr>
              <w:t>占地范围内</w:t>
            </w:r>
          </w:p>
        </w:tc>
        <w:tc>
          <w:tcPr>
            <w:tcW w:w="1695" w:type="pct"/>
            <w:noWrap w:val="0"/>
            <w:vAlign w:val="top"/>
          </w:tcPr>
          <w:p w14:paraId="26FECAB4">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E**********</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N**********</w:t>
            </w:r>
          </w:p>
        </w:tc>
        <w:tc>
          <w:tcPr>
            <w:tcW w:w="1113" w:type="pct"/>
            <w:shd w:val="clear" w:color="auto" w:fill="auto"/>
            <w:noWrap w:val="0"/>
            <w:vAlign w:val="top"/>
          </w:tcPr>
          <w:p w14:paraId="34890717">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建设用地</w:t>
            </w:r>
          </w:p>
        </w:tc>
        <w:tc>
          <w:tcPr>
            <w:tcW w:w="674" w:type="pct"/>
            <w:shd w:val="clear" w:color="auto" w:fill="auto"/>
            <w:noWrap w:val="0"/>
            <w:vAlign w:val="center"/>
          </w:tcPr>
          <w:p w14:paraId="2EE02AD3">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柱状土</w:t>
            </w:r>
          </w:p>
        </w:tc>
      </w:tr>
      <w:tr w14:paraId="59593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14:paraId="27A35A01">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T14</w:t>
            </w:r>
          </w:p>
        </w:tc>
        <w:tc>
          <w:tcPr>
            <w:tcW w:w="1136" w:type="pct"/>
            <w:noWrap w:val="0"/>
            <w:vAlign w:val="center"/>
          </w:tcPr>
          <w:p w14:paraId="38BEA982">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选矿厂</w:t>
            </w:r>
            <w:r>
              <w:rPr>
                <w:rFonts w:hint="eastAsia" w:cs="Times New Roman"/>
                <w:color w:val="000000" w:themeColor="text1"/>
                <w:sz w:val="21"/>
                <w:szCs w:val="21"/>
                <w:highlight w:val="none"/>
                <w:lang w:val="en-US" w:eastAsia="zh-CN"/>
                <w14:textFill>
                  <w14:solidFill>
                    <w14:schemeClr w14:val="tx1"/>
                  </w14:solidFill>
                </w14:textFill>
              </w:rPr>
              <w:t>占地范围内</w:t>
            </w:r>
          </w:p>
        </w:tc>
        <w:tc>
          <w:tcPr>
            <w:tcW w:w="1695" w:type="pct"/>
            <w:noWrap w:val="0"/>
            <w:vAlign w:val="top"/>
          </w:tcPr>
          <w:p w14:paraId="7DADBDF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E**********</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N**********</w:t>
            </w:r>
          </w:p>
        </w:tc>
        <w:tc>
          <w:tcPr>
            <w:tcW w:w="1113" w:type="pct"/>
            <w:noWrap w:val="0"/>
            <w:vAlign w:val="top"/>
          </w:tcPr>
          <w:p w14:paraId="0BEE4DB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建设用地</w:t>
            </w:r>
          </w:p>
        </w:tc>
        <w:tc>
          <w:tcPr>
            <w:tcW w:w="674" w:type="pct"/>
            <w:noWrap w:val="0"/>
            <w:vAlign w:val="top"/>
          </w:tcPr>
          <w:p w14:paraId="5391091C">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表层</w:t>
            </w:r>
            <w:r>
              <w:rPr>
                <w:rFonts w:hint="default" w:ascii="Times New Roman" w:hAnsi="Times New Roman" w:eastAsia="宋体" w:cs="Times New Roman"/>
                <w:color w:val="000000" w:themeColor="text1"/>
                <w:sz w:val="21"/>
                <w:szCs w:val="21"/>
                <w:highlight w:val="none"/>
                <w14:textFill>
                  <w14:solidFill>
                    <w14:schemeClr w14:val="tx1"/>
                  </w14:solidFill>
                </w14:textFill>
              </w:rPr>
              <w:t>土</w:t>
            </w:r>
          </w:p>
        </w:tc>
      </w:tr>
      <w:tr w14:paraId="43C8C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14:paraId="353A371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T4</w:t>
            </w:r>
          </w:p>
        </w:tc>
        <w:tc>
          <w:tcPr>
            <w:tcW w:w="1136" w:type="pct"/>
            <w:noWrap w:val="0"/>
            <w:vAlign w:val="center"/>
          </w:tcPr>
          <w:p w14:paraId="45D3FC1F">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选矿厂</w:t>
            </w:r>
            <w:r>
              <w:rPr>
                <w:rFonts w:hint="eastAsia" w:cs="Times New Roman"/>
                <w:color w:val="000000" w:themeColor="text1"/>
                <w:sz w:val="21"/>
                <w:szCs w:val="21"/>
                <w:highlight w:val="none"/>
                <w:lang w:val="en-US" w:eastAsia="zh-CN"/>
                <w14:textFill>
                  <w14:solidFill>
                    <w14:schemeClr w14:val="tx1"/>
                  </w14:solidFill>
                </w14:textFill>
              </w:rPr>
              <w:t>占地范围外</w:t>
            </w:r>
          </w:p>
        </w:tc>
        <w:tc>
          <w:tcPr>
            <w:tcW w:w="1695" w:type="pct"/>
            <w:noWrap w:val="0"/>
            <w:vAlign w:val="top"/>
          </w:tcPr>
          <w:p w14:paraId="3EB30F7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E**********</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N**********</w:t>
            </w:r>
          </w:p>
        </w:tc>
        <w:tc>
          <w:tcPr>
            <w:tcW w:w="1113" w:type="pct"/>
            <w:noWrap w:val="0"/>
            <w:vAlign w:val="top"/>
          </w:tcPr>
          <w:p w14:paraId="329BC887">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建设用地</w:t>
            </w:r>
          </w:p>
        </w:tc>
        <w:tc>
          <w:tcPr>
            <w:tcW w:w="674" w:type="pct"/>
            <w:noWrap w:val="0"/>
            <w:vAlign w:val="top"/>
          </w:tcPr>
          <w:p w14:paraId="099E2A3F">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表层</w:t>
            </w:r>
            <w:r>
              <w:rPr>
                <w:rFonts w:hint="default" w:ascii="Times New Roman" w:hAnsi="Times New Roman" w:eastAsia="宋体" w:cs="Times New Roman"/>
                <w:color w:val="000000" w:themeColor="text1"/>
                <w:sz w:val="21"/>
                <w:szCs w:val="21"/>
                <w:highlight w:val="none"/>
                <w14:textFill>
                  <w14:solidFill>
                    <w14:schemeClr w14:val="tx1"/>
                  </w14:solidFill>
                </w14:textFill>
              </w:rPr>
              <w:t>土</w:t>
            </w:r>
          </w:p>
        </w:tc>
      </w:tr>
      <w:tr w14:paraId="63C12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14:paraId="1DFE7C0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T8</w:t>
            </w:r>
          </w:p>
        </w:tc>
        <w:tc>
          <w:tcPr>
            <w:tcW w:w="1136" w:type="pct"/>
            <w:noWrap w:val="0"/>
            <w:vAlign w:val="center"/>
          </w:tcPr>
          <w:p w14:paraId="64B6E43B">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选矿厂</w:t>
            </w:r>
            <w:r>
              <w:rPr>
                <w:rFonts w:hint="eastAsia" w:cs="Times New Roman"/>
                <w:color w:val="000000" w:themeColor="text1"/>
                <w:sz w:val="21"/>
                <w:szCs w:val="21"/>
                <w:highlight w:val="none"/>
                <w:lang w:val="en-US" w:eastAsia="zh-CN"/>
                <w14:textFill>
                  <w14:solidFill>
                    <w14:schemeClr w14:val="tx1"/>
                  </w14:solidFill>
                </w14:textFill>
              </w:rPr>
              <w:t>占地范围外</w:t>
            </w:r>
          </w:p>
        </w:tc>
        <w:tc>
          <w:tcPr>
            <w:tcW w:w="1695" w:type="pct"/>
            <w:noWrap w:val="0"/>
            <w:vAlign w:val="top"/>
          </w:tcPr>
          <w:p w14:paraId="64FC79E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E**********</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N**********</w:t>
            </w:r>
          </w:p>
        </w:tc>
        <w:tc>
          <w:tcPr>
            <w:tcW w:w="1113" w:type="pct"/>
            <w:noWrap w:val="0"/>
            <w:vAlign w:val="top"/>
          </w:tcPr>
          <w:p w14:paraId="6F0AF943">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建设用地</w:t>
            </w:r>
          </w:p>
        </w:tc>
        <w:tc>
          <w:tcPr>
            <w:tcW w:w="674" w:type="pct"/>
            <w:noWrap w:val="0"/>
            <w:vAlign w:val="top"/>
          </w:tcPr>
          <w:p w14:paraId="10E545F8">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表层</w:t>
            </w:r>
            <w:r>
              <w:rPr>
                <w:rFonts w:hint="default" w:ascii="Times New Roman" w:hAnsi="Times New Roman" w:eastAsia="宋体" w:cs="Times New Roman"/>
                <w:color w:val="000000" w:themeColor="text1"/>
                <w:sz w:val="21"/>
                <w:szCs w:val="21"/>
                <w:highlight w:val="none"/>
                <w14:textFill>
                  <w14:solidFill>
                    <w14:schemeClr w14:val="tx1"/>
                  </w14:solidFill>
                </w14:textFill>
              </w:rPr>
              <w:t>土</w:t>
            </w:r>
          </w:p>
        </w:tc>
      </w:tr>
      <w:tr w14:paraId="6F987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81" w:type="pct"/>
            <w:noWrap w:val="0"/>
            <w:vAlign w:val="center"/>
          </w:tcPr>
          <w:p w14:paraId="31E235C7">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T15</w:t>
            </w:r>
          </w:p>
        </w:tc>
        <w:tc>
          <w:tcPr>
            <w:tcW w:w="1136" w:type="pct"/>
            <w:noWrap w:val="0"/>
            <w:vAlign w:val="center"/>
          </w:tcPr>
          <w:p w14:paraId="1332AC86">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尾矿库占地范围外</w:t>
            </w:r>
          </w:p>
        </w:tc>
        <w:tc>
          <w:tcPr>
            <w:tcW w:w="1695" w:type="pct"/>
            <w:noWrap w:val="0"/>
            <w:vAlign w:val="top"/>
          </w:tcPr>
          <w:p w14:paraId="26C0E297">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E**********</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N**********</w:t>
            </w:r>
          </w:p>
        </w:tc>
        <w:tc>
          <w:tcPr>
            <w:tcW w:w="1113" w:type="pct"/>
            <w:noWrap w:val="0"/>
            <w:vAlign w:val="top"/>
          </w:tcPr>
          <w:p w14:paraId="7E6DB599">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戈壁、裸岩石砾地</w:t>
            </w:r>
          </w:p>
        </w:tc>
        <w:tc>
          <w:tcPr>
            <w:tcW w:w="674" w:type="pct"/>
            <w:noWrap w:val="0"/>
            <w:vAlign w:val="center"/>
          </w:tcPr>
          <w:p w14:paraId="6FFD5320">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表层</w:t>
            </w:r>
            <w:r>
              <w:rPr>
                <w:rFonts w:hint="default" w:ascii="Times New Roman" w:hAnsi="Times New Roman" w:eastAsia="宋体" w:cs="Times New Roman"/>
                <w:color w:val="000000" w:themeColor="text1"/>
                <w:sz w:val="21"/>
                <w:szCs w:val="21"/>
                <w:highlight w:val="none"/>
                <w14:textFill>
                  <w14:solidFill>
                    <w14:schemeClr w14:val="tx1"/>
                  </w14:solidFill>
                </w14:textFill>
              </w:rPr>
              <w:t>土</w:t>
            </w:r>
          </w:p>
        </w:tc>
      </w:tr>
      <w:tr w14:paraId="69445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14:paraId="48B98B92">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T16</w:t>
            </w:r>
          </w:p>
        </w:tc>
        <w:tc>
          <w:tcPr>
            <w:tcW w:w="1136" w:type="pct"/>
            <w:noWrap w:val="0"/>
            <w:vAlign w:val="center"/>
          </w:tcPr>
          <w:p w14:paraId="60C8D6B1">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尾矿库占地范围外</w:t>
            </w:r>
          </w:p>
        </w:tc>
        <w:tc>
          <w:tcPr>
            <w:tcW w:w="1695" w:type="pct"/>
            <w:noWrap w:val="0"/>
            <w:vAlign w:val="top"/>
          </w:tcPr>
          <w:p w14:paraId="64B5F6E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E**********</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N**********</w:t>
            </w:r>
          </w:p>
        </w:tc>
        <w:tc>
          <w:tcPr>
            <w:tcW w:w="1113" w:type="pct"/>
            <w:noWrap w:val="0"/>
            <w:vAlign w:val="top"/>
          </w:tcPr>
          <w:p w14:paraId="1312B497">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戈壁、裸岩石砾地</w:t>
            </w:r>
          </w:p>
        </w:tc>
        <w:tc>
          <w:tcPr>
            <w:tcW w:w="674" w:type="pct"/>
            <w:noWrap w:val="0"/>
            <w:vAlign w:val="top"/>
          </w:tcPr>
          <w:p w14:paraId="45687B5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表层</w:t>
            </w:r>
            <w:r>
              <w:rPr>
                <w:rFonts w:hint="default" w:ascii="Times New Roman" w:hAnsi="Times New Roman" w:eastAsia="宋体" w:cs="Times New Roman"/>
                <w:color w:val="000000" w:themeColor="text1"/>
                <w:sz w:val="21"/>
                <w:szCs w:val="21"/>
                <w:highlight w:val="none"/>
                <w14:textFill>
                  <w14:solidFill>
                    <w14:schemeClr w14:val="tx1"/>
                  </w14:solidFill>
                </w14:textFill>
              </w:rPr>
              <w:t>土</w:t>
            </w:r>
          </w:p>
        </w:tc>
      </w:tr>
      <w:tr w14:paraId="75CE1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14:paraId="531E3AA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T17</w:t>
            </w:r>
          </w:p>
        </w:tc>
        <w:tc>
          <w:tcPr>
            <w:tcW w:w="1136" w:type="pct"/>
            <w:noWrap w:val="0"/>
            <w:vAlign w:val="center"/>
          </w:tcPr>
          <w:p w14:paraId="2FFB9D4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尾矿库占地范围内</w:t>
            </w:r>
          </w:p>
        </w:tc>
        <w:tc>
          <w:tcPr>
            <w:tcW w:w="1695" w:type="pct"/>
            <w:noWrap w:val="0"/>
            <w:vAlign w:val="top"/>
          </w:tcPr>
          <w:p w14:paraId="52DC38F6">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E**********</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N**********</w:t>
            </w:r>
          </w:p>
        </w:tc>
        <w:tc>
          <w:tcPr>
            <w:tcW w:w="1113" w:type="pct"/>
            <w:noWrap w:val="0"/>
            <w:vAlign w:val="top"/>
          </w:tcPr>
          <w:p w14:paraId="1BD7B1F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建设用地</w:t>
            </w:r>
          </w:p>
        </w:tc>
        <w:tc>
          <w:tcPr>
            <w:tcW w:w="674" w:type="pct"/>
            <w:noWrap w:val="0"/>
            <w:vAlign w:val="top"/>
          </w:tcPr>
          <w:p w14:paraId="245C1C9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柱状土</w:t>
            </w:r>
          </w:p>
        </w:tc>
      </w:tr>
      <w:tr w14:paraId="2761C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14:paraId="1C175DD0">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T18</w:t>
            </w:r>
          </w:p>
        </w:tc>
        <w:tc>
          <w:tcPr>
            <w:tcW w:w="1136" w:type="pct"/>
            <w:noWrap w:val="0"/>
            <w:vAlign w:val="center"/>
          </w:tcPr>
          <w:p w14:paraId="7A3A75BE">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尾矿库占地范围内</w:t>
            </w:r>
          </w:p>
        </w:tc>
        <w:tc>
          <w:tcPr>
            <w:tcW w:w="1695" w:type="pct"/>
            <w:noWrap w:val="0"/>
            <w:vAlign w:val="top"/>
          </w:tcPr>
          <w:p w14:paraId="5A17F706">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E**********</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N**********</w:t>
            </w:r>
          </w:p>
        </w:tc>
        <w:tc>
          <w:tcPr>
            <w:tcW w:w="1113" w:type="pct"/>
            <w:noWrap w:val="0"/>
            <w:vAlign w:val="top"/>
          </w:tcPr>
          <w:p w14:paraId="21D7A9AB">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建设用地</w:t>
            </w:r>
          </w:p>
        </w:tc>
        <w:tc>
          <w:tcPr>
            <w:tcW w:w="674" w:type="pct"/>
            <w:noWrap w:val="0"/>
            <w:vAlign w:val="center"/>
          </w:tcPr>
          <w:p w14:paraId="302A0777">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柱状土</w:t>
            </w:r>
          </w:p>
        </w:tc>
      </w:tr>
      <w:tr w14:paraId="1FC42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14:paraId="3CAED725">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T19</w:t>
            </w:r>
          </w:p>
        </w:tc>
        <w:tc>
          <w:tcPr>
            <w:tcW w:w="1136" w:type="pct"/>
            <w:noWrap w:val="0"/>
            <w:vAlign w:val="center"/>
          </w:tcPr>
          <w:p w14:paraId="0B27664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尾矿库占地范围内</w:t>
            </w:r>
          </w:p>
        </w:tc>
        <w:tc>
          <w:tcPr>
            <w:tcW w:w="1695" w:type="pct"/>
            <w:noWrap w:val="0"/>
            <w:vAlign w:val="top"/>
          </w:tcPr>
          <w:p w14:paraId="47696805">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E**********</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N**********</w:t>
            </w:r>
          </w:p>
        </w:tc>
        <w:tc>
          <w:tcPr>
            <w:tcW w:w="1113" w:type="pct"/>
            <w:noWrap w:val="0"/>
            <w:vAlign w:val="top"/>
          </w:tcPr>
          <w:p w14:paraId="755827B3">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建设用地</w:t>
            </w:r>
          </w:p>
        </w:tc>
        <w:tc>
          <w:tcPr>
            <w:tcW w:w="674" w:type="pct"/>
            <w:noWrap w:val="0"/>
            <w:vAlign w:val="center"/>
          </w:tcPr>
          <w:p w14:paraId="55BECF4E">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柱状土</w:t>
            </w:r>
          </w:p>
        </w:tc>
      </w:tr>
      <w:tr w14:paraId="26DD0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noWrap w:val="0"/>
            <w:vAlign w:val="center"/>
          </w:tcPr>
          <w:p w14:paraId="463D117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T20</w:t>
            </w:r>
          </w:p>
        </w:tc>
        <w:tc>
          <w:tcPr>
            <w:tcW w:w="1136" w:type="pct"/>
            <w:noWrap w:val="0"/>
            <w:vAlign w:val="center"/>
          </w:tcPr>
          <w:p w14:paraId="147FCE27">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尾矿库占地范围内</w:t>
            </w:r>
          </w:p>
        </w:tc>
        <w:tc>
          <w:tcPr>
            <w:tcW w:w="1695" w:type="pct"/>
            <w:noWrap w:val="0"/>
            <w:vAlign w:val="top"/>
          </w:tcPr>
          <w:p w14:paraId="40990ACF">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E**********</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N**********</w:t>
            </w:r>
          </w:p>
        </w:tc>
        <w:tc>
          <w:tcPr>
            <w:tcW w:w="1113" w:type="pct"/>
            <w:noWrap w:val="0"/>
            <w:vAlign w:val="top"/>
          </w:tcPr>
          <w:p w14:paraId="3F8E3A57">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建设用地</w:t>
            </w:r>
          </w:p>
        </w:tc>
        <w:tc>
          <w:tcPr>
            <w:tcW w:w="674" w:type="pct"/>
            <w:noWrap w:val="0"/>
            <w:vAlign w:val="center"/>
          </w:tcPr>
          <w:p w14:paraId="65AA7CBE">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表层</w:t>
            </w:r>
            <w:r>
              <w:rPr>
                <w:rFonts w:hint="default" w:ascii="Times New Roman" w:hAnsi="Times New Roman" w:eastAsia="宋体" w:cs="Times New Roman"/>
                <w:color w:val="000000" w:themeColor="text1"/>
                <w:sz w:val="21"/>
                <w:szCs w:val="21"/>
                <w:highlight w:val="none"/>
                <w14:textFill>
                  <w14:solidFill>
                    <w14:schemeClr w14:val="tx1"/>
                  </w14:solidFill>
                </w14:textFill>
              </w:rPr>
              <w:t>土</w:t>
            </w:r>
          </w:p>
        </w:tc>
      </w:tr>
      <w:tr w14:paraId="12FC3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5BD946F7">
            <w:pPr>
              <w:keepNext w:val="0"/>
              <w:keepLines w:val="0"/>
              <w:suppressLineNumbers w:val="0"/>
              <w:spacing w:before="0" w:beforeAutospacing="0" w:after="0" w:afterAutospacing="0" w:line="360" w:lineRule="exact"/>
              <w:ind w:left="0" w:leftChars="0" w:right="0" w:firstLine="0" w:firstLineChars="0"/>
              <w:jc w:val="both"/>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备注：表层采样点取0~20cm土样</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柱状样分别取0~3m土样（0~0.5m、0.5~1.5m、1.5~3m）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bl>
    <w:p w14:paraId="149233C4">
      <w:pPr>
        <w:spacing w:line="48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（2）监测时间</w:t>
      </w:r>
    </w:p>
    <w:p w14:paraId="04C792A8">
      <w:pPr>
        <w:spacing w:line="480" w:lineRule="exact"/>
        <w:ind w:firstLine="480" w:firstLineChars="200"/>
        <w:rPr>
          <w:rFonts w:eastAsia="宋体"/>
          <w:color w:val="000000" w:themeColor="text1"/>
          <w:sz w:val="24"/>
          <w:szCs w:val="24"/>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采样时间：2026</w:t>
      </w:r>
      <w:r>
        <w:rPr>
          <w:rFonts w:eastAsia="宋体"/>
          <w:color w:val="000000" w:themeColor="text1"/>
          <w:sz w:val="24"/>
          <w:szCs w:val="24"/>
          <w14:textFill>
            <w14:solidFill>
              <w14:schemeClr w14:val="tx1"/>
            </w14:solidFill>
          </w14:textFill>
        </w:rPr>
        <w:t>年</w:t>
      </w:r>
      <w:r>
        <w:rPr>
          <w:rFonts w:hint="eastAsia" w:eastAsia="宋体"/>
          <w:color w:val="000000" w:themeColor="text1"/>
          <w:sz w:val="24"/>
          <w:szCs w:val="24"/>
          <w:lang w:val="en-US" w:eastAsia="zh-CN"/>
          <w14:textFill>
            <w14:solidFill>
              <w14:schemeClr w14:val="tx1"/>
            </w14:solidFill>
          </w14:textFill>
        </w:rPr>
        <w:t>3</w:t>
      </w:r>
      <w:r>
        <w:rPr>
          <w:rFonts w:eastAsia="宋体"/>
          <w:color w:val="000000" w:themeColor="text1"/>
          <w:sz w:val="24"/>
          <w:szCs w:val="24"/>
          <w14:textFill>
            <w14:solidFill>
              <w14:schemeClr w14:val="tx1"/>
            </w14:solidFill>
          </w14:textFill>
        </w:rPr>
        <w:t>月</w:t>
      </w:r>
      <w:r>
        <w:rPr>
          <w:rFonts w:hint="eastAsia" w:eastAsia="宋体"/>
          <w:color w:val="000000" w:themeColor="text1"/>
          <w:sz w:val="24"/>
          <w:szCs w:val="24"/>
          <w:lang w:val="en-US" w:eastAsia="zh-CN"/>
          <w14:textFill>
            <w14:solidFill>
              <w14:schemeClr w14:val="tx1"/>
            </w14:solidFill>
          </w14:textFill>
        </w:rPr>
        <w:t>2</w:t>
      </w:r>
      <w:r>
        <w:rPr>
          <w:rFonts w:eastAsia="宋体"/>
          <w:color w:val="000000" w:themeColor="text1"/>
          <w:sz w:val="24"/>
          <w:szCs w:val="24"/>
          <w14:textFill>
            <w14:solidFill>
              <w14:schemeClr w14:val="tx1"/>
            </w14:solidFill>
          </w14:textFill>
        </w:rPr>
        <w:t>日。</w:t>
      </w:r>
    </w:p>
    <w:p w14:paraId="641CB795">
      <w:pPr>
        <w:spacing w:line="48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（3）监测项目与分析方法</w:t>
      </w:r>
    </w:p>
    <w:p w14:paraId="0043266F">
      <w:pPr>
        <w:spacing w:line="48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kern w:val="0"/>
          <w:sz w:val="24"/>
          <w:szCs w:val="24"/>
          <w14:textFill>
            <w14:solidFill>
              <w14:schemeClr w14:val="tx1"/>
            </w14:solidFill>
          </w14:textFill>
        </w:rPr>
        <w:t>监测项目包括砷、镉、铬（六价）、铜、铅、汞、镍、四氯化碳、氯仿、氯甲烷、1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1-二氯乙烷、1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2-二氯乙烷、1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1-二氯乙烯、顺-1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2-二氯乙烯、反-1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2-二氯乙烯、二氯甲烷、1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2-二氯丙烷、1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2-四氯乙烷、1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2</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2-四氯乙烷、四氯乙烯、1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1-三氯乙烷、1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2-三氯乙烷、三氯乙烯、1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2</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3-三氯丙烷、氯乙烯、苯、氯苯、1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2-二氯苯、1</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4-二氯苯、乙苯、苯乙烯、甲苯、间二甲苯+对二甲苯、邻二甲苯、硝基苯、苯胺、2-氯酚、苯并（a）蒽、苯并（a）芘、苯并（b）荧蒽、苯并（k）荧蒽、䓛、二苯并（ah）蒽、茚并（123-cd）芘、萘，共45个基本项目，</w:t>
      </w:r>
      <w:r>
        <w:rPr>
          <w:rFonts w:hint="eastAsia" w:eastAsia="宋体"/>
          <w:color w:val="000000" w:themeColor="text1"/>
          <w:kern w:val="0"/>
          <w:sz w:val="24"/>
          <w:szCs w:val="24"/>
          <w14:textFill>
            <w14:solidFill>
              <w14:schemeClr w14:val="tx1"/>
            </w14:solidFill>
          </w14:textFill>
        </w:rPr>
        <w:t>以及pH</w:t>
      </w:r>
      <w:r>
        <w:rPr>
          <w:rFonts w:eastAsia="宋体"/>
          <w:color w:val="000000" w:themeColor="text1"/>
          <w:kern w:val="0"/>
          <w:sz w:val="24"/>
          <w:szCs w:val="24"/>
          <w14:textFill>
            <w14:solidFill>
              <w14:schemeClr w14:val="tx1"/>
            </w14:solidFill>
          </w14:textFill>
        </w:rPr>
        <w:t>值</w:t>
      </w:r>
      <w:r>
        <w:rPr>
          <w:rFonts w:hint="eastAsia" w:eastAsia="宋体"/>
          <w:color w:val="000000" w:themeColor="text1"/>
          <w:kern w:val="0"/>
          <w:sz w:val="24"/>
          <w:szCs w:val="24"/>
          <w14:textFill>
            <w14:solidFill>
              <w14:schemeClr w14:val="tx1"/>
            </w14:solidFill>
          </w14:textFill>
        </w:rPr>
        <w:t>、</w:t>
      </w:r>
      <w:r>
        <w:rPr>
          <w:rFonts w:eastAsia="宋体"/>
          <w:color w:val="000000" w:themeColor="text1"/>
          <w:kern w:val="0"/>
          <w:sz w:val="24"/>
          <w:szCs w:val="24"/>
          <w14:textFill>
            <w14:solidFill>
              <w14:schemeClr w14:val="tx1"/>
            </w14:solidFill>
          </w14:textFill>
        </w:rPr>
        <w:t>含盐量</w:t>
      </w:r>
      <w:r>
        <w:rPr>
          <w:rFonts w:hint="eastAsia" w:eastAsia="宋体"/>
          <w:color w:val="000000" w:themeColor="text1"/>
          <w:kern w:val="0"/>
          <w:sz w:val="24"/>
          <w:szCs w:val="24"/>
          <w14:textFill>
            <w14:solidFill>
              <w14:schemeClr w14:val="tx1"/>
            </w14:solidFill>
          </w14:textFill>
        </w:rPr>
        <w:t>。</w:t>
      </w:r>
      <w:r>
        <w:rPr>
          <w:rFonts w:eastAsia="宋体"/>
          <w:color w:val="000000" w:themeColor="text1"/>
          <w:sz w:val="24"/>
          <w:szCs w:val="24"/>
          <w14:textFill>
            <w14:solidFill>
              <w14:schemeClr w14:val="tx1"/>
            </w14:solidFill>
          </w14:textFill>
        </w:rPr>
        <w:t>监测分析方法见表4.2-8。</w:t>
      </w:r>
    </w:p>
    <w:p w14:paraId="39FDAD07">
      <w:pPr>
        <w:spacing w:line="480" w:lineRule="exact"/>
        <w:ind w:firstLine="0" w:firstLineChars="0"/>
        <w:jc w:val="center"/>
        <w:rPr>
          <w:rFonts w:eastAsia="宋体"/>
          <w:b/>
          <w:bCs/>
          <w:color w:val="000000" w:themeColor="text1"/>
          <w:sz w:val="24"/>
          <w:szCs w:val="24"/>
          <w14:textFill>
            <w14:solidFill>
              <w14:schemeClr w14:val="tx1"/>
            </w14:solidFill>
          </w14:textFill>
        </w:rPr>
      </w:pPr>
      <w:r>
        <w:rPr>
          <w:rFonts w:eastAsia="宋体"/>
          <w:b/>
          <w:bCs/>
          <w:color w:val="000000" w:themeColor="text1"/>
          <w:sz w:val="24"/>
          <w:szCs w:val="24"/>
          <w14:textFill>
            <w14:solidFill>
              <w14:schemeClr w14:val="tx1"/>
            </w14:solidFill>
          </w14:textFill>
        </w:rPr>
        <w:t>表4.2-8</w:t>
      </w:r>
      <w:r>
        <w:rPr>
          <w:rFonts w:hint="eastAsia" w:eastAsia="宋体"/>
          <w:b/>
          <w:bCs/>
          <w:color w:val="000000" w:themeColor="text1"/>
          <w:sz w:val="24"/>
          <w:szCs w:val="24"/>
          <w14:textFill>
            <w14:solidFill>
              <w14:schemeClr w14:val="tx1"/>
            </w14:solidFill>
          </w14:textFill>
        </w:rPr>
        <w:t xml:space="preserve">    </w:t>
      </w:r>
      <w:r>
        <w:rPr>
          <w:rFonts w:eastAsia="宋体"/>
          <w:b/>
          <w:bCs/>
          <w:color w:val="000000" w:themeColor="text1"/>
          <w:sz w:val="24"/>
          <w:szCs w:val="24"/>
          <w14:textFill>
            <w14:solidFill>
              <w14:schemeClr w14:val="tx1"/>
            </w14:solidFill>
          </w14:textFill>
        </w:rPr>
        <w:t>土壤环境质量检测分析方法</w:t>
      </w:r>
    </w:p>
    <w:tbl>
      <w:tblPr>
        <w:tblStyle w:val="32"/>
        <w:tblW w:w="507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33"/>
        <w:gridCol w:w="2072"/>
        <w:gridCol w:w="4260"/>
        <w:gridCol w:w="1482"/>
      </w:tblGrid>
      <w:tr w14:paraId="3E5EDB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exact"/>
          <w:tblHeader/>
          <w:jc w:val="center"/>
        </w:trPr>
        <w:tc>
          <w:tcPr>
            <w:tcW w:w="375" w:type="pct"/>
            <w:noWrap w:val="0"/>
            <w:vAlign w:val="center"/>
          </w:tcPr>
          <w:p w14:paraId="61217B3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226" w:type="pct"/>
            <w:noWrap w:val="0"/>
            <w:vAlign w:val="center"/>
          </w:tcPr>
          <w:p w14:paraId="6A089C2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分析项目</w:t>
            </w:r>
          </w:p>
        </w:tc>
        <w:tc>
          <w:tcPr>
            <w:tcW w:w="2521" w:type="pct"/>
            <w:noWrap w:val="0"/>
            <w:vAlign w:val="center"/>
          </w:tcPr>
          <w:p w14:paraId="7BDDF79D">
            <w:pPr>
              <w:keepNext w:val="0"/>
              <w:keepLines w:val="0"/>
              <w:suppressLineNumbers w:val="0"/>
              <w:spacing w:before="0" w:beforeAutospacing="0" w:after="0" w:afterAutospacing="0" w:line="360" w:lineRule="exact"/>
              <w:ind w:left="0" w:right="3"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依据</w:t>
            </w:r>
          </w:p>
        </w:tc>
        <w:tc>
          <w:tcPr>
            <w:tcW w:w="877" w:type="pct"/>
            <w:noWrap w:val="0"/>
            <w:vAlign w:val="center"/>
          </w:tcPr>
          <w:p w14:paraId="4879EB5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2"/>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检出限</w:t>
            </w:r>
          </w:p>
        </w:tc>
      </w:tr>
      <w:tr w14:paraId="5C4C45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5" w:hRule="exact"/>
          <w:jc w:val="center"/>
        </w:trPr>
        <w:tc>
          <w:tcPr>
            <w:tcW w:w="375" w:type="pct"/>
            <w:noWrap w:val="0"/>
            <w:vAlign w:val="center"/>
          </w:tcPr>
          <w:p w14:paraId="1B5B0801">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226" w:type="pct"/>
            <w:noWrap w:val="0"/>
            <w:vAlign w:val="center"/>
          </w:tcPr>
          <w:p w14:paraId="5BAA7F46">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汞</w:t>
            </w:r>
          </w:p>
        </w:tc>
        <w:tc>
          <w:tcPr>
            <w:tcW w:w="2521" w:type="pct"/>
            <w:noWrap w:val="0"/>
            <w:vAlign w:val="center"/>
          </w:tcPr>
          <w:p w14:paraId="1BA4E59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土壤质量总汞、总砷、总铅的测定原子荧光法第1部分：土壤中总汞的测GB/T22105.1-2008</w:t>
            </w:r>
          </w:p>
        </w:tc>
        <w:tc>
          <w:tcPr>
            <w:tcW w:w="877" w:type="pct"/>
            <w:noWrap w:val="0"/>
            <w:vAlign w:val="center"/>
          </w:tcPr>
          <w:p w14:paraId="44702BB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0.002mg/kg</w:t>
            </w:r>
          </w:p>
        </w:tc>
      </w:tr>
      <w:tr w14:paraId="08FA17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2" w:hRule="exact"/>
          <w:jc w:val="center"/>
        </w:trPr>
        <w:tc>
          <w:tcPr>
            <w:tcW w:w="375" w:type="pct"/>
            <w:noWrap w:val="0"/>
            <w:vAlign w:val="center"/>
          </w:tcPr>
          <w:p w14:paraId="714A64D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226" w:type="pct"/>
            <w:noWrap w:val="0"/>
            <w:vAlign w:val="center"/>
          </w:tcPr>
          <w:p w14:paraId="218E3427">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铬（六价）</w:t>
            </w:r>
          </w:p>
        </w:tc>
        <w:tc>
          <w:tcPr>
            <w:tcW w:w="2521" w:type="pct"/>
            <w:noWrap w:val="0"/>
            <w:vAlign w:val="center"/>
          </w:tcPr>
          <w:p w14:paraId="7F66AAA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土壤和沉积物</w:t>
            </w: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六价铬的测定</w:t>
            </w:r>
            <w:r>
              <w:rPr>
                <w:rFonts w:hint="eastAsia"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碱溶液提取</w:t>
            </w:r>
            <w:r>
              <w:rPr>
                <w:rFonts w:hint="eastAsia" w:eastAsia="宋体" w:cs="Times New Roman"/>
                <w:color w:val="000000" w:themeColor="text1"/>
                <w:sz w:val="21"/>
                <w:szCs w:val="21"/>
                <w:lang w:val="en-US" w:eastAsia="zh-CN"/>
                <w14:textFill>
                  <w14:solidFill>
                    <w14:schemeClr w14:val="tx1"/>
                  </w14:solidFill>
                </w14:textFill>
              </w:rPr>
              <w:t>-火焰</w:t>
            </w:r>
            <w:r>
              <w:rPr>
                <w:rFonts w:hint="default" w:ascii="Times New Roman" w:hAnsi="Times New Roman" w:eastAsia="宋体" w:cs="Times New Roman"/>
                <w:color w:val="000000" w:themeColor="text1"/>
                <w:sz w:val="21"/>
                <w:szCs w:val="21"/>
                <w14:textFill>
                  <w14:solidFill>
                    <w14:schemeClr w14:val="tx1"/>
                  </w14:solidFill>
                </w14:textFill>
              </w:rPr>
              <w:t>原子吸收分光光度法</w:t>
            </w:r>
            <w:r>
              <w:rPr>
                <w:rFonts w:hint="eastAsia" w:eastAsia="宋体" w:cs="Times New Roman"/>
                <w:color w:val="000000" w:themeColor="text1"/>
                <w:sz w:val="21"/>
                <w:szCs w:val="21"/>
                <w:lang w:val="en-US" w:eastAsia="zh-CN"/>
                <w14:textFill>
                  <w14:solidFill>
                    <w14:schemeClr w14:val="tx1"/>
                  </w14:solidFill>
                </w14:textFill>
              </w:rPr>
              <w:t>HJ1082-2019</w:t>
            </w:r>
          </w:p>
        </w:tc>
        <w:tc>
          <w:tcPr>
            <w:tcW w:w="877" w:type="pct"/>
            <w:noWrap w:val="0"/>
            <w:vAlign w:val="center"/>
          </w:tcPr>
          <w:p w14:paraId="4160D6F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color w:val="000000" w:themeColor="text1"/>
                <w:sz w:val="21"/>
                <w:szCs w:val="21"/>
                <w14:textFill>
                  <w14:solidFill>
                    <w14:schemeClr w14:val="tx1"/>
                  </w14:solidFill>
                </w14:textFill>
              </w:rPr>
              <w:t>mg/kg</w:t>
            </w:r>
          </w:p>
        </w:tc>
      </w:tr>
      <w:tr w14:paraId="2E1A67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5" w:hRule="exact"/>
          <w:jc w:val="center"/>
        </w:trPr>
        <w:tc>
          <w:tcPr>
            <w:tcW w:w="375" w:type="pct"/>
            <w:noWrap w:val="0"/>
            <w:vAlign w:val="center"/>
          </w:tcPr>
          <w:p w14:paraId="31B87BE5">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226" w:type="pct"/>
            <w:noWrap w:val="0"/>
            <w:vAlign w:val="center"/>
          </w:tcPr>
          <w:p w14:paraId="6DA8CDB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镍</w:t>
            </w:r>
          </w:p>
        </w:tc>
        <w:tc>
          <w:tcPr>
            <w:tcW w:w="2521" w:type="pct"/>
            <w:vMerge w:val="restart"/>
            <w:noWrap w:val="0"/>
            <w:vAlign w:val="center"/>
          </w:tcPr>
          <w:p w14:paraId="0AD375F0">
            <w:pPr>
              <w:keepNext w:val="0"/>
              <w:keepLines w:val="0"/>
              <w:suppressLineNumbers w:val="0"/>
              <w:spacing w:before="0" w:beforeAutospacing="0" w:after="0" w:afterAutospacing="0" w:line="360" w:lineRule="exact"/>
              <w:ind w:left="0" w:right="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w:t>
            </w:r>
            <w:r>
              <w:rPr>
                <w:rFonts w:hint="eastAsia" w:eastAsia="宋体" w:cs="Times New Roman"/>
                <w:color w:val="000000" w:themeColor="text1"/>
                <w:sz w:val="21"/>
                <w:szCs w:val="21"/>
                <w:lang w:eastAsia="zh-CN"/>
                <w14:textFill>
                  <w14:solidFill>
                    <w14:schemeClr w14:val="tx1"/>
                  </w14:solidFill>
                </w14:textFill>
              </w:rPr>
              <w:t>和沉积物</w:t>
            </w:r>
            <w:r>
              <w:rPr>
                <w:rFonts w:hint="eastAsia" w:eastAsia="宋体" w:cs="Times New Roman"/>
                <w:color w:val="000000" w:themeColor="text1"/>
                <w:sz w:val="21"/>
                <w:szCs w:val="21"/>
                <w:lang w:val="en-US" w:eastAsia="zh-CN"/>
                <w14:textFill>
                  <w14:solidFill>
                    <w14:schemeClr w14:val="tx1"/>
                  </w14:solidFill>
                </w14:textFill>
              </w:rPr>
              <w:t xml:space="preserve"> 铜、锌、铅、镍、铬</w:t>
            </w:r>
            <w:r>
              <w:rPr>
                <w:rFonts w:hint="default" w:ascii="Times New Roman" w:hAnsi="Times New Roman" w:eastAsia="宋体" w:cs="Times New Roman"/>
                <w:color w:val="000000" w:themeColor="text1"/>
                <w:sz w:val="21"/>
                <w:szCs w:val="21"/>
                <w14:textFill>
                  <w14:solidFill>
                    <w14:schemeClr w14:val="tx1"/>
                  </w14:solidFill>
                </w14:textFill>
              </w:rPr>
              <w:t>的测定</w:t>
            </w:r>
          </w:p>
          <w:p w14:paraId="60D5763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火焰原子吸收分光光度法</w:t>
            </w:r>
          </w:p>
          <w:p w14:paraId="6BA1520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HJ491</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2019</w:t>
            </w:r>
          </w:p>
        </w:tc>
        <w:tc>
          <w:tcPr>
            <w:tcW w:w="877" w:type="pct"/>
            <w:noWrap w:val="0"/>
            <w:vAlign w:val="center"/>
          </w:tcPr>
          <w:p w14:paraId="716B4CA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mg/kg</w:t>
            </w:r>
          </w:p>
        </w:tc>
      </w:tr>
      <w:tr w14:paraId="1206C3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2" w:hRule="exact"/>
          <w:jc w:val="center"/>
        </w:trPr>
        <w:tc>
          <w:tcPr>
            <w:tcW w:w="375" w:type="pct"/>
            <w:noWrap w:val="0"/>
            <w:vAlign w:val="center"/>
          </w:tcPr>
          <w:p w14:paraId="3BD1EFE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226" w:type="pct"/>
            <w:noWrap w:val="0"/>
            <w:vAlign w:val="center"/>
          </w:tcPr>
          <w:p w14:paraId="0901438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铅</w:t>
            </w:r>
          </w:p>
        </w:tc>
        <w:tc>
          <w:tcPr>
            <w:tcW w:w="2521" w:type="pct"/>
            <w:vMerge w:val="continue"/>
            <w:noWrap w:val="0"/>
            <w:vAlign w:val="center"/>
          </w:tcPr>
          <w:p w14:paraId="22A316E5">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5295E25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mg/kg</w:t>
            </w:r>
          </w:p>
        </w:tc>
      </w:tr>
      <w:tr w14:paraId="709685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0" w:hRule="exact"/>
          <w:jc w:val="center"/>
        </w:trPr>
        <w:tc>
          <w:tcPr>
            <w:tcW w:w="375" w:type="pct"/>
            <w:noWrap w:val="0"/>
            <w:vAlign w:val="center"/>
          </w:tcPr>
          <w:p w14:paraId="2BB87507">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226" w:type="pct"/>
            <w:noWrap w:val="0"/>
            <w:vAlign w:val="center"/>
          </w:tcPr>
          <w:p w14:paraId="304DF57F">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砷</w:t>
            </w:r>
          </w:p>
        </w:tc>
        <w:tc>
          <w:tcPr>
            <w:tcW w:w="2521" w:type="pct"/>
            <w:noWrap w:val="0"/>
            <w:vAlign w:val="center"/>
          </w:tcPr>
          <w:p w14:paraId="23E6CE4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土壤质量</w:t>
            </w:r>
            <w:r>
              <w:rPr>
                <w:rFonts w:hint="eastAsia"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总汞、总砷、总铅的测定原子荧光法第2部分：土壤中总砷的测GB/T22105.2-2008</w:t>
            </w:r>
          </w:p>
        </w:tc>
        <w:tc>
          <w:tcPr>
            <w:tcW w:w="877" w:type="pct"/>
            <w:noWrap w:val="0"/>
            <w:vAlign w:val="center"/>
          </w:tcPr>
          <w:p w14:paraId="2B6CED56">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0.01mg/kg</w:t>
            </w:r>
          </w:p>
        </w:tc>
      </w:tr>
      <w:tr w14:paraId="16B9FD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2" w:hRule="exact"/>
          <w:jc w:val="center"/>
        </w:trPr>
        <w:tc>
          <w:tcPr>
            <w:tcW w:w="375" w:type="pct"/>
            <w:noWrap w:val="0"/>
            <w:vAlign w:val="center"/>
          </w:tcPr>
          <w:p w14:paraId="46D6548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226" w:type="pct"/>
            <w:noWrap w:val="0"/>
            <w:vAlign w:val="center"/>
          </w:tcPr>
          <w:p w14:paraId="45FDA5A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铜</w:t>
            </w:r>
          </w:p>
        </w:tc>
        <w:tc>
          <w:tcPr>
            <w:tcW w:w="2521" w:type="pct"/>
            <w:noWrap w:val="0"/>
            <w:vAlign w:val="center"/>
          </w:tcPr>
          <w:p w14:paraId="082DFF04">
            <w:pPr>
              <w:keepNext w:val="0"/>
              <w:keepLines w:val="0"/>
              <w:suppressLineNumbers w:val="0"/>
              <w:spacing w:before="0" w:beforeAutospacing="0" w:after="0" w:afterAutospacing="0" w:line="360" w:lineRule="exact"/>
              <w:ind w:left="0" w:right="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w:t>
            </w:r>
            <w:r>
              <w:rPr>
                <w:rFonts w:hint="eastAsia" w:eastAsia="宋体" w:cs="Times New Roman"/>
                <w:color w:val="000000" w:themeColor="text1"/>
                <w:sz w:val="21"/>
                <w:szCs w:val="21"/>
                <w:lang w:eastAsia="zh-CN"/>
                <w14:textFill>
                  <w14:solidFill>
                    <w14:schemeClr w14:val="tx1"/>
                  </w14:solidFill>
                </w14:textFill>
              </w:rPr>
              <w:t>和沉积物</w:t>
            </w:r>
            <w:r>
              <w:rPr>
                <w:rFonts w:hint="eastAsia" w:eastAsia="宋体" w:cs="Times New Roman"/>
                <w:color w:val="000000" w:themeColor="text1"/>
                <w:sz w:val="21"/>
                <w:szCs w:val="21"/>
                <w:lang w:val="en-US" w:eastAsia="zh-CN"/>
                <w14:textFill>
                  <w14:solidFill>
                    <w14:schemeClr w14:val="tx1"/>
                  </w14:solidFill>
                </w14:textFill>
              </w:rPr>
              <w:t xml:space="preserve"> 铜、锌、铅、镍、铬</w:t>
            </w:r>
            <w:r>
              <w:rPr>
                <w:rFonts w:hint="default" w:ascii="Times New Roman" w:hAnsi="Times New Roman" w:eastAsia="宋体" w:cs="Times New Roman"/>
                <w:color w:val="000000" w:themeColor="text1"/>
                <w:sz w:val="21"/>
                <w:szCs w:val="21"/>
                <w14:textFill>
                  <w14:solidFill>
                    <w14:schemeClr w14:val="tx1"/>
                  </w14:solidFill>
                </w14:textFill>
              </w:rPr>
              <w:t>的测定</w:t>
            </w:r>
          </w:p>
          <w:p w14:paraId="63B4F3C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火焰原子吸收分光光度法</w:t>
            </w:r>
            <w:r>
              <w:rPr>
                <w:rFonts w:hint="eastAsia" w:eastAsia="宋体" w:cs="Times New Roman"/>
                <w:color w:val="000000" w:themeColor="text1"/>
                <w:sz w:val="21"/>
                <w:szCs w:val="21"/>
                <w:lang w:val="en-US" w:eastAsia="zh-CN"/>
                <w14:textFill>
                  <w14:solidFill>
                    <w14:schemeClr w14:val="tx1"/>
                  </w14:solidFill>
                </w14:textFill>
              </w:rPr>
              <w:t>HJ491</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2019</w:t>
            </w:r>
          </w:p>
        </w:tc>
        <w:tc>
          <w:tcPr>
            <w:tcW w:w="877" w:type="pct"/>
            <w:noWrap w:val="0"/>
            <w:vAlign w:val="center"/>
          </w:tcPr>
          <w:p w14:paraId="03AD3ACF">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mg/kg</w:t>
            </w:r>
          </w:p>
        </w:tc>
      </w:tr>
      <w:tr w14:paraId="490636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51" w:hRule="exact"/>
          <w:jc w:val="center"/>
        </w:trPr>
        <w:tc>
          <w:tcPr>
            <w:tcW w:w="375" w:type="pct"/>
            <w:noWrap w:val="0"/>
            <w:vAlign w:val="center"/>
          </w:tcPr>
          <w:p w14:paraId="11CD9AA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1226" w:type="pct"/>
            <w:noWrap w:val="0"/>
            <w:vAlign w:val="center"/>
          </w:tcPr>
          <w:p w14:paraId="5F468F3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镉</w:t>
            </w:r>
          </w:p>
        </w:tc>
        <w:tc>
          <w:tcPr>
            <w:tcW w:w="2521" w:type="pct"/>
            <w:noWrap w:val="0"/>
            <w:vAlign w:val="center"/>
          </w:tcPr>
          <w:p w14:paraId="3E677532">
            <w:pPr>
              <w:keepNext w:val="0"/>
              <w:keepLines w:val="0"/>
              <w:suppressLineNumbers w:val="0"/>
              <w:spacing w:before="0" w:beforeAutospacing="0" w:after="0" w:afterAutospacing="0" w:line="360" w:lineRule="exact"/>
              <w:ind w:left="0" w:right="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土壤质量</w:t>
            </w:r>
            <w:r>
              <w:rPr>
                <w:rFonts w:hint="eastAsia"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铅、镉的测定</w:t>
            </w:r>
          </w:p>
          <w:p w14:paraId="77A5CB76">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石墨炉原子吸收分光光度法GB/T17141-1997</w:t>
            </w:r>
          </w:p>
        </w:tc>
        <w:tc>
          <w:tcPr>
            <w:tcW w:w="877" w:type="pct"/>
            <w:noWrap w:val="0"/>
            <w:vAlign w:val="center"/>
          </w:tcPr>
          <w:p w14:paraId="62DC5D5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w:t>
            </w:r>
            <w:r>
              <w:rPr>
                <w:rFonts w:hint="eastAsia"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mg/kg</w:t>
            </w:r>
          </w:p>
        </w:tc>
      </w:tr>
      <w:tr w14:paraId="546256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3" w:hRule="exact"/>
          <w:jc w:val="center"/>
        </w:trPr>
        <w:tc>
          <w:tcPr>
            <w:tcW w:w="375" w:type="pct"/>
            <w:noWrap w:val="0"/>
            <w:vAlign w:val="center"/>
          </w:tcPr>
          <w:p w14:paraId="7F739C4F">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1226" w:type="pct"/>
            <w:noWrap w:val="0"/>
            <w:vAlign w:val="center"/>
          </w:tcPr>
          <w:p w14:paraId="13F94B0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四氯化碳</w:t>
            </w:r>
          </w:p>
        </w:tc>
        <w:tc>
          <w:tcPr>
            <w:tcW w:w="2521" w:type="pct"/>
            <w:vMerge w:val="restart"/>
            <w:noWrap w:val="0"/>
            <w:vAlign w:val="center"/>
          </w:tcPr>
          <w:p w14:paraId="2F8BC79E">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土壤和沉积物</w:t>
            </w:r>
            <w:r>
              <w:rPr>
                <w:rFonts w:hint="eastAsia" w:ascii="Times New Roman" w:hAnsi="Times New Roman" w:eastAsia="宋体" w:cs="Times New Roman"/>
                <w:color w:val="000000" w:themeColor="text1"/>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挥发性有机物的测定吹扫铺集/气相色谱-质谱法HJ605-2011</w:t>
            </w:r>
          </w:p>
        </w:tc>
        <w:tc>
          <w:tcPr>
            <w:tcW w:w="877" w:type="pct"/>
            <w:noWrap w:val="0"/>
            <w:vAlign w:val="center"/>
          </w:tcPr>
          <w:p w14:paraId="7F54468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0.0013mg/kg</w:t>
            </w:r>
          </w:p>
        </w:tc>
      </w:tr>
      <w:tr w14:paraId="5B5F59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4ED4684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1226" w:type="pct"/>
            <w:noWrap w:val="0"/>
            <w:vAlign w:val="center"/>
          </w:tcPr>
          <w:p w14:paraId="54236B0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氯仿</w:t>
            </w:r>
          </w:p>
        </w:tc>
        <w:tc>
          <w:tcPr>
            <w:tcW w:w="2521" w:type="pct"/>
            <w:vMerge w:val="continue"/>
            <w:noWrap w:val="0"/>
            <w:vAlign w:val="center"/>
          </w:tcPr>
          <w:p w14:paraId="27C2FCC4">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63FA50B6">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0.0011mg/kg</w:t>
            </w:r>
          </w:p>
        </w:tc>
      </w:tr>
      <w:tr w14:paraId="365630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60C56E72">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226" w:type="pct"/>
            <w:noWrap w:val="0"/>
            <w:vAlign w:val="center"/>
          </w:tcPr>
          <w:p w14:paraId="3B0412F2">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氯甲烷</w:t>
            </w:r>
          </w:p>
        </w:tc>
        <w:tc>
          <w:tcPr>
            <w:tcW w:w="2521" w:type="pct"/>
            <w:vMerge w:val="continue"/>
            <w:noWrap w:val="0"/>
            <w:vAlign w:val="center"/>
          </w:tcPr>
          <w:p w14:paraId="43A61D8B">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55DFA68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0.0010mg/kg</w:t>
            </w:r>
          </w:p>
        </w:tc>
      </w:tr>
      <w:tr w14:paraId="2E78F1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6AFCBCE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1226" w:type="pct"/>
            <w:noWrap w:val="0"/>
            <w:vAlign w:val="center"/>
          </w:tcPr>
          <w:p w14:paraId="2F01258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1-二氯乙烷</w:t>
            </w:r>
          </w:p>
        </w:tc>
        <w:tc>
          <w:tcPr>
            <w:tcW w:w="2521" w:type="pct"/>
            <w:vMerge w:val="continue"/>
            <w:noWrap w:val="0"/>
            <w:vAlign w:val="center"/>
          </w:tcPr>
          <w:p w14:paraId="5544C7B7">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412D5AB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0.0013mg/kg</w:t>
            </w:r>
          </w:p>
        </w:tc>
      </w:tr>
      <w:tr w14:paraId="130281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5A35E90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226" w:type="pct"/>
            <w:noWrap w:val="0"/>
            <w:vAlign w:val="center"/>
          </w:tcPr>
          <w:p w14:paraId="203EB13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2-二氯乙烷</w:t>
            </w:r>
          </w:p>
        </w:tc>
        <w:tc>
          <w:tcPr>
            <w:tcW w:w="2521" w:type="pct"/>
            <w:vMerge w:val="continue"/>
            <w:noWrap w:val="0"/>
            <w:vAlign w:val="center"/>
          </w:tcPr>
          <w:p w14:paraId="107F1F9E">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469FA59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0.0013mg/kg</w:t>
            </w:r>
          </w:p>
        </w:tc>
      </w:tr>
      <w:tr w14:paraId="1F62E8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18CC4D9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1226" w:type="pct"/>
            <w:noWrap w:val="0"/>
            <w:vAlign w:val="center"/>
          </w:tcPr>
          <w:p w14:paraId="1AACC59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1-二氯乙烯</w:t>
            </w:r>
          </w:p>
        </w:tc>
        <w:tc>
          <w:tcPr>
            <w:tcW w:w="2521" w:type="pct"/>
            <w:vMerge w:val="continue"/>
            <w:noWrap w:val="0"/>
            <w:vAlign w:val="center"/>
          </w:tcPr>
          <w:p w14:paraId="30F70AC3">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38A97BC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0.0010mg/kg</w:t>
            </w:r>
          </w:p>
        </w:tc>
      </w:tr>
      <w:tr w14:paraId="04C106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64E734A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1226" w:type="pct"/>
            <w:noWrap w:val="0"/>
            <w:vAlign w:val="center"/>
          </w:tcPr>
          <w:p w14:paraId="04BE282F">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顺-1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2-二氯乙烯</w:t>
            </w:r>
          </w:p>
        </w:tc>
        <w:tc>
          <w:tcPr>
            <w:tcW w:w="2521" w:type="pct"/>
            <w:vMerge w:val="continue"/>
            <w:noWrap w:val="0"/>
            <w:vAlign w:val="center"/>
          </w:tcPr>
          <w:p w14:paraId="4FFC6966">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48324132">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0.0013mg/kg</w:t>
            </w:r>
          </w:p>
        </w:tc>
      </w:tr>
      <w:tr w14:paraId="0246B2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06EC2A52">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1226" w:type="pct"/>
            <w:noWrap w:val="0"/>
            <w:vAlign w:val="center"/>
          </w:tcPr>
          <w:p w14:paraId="036F24B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2-二氯乙烯</w:t>
            </w:r>
          </w:p>
        </w:tc>
        <w:tc>
          <w:tcPr>
            <w:tcW w:w="2521" w:type="pct"/>
            <w:vMerge w:val="continue"/>
            <w:noWrap w:val="0"/>
            <w:vAlign w:val="center"/>
          </w:tcPr>
          <w:p w14:paraId="5AB6ADCF">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2B7AB8B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0.0014mg/kg</w:t>
            </w:r>
          </w:p>
        </w:tc>
      </w:tr>
      <w:tr w14:paraId="405F86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00AA510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1226" w:type="pct"/>
            <w:noWrap w:val="0"/>
            <w:vAlign w:val="center"/>
          </w:tcPr>
          <w:p w14:paraId="7760464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二氯甲烷</w:t>
            </w:r>
          </w:p>
        </w:tc>
        <w:tc>
          <w:tcPr>
            <w:tcW w:w="2521" w:type="pct"/>
            <w:vMerge w:val="continue"/>
            <w:noWrap w:val="0"/>
            <w:vAlign w:val="center"/>
          </w:tcPr>
          <w:p w14:paraId="576675CC">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1B9BB46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0.0015mg/kg</w:t>
            </w:r>
          </w:p>
        </w:tc>
      </w:tr>
      <w:tr w14:paraId="59174E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3" w:hRule="exact"/>
          <w:jc w:val="center"/>
        </w:trPr>
        <w:tc>
          <w:tcPr>
            <w:tcW w:w="375" w:type="pct"/>
            <w:noWrap w:val="0"/>
            <w:vAlign w:val="center"/>
          </w:tcPr>
          <w:p w14:paraId="1D8C5D46">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c>
          <w:tcPr>
            <w:tcW w:w="1226" w:type="pct"/>
            <w:noWrap w:val="0"/>
            <w:vAlign w:val="center"/>
          </w:tcPr>
          <w:p w14:paraId="41FB74B1">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2-二氯丙烷</w:t>
            </w:r>
          </w:p>
        </w:tc>
        <w:tc>
          <w:tcPr>
            <w:tcW w:w="2521" w:type="pct"/>
            <w:vMerge w:val="continue"/>
            <w:noWrap w:val="0"/>
            <w:vAlign w:val="center"/>
          </w:tcPr>
          <w:p w14:paraId="7CC215FB">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04B87D96">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0.0011mg/kg</w:t>
            </w:r>
          </w:p>
        </w:tc>
      </w:tr>
      <w:tr w14:paraId="2199BB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013AF08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w:t>
            </w:r>
          </w:p>
        </w:tc>
        <w:tc>
          <w:tcPr>
            <w:tcW w:w="1226" w:type="pct"/>
            <w:noWrap w:val="0"/>
            <w:vAlign w:val="center"/>
          </w:tcPr>
          <w:p w14:paraId="446C6251">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2-四氯乙烷</w:t>
            </w:r>
          </w:p>
        </w:tc>
        <w:tc>
          <w:tcPr>
            <w:tcW w:w="2521" w:type="pct"/>
            <w:vMerge w:val="continue"/>
            <w:noWrap w:val="0"/>
            <w:vAlign w:val="center"/>
          </w:tcPr>
          <w:p w14:paraId="0F1E264C">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03905B7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0.0012mg/kg</w:t>
            </w:r>
          </w:p>
        </w:tc>
      </w:tr>
      <w:tr w14:paraId="0B9550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2D6BC965">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1226" w:type="pct"/>
            <w:noWrap w:val="0"/>
            <w:vAlign w:val="center"/>
          </w:tcPr>
          <w:p w14:paraId="4BFCA5D7">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-四氯乙烷</w:t>
            </w:r>
          </w:p>
        </w:tc>
        <w:tc>
          <w:tcPr>
            <w:tcW w:w="2521" w:type="pct"/>
            <w:vMerge w:val="continue"/>
            <w:noWrap w:val="0"/>
            <w:vAlign w:val="center"/>
          </w:tcPr>
          <w:p w14:paraId="4F20F691">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0CE18A1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0.0012mg/kg</w:t>
            </w:r>
          </w:p>
        </w:tc>
      </w:tr>
      <w:tr w14:paraId="767573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012F22B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c>
          <w:tcPr>
            <w:tcW w:w="1226" w:type="pct"/>
            <w:noWrap w:val="0"/>
            <w:vAlign w:val="center"/>
          </w:tcPr>
          <w:p w14:paraId="7457EF2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四氯乙烯</w:t>
            </w:r>
          </w:p>
        </w:tc>
        <w:tc>
          <w:tcPr>
            <w:tcW w:w="2521" w:type="pct"/>
            <w:vMerge w:val="continue"/>
            <w:noWrap w:val="0"/>
            <w:vAlign w:val="center"/>
          </w:tcPr>
          <w:p w14:paraId="28CB78EF">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4ABCDEC1">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0.0014mg/kg</w:t>
            </w:r>
          </w:p>
        </w:tc>
      </w:tr>
      <w:tr w14:paraId="0CEE1A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1FB2211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w:t>
            </w:r>
          </w:p>
        </w:tc>
        <w:tc>
          <w:tcPr>
            <w:tcW w:w="1226" w:type="pct"/>
            <w:noWrap w:val="0"/>
            <w:vAlign w:val="center"/>
          </w:tcPr>
          <w:p w14:paraId="1FB2779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1-三氯乙烷</w:t>
            </w:r>
          </w:p>
        </w:tc>
        <w:tc>
          <w:tcPr>
            <w:tcW w:w="2521" w:type="pct"/>
            <w:vMerge w:val="continue"/>
            <w:noWrap w:val="0"/>
            <w:vAlign w:val="center"/>
          </w:tcPr>
          <w:p w14:paraId="2DD8D7AD">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20B187C1">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0.0013mg/kg</w:t>
            </w:r>
          </w:p>
        </w:tc>
      </w:tr>
      <w:tr w14:paraId="4B52D9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3EFE156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1226" w:type="pct"/>
            <w:noWrap w:val="0"/>
            <w:vAlign w:val="center"/>
          </w:tcPr>
          <w:p w14:paraId="504522E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2-三氯乙烷</w:t>
            </w:r>
          </w:p>
        </w:tc>
        <w:tc>
          <w:tcPr>
            <w:tcW w:w="2521" w:type="pct"/>
            <w:vMerge w:val="continue"/>
            <w:noWrap w:val="0"/>
            <w:vAlign w:val="center"/>
          </w:tcPr>
          <w:p w14:paraId="54673DEA">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7F8FACA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0.0012mg/kg</w:t>
            </w:r>
          </w:p>
        </w:tc>
      </w:tr>
      <w:tr w14:paraId="3ADEAE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55B7ADA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w:t>
            </w:r>
          </w:p>
        </w:tc>
        <w:tc>
          <w:tcPr>
            <w:tcW w:w="1226" w:type="pct"/>
            <w:noWrap w:val="0"/>
            <w:vAlign w:val="center"/>
          </w:tcPr>
          <w:p w14:paraId="6896469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三氯乙烯</w:t>
            </w:r>
          </w:p>
        </w:tc>
        <w:tc>
          <w:tcPr>
            <w:tcW w:w="2521" w:type="pct"/>
            <w:vMerge w:val="continue"/>
            <w:noWrap w:val="0"/>
            <w:vAlign w:val="center"/>
          </w:tcPr>
          <w:p w14:paraId="44E6A680">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73AC7592">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0.0012mg/kg</w:t>
            </w:r>
          </w:p>
        </w:tc>
      </w:tr>
      <w:tr w14:paraId="348C64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6C4CA5D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w:t>
            </w:r>
          </w:p>
        </w:tc>
        <w:tc>
          <w:tcPr>
            <w:tcW w:w="1226" w:type="pct"/>
            <w:noWrap w:val="0"/>
            <w:vAlign w:val="center"/>
          </w:tcPr>
          <w:p w14:paraId="4262E15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3-三氯丙烷</w:t>
            </w:r>
          </w:p>
        </w:tc>
        <w:tc>
          <w:tcPr>
            <w:tcW w:w="2521" w:type="pct"/>
            <w:vMerge w:val="continue"/>
            <w:noWrap w:val="0"/>
            <w:vAlign w:val="center"/>
          </w:tcPr>
          <w:p w14:paraId="6835BBAC">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19753472">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0.0012mg/kg</w:t>
            </w:r>
          </w:p>
        </w:tc>
      </w:tr>
      <w:tr w14:paraId="4B5C0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4F4D081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w:t>
            </w:r>
          </w:p>
        </w:tc>
        <w:tc>
          <w:tcPr>
            <w:tcW w:w="1226" w:type="pct"/>
            <w:noWrap w:val="0"/>
            <w:vAlign w:val="center"/>
          </w:tcPr>
          <w:p w14:paraId="66B0B26F">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氯乙烯</w:t>
            </w:r>
          </w:p>
        </w:tc>
        <w:tc>
          <w:tcPr>
            <w:tcW w:w="2521" w:type="pct"/>
            <w:vMerge w:val="continue"/>
            <w:noWrap w:val="0"/>
            <w:vAlign w:val="center"/>
          </w:tcPr>
          <w:p w14:paraId="70F1D155">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4A1FE6E6">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0.0010mg/kg</w:t>
            </w:r>
          </w:p>
        </w:tc>
      </w:tr>
      <w:tr w14:paraId="03EB5E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28F5092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w:t>
            </w:r>
          </w:p>
        </w:tc>
        <w:tc>
          <w:tcPr>
            <w:tcW w:w="1226" w:type="pct"/>
            <w:noWrap w:val="0"/>
            <w:vAlign w:val="center"/>
          </w:tcPr>
          <w:p w14:paraId="146F1041">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w:t>
            </w:r>
          </w:p>
        </w:tc>
        <w:tc>
          <w:tcPr>
            <w:tcW w:w="2521" w:type="pct"/>
            <w:vMerge w:val="continue"/>
            <w:noWrap w:val="0"/>
            <w:vAlign w:val="center"/>
          </w:tcPr>
          <w:p w14:paraId="2D39B540">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08F0569F">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0.0019mg/kg</w:t>
            </w:r>
          </w:p>
        </w:tc>
      </w:tr>
      <w:tr w14:paraId="608C1E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6" w:hRule="exact"/>
          <w:jc w:val="center"/>
        </w:trPr>
        <w:tc>
          <w:tcPr>
            <w:tcW w:w="375" w:type="pct"/>
            <w:noWrap w:val="0"/>
            <w:vAlign w:val="center"/>
          </w:tcPr>
          <w:p w14:paraId="79695CC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w:t>
            </w:r>
          </w:p>
        </w:tc>
        <w:tc>
          <w:tcPr>
            <w:tcW w:w="1226" w:type="pct"/>
            <w:noWrap w:val="0"/>
            <w:vAlign w:val="center"/>
          </w:tcPr>
          <w:p w14:paraId="76EBB85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氯苯</w:t>
            </w:r>
          </w:p>
        </w:tc>
        <w:tc>
          <w:tcPr>
            <w:tcW w:w="2521" w:type="pct"/>
            <w:vMerge w:val="continue"/>
            <w:noWrap w:val="0"/>
            <w:vAlign w:val="center"/>
          </w:tcPr>
          <w:p w14:paraId="46E11DCB">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65099BF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0.0012mg/kg</w:t>
            </w:r>
          </w:p>
        </w:tc>
      </w:tr>
      <w:tr w14:paraId="75EA38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5AE8D1C5">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w:t>
            </w:r>
          </w:p>
        </w:tc>
        <w:tc>
          <w:tcPr>
            <w:tcW w:w="1226" w:type="pct"/>
            <w:noWrap w:val="0"/>
            <w:vAlign w:val="center"/>
          </w:tcPr>
          <w:p w14:paraId="69E20CC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2-二氯苯</w:t>
            </w:r>
          </w:p>
        </w:tc>
        <w:tc>
          <w:tcPr>
            <w:tcW w:w="2521" w:type="pct"/>
            <w:vMerge w:val="continue"/>
            <w:noWrap w:val="0"/>
            <w:vAlign w:val="center"/>
          </w:tcPr>
          <w:p w14:paraId="513C2576">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77F9B84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0.0015mg/kg</w:t>
            </w:r>
          </w:p>
        </w:tc>
      </w:tr>
      <w:tr w14:paraId="00D1BD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3" w:hRule="exact"/>
          <w:jc w:val="center"/>
        </w:trPr>
        <w:tc>
          <w:tcPr>
            <w:tcW w:w="375" w:type="pct"/>
            <w:noWrap w:val="0"/>
            <w:vAlign w:val="center"/>
          </w:tcPr>
          <w:p w14:paraId="7198C4F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w:t>
            </w:r>
          </w:p>
        </w:tc>
        <w:tc>
          <w:tcPr>
            <w:tcW w:w="1226" w:type="pct"/>
            <w:noWrap w:val="0"/>
            <w:vAlign w:val="center"/>
          </w:tcPr>
          <w:p w14:paraId="4E97C44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4-二氯苯</w:t>
            </w:r>
          </w:p>
        </w:tc>
        <w:tc>
          <w:tcPr>
            <w:tcW w:w="2521" w:type="pct"/>
            <w:vMerge w:val="continue"/>
            <w:noWrap w:val="0"/>
            <w:vAlign w:val="center"/>
          </w:tcPr>
          <w:p w14:paraId="34BE81FC">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5B518D1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0.0015mg/kg</w:t>
            </w:r>
          </w:p>
        </w:tc>
      </w:tr>
      <w:tr w14:paraId="606026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68A7DAD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c>
          <w:tcPr>
            <w:tcW w:w="1226" w:type="pct"/>
            <w:noWrap w:val="0"/>
            <w:vAlign w:val="center"/>
          </w:tcPr>
          <w:p w14:paraId="14989D0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乙苯</w:t>
            </w:r>
          </w:p>
        </w:tc>
        <w:tc>
          <w:tcPr>
            <w:tcW w:w="2521" w:type="pct"/>
            <w:vMerge w:val="continue"/>
            <w:noWrap w:val="0"/>
            <w:vAlign w:val="center"/>
          </w:tcPr>
          <w:p w14:paraId="78B720A9">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2A02403F">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0.0012mg/kg</w:t>
            </w:r>
          </w:p>
        </w:tc>
      </w:tr>
      <w:tr w14:paraId="4ED4C7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5088E0A5">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w:t>
            </w:r>
          </w:p>
        </w:tc>
        <w:tc>
          <w:tcPr>
            <w:tcW w:w="1226" w:type="pct"/>
            <w:noWrap w:val="0"/>
            <w:vAlign w:val="center"/>
          </w:tcPr>
          <w:p w14:paraId="52D1630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苯乙烯</w:t>
            </w:r>
          </w:p>
        </w:tc>
        <w:tc>
          <w:tcPr>
            <w:tcW w:w="2521" w:type="pct"/>
            <w:vMerge w:val="continue"/>
            <w:noWrap w:val="0"/>
            <w:vAlign w:val="center"/>
          </w:tcPr>
          <w:p w14:paraId="6FAC9B84">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03E3D76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0.0011mg/kg</w:t>
            </w:r>
          </w:p>
        </w:tc>
      </w:tr>
      <w:tr w14:paraId="3C1EDD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41B2B41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w:t>
            </w:r>
          </w:p>
        </w:tc>
        <w:tc>
          <w:tcPr>
            <w:tcW w:w="1226" w:type="pct"/>
            <w:noWrap w:val="0"/>
            <w:vAlign w:val="center"/>
          </w:tcPr>
          <w:p w14:paraId="6697E84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甲苯</w:t>
            </w:r>
          </w:p>
        </w:tc>
        <w:tc>
          <w:tcPr>
            <w:tcW w:w="2521" w:type="pct"/>
            <w:vMerge w:val="continue"/>
            <w:noWrap w:val="0"/>
            <w:vAlign w:val="center"/>
          </w:tcPr>
          <w:p w14:paraId="16348E12">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2FBD703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0.0013mg/kg</w:t>
            </w:r>
          </w:p>
        </w:tc>
      </w:tr>
      <w:tr w14:paraId="54D234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197021E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w:t>
            </w:r>
          </w:p>
        </w:tc>
        <w:tc>
          <w:tcPr>
            <w:tcW w:w="1226" w:type="pct"/>
            <w:noWrap w:val="0"/>
            <w:vAlign w:val="center"/>
          </w:tcPr>
          <w:p w14:paraId="1286B3F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间二甲苯+对二甲苯</w:t>
            </w:r>
          </w:p>
        </w:tc>
        <w:tc>
          <w:tcPr>
            <w:tcW w:w="2521" w:type="pct"/>
            <w:vMerge w:val="continue"/>
            <w:noWrap w:val="0"/>
            <w:vAlign w:val="center"/>
          </w:tcPr>
          <w:p w14:paraId="7A03861D">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3248D561">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0.0012mg/kg</w:t>
            </w:r>
          </w:p>
        </w:tc>
      </w:tr>
      <w:tr w14:paraId="344CBD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3BADC867">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w:t>
            </w:r>
          </w:p>
        </w:tc>
        <w:tc>
          <w:tcPr>
            <w:tcW w:w="1226" w:type="pct"/>
            <w:noWrap w:val="0"/>
            <w:vAlign w:val="center"/>
          </w:tcPr>
          <w:p w14:paraId="5AD0B542">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邻二甲苯</w:t>
            </w:r>
          </w:p>
        </w:tc>
        <w:tc>
          <w:tcPr>
            <w:tcW w:w="2521" w:type="pct"/>
            <w:vMerge w:val="continue"/>
            <w:noWrap w:val="0"/>
            <w:vAlign w:val="center"/>
          </w:tcPr>
          <w:p w14:paraId="1DDE7681">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3A88F76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0.0012mg/kg</w:t>
            </w:r>
          </w:p>
        </w:tc>
      </w:tr>
      <w:tr w14:paraId="554348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0" w:hRule="exact"/>
          <w:jc w:val="center"/>
        </w:trPr>
        <w:tc>
          <w:tcPr>
            <w:tcW w:w="375" w:type="pct"/>
            <w:noWrap w:val="0"/>
            <w:vAlign w:val="center"/>
          </w:tcPr>
          <w:p w14:paraId="7A51FA05">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1226" w:type="pct"/>
            <w:noWrap w:val="0"/>
            <w:vAlign w:val="center"/>
          </w:tcPr>
          <w:p w14:paraId="6126040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硝基苯</w:t>
            </w:r>
          </w:p>
        </w:tc>
        <w:tc>
          <w:tcPr>
            <w:tcW w:w="2521" w:type="pct"/>
            <w:vMerge w:val="restart"/>
            <w:noWrap w:val="0"/>
            <w:vAlign w:val="center"/>
          </w:tcPr>
          <w:p w14:paraId="15BE4AF5">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土壤和沉积物半挥发性有机物的测定气相色谱-质谱法HJ834-2017</w:t>
            </w:r>
          </w:p>
        </w:tc>
        <w:tc>
          <w:tcPr>
            <w:tcW w:w="877" w:type="pct"/>
            <w:noWrap w:val="0"/>
            <w:vAlign w:val="center"/>
          </w:tcPr>
          <w:p w14:paraId="65E580C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0.0004mg/kg</w:t>
            </w:r>
          </w:p>
        </w:tc>
      </w:tr>
      <w:tr w14:paraId="01AED2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6" w:hRule="exact"/>
          <w:jc w:val="center"/>
        </w:trPr>
        <w:tc>
          <w:tcPr>
            <w:tcW w:w="375" w:type="pct"/>
            <w:noWrap w:val="0"/>
            <w:vAlign w:val="center"/>
          </w:tcPr>
          <w:p w14:paraId="221A94D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w:t>
            </w:r>
          </w:p>
        </w:tc>
        <w:tc>
          <w:tcPr>
            <w:tcW w:w="1226" w:type="pct"/>
            <w:noWrap w:val="0"/>
            <w:vAlign w:val="center"/>
          </w:tcPr>
          <w:p w14:paraId="4A4268B2">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苯胺</w:t>
            </w:r>
          </w:p>
        </w:tc>
        <w:tc>
          <w:tcPr>
            <w:tcW w:w="2521" w:type="pct"/>
            <w:vMerge w:val="continue"/>
            <w:noWrap w:val="0"/>
            <w:vAlign w:val="center"/>
          </w:tcPr>
          <w:p w14:paraId="7352B649">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5560586F">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0.0010mg/kg</w:t>
            </w:r>
          </w:p>
        </w:tc>
      </w:tr>
      <w:tr w14:paraId="0BBD81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5F9AC1DF">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w:t>
            </w:r>
          </w:p>
        </w:tc>
        <w:tc>
          <w:tcPr>
            <w:tcW w:w="1226" w:type="pct"/>
            <w:noWrap w:val="0"/>
            <w:vAlign w:val="center"/>
          </w:tcPr>
          <w:p w14:paraId="7011A6F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2-氯酚</w:t>
            </w:r>
          </w:p>
        </w:tc>
        <w:tc>
          <w:tcPr>
            <w:tcW w:w="2521" w:type="pct"/>
            <w:vMerge w:val="continue"/>
            <w:noWrap w:val="0"/>
            <w:vAlign w:val="center"/>
          </w:tcPr>
          <w:p w14:paraId="66A344E9">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0568367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0.0400mg/kg</w:t>
            </w:r>
          </w:p>
        </w:tc>
      </w:tr>
      <w:tr w14:paraId="19C564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4746B2F7">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w:t>
            </w:r>
          </w:p>
        </w:tc>
        <w:tc>
          <w:tcPr>
            <w:tcW w:w="1226" w:type="pct"/>
            <w:noWrap w:val="0"/>
            <w:vAlign w:val="center"/>
          </w:tcPr>
          <w:p w14:paraId="0AC8268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苯并[a]蒽</w:t>
            </w:r>
          </w:p>
        </w:tc>
        <w:tc>
          <w:tcPr>
            <w:tcW w:w="2521" w:type="pct"/>
            <w:vMerge w:val="continue"/>
            <w:noWrap w:val="0"/>
            <w:vAlign w:val="center"/>
          </w:tcPr>
          <w:p w14:paraId="26B0C81B">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30678B7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0.0001mg/kg</w:t>
            </w:r>
          </w:p>
        </w:tc>
      </w:tr>
      <w:tr w14:paraId="6B06A8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643A3A8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w:t>
            </w:r>
          </w:p>
        </w:tc>
        <w:tc>
          <w:tcPr>
            <w:tcW w:w="1226" w:type="pct"/>
            <w:noWrap w:val="0"/>
            <w:vAlign w:val="center"/>
          </w:tcPr>
          <w:p w14:paraId="0668163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苯并[a]芘</w:t>
            </w:r>
          </w:p>
        </w:tc>
        <w:tc>
          <w:tcPr>
            <w:tcW w:w="2521" w:type="pct"/>
            <w:vMerge w:val="continue"/>
            <w:noWrap w:val="0"/>
            <w:vAlign w:val="center"/>
          </w:tcPr>
          <w:p w14:paraId="7C36CEF8">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6A250CA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0.0002mg/kg</w:t>
            </w:r>
          </w:p>
        </w:tc>
      </w:tr>
      <w:tr w14:paraId="71A47A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77B8165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p>
        </w:tc>
        <w:tc>
          <w:tcPr>
            <w:tcW w:w="1226" w:type="pct"/>
            <w:noWrap w:val="0"/>
            <w:vAlign w:val="center"/>
          </w:tcPr>
          <w:p w14:paraId="5670D73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苯并[b]荧蒽</w:t>
            </w:r>
          </w:p>
        </w:tc>
        <w:tc>
          <w:tcPr>
            <w:tcW w:w="2521" w:type="pct"/>
            <w:vMerge w:val="continue"/>
            <w:noWrap w:val="0"/>
            <w:vAlign w:val="center"/>
          </w:tcPr>
          <w:p w14:paraId="6DD0AD58">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6EDF24C7">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0.0002mg/kg</w:t>
            </w:r>
          </w:p>
        </w:tc>
      </w:tr>
      <w:tr w14:paraId="45EF92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3" w:hRule="exact"/>
          <w:jc w:val="center"/>
        </w:trPr>
        <w:tc>
          <w:tcPr>
            <w:tcW w:w="375" w:type="pct"/>
            <w:noWrap w:val="0"/>
            <w:vAlign w:val="center"/>
          </w:tcPr>
          <w:p w14:paraId="00A2303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w:t>
            </w:r>
          </w:p>
        </w:tc>
        <w:tc>
          <w:tcPr>
            <w:tcW w:w="1226" w:type="pct"/>
            <w:noWrap w:val="0"/>
            <w:vAlign w:val="center"/>
          </w:tcPr>
          <w:p w14:paraId="147554C1">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苯并[k]荧蒽</w:t>
            </w:r>
          </w:p>
        </w:tc>
        <w:tc>
          <w:tcPr>
            <w:tcW w:w="2521" w:type="pct"/>
            <w:vMerge w:val="continue"/>
            <w:noWrap w:val="0"/>
            <w:vAlign w:val="center"/>
          </w:tcPr>
          <w:p w14:paraId="4C0242D7">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47AF715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0.0001mg/kg</w:t>
            </w:r>
          </w:p>
        </w:tc>
      </w:tr>
      <w:tr w14:paraId="32132F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5E1ED04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w:t>
            </w:r>
          </w:p>
        </w:tc>
        <w:tc>
          <w:tcPr>
            <w:tcW w:w="1226" w:type="pct"/>
            <w:noWrap w:val="0"/>
            <w:vAlign w:val="center"/>
          </w:tcPr>
          <w:p w14:paraId="780E1FF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䓛</w:t>
            </w:r>
          </w:p>
        </w:tc>
        <w:tc>
          <w:tcPr>
            <w:tcW w:w="2521" w:type="pct"/>
            <w:vMerge w:val="continue"/>
            <w:noWrap w:val="0"/>
            <w:vAlign w:val="center"/>
          </w:tcPr>
          <w:p w14:paraId="7541B524">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75417CC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0.0001mg/kg</w:t>
            </w:r>
          </w:p>
        </w:tc>
      </w:tr>
      <w:tr w14:paraId="2CF7D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exact"/>
          <w:jc w:val="center"/>
        </w:trPr>
        <w:tc>
          <w:tcPr>
            <w:tcW w:w="375" w:type="pct"/>
            <w:noWrap w:val="0"/>
            <w:vAlign w:val="center"/>
          </w:tcPr>
          <w:p w14:paraId="74485A4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w:t>
            </w:r>
          </w:p>
        </w:tc>
        <w:tc>
          <w:tcPr>
            <w:tcW w:w="1226" w:type="pct"/>
            <w:noWrap w:val="0"/>
            <w:vAlign w:val="center"/>
          </w:tcPr>
          <w:p w14:paraId="64A77B6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二苯并[a</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h]蒽</w:t>
            </w:r>
          </w:p>
        </w:tc>
        <w:tc>
          <w:tcPr>
            <w:tcW w:w="2521" w:type="pct"/>
            <w:vMerge w:val="continue"/>
            <w:noWrap w:val="0"/>
            <w:vAlign w:val="center"/>
          </w:tcPr>
          <w:p w14:paraId="1842C961">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5BFBE4B1">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0.0001mg/kg</w:t>
            </w:r>
          </w:p>
        </w:tc>
      </w:tr>
      <w:tr w14:paraId="675A0E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0" w:hRule="exact"/>
          <w:jc w:val="center"/>
        </w:trPr>
        <w:tc>
          <w:tcPr>
            <w:tcW w:w="375" w:type="pct"/>
            <w:noWrap w:val="0"/>
            <w:vAlign w:val="center"/>
          </w:tcPr>
          <w:p w14:paraId="12DAB6C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w:t>
            </w:r>
          </w:p>
        </w:tc>
        <w:tc>
          <w:tcPr>
            <w:tcW w:w="1226" w:type="pct"/>
            <w:noWrap w:val="0"/>
            <w:vAlign w:val="center"/>
          </w:tcPr>
          <w:p w14:paraId="7FD1C8B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茚并[1</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3-cd]芘</w:t>
            </w:r>
          </w:p>
        </w:tc>
        <w:tc>
          <w:tcPr>
            <w:tcW w:w="2521" w:type="pct"/>
            <w:vMerge w:val="continue"/>
            <w:noWrap w:val="0"/>
            <w:vAlign w:val="center"/>
          </w:tcPr>
          <w:p w14:paraId="2AC9F205">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54D696D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0.0001mg/kg</w:t>
            </w:r>
          </w:p>
        </w:tc>
      </w:tr>
      <w:tr w14:paraId="224E77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exact"/>
          <w:jc w:val="center"/>
        </w:trPr>
        <w:tc>
          <w:tcPr>
            <w:tcW w:w="375" w:type="pct"/>
            <w:noWrap w:val="0"/>
            <w:vAlign w:val="center"/>
          </w:tcPr>
          <w:p w14:paraId="3191926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w:t>
            </w:r>
          </w:p>
        </w:tc>
        <w:tc>
          <w:tcPr>
            <w:tcW w:w="1226" w:type="pct"/>
            <w:noWrap w:val="0"/>
            <w:vAlign w:val="center"/>
          </w:tcPr>
          <w:p w14:paraId="0DC5E47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萘</w:t>
            </w:r>
          </w:p>
        </w:tc>
        <w:tc>
          <w:tcPr>
            <w:tcW w:w="2521" w:type="pct"/>
            <w:vMerge w:val="continue"/>
            <w:noWrap w:val="0"/>
            <w:vAlign w:val="center"/>
          </w:tcPr>
          <w:p w14:paraId="14508C59">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7" w:type="pct"/>
            <w:noWrap w:val="0"/>
            <w:vAlign w:val="center"/>
          </w:tcPr>
          <w:p w14:paraId="4E2B455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0.0004mg/kg</w:t>
            </w:r>
          </w:p>
        </w:tc>
      </w:tr>
      <w:tr w14:paraId="6B5CA7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9" w:hRule="exact"/>
          <w:jc w:val="center"/>
        </w:trPr>
        <w:tc>
          <w:tcPr>
            <w:tcW w:w="375" w:type="pct"/>
            <w:noWrap w:val="0"/>
            <w:vAlign w:val="center"/>
          </w:tcPr>
          <w:p w14:paraId="65312BD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w:t>
            </w:r>
          </w:p>
        </w:tc>
        <w:tc>
          <w:tcPr>
            <w:tcW w:w="1226" w:type="pct"/>
            <w:noWrap w:val="0"/>
            <w:vAlign w:val="center"/>
          </w:tcPr>
          <w:p w14:paraId="3AA2F54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pH</w:t>
            </w:r>
            <w:r>
              <w:rPr>
                <w:rFonts w:hint="default" w:ascii="Times New Roman" w:hAnsi="Times New Roman" w:eastAsia="宋体" w:cs="Times New Roman"/>
                <w:color w:val="000000" w:themeColor="text1"/>
                <w:sz w:val="21"/>
                <w:szCs w:val="21"/>
                <w14:textFill>
                  <w14:solidFill>
                    <w14:schemeClr w14:val="tx1"/>
                  </w14:solidFill>
                </w14:textFill>
              </w:rPr>
              <w:t>值</w:t>
            </w:r>
          </w:p>
        </w:tc>
        <w:tc>
          <w:tcPr>
            <w:tcW w:w="2521" w:type="pct"/>
            <w:noWrap w:val="0"/>
            <w:vAlign w:val="center"/>
          </w:tcPr>
          <w:p w14:paraId="4643BECC">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土壤</w:t>
            </w:r>
            <w:r>
              <w:rPr>
                <w:rFonts w:hint="eastAsia" w:eastAsia="宋体" w:cs="Times New Roman"/>
                <w:color w:val="000000" w:themeColor="text1"/>
                <w:kern w:val="0"/>
                <w:sz w:val="21"/>
                <w:szCs w:val="21"/>
                <w:lang w:val="en-US" w:eastAsia="zh-CN" w:bidi="ar"/>
                <w14:textFill>
                  <w14:solidFill>
                    <w14:schemeClr w14:val="tx1"/>
                  </w14:solidFill>
                </w14:textFill>
              </w:rPr>
              <w:t xml:space="preserve"> </w:t>
            </w:r>
            <w:r>
              <w:rPr>
                <w:rFonts w:hint="eastAsia" w:ascii="Times New Roman" w:hAnsi="Times New Roman" w:eastAsia="宋体" w:cs="Times New Roman"/>
                <w:color w:val="000000" w:themeColor="text1"/>
                <w:kern w:val="0"/>
                <w:sz w:val="21"/>
                <w:szCs w:val="21"/>
                <w:lang w:bidi="ar"/>
                <w14:textFill>
                  <w14:solidFill>
                    <w14:schemeClr w14:val="tx1"/>
                  </w14:solidFill>
                </w14:textFill>
              </w:rPr>
              <w:t>pH</w:t>
            </w:r>
            <w:r>
              <w:rPr>
                <w:rFonts w:hint="default" w:ascii="Times New Roman" w:hAnsi="Times New Roman" w:eastAsia="宋体" w:cs="Times New Roman"/>
                <w:color w:val="000000" w:themeColor="text1"/>
                <w:kern w:val="0"/>
                <w:sz w:val="21"/>
                <w:szCs w:val="21"/>
                <w:lang w:bidi="ar"/>
                <w14:textFill>
                  <w14:solidFill>
                    <w14:schemeClr w14:val="tx1"/>
                  </w14:solidFill>
                </w14:textFill>
              </w:rPr>
              <w:t>的测定</w:t>
            </w:r>
            <w:r>
              <w:rPr>
                <w:rFonts w:hint="eastAsia" w:eastAsia="宋体" w:cs="Times New Roman"/>
                <w:color w:val="000000" w:themeColor="text1"/>
                <w:kern w:val="0"/>
                <w:sz w:val="21"/>
                <w:szCs w:val="21"/>
                <w:lang w:val="en-US" w:eastAsia="zh-CN" w:bidi="ar"/>
                <w14:textFill>
                  <w14:solidFill>
                    <w14:schemeClr w14:val="tx1"/>
                  </w14:solidFill>
                </w14:textFill>
              </w:rPr>
              <w:t xml:space="preserve"> 电位法HJ962</w:t>
            </w:r>
            <w:r>
              <w:rPr>
                <w:rFonts w:hint="default" w:ascii="Times New Roman" w:hAnsi="Times New Roman" w:eastAsia="宋体" w:cs="Times New Roman"/>
                <w:color w:val="000000" w:themeColor="text1"/>
                <w:kern w:val="0"/>
                <w:sz w:val="21"/>
                <w:szCs w:val="21"/>
                <w:lang w:bidi="ar"/>
                <w14:textFill>
                  <w14:solidFill>
                    <w14:schemeClr w14:val="tx1"/>
                  </w14:solidFill>
                </w14:textFill>
              </w:rPr>
              <w:t>-</w:t>
            </w:r>
            <w:r>
              <w:rPr>
                <w:rFonts w:hint="eastAsia" w:eastAsia="宋体" w:cs="Times New Roman"/>
                <w:color w:val="000000" w:themeColor="text1"/>
                <w:kern w:val="0"/>
                <w:sz w:val="21"/>
                <w:szCs w:val="21"/>
                <w:lang w:val="en-US" w:eastAsia="zh-CN" w:bidi="ar"/>
                <w14:textFill>
                  <w14:solidFill>
                    <w14:schemeClr w14:val="tx1"/>
                  </w14:solidFill>
                </w14:textFill>
              </w:rPr>
              <w:t>2018</w:t>
            </w:r>
          </w:p>
        </w:tc>
        <w:tc>
          <w:tcPr>
            <w:tcW w:w="877" w:type="pct"/>
            <w:noWrap w:val="0"/>
            <w:vAlign w:val="center"/>
          </w:tcPr>
          <w:p w14:paraId="0E5D1C4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21E83D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9" w:hRule="exact"/>
          <w:jc w:val="center"/>
        </w:trPr>
        <w:tc>
          <w:tcPr>
            <w:tcW w:w="375" w:type="pct"/>
            <w:noWrap w:val="0"/>
            <w:vAlign w:val="center"/>
          </w:tcPr>
          <w:p w14:paraId="08DFA88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1226" w:type="pct"/>
            <w:noWrap w:val="0"/>
            <w:vAlign w:val="center"/>
          </w:tcPr>
          <w:p w14:paraId="7BC1BA81">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含盐量</w:t>
            </w:r>
          </w:p>
        </w:tc>
        <w:tc>
          <w:tcPr>
            <w:tcW w:w="2521" w:type="pct"/>
            <w:noWrap w:val="0"/>
            <w:vAlign w:val="center"/>
          </w:tcPr>
          <w:p w14:paraId="037DB2AC">
            <w:pPr>
              <w:keepNext w:val="0"/>
              <w:keepLines w:val="0"/>
              <w:suppressLineNumbers w:val="0"/>
              <w:spacing w:before="0" w:beforeAutospacing="0" w:after="0" w:afterAutospacing="0" w:line="360" w:lineRule="exact"/>
              <w:ind w:left="0" w:right="2" w:firstLine="0" w:firstLineChars="0"/>
              <w:jc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土壤检测 第16部分：</w:t>
            </w:r>
            <w:r>
              <w:rPr>
                <w:rFonts w:hint="eastAsia" w:ascii="Times New Roman" w:hAnsi="Times New Roman" w:eastAsia="宋体" w:cs="Times New Roman"/>
                <w:color w:val="000000" w:themeColor="text1"/>
                <w:kern w:val="0"/>
                <w:sz w:val="21"/>
                <w:szCs w:val="21"/>
                <w:lang w:bidi="ar"/>
                <w14:textFill>
                  <w14:solidFill>
                    <w14:schemeClr w14:val="tx1"/>
                  </w14:solidFill>
                </w14:textFill>
              </w:rPr>
              <w:t>土壤水溶性盐总量的测定</w:t>
            </w:r>
            <w:r>
              <w:rPr>
                <w:rFonts w:hint="default" w:ascii="Times New Roman" w:hAnsi="Times New Roman" w:eastAsia="宋体" w:cs="Times New Roman"/>
                <w:color w:val="000000" w:themeColor="text1"/>
                <w:kern w:val="0"/>
                <w:sz w:val="21"/>
                <w:szCs w:val="21"/>
                <w:lang w:bidi="ar"/>
                <w14:textFill>
                  <w14:solidFill>
                    <w14:schemeClr w14:val="tx1"/>
                  </w14:solidFill>
                </w14:textFill>
              </w:rPr>
              <w:t>NY/T1121.16-2006</w:t>
            </w:r>
          </w:p>
        </w:tc>
        <w:tc>
          <w:tcPr>
            <w:tcW w:w="877" w:type="pct"/>
            <w:noWrap w:val="0"/>
            <w:vAlign w:val="center"/>
          </w:tcPr>
          <w:p w14:paraId="2BB001B6">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bl>
    <w:p w14:paraId="67E13324">
      <w:pPr>
        <w:spacing w:line="48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（4）评价标准</w:t>
      </w:r>
    </w:p>
    <w:p w14:paraId="2D0FBB6B">
      <w:pPr>
        <w:spacing w:line="480" w:lineRule="exact"/>
        <w:ind w:firstLine="476" w:firstLineChars="200"/>
        <w:rPr>
          <w:rFonts w:eastAsia="宋体"/>
          <w:color w:val="000000" w:themeColor="text1"/>
          <w:sz w:val="24"/>
          <w:szCs w:val="24"/>
          <w14:textFill>
            <w14:solidFill>
              <w14:schemeClr w14:val="tx1"/>
            </w14:solidFill>
          </w14:textFill>
        </w:rPr>
      </w:pPr>
      <w:r>
        <w:rPr>
          <w:rFonts w:eastAsia="宋体"/>
          <w:color w:val="000000" w:themeColor="text1"/>
          <w:spacing w:val="-1"/>
          <w:kern w:val="0"/>
          <w:sz w:val="24"/>
          <w:szCs w:val="21"/>
          <w:lang w:bidi="ar"/>
          <w14:textFill>
            <w14:solidFill>
              <w14:schemeClr w14:val="tx1"/>
            </w14:solidFill>
          </w14:textFill>
        </w:rPr>
        <w:t>本项目土壤环境执行《土壤环境质量建设用地土壤污染风险管控标准（试行）》（GB36600-2018）第二类用地</w:t>
      </w:r>
      <w:r>
        <w:rPr>
          <w:rFonts w:eastAsia="宋体"/>
          <w:color w:val="000000" w:themeColor="text1"/>
          <w:sz w:val="24"/>
          <w:szCs w:val="24"/>
          <w14:textFill>
            <w14:solidFill>
              <w14:schemeClr w14:val="tx1"/>
            </w14:solidFill>
          </w14:textFill>
        </w:rPr>
        <w:t>筛选值。</w:t>
      </w:r>
    </w:p>
    <w:p w14:paraId="2FE23DF5">
      <w:pPr>
        <w:spacing w:line="480" w:lineRule="exact"/>
        <w:ind w:firstLine="480" w:firstLineChars="200"/>
        <w:rPr>
          <w:rFonts w:eastAsia="宋体"/>
          <w:color w:val="000000" w:themeColor="text1"/>
          <w:sz w:val="24"/>
          <w:szCs w:val="24"/>
          <w14:textFill>
            <w14:solidFill>
              <w14:schemeClr w14:val="tx1"/>
            </w14:solidFill>
          </w14:textFill>
        </w:rPr>
      </w:pPr>
      <w:r>
        <w:rPr>
          <w:rFonts w:eastAsia="宋体"/>
          <w:color w:val="000000" w:themeColor="text1"/>
          <w:sz w:val="24"/>
          <w:szCs w:val="24"/>
          <w14:textFill>
            <w14:solidFill>
              <w14:schemeClr w14:val="tx1"/>
            </w14:solidFill>
          </w14:textFill>
        </w:rPr>
        <w:t>（5）评价方法</w:t>
      </w:r>
    </w:p>
    <w:p w14:paraId="32C8DC3F">
      <w:pPr>
        <w:spacing w:line="480" w:lineRule="exact"/>
        <w:ind w:firstLine="476" w:firstLineChars="200"/>
        <w:rPr>
          <w:rFonts w:hint="eastAsia" w:eastAsia="宋体"/>
          <w:color w:val="000000" w:themeColor="text1"/>
          <w:spacing w:val="-1"/>
          <w:kern w:val="0"/>
          <w:sz w:val="24"/>
          <w:szCs w:val="21"/>
          <w:lang w:bidi="ar"/>
          <w14:textFill>
            <w14:solidFill>
              <w14:schemeClr w14:val="tx1"/>
            </w14:solidFill>
          </w14:textFill>
        </w:rPr>
      </w:pPr>
      <w:r>
        <w:rPr>
          <w:rFonts w:hint="eastAsia" w:eastAsia="宋体"/>
          <w:color w:val="000000" w:themeColor="text1"/>
          <w:spacing w:val="-1"/>
          <w:kern w:val="0"/>
          <w:sz w:val="24"/>
          <w:szCs w:val="21"/>
          <w:lang w:bidi="ar"/>
          <w14:textFill>
            <w14:solidFill>
              <w14:schemeClr w14:val="tx1"/>
            </w14:solidFill>
          </w14:textFill>
        </w:rPr>
        <w:t>采用直接比较的方法。</w:t>
      </w:r>
    </w:p>
    <w:p w14:paraId="11841B13">
      <w:pPr>
        <w:spacing w:line="480" w:lineRule="exact"/>
        <w:ind w:firstLine="480" w:firstLineChars="200"/>
        <w:rPr>
          <w:color w:val="000000" w:themeColor="text1"/>
          <w:sz w:val="24"/>
          <w:szCs w:val="24"/>
          <w:highlight w:val="none"/>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t>（</w:t>
      </w:r>
      <w:r>
        <w:rPr>
          <w:rFonts w:hint="eastAsia" w:eastAsia="宋体"/>
          <w:color w:val="000000" w:themeColor="text1"/>
          <w:sz w:val="24"/>
          <w:szCs w:val="24"/>
          <w:lang w:val="en-US" w:eastAsia="zh-CN"/>
          <w14:textFill>
            <w14:solidFill>
              <w14:schemeClr w14:val="tx1"/>
            </w14:solidFill>
          </w14:textFill>
        </w:rPr>
        <w:t>6</w:t>
      </w:r>
      <w:r>
        <w:rPr>
          <w:rFonts w:hint="eastAsia" w:eastAsia="宋体"/>
          <w:color w:val="000000" w:themeColor="text1"/>
          <w:sz w:val="24"/>
          <w:szCs w:val="24"/>
          <w:lang w:eastAsia="zh-CN"/>
          <w14:textFill>
            <w14:solidFill>
              <w14:schemeClr w14:val="tx1"/>
            </w14:solidFill>
          </w14:textFill>
        </w:rPr>
        <w:t>）</w:t>
      </w:r>
      <w:r>
        <w:rPr>
          <w:rFonts w:eastAsia="宋体"/>
          <w:color w:val="000000" w:themeColor="text1"/>
          <w:sz w:val="24"/>
          <w:szCs w:val="24"/>
          <w14:textFill>
            <w14:solidFill>
              <w14:schemeClr w14:val="tx1"/>
            </w14:solidFill>
          </w14:textFill>
        </w:rPr>
        <w:t>监测结果及评价</w:t>
      </w:r>
    </w:p>
    <w:p w14:paraId="6F67619B">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14:textFill>
            <w14:solidFill>
              <w14:schemeClr w14:val="tx1"/>
            </w14:solidFill>
          </w14:textFill>
        </w:rPr>
        <w:t>本项目</w:t>
      </w:r>
      <w:r>
        <w:rPr>
          <w:color w:val="000000" w:themeColor="text1"/>
          <w:sz w:val="24"/>
          <w:szCs w:val="24"/>
          <w14:textFill>
            <w14:solidFill>
              <w14:schemeClr w14:val="tx1"/>
            </w14:solidFill>
          </w14:textFill>
        </w:rPr>
        <w:t>土壤环境质量现状监测及评价结果</w:t>
      </w:r>
      <w:r>
        <w:rPr>
          <w:rFonts w:hint="eastAsia"/>
          <w:color w:val="000000" w:themeColor="text1"/>
          <w:sz w:val="24"/>
          <w:szCs w:val="24"/>
          <w14:textFill>
            <w14:solidFill>
              <w14:schemeClr w14:val="tx1"/>
            </w14:solidFill>
          </w14:textFill>
        </w:rPr>
        <w:t>见表4.2-</w:t>
      </w:r>
      <w:r>
        <w:rPr>
          <w:color w:val="000000" w:themeColor="text1"/>
          <w:sz w:val="24"/>
          <w:szCs w:val="24"/>
          <w14:textFill>
            <w14:solidFill>
              <w14:schemeClr w14:val="tx1"/>
            </w14:solidFill>
          </w14:textFill>
        </w:rPr>
        <w:t>9</w:t>
      </w:r>
      <w:r>
        <w:rPr>
          <w:rFonts w:hint="eastAsia"/>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w:t>
      </w:r>
    </w:p>
    <w:p w14:paraId="71CBB8FD">
      <w:pPr>
        <w:tabs>
          <w:tab w:val="left" w:pos="1129"/>
        </w:tabs>
        <w:spacing w:line="480" w:lineRule="exact"/>
        <w:ind w:firstLine="0" w:firstLineChars="0"/>
        <w:jc w:val="center"/>
        <w:rPr>
          <w:rFonts w:ascii="Times New Roman" w:hAnsi="Times New Roman" w:eastAsia="宋体" w:cs="Times New Roman"/>
          <w:b/>
          <w:bCs/>
          <w:color w:val="000000" w:themeColor="text1"/>
          <w:spacing w:val="0"/>
          <w:sz w:val="24"/>
          <w:szCs w:val="24"/>
          <w14:textFill>
            <w14:solidFill>
              <w14:schemeClr w14:val="tx1"/>
            </w14:solidFill>
          </w14:textFill>
        </w:rPr>
      </w:pPr>
      <w:r>
        <w:rPr>
          <w:rFonts w:ascii="Times New Roman" w:hAnsi="Times New Roman" w:eastAsia="宋体" w:cs="Times New Roman"/>
          <w:b/>
          <w:bCs/>
          <w:color w:val="000000" w:themeColor="text1"/>
          <w:spacing w:val="0"/>
          <w:sz w:val="24"/>
          <w:szCs w:val="24"/>
          <w14:textFill>
            <w14:solidFill>
              <w14:schemeClr w14:val="tx1"/>
            </w14:solidFill>
          </w14:textFill>
        </w:rPr>
        <w:t>表4.2-</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9</w:t>
      </w:r>
      <w:r>
        <w:rPr>
          <w:rFonts w:ascii="Times New Roman" w:hAnsi="Times New Roman" w:eastAsia="宋体" w:cs="Times New Roman"/>
          <w:b/>
          <w:bCs/>
          <w:color w:val="000000" w:themeColor="text1"/>
          <w:spacing w:val="0"/>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选矿厂范围</w:t>
      </w:r>
      <w:r>
        <w:rPr>
          <w:rFonts w:ascii="Times New Roman" w:hAnsi="Times New Roman" w:eastAsia="宋体" w:cs="Times New Roman"/>
          <w:b/>
          <w:bCs/>
          <w:color w:val="000000" w:themeColor="text1"/>
          <w:spacing w:val="0"/>
          <w:sz w:val="24"/>
          <w:szCs w:val="24"/>
          <w14:textFill>
            <w14:solidFill>
              <w14:schemeClr w14:val="tx1"/>
            </w14:solidFill>
          </w14:textFill>
        </w:rPr>
        <w:t>内</w:t>
      </w:r>
      <w:r>
        <w:rPr>
          <w:rFonts w:hint="eastAsia" w:ascii="Times New Roman" w:hAnsi="Times New Roman" w:eastAsia="宋体" w:cs="Times New Roman"/>
          <w:b/>
          <w:bCs/>
          <w:color w:val="000000" w:themeColor="text1"/>
          <w:spacing w:val="0"/>
          <w:sz w:val="24"/>
          <w:szCs w:val="24"/>
          <w14:textFill>
            <w14:solidFill>
              <w14:schemeClr w14:val="tx1"/>
            </w14:solidFill>
          </w14:textFill>
        </w:rPr>
        <w:t>（T</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11</w:t>
      </w:r>
      <w:r>
        <w:rPr>
          <w:rFonts w:ascii="Times New Roman" w:hAnsi="Times New Roman" w:eastAsia="宋体" w:cs="Times New Roman"/>
          <w:b/>
          <w:bCs/>
          <w:color w:val="000000" w:themeColor="text1"/>
          <w:spacing w:val="0"/>
          <w:sz w:val="24"/>
          <w:szCs w:val="24"/>
          <w14:textFill>
            <w14:solidFill>
              <w14:schemeClr w14:val="tx1"/>
            </w14:solidFill>
          </w14:textFill>
        </w:rPr>
        <w:t>-</w:t>
      </w:r>
      <w:r>
        <w:rPr>
          <w:rFonts w:hint="eastAsia" w:ascii="Times New Roman" w:hAnsi="Times New Roman" w:eastAsia="宋体" w:cs="Times New Roman"/>
          <w:b/>
          <w:bCs/>
          <w:color w:val="000000" w:themeColor="text1"/>
          <w:spacing w:val="0"/>
          <w:sz w:val="24"/>
          <w:szCs w:val="24"/>
          <w14:textFill>
            <w14:solidFill>
              <w14:schemeClr w14:val="tx1"/>
            </w14:solidFill>
          </w14:textFill>
        </w:rPr>
        <w:t>T</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13</w:t>
      </w:r>
      <w:r>
        <w:rPr>
          <w:rFonts w:hint="eastAsia" w:ascii="Times New Roman" w:hAnsi="Times New Roman" w:eastAsia="宋体" w:cs="Times New Roman"/>
          <w:b/>
          <w:bCs/>
          <w:color w:val="000000" w:themeColor="text1"/>
          <w:spacing w:val="0"/>
          <w:sz w:val="24"/>
          <w:szCs w:val="24"/>
          <w14:textFill>
            <w14:solidFill>
              <w14:schemeClr w14:val="tx1"/>
            </w14:solidFill>
          </w14:textFill>
        </w:rPr>
        <w:t>）</w:t>
      </w:r>
      <w:r>
        <w:rPr>
          <w:rFonts w:ascii="Times New Roman" w:hAnsi="Times New Roman" w:eastAsia="宋体" w:cs="Times New Roman"/>
          <w:b/>
          <w:bCs/>
          <w:color w:val="000000" w:themeColor="text1"/>
          <w:spacing w:val="0"/>
          <w:sz w:val="24"/>
          <w:szCs w:val="24"/>
          <w14:textFill>
            <w14:solidFill>
              <w14:schemeClr w14:val="tx1"/>
            </w14:solidFill>
          </w14:textFill>
        </w:rPr>
        <w:t>土壤环境质量现状监测及评价结果</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605"/>
        <w:gridCol w:w="631"/>
        <w:gridCol w:w="719"/>
        <w:gridCol w:w="719"/>
        <w:gridCol w:w="719"/>
        <w:gridCol w:w="730"/>
        <w:gridCol w:w="730"/>
        <w:gridCol w:w="730"/>
        <w:gridCol w:w="730"/>
        <w:gridCol w:w="730"/>
        <w:gridCol w:w="732"/>
        <w:gridCol w:w="555"/>
      </w:tblGrid>
      <w:tr w14:paraId="00454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743" w:type="pct"/>
            <w:gridSpan w:val="2"/>
            <w:noWrap w:val="0"/>
            <w:vAlign w:val="center"/>
          </w:tcPr>
          <w:p w14:paraId="292E9EA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lang w:bidi="ar"/>
                <w14:textFill>
                  <w14:solidFill>
                    <w14:schemeClr w14:val="tx1"/>
                  </w14:solidFill>
                </w14:textFill>
              </w:rPr>
              <w:t>样品编码</w:t>
            </w:r>
          </w:p>
        </w:tc>
        <w:tc>
          <w:tcPr>
            <w:tcW w:w="431" w:type="pct"/>
            <w:noWrap w:val="0"/>
            <w:vAlign w:val="center"/>
          </w:tcPr>
          <w:p w14:paraId="2638C2D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color w:val="000000" w:themeColor="text1"/>
                <w:sz w:val="21"/>
                <w:szCs w:val="21"/>
                <w14:textFill>
                  <w14:solidFill>
                    <w14:schemeClr w14:val="tx1"/>
                  </w14:solidFill>
                </w14:textFill>
              </w:rPr>
              <w:t>-1-1</w:t>
            </w:r>
          </w:p>
        </w:tc>
        <w:tc>
          <w:tcPr>
            <w:tcW w:w="431" w:type="pct"/>
            <w:noWrap w:val="0"/>
            <w:vAlign w:val="center"/>
          </w:tcPr>
          <w:p w14:paraId="18BAC65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color w:val="000000" w:themeColor="text1"/>
                <w:sz w:val="21"/>
                <w:szCs w:val="21"/>
                <w14:textFill>
                  <w14:solidFill>
                    <w14:schemeClr w14:val="tx1"/>
                  </w14:solidFill>
                </w14:textFill>
              </w:rPr>
              <w:t>-1-</w:t>
            </w:r>
            <w:r>
              <w:rPr>
                <w:rFonts w:hint="eastAsia" w:ascii="Times New Roman" w:hAnsi="Times New Roman" w:eastAsia="宋体" w:cs="Times New Roman"/>
                <w:b/>
                <w:color w:val="000000" w:themeColor="text1"/>
                <w:sz w:val="21"/>
                <w:szCs w:val="21"/>
                <w14:textFill>
                  <w14:solidFill>
                    <w14:schemeClr w14:val="tx1"/>
                  </w14:solidFill>
                </w14:textFill>
              </w:rPr>
              <w:t>2</w:t>
            </w:r>
          </w:p>
        </w:tc>
        <w:tc>
          <w:tcPr>
            <w:tcW w:w="431" w:type="pct"/>
            <w:noWrap w:val="0"/>
            <w:vAlign w:val="center"/>
          </w:tcPr>
          <w:p w14:paraId="05CBFC3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color w:val="000000" w:themeColor="text1"/>
                <w:sz w:val="21"/>
                <w:szCs w:val="21"/>
                <w14:textFill>
                  <w14:solidFill>
                    <w14:schemeClr w14:val="tx1"/>
                  </w14:solidFill>
                </w14:textFill>
              </w:rPr>
              <w:t>-1-</w:t>
            </w:r>
            <w:r>
              <w:rPr>
                <w:rFonts w:hint="eastAsia" w:ascii="Times New Roman" w:hAnsi="Times New Roman" w:eastAsia="宋体" w:cs="Times New Roman"/>
                <w:b/>
                <w:color w:val="000000" w:themeColor="text1"/>
                <w:sz w:val="21"/>
                <w:szCs w:val="21"/>
                <w14:textFill>
                  <w14:solidFill>
                    <w14:schemeClr w14:val="tx1"/>
                  </w14:solidFill>
                </w14:textFill>
              </w:rPr>
              <w:t>3</w:t>
            </w:r>
          </w:p>
        </w:tc>
        <w:tc>
          <w:tcPr>
            <w:tcW w:w="438" w:type="pct"/>
            <w:noWrap w:val="0"/>
            <w:vAlign w:val="center"/>
          </w:tcPr>
          <w:p w14:paraId="0890FC0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color w:val="000000" w:themeColor="text1"/>
                <w:sz w:val="21"/>
                <w:szCs w:val="21"/>
                <w14:textFill>
                  <w14:solidFill>
                    <w14:schemeClr w14:val="tx1"/>
                  </w14:solidFill>
                </w14:textFill>
              </w:rPr>
              <w:t>-1-1</w:t>
            </w:r>
          </w:p>
        </w:tc>
        <w:tc>
          <w:tcPr>
            <w:tcW w:w="438" w:type="pct"/>
            <w:noWrap w:val="0"/>
            <w:vAlign w:val="center"/>
          </w:tcPr>
          <w:p w14:paraId="4964B89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color w:val="000000" w:themeColor="text1"/>
                <w:sz w:val="21"/>
                <w:szCs w:val="21"/>
                <w14:textFill>
                  <w14:solidFill>
                    <w14:schemeClr w14:val="tx1"/>
                  </w14:solidFill>
                </w14:textFill>
              </w:rPr>
              <w:t>-1-</w:t>
            </w:r>
            <w:r>
              <w:rPr>
                <w:rFonts w:hint="eastAsia" w:ascii="Times New Roman" w:hAnsi="Times New Roman" w:eastAsia="宋体" w:cs="Times New Roman"/>
                <w:b/>
                <w:color w:val="000000" w:themeColor="text1"/>
                <w:sz w:val="21"/>
                <w:szCs w:val="21"/>
                <w14:textFill>
                  <w14:solidFill>
                    <w14:schemeClr w14:val="tx1"/>
                  </w14:solidFill>
                </w14:textFill>
              </w:rPr>
              <w:t>2</w:t>
            </w:r>
          </w:p>
        </w:tc>
        <w:tc>
          <w:tcPr>
            <w:tcW w:w="438" w:type="pct"/>
            <w:noWrap w:val="0"/>
            <w:vAlign w:val="center"/>
          </w:tcPr>
          <w:p w14:paraId="2D82AAC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color w:val="000000" w:themeColor="text1"/>
                <w:sz w:val="21"/>
                <w:szCs w:val="21"/>
                <w14:textFill>
                  <w14:solidFill>
                    <w14:schemeClr w14:val="tx1"/>
                  </w14:solidFill>
                </w14:textFill>
              </w:rPr>
              <w:t>-1-</w:t>
            </w:r>
            <w:r>
              <w:rPr>
                <w:rFonts w:hint="eastAsia" w:ascii="Times New Roman" w:hAnsi="Times New Roman" w:eastAsia="宋体" w:cs="Times New Roman"/>
                <w:b/>
                <w:color w:val="000000" w:themeColor="text1"/>
                <w:sz w:val="21"/>
                <w:szCs w:val="21"/>
                <w14:textFill>
                  <w14:solidFill>
                    <w14:schemeClr w14:val="tx1"/>
                  </w14:solidFill>
                </w14:textFill>
              </w:rPr>
              <w:t>3</w:t>
            </w:r>
          </w:p>
        </w:tc>
        <w:tc>
          <w:tcPr>
            <w:tcW w:w="438" w:type="pct"/>
            <w:noWrap w:val="0"/>
            <w:vAlign w:val="center"/>
          </w:tcPr>
          <w:p w14:paraId="4AECFA2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13</w:t>
            </w:r>
            <w:r>
              <w:rPr>
                <w:rFonts w:hint="eastAsia" w:ascii="Times New Roman" w:hAnsi="Times New Roman" w:eastAsia="宋体" w:cs="Times New Roman"/>
                <w:b/>
                <w:color w:val="000000" w:themeColor="text1"/>
                <w:sz w:val="21"/>
                <w:szCs w:val="21"/>
                <w14:textFill>
                  <w14:solidFill>
                    <w14:schemeClr w14:val="tx1"/>
                  </w14:solidFill>
                </w14:textFill>
              </w:rPr>
              <w:t>-1-1</w:t>
            </w:r>
          </w:p>
        </w:tc>
        <w:tc>
          <w:tcPr>
            <w:tcW w:w="438" w:type="pct"/>
            <w:noWrap w:val="0"/>
            <w:vAlign w:val="center"/>
          </w:tcPr>
          <w:p w14:paraId="6B47EED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13</w:t>
            </w:r>
            <w:r>
              <w:rPr>
                <w:rFonts w:hint="eastAsia" w:ascii="Times New Roman" w:hAnsi="Times New Roman" w:eastAsia="宋体" w:cs="Times New Roman"/>
                <w:b/>
                <w:color w:val="000000" w:themeColor="text1"/>
                <w:sz w:val="21"/>
                <w:szCs w:val="21"/>
                <w14:textFill>
                  <w14:solidFill>
                    <w14:schemeClr w14:val="tx1"/>
                  </w14:solidFill>
                </w14:textFill>
              </w:rPr>
              <w:t>-1-2</w:t>
            </w:r>
          </w:p>
        </w:tc>
        <w:tc>
          <w:tcPr>
            <w:tcW w:w="438" w:type="pct"/>
            <w:noWrap w:val="0"/>
            <w:vAlign w:val="center"/>
          </w:tcPr>
          <w:p w14:paraId="137FB5D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13</w:t>
            </w:r>
            <w:r>
              <w:rPr>
                <w:rFonts w:hint="eastAsia" w:ascii="Times New Roman" w:hAnsi="Times New Roman" w:eastAsia="宋体" w:cs="Times New Roman"/>
                <w:b/>
                <w:color w:val="000000" w:themeColor="text1"/>
                <w:sz w:val="21"/>
                <w:szCs w:val="21"/>
                <w14:textFill>
                  <w14:solidFill>
                    <w14:schemeClr w14:val="tx1"/>
                  </w14:solidFill>
                </w14:textFill>
              </w:rPr>
              <w:t>-1-3</w:t>
            </w:r>
          </w:p>
        </w:tc>
        <w:tc>
          <w:tcPr>
            <w:tcW w:w="333" w:type="pct"/>
            <w:vMerge w:val="restart"/>
            <w:noWrap w:val="0"/>
            <w:vAlign w:val="center"/>
          </w:tcPr>
          <w:p w14:paraId="1E8F5A9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标准值</w:t>
            </w:r>
          </w:p>
        </w:tc>
      </w:tr>
      <w:tr w14:paraId="1EE866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4" w:type="pct"/>
            <w:noWrap w:val="0"/>
            <w:vAlign w:val="center"/>
          </w:tcPr>
          <w:p w14:paraId="2EC3F7F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lang w:bidi="ar"/>
                <w14:textFill>
                  <w14:solidFill>
                    <w14:schemeClr w14:val="tx1"/>
                  </w14:solidFill>
                </w14:textFill>
              </w:rPr>
              <w:t>检测项目</w:t>
            </w:r>
          </w:p>
        </w:tc>
        <w:tc>
          <w:tcPr>
            <w:tcW w:w="379" w:type="pct"/>
            <w:noWrap w:val="0"/>
            <w:vAlign w:val="center"/>
          </w:tcPr>
          <w:p w14:paraId="40D4526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lang w:bidi="ar"/>
                <w14:textFill>
                  <w14:solidFill>
                    <w14:schemeClr w14:val="tx1"/>
                  </w14:solidFill>
                </w14:textFill>
              </w:rPr>
              <w:t>单位</w:t>
            </w:r>
          </w:p>
        </w:tc>
        <w:tc>
          <w:tcPr>
            <w:tcW w:w="3923" w:type="pct"/>
            <w:gridSpan w:val="9"/>
            <w:noWrap w:val="0"/>
            <w:vAlign w:val="center"/>
          </w:tcPr>
          <w:p w14:paraId="7FFA5AF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检测结果</w:t>
            </w:r>
          </w:p>
        </w:tc>
        <w:tc>
          <w:tcPr>
            <w:tcW w:w="333" w:type="pct"/>
            <w:vMerge w:val="continue"/>
            <w:noWrap w:val="0"/>
            <w:vAlign w:val="center"/>
          </w:tcPr>
          <w:p w14:paraId="4C554B3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p>
        </w:tc>
      </w:tr>
      <w:tr w14:paraId="136DA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4" w:type="pct"/>
            <w:noWrap w:val="0"/>
            <w:vAlign w:val="center"/>
          </w:tcPr>
          <w:p w14:paraId="7131F217">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铜</w:t>
            </w:r>
          </w:p>
        </w:tc>
        <w:tc>
          <w:tcPr>
            <w:tcW w:w="379" w:type="pct"/>
            <w:noWrap w:val="0"/>
            <w:vAlign w:val="center"/>
          </w:tcPr>
          <w:p w14:paraId="41D6986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mg/kg</w:t>
            </w:r>
          </w:p>
        </w:tc>
        <w:tc>
          <w:tcPr>
            <w:tcW w:w="719" w:type="dxa"/>
            <w:noWrap w:val="0"/>
            <w:vAlign w:val="center"/>
          </w:tcPr>
          <w:p w14:paraId="0E49F64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w:t>
            </w:r>
          </w:p>
        </w:tc>
        <w:tc>
          <w:tcPr>
            <w:tcW w:w="719" w:type="dxa"/>
            <w:noWrap w:val="0"/>
            <w:vAlign w:val="center"/>
          </w:tcPr>
          <w:p w14:paraId="6895D92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w:t>
            </w:r>
          </w:p>
        </w:tc>
        <w:tc>
          <w:tcPr>
            <w:tcW w:w="719" w:type="dxa"/>
            <w:noWrap w:val="0"/>
            <w:vAlign w:val="center"/>
          </w:tcPr>
          <w:p w14:paraId="398C379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w:t>
            </w:r>
          </w:p>
        </w:tc>
        <w:tc>
          <w:tcPr>
            <w:tcW w:w="730" w:type="dxa"/>
            <w:noWrap w:val="0"/>
            <w:vAlign w:val="center"/>
          </w:tcPr>
          <w:p w14:paraId="71DFFDA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730" w:type="dxa"/>
            <w:noWrap w:val="0"/>
            <w:vAlign w:val="center"/>
          </w:tcPr>
          <w:p w14:paraId="1222100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13</w:t>
            </w:r>
          </w:p>
        </w:tc>
        <w:tc>
          <w:tcPr>
            <w:tcW w:w="730" w:type="dxa"/>
            <w:noWrap w:val="0"/>
            <w:vAlign w:val="center"/>
          </w:tcPr>
          <w:p w14:paraId="31DCBA4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730" w:type="dxa"/>
            <w:noWrap w:val="0"/>
            <w:vAlign w:val="center"/>
          </w:tcPr>
          <w:p w14:paraId="5B17DFB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w:t>
            </w:r>
          </w:p>
        </w:tc>
        <w:tc>
          <w:tcPr>
            <w:tcW w:w="730" w:type="dxa"/>
            <w:noWrap w:val="0"/>
            <w:vAlign w:val="center"/>
          </w:tcPr>
          <w:p w14:paraId="27925EA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13</w:t>
            </w:r>
          </w:p>
        </w:tc>
        <w:tc>
          <w:tcPr>
            <w:tcW w:w="732" w:type="dxa"/>
            <w:noWrap w:val="0"/>
            <w:vAlign w:val="center"/>
          </w:tcPr>
          <w:p w14:paraId="2FAFC64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w:t>
            </w:r>
          </w:p>
        </w:tc>
        <w:tc>
          <w:tcPr>
            <w:tcW w:w="333" w:type="pct"/>
            <w:noWrap w:val="0"/>
            <w:vAlign w:val="center"/>
          </w:tcPr>
          <w:p w14:paraId="47B0D11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18000</w:t>
            </w:r>
          </w:p>
        </w:tc>
      </w:tr>
      <w:tr w14:paraId="7E07D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4" w:type="pct"/>
            <w:noWrap w:val="0"/>
            <w:vAlign w:val="center"/>
          </w:tcPr>
          <w:p w14:paraId="0717D539">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镍</w:t>
            </w:r>
          </w:p>
        </w:tc>
        <w:tc>
          <w:tcPr>
            <w:tcW w:w="379" w:type="pct"/>
            <w:noWrap w:val="0"/>
            <w:vAlign w:val="center"/>
          </w:tcPr>
          <w:p w14:paraId="5017638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center"/>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mg/kg</w:t>
            </w:r>
          </w:p>
        </w:tc>
        <w:tc>
          <w:tcPr>
            <w:tcW w:w="719" w:type="dxa"/>
            <w:noWrap w:val="0"/>
            <w:vAlign w:val="center"/>
          </w:tcPr>
          <w:p w14:paraId="24809D3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15</w:t>
            </w:r>
          </w:p>
        </w:tc>
        <w:tc>
          <w:tcPr>
            <w:tcW w:w="719" w:type="dxa"/>
            <w:noWrap w:val="0"/>
            <w:vAlign w:val="center"/>
          </w:tcPr>
          <w:p w14:paraId="2B9B029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16</w:t>
            </w:r>
          </w:p>
        </w:tc>
        <w:tc>
          <w:tcPr>
            <w:tcW w:w="719" w:type="dxa"/>
            <w:noWrap w:val="0"/>
            <w:vAlign w:val="center"/>
          </w:tcPr>
          <w:p w14:paraId="3FB804C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13</w:t>
            </w:r>
          </w:p>
        </w:tc>
        <w:tc>
          <w:tcPr>
            <w:tcW w:w="730" w:type="dxa"/>
            <w:noWrap w:val="0"/>
            <w:vAlign w:val="center"/>
          </w:tcPr>
          <w:p w14:paraId="7F1A9C6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16</w:t>
            </w:r>
          </w:p>
        </w:tc>
        <w:tc>
          <w:tcPr>
            <w:tcW w:w="730" w:type="dxa"/>
            <w:noWrap w:val="0"/>
            <w:vAlign w:val="center"/>
          </w:tcPr>
          <w:p w14:paraId="50E2861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23</w:t>
            </w:r>
          </w:p>
        </w:tc>
        <w:tc>
          <w:tcPr>
            <w:tcW w:w="730" w:type="dxa"/>
            <w:noWrap w:val="0"/>
            <w:vAlign w:val="center"/>
          </w:tcPr>
          <w:p w14:paraId="1BE667B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14</w:t>
            </w:r>
          </w:p>
        </w:tc>
        <w:tc>
          <w:tcPr>
            <w:tcW w:w="730" w:type="dxa"/>
            <w:noWrap w:val="0"/>
            <w:vAlign w:val="center"/>
          </w:tcPr>
          <w:p w14:paraId="4554EDC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17</w:t>
            </w:r>
          </w:p>
        </w:tc>
        <w:tc>
          <w:tcPr>
            <w:tcW w:w="730" w:type="dxa"/>
            <w:noWrap w:val="0"/>
            <w:vAlign w:val="center"/>
          </w:tcPr>
          <w:p w14:paraId="1CFA332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18</w:t>
            </w:r>
          </w:p>
        </w:tc>
        <w:tc>
          <w:tcPr>
            <w:tcW w:w="732" w:type="dxa"/>
            <w:noWrap w:val="0"/>
            <w:vAlign w:val="center"/>
          </w:tcPr>
          <w:p w14:paraId="3CECD0D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333" w:type="pct"/>
            <w:noWrap w:val="0"/>
            <w:vAlign w:val="center"/>
          </w:tcPr>
          <w:p w14:paraId="38146B8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900</w:t>
            </w:r>
          </w:p>
        </w:tc>
      </w:tr>
      <w:tr w14:paraId="04FA1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4" w:type="pct"/>
            <w:noWrap w:val="0"/>
            <w:vAlign w:val="center"/>
          </w:tcPr>
          <w:p w14:paraId="66989ACE">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rPr>
                <w:rFonts w:hint="eastAsia"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eastAsia" w:ascii="Times New Roman" w:hAnsi="Times New Roman" w:eastAsia="宋体" w:cs="Calibri"/>
                <w:color w:val="000000" w:themeColor="text1"/>
                <w:spacing w:val="-8"/>
                <w:kern w:val="2"/>
                <w:sz w:val="21"/>
                <w:szCs w:val="21"/>
                <w:lang w:val="en-US" w:eastAsia="zh-CN" w:bidi="ar-SA"/>
                <w14:textFill>
                  <w14:solidFill>
                    <w14:schemeClr w14:val="tx1"/>
                  </w14:solidFill>
                </w14:textFill>
              </w:rPr>
              <w:t>六价铬</w:t>
            </w:r>
          </w:p>
        </w:tc>
        <w:tc>
          <w:tcPr>
            <w:tcW w:w="379" w:type="pct"/>
            <w:noWrap w:val="0"/>
            <w:vAlign w:val="center"/>
          </w:tcPr>
          <w:p w14:paraId="01BEF6F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mg/kg</w:t>
            </w:r>
          </w:p>
        </w:tc>
        <w:tc>
          <w:tcPr>
            <w:tcW w:w="719" w:type="dxa"/>
            <w:noWrap w:val="0"/>
            <w:vAlign w:val="center"/>
          </w:tcPr>
          <w:p w14:paraId="722B7BA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19" w:type="dxa"/>
            <w:noWrap w:val="0"/>
            <w:vAlign w:val="center"/>
          </w:tcPr>
          <w:p w14:paraId="1EBC1F6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19" w:type="dxa"/>
            <w:noWrap w:val="0"/>
            <w:vAlign w:val="center"/>
          </w:tcPr>
          <w:p w14:paraId="0468915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30" w:type="dxa"/>
            <w:noWrap w:val="0"/>
            <w:vAlign w:val="center"/>
          </w:tcPr>
          <w:p w14:paraId="2A5FE50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30" w:type="dxa"/>
            <w:noWrap w:val="0"/>
            <w:vAlign w:val="center"/>
          </w:tcPr>
          <w:p w14:paraId="2C81BD0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30" w:type="dxa"/>
            <w:noWrap w:val="0"/>
            <w:vAlign w:val="center"/>
          </w:tcPr>
          <w:p w14:paraId="38F5363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30" w:type="dxa"/>
            <w:noWrap w:val="0"/>
            <w:vAlign w:val="center"/>
          </w:tcPr>
          <w:p w14:paraId="198390C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30" w:type="dxa"/>
            <w:noWrap w:val="0"/>
            <w:vAlign w:val="center"/>
          </w:tcPr>
          <w:p w14:paraId="5E1F8A3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32" w:type="dxa"/>
            <w:noWrap w:val="0"/>
            <w:vAlign w:val="center"/>
          </w:tcPr>
          <w:p w14:paraId="6FEEFDA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333" w:type="pct"/>
            <w:noWrap w:val="0"/>
            <w:vAlign w:val="center"/>
          </w:tcPr>
          <w:p w14:paraId="1B59FB5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5.7</w:t>
            </w:r>
          </w:p>
        </w:tc>
      </w:tr>
      <w:tr w14:paraId="74AAE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4" w:type="pct"/>
            <w:noWrap w:val="0"/>
            <w:vAlign w:val="center"/>
          </w:tcPr>
          <w:p w14:paraId="539CA2C3">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铅</w:t>
            </w:r>
          </w:p>
        </w:tc>
        <w:tc>
          <w:tcPr>
            <w:tcW w:w="379" w:type="pct"/>
            <w:noWrap w:val="0"/>
            <w:vAlign w:val="center"/>
          </w:tcPr>
          <w:p w14:paraId="016CA71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center"/>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mg/kg</w:t>
            </w:r>
          </w:p>
        </w:tc>
        <w:tc>
          <w:tcPr>
            <w:tcW w:w="719" w:type="dxa"/>
            <w:noWrap w:val="0"/>
            <w:vAlign w:val="center"/>
          </w:tcPr>
          <w:p w14:paraId="2D27E1B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7.0</w:t>
            </w:r>
          </w:p>
        </w:tc>
        <w:tc>
          <w:tcPr>
            <w:tcW w:w="719" w:type="dxa"/>
            <w:noWrap w:val="0"/>
            <w:vAlign w:val="center"/>
          </w:tcPr>
          <w:p w14:paraId="669D395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6.3</w:t>
            </w:r>
          </w:p>
        </w:tc>
        <w:tc>
          <w:tcPr>
            <w:tcW w:w="719" w:type="dxa"/>
            <w:noWrap w:val="0"/>
            <w:vAlign w:val="center"/>
          </w:tcPr>
          <w:p w14:paraId="56BD106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6.8</w:t>
            </w:r>
          </w:p>
        </w:tc>
        <w:tc>
          <w:tcPr>
            <w:tcW w:w="730" w:type="dxa"/>
            <w:noWrap w:val="0"/>
            <w:vAlign w:val="center"/>
          </w:tcPr>
          <w:p w14:paraId="2D88951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7.6</w:t>
            </w:r>
          </w:p>
        </w:tc>
        <w:tc>
          <w:tcPr>
            <w:tcW w:w="730" w:type="dxa"/>
            <w:noWrap w:val="0"/>
            <w:vAlign w:val="center"/>
          </w:tcPr>
          <w:p w14:paraId="7A78A18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9.2</w:t>
            </w:r>
          </w:p>
        </w:tc>
        <w:tc>
          <w:tcPr>
            <w:tcW w:w="730" w:type="dxa"/>
            <w:noWrap w:val="0"/>
            <w:vAlign w:val="center"/>
          </w:tcPr>
          <w:p w14:paraId="48AD16F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5.8</w:t>
            </w:r>
          </w:p>
        </w:tc>
        <w:tc>
          <w:tcPr>
            <w:tcW w:w="730" w:type="dxa"/>
            <w:noWrap w:val="0"/>
            <w:vAlign w:val="center"/>
          </w:tcPr>
          <w:p w14:paraId="4F936FB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6.5</w:t>
            </w:r>
          </w:p>
        </w:tc>
        <w:tc>
          <w:tcPr>
            <w:tcW w:w="730" w:type="dxa"/>
            <w:noWrap w:val="0"/>
            <w:vAlign w:val="center"/>
          </w:tcPr>
          <w:p w14:paraId="2B4D402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6.9</w:t>
            </w:r>
          </w:p>
        </w:tc>
        <w:tc>
          <w:tcPr>
            <w:tcW w:w="732" w:type="dxa"/>
            <w:noWrap w:val="0"/>
            <w:vAlign w:val="center"/>
          </w:tcPr>
          <w:p w14:paraId="33158AD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4.1</w:t>
            </w:r>
          </w:p>
        </w:tc>
        <w:tc>
          <w:tcPr>
            <w:tcW w:w="333" w:type="pct"/>
            <w:noWrap w:val="0"/>
            <w:vAlign w:val="center"/>
          </w:tcPr>
          <w:p w14:paraId="7045F13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800</w:t>
            </w:r>
          </w:p>
        </w:tc>
      </w:tr>
      <w:tr w14:paraId="5CB46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4" w:type="pct"/>
            <w:noWrap w:val="0"/>
            <w:vAlign w:val="center"/>
          </w:tcPr>
          <w:p w14:paraId="5D44B13B">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镉</w:t>
            </w:r>
          </w:p>
        </w:tc>
        <w:tc>
          <w:tcPr>
            <w:tcW w:w="379" w:type="pct"/>
            <w:noWrap w:val="0"/>
            <w:vAlign w:val="center"/>
          </w:tcPr>
          <w:p w14:paraId="08B19C0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mg/kg</w:t>
            </w:r>
          </w:p>
        </w:tc>
        <w:tc>
          <w:tcPr>
            <w:tcW w:w="719" w:type="dxa"/>
            <w:noWrap w:val="0"/>
            <w:vAlign w:val="center"/>
          </w:tcPr>
          <w:p w14:paraId="004ADCB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0.44</w:t>
            </w:r>
          </w:p>
        </w:tc>
        <w:tc>
          <w:tcPr>
            <w:tcW w:w="719" w:type="dxa"/>
            <w:noWrap w:val="0"/>
            <w:vAlign w:val="center"/>
          </w:tcPr>
          <w:p w14:paraId="694686D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0.25</w:t>
            </w:r>
          </w:p>
        </w:tc>
        <w:tc>
          <w:tcPr>
            <w:tcW w:w="719" w:type="dxa"/>
            <w:noWrap w:val="0"/>
            <w:vAlign w:val="center"/>
          </w:tcPr>
          <w:p w14:paraId="0E52848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0.17</w:t>
            </w:r>
          </w:p>
        </w:tc>
        <w:tc>
          <w:tcPr>
            <w:tcW w:w="730" w:type="dxa"/>
            <w:noWrap w:val="0"/>
            <w:vAlign w:val="center"/>
          </w:tcPr>
          <w:p w14:paraId="691C9FC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0.36</w:t>
            </w:r>
          </w:p>
        </w:tc>
        <w:tc>
          <w:tcPr>
            <w:tcW w:w="730" w:type="dxa"/>
            <w:noWrap w:val="0"/>
            <w:vAlign w:val="center"/>
          </w:tcPr>
          <w:p w14:paraId="15AEBF0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0.32</w:t>
            </w:r>
          </w:p>
        </w:tc>
        <w:tc>
          <w:tcPr>
            <w:tcW w:w="730" w:type="dxa"/>
            <w:noWrap w:val="0"/>
            <w:vAlign w:val="center"/>
          </w:tcPr>
          <w:p w14:paraId="3625A95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0.20</w:t>
            </w:r>
          </w:p>
        </w:tc>
        <w:tc>
          <w:tcPr>
            <w:tcW w:w="730" w:type="dxa"/>
            <w:noWrap w:val="0"/>
            <w:vAlign w:val="center"/>
          </w:tcPr>
          <w:p w14:paraId="359C073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0.32</w:t>
            </w:r>
          </w:p>
        </w:tc>
        <w:tc>
          <w:tcPr>
            <w:tcW w:w="730" w:type="dxa"/>
            <w:noWrap w:val="0"/>
            <w:vAlign w:val="center"/>
          </w:tcPr>
          <w:p w14:paraId="638F36E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0.20</w:t>
            </w:r>
          </w:p>
        </w:tc>
        <w:tc>
          <w:tcPr>
            <w:tcW w:w="732" w:type="dxa"/>
            <w:noWrap w:val="0"/>
            <w:vAlign w:val="center"/>
          </w:tcPr>
          <w:p w14:paraId="6580B0D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0.15</w:t>
            </w:r>
          </w:p>
        </w:tc>
        <w:tc>
          <w:tcPr>
            <w:tcW w:w="333" w:type="pct"/>
            <w:noWrap w:val="0"/>
            <w:vAlign w:val="center"/>
          </w:tcPr>
          <w:p w14:paraId="7018E93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65</w:t>
            </w:r>
          </w:p>
        </w:tc>
      </w:tr>
      <w:tr w14:paraId="621187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4" w:type="pct"/>
            <w:noWrap w:val="0"/>
            <w:vAlign w:val="center"/>
          </w:tcPr>
          <w:p w14:paraId="3A8FA63E">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汞</w:t>
            </w:r>
          </w:p>
        </w:tc>
        <w:tc>
          <w:tcPr>
            <w:tcW w:w="379" w:type="pct"/>
            <w:noWrap w:val="0"/>
            <w:vAlign w:val="center"/>
          </w:tcPr>
          <w:p w14:paraId="23B4838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mg/kg</w:t>
            </w:r>
          </w:p>
        </w:tc>
        <w:tc>
          <w:tcPr>
            <w:tcW w:w="719" w:type="dxa"/>
            <w:noWrap w:val="0"/>
            <w:vAlign w:val="center"/>
          </w:tcPr>
          <w:p w14:paraId="23AD36E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0.686</w:t>
            </w:r>
          </w:p>
        </w:tc>
        <w:tc>
          <w:tcPr>
            <w:tcW w:w="719" w:type="dxa"/>
            <w:noWrap w:val="0"/>
            <w:vAlign w:val="center"/>
          </w:tcPr>
          <w:p w14:paraId="5DAA19B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0.936</w:t>
            </w:r>
          </w:p>
        </w:tc>
        <w:tc>
          <w:tcPr>
            <w:tcW w:w="719" w:type="dxa"/>
            <w:noWrap w:val="0"/>
            <w:vAlign w:val="center"/>
          </w:tcPr>
          <w:p w14:paraId="5FC59A3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0.546</w:t>
            </w:r>
          </w:p>
        </w:tc>
        <w:tc>
          <w:tcPr>
            <w:tcW w:w="730" w:type="dxa"/>
            <w:noWrap w:val="0"/>
            <w:vAlign w:val="center"/>
          </w:tcPr>
          <w:p w14:paraId="478F7A4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0.584</w:t>
            </w:r>
          </w:p>
        </w:tc>
        <w:tc>
          <w:tcPr>
            <w:tcW w:w="730" w:type="dxa"/>
            <w:noWrap w:val="0"/>
            <w:vAlign w:val="center"/>
          </w:tcPr>
          <w:p w14:paraId="45A5285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0.628</w:t>
            </w:r>
          </w:p>
        </w:tc>
        <w:tc>
          <w:tcPr>
            <w:tcW w:w="730" w:type="dxa"/>
            <w:noWrap w:val="0"/>
            <w:vAlign w:val="center"/>
          </w:tcPr>
          <w:p w14:paraId="07BF611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0.441</w:t>
            </w:r>
          </w:p>
        </w:tc>
        <w:tc>
          <w:tcPr>
            <w:tcW w:w="730" w:type="dxa"/>
            <w:noWrap w:val="0"/>
            <w:vAlign w:val="center"/>
          </w:tcPr>
          <w:p w14:paraId="75F659E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0.635</w:t>
            </w:r>
          </w:p>
        </w:tc>
        <w:tc>
          <w:tcPr>
            <w:tcW w:w="730" w:type="dxa"/>
            <w:noWrap w:val="0"/>
            <w:vAlign w:val="center"/>
          </w:tcPr>
          <w:p w14:paraId="727861D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0.681</w:t>
            </w:r>
          </w:p>
        </w:tc>
        <w:tc>
          <w:tcPr>
            <w:tcW w:w="732" w:type="dxa"/>
            <w:noWrap w:val="0"/>
            <w:vAlign w:val="center"/>
          </w:tcPr>
          <w:p w14:paraId="39CBE23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0.391</w:t>
            </w:r>
          </w:p>
        </w:tc>
        <w:tc>
          <w:tcPr>
            <w:tcW w:w="333" w:type="pct"/>
            <w:noWrap w:val="0"/>
            <w:vAlign w:val="center"/>
          </w:tcPr>
          <w:p w14:paraId="7D32878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38</w:t>
            </w:r>
          </w:p>
        </w:tc>
      </w:tr>
      <w:tr w14:paraId="384C7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4" w:type="pct"/>
            <w:noWrap w:val="0"/>
            <w:vAlign w:val="center"/>
          </w:tcPr>
          <w:p w14:paraId="7E073F22">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rPr>
                <w:rFonts w:hint="default" w:ascii="Times New Roman" w:hAnsi="Times New Roman" w:eastAsia="宋体" w:cs="Calibri"/>
                <w:color w:val="000000" w:themeColor="text1"/>
                <w:spacing w:val="-8"/>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砷</w:t>
            </w:r>
          </w:p>
        </w:tc>
        <w:tc>
          <w:tcPr>
            <w:tcW w:w="379" w:type="pct"/>
            <w:noWrap w:val="0"/>
            <w:vAlign w:val="center"/>
          </w:tcPr>
          <w:p w14:paraId="116FBE9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t>mg/kg</w:t>
            </w:r>
          </w:p>
        </w:tc>
        <w:tc>
          <w:tcPr>
            <w:tcW w:w="719" w:type="dxa"/>
            <w:noWrap w:val="0"/>
            <w:vAlign w:val="center"/>
          </w:tcPr>
          <w:p w14:paraId="4945A43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8.05</w:t>
            </w:r>
          </w:p>
        </w:tc>
        <w:tc>
          <w:tcPr>
            <w:tcW w:w="719" w:type="dxa"/>
            <w:noWrap w:val="0"/>
            <w:vAlign w:val="center"/>
          </w:tcPr>
          <w:p w14:paraId="449D661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7.81</w:t>
            </w:r>
          </w:p>
        </w:tc>
        <w:tc>
          <w:tcPr>
            <w:tcW w:w="719" w:type="dxa"/>
            <w:noWrap w:val="0"/>
            <w:vAlign w:val="center"/>
          </w:tcPr>
          <w:p w14:paraId="3303E74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8.51</w:t>
            </w:r>
          </w:p>
        </w:tc>
        <w:tc>
          <w:tcPr>
            <w:tcW w:w="730" w:type="dxa"/>
            <w:noWrap w:val="0"/>
            <w:vAlign w:val="center"/>
          </w:tcPr>
          <w:p w14:paraId="6B6F0A7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8.52</w:t>
            </w:r>
          </w:p>
        </w:tc>
        <w:tc>
          <w:tcPr>
            <w:tcW w:w="730" w:type="dxa"/>
            <w:noWrap w:val="0"/>
            <w:vAlign w:val="center"/>
          </w:tcPr>
          <w:p w14:paraId="650FD82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8.84</w:t>
            </w:r>
          </w:p>
        </w:tc>
        <w:tc>
          <w:tcPr>
            <w:tcW w:w="730" w:type="dxa"/>
            <w:noWrap w:val="0"/>
            <w:vAlign w:val="center"/>
          </w:tcPr>
          <w:p w14:paraId="544B38E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8.48</w:t>
            </w:r>
          </w:p>
        </w:tc>
        <w:tc>
          <w:tcPr>
            <w:tcW w:w="730" w:type="dxa"/>
            <w:noWrap w:val="0"/>
            <w:vAlign w:val="center"/>
          </w:tcPr>
          <w:p w14:paraId="0DC496F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8.67</w:t>
            </w:r>
          </w:p>
        </w:tc>
        <w:tc>
          <w:tcPr>
            <w:tcW w:w="730" w:type="dxa"/>
            <w:noWrap w:val="0"/>
            <w:vAlign w:val="center"/>
          </w:tcPr>
          <w:p w14:paraId="5915E8C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9.17</w:t>
            </w:r>
          </w:p>
        </w:tc>
        <w:tc>
          <w:tcPr>
            <w:tcW w:w="732" w:type="dxa"/>
            <w:noWrap w:val="0"/>
            <w:vAlign w:val="center"/>
          </w:tcPr>
          <w:p w14:paraId="659BD29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9.01</w:t>
            </w:r>
          </w:p>
        </w:tc>
        <w:tc>
          <w:tcPr>
            <w:tcW w:w="333" w:type="pct"/>
            <w:noWrap w:val="0"/>
            <w:vAlign w:val="center"/>
          </w:tcPr>
          <w:p w14:paraId="3C1DCCB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60</w:t>
            </w:r>
          </w:p>
        </w:tc>
      </w:tr>
      <w:tr w14:paraId="204F6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4" w:type="pct"/>
            <w:noWrap w:val="0"/>
            <w:vAlign w:val="center"/>
          </w:tcPr>
          <w:p w14:paraId="1E06918A">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rPr>
                <w:rFonts w:hint="eastAsia"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锌</w:t>
            </w:r>
          </w:p>
        </w:tc>
        <w:tc>
          <w:tcPr>
            <w:tcW w:w="379" w:type="pct"/>
            <w:noWrap w:val="0"/>
            <w:vAlign w:val="center"/>
          </w:tcPr>
          <w:p w14:paraId="3CAEF4E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t>mg/kg</w:t>
            </w:r>
          </w:p>
        </w:tc>
        <w:tc>
          <w:tcPr>
            <w:tcW w:w="719" w:type="dxa"/>
            <w:noWrap w:val="0"/>
            <w:vAlign w:val="center"/>
          </w:tcPr>
          <w:p w14:paraId="7871A29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32</w:t>
            </w:r>
          </w:p>
        </w:tc>
        <w:tc>
          <w:tcPr>
            <w:tcW w:w="719" w:type="dxa"/>
            <w:noWrap w:val="0"/>
            <w:vAlign w:val="center"/>
          </w:tcPr>
          <w:p w14:paraId="4138E2E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35</w:t>
            </w:r>
          </w:p>
        </w:tc>
        <w:tc>
          <w:tcPr>
            <w:tcW w:w="719" w:type="dxa"/>
            <w:noWrap w:val="0"/>
            <w:vAlign w:val="center"/>
          </w:tcPr>
          <w:p w14:paraId="2423868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35</w:t>
            </w:r>
          </w:p>
        </w:tc>
        <w:tc>
          <w:tcPr>
            <w:tcW w:w="730" w:type="dxa"/>
            <w:noWrap w:val="0"/>
            <w:vAlign w:val="center"/>
          </w:tcPr>
          <w:p w14:paraId="4B186C4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39</w:t>
            </w:r>
          </w:p>
        </w:tc>
        <w:tc>
          <w:tcPr>
            <w:tcW w:w="730" w:type="dxa"/>
            <w:noWrap w:val="0"/>
            <w:vAlign w:val="center"/>
          </w:tcPr>
          <w:p w14:paraId="09A0FAE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51</w:t>
            </w:r>
          </w:p>
        </w:tc>
        <w:tc>
          <w:tcPr>
            <w:tcW w:w="730" w:type="dxa"/>
            <w:noWrap w:val="0"/>
            <w:vAlign w:val="center"/>
          </w:tcPr>
          <w:p w14:paraId="1DF221A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38</w:t>
            </w:r>
          </w:p>
        </w:tc>
        <w:tc>
          <w:tcPr>
            <w:tcW w:w="730" w:type="dxa"/>
            <w:noWrap w:val="0"/>
            <w:vAlign w:val="center"/>
          </w:tcPr>
          <w:p w14:paraId="22F74FC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33</w:t>
            </w:r>
          </w:p>
        </w:tc>
        <w:tc>
          <w:tcPr>
            <w:tcW w:w="730" w:type="dxa"/>
            <w:noWrap w:val="0"/>
            <w:vAlign w:val="center"/>
          </w:tcPr>
          <w:p w14:paraId="435A312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40</w:t>
            </w:r>
          </w:p>
        </w:tc>
        <w:tc>
          <w:tcPr>
            <w:tcW w:w="732" w:type="dxa"/>
            <w:noWrap w:val="0"/>
            <w:vAlign w:val="center"/>
          </w:tcPr>
          <w:p w14:paraId="5EC2862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24</w:t>
            </w:r>
          </w:p>
        </w:tc>
        <w:tc>
          <w:tcPr>
            <w:tcW w:w="333" w:type="pct"/>
            <w:noWrap w:val="0"/>
            <w:vAlign w:val="center"/>
          </w:tcPr>
          <w:p w14:paraId="182C264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348A7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4" w:type="pct"/>
            <w:noWrap w:val="0"/>
            <w:vAlign w:val="center"/>
          </w:tcPr>
          <w:p w14:paraId="3C55E0EB">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eastAsia" w:ascii="Times New Roman" w:hAnsi="Times New Roman" w:eastAsia="宋体" w:cs="Calibri"/>
                <w:color w:val="000000" w:themeColor="text1"/>
                <w:spacing w:val="-8"/>
                <w:kern w:val="2"/>
                <w:sz w:val="21"/>
                <w:szCs w:val="21"/>
                <w:lang w:val="en-US" w:eastAsia="zh-CN" w:bidi="ar-SA"/>
                <w14:textFill>
                  <w14:solidFill>
                    <w14:schemeClr w14:val="tx1"/>
                  </w14:solidFill>
                </w14:textFill>
              </w:rPr>
              <w:t>pH</w:t>
            </w:r>
          </w:p>
        </w:tc>
        <w:tc>
          <w:tcPr>
            <w:tcW w:w="379" w:type="pct"/>
            <w:noWrap w:val="0"/>
            <w:vAlign w:val="center"/>
          </w:tcPr>
          <w:p w14:paraId="77F61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无量纲</w:t>
            </w:r>
          </w:p>
        </w:tc>
        <w:tc>
          <w:tcPr>
            <w:tcW w:w="719" w:type="dxa"/>
            <w:noWrap w:val="0"/>
            <w:vAlign w:val="center"/>
          </w:tcPr>
          <w:p w14:paraId="02B1C05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8.23</w:t>
            </w:r>
          </w:p>
        </w:tc>
        <w:tc>
          <w:tcPr>
            <w:tcW w:w="719" w:type="dxa"/>
            <w:noWrap w:val="0"/>
            <w:vAlign w:val="center"/>
          </w:tcPr>
          <w:p w14:paraId="69D1006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8.39</w:t>
            </w:r>
          </w:p>
        </w:tc>
        <w:tc>
          <w:tcPr>
            <w:tcW w:w="719" w:type="dxa"/>
            <w:noWrap w:val="0"/>
            <w:vAlign w:val="center"/>
          </w:tcPr>
          <w:p w14:paraId="490BB0F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8.46</w:t>
            </w:r>
          </w:p>
        </w:tc>
        <w:tc>
          <w:tcPr>
            <w:tcW w:w="730" w:type="dxa"/>
            <w:shd w:val="clear" w:color="auto" w:fill="auto"/>
            <w:noWrap w:val="0"/>
            <w:vAlign w:val="center"/>
          </w:tcPr>
          <w:p w14:paraId="1A9FB4E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8.48</w:t>
            </w:r>
          </w:p>
        </w:tc>
        <w:tc>
          <w:tcPr>
            <w:tcW w:w="730" w:type="dxa"/>
            <w:shd w:val="clear" w:color="auto" w:fill="auto"/>
            <w:noWrap w:val="0"/>
            <w:vAlign w:val="center"/>
          </w:tcPr>
          <w:p w14:paraId="7A5F794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8.64</w:t>
            </w:r>
          </w:p>
        </w:tc>
        <w:tc>
          <w:tcPr>
            <w:tcW w:w="730" w:type="dxa"/>
            <w:shd w:val="clear" w:color="auto" w:fill="auto"/>
            <w:noWrap w:val="0"/>
            <w:vAlign w:val="center"/>
          </w:tcPr>
          <w:p w14:paraId="6EDF6F7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8.62</w:t>
            </w:r>
          </w:p>
        </w:tc>
        <w:tc>
          <w:tcPr>
            <w:tcW w:w="730" w:type="dxa"/>
            <w:noWrap w:val="0"/>
            <w:vAlign w:val="center"/>
          </w:tcPr>
          <w:p w14:paraId="0ED1CDD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8.64</w:t>
            </w:r>
          </w:p>
        </w:tc>
        <w:tc>
          <w:tcPr>
            <w:tcW w:w="730" w:type="dxa"/>
            <w:noWrap w:val="0"/>
            <w:vAlign w:val="center"/>
          </w:tcPr>
          <w:p w14:paraId="5F57DFB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8.66</w:t>
            </w:r>
          </w:p>
        </w:tc>
        <w:tc>
          <w:tcPr>
            <w:tcW w:w="732" w:type="dxa"/>
            <w:noWrap w:val="0"/>
            <w:vAlign w:val="center"/>
          </w:tcPr>
          <w:p w14:paraId="1EA3A20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8.56</w:t>
            </w:r>
          </w:p>
        </w:tc>
        <w:tc>
          <w:tcPr>
            <w:tcW w:w="333" w:type="pct"/>
            <w:noWrap w:val="0"/>
            <w:vAlign w:val="center"/>
          </w:tcPr>
          <w:p w14:paraId="28A029E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7C9CE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4" w:type="pct"/>
            <w:noWrap w:val="0"/>
            <w:vAlign w:val="center"/>
          </w:tcPr>
          <w:p w14:paraId="78FB80CE">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eastAsia" w:ascii="Times New Roman" w:hAnsi="Times New Roman" w:eastAsia="宋体" w:cs="Calibri"/>
                <w:color w:val="000000" w:themeColor="text1"/>
                <w:spacing w:val="-8"/>
                <w:kern w:val="2"/>
                <w:sz w:val="21"/>
                <w:szCs w:val="21"/>
                <w:lang w:val="en-US" w:eastAsia="zh-CN" w:bidi="ar-SA"/>
                <w14:textFill>
                  <w14:solidFill>
                    <w14:schemeClr w14:val="tx1"/>
                  </w14:solidFill>
                </w14:textFill>
              </w:rPr>
              <w:t>含盐量</w:t>
            </w:r>
          </w:p>
        </w:tc>
        <w:tc>
          <w:tcPr>
            <w:tcW w:w="379" w:type="pct"/>
            <w:noWrap w:val="0"/>
            <w:vAlign w:val="center"/>
          </w:tcPr>
          <w:p w14:paraId="28E2E8F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g/kg</w:t>
            </w:r>
          </w:p>
        </w:tc>
        <w:tc>
          <w:tcPr>
            <w:tcW w:w="719" w:type="dxa"/>
            <w:noWrap w:val="0"/>
            <w:vAlign w:val="center"/>
          </w:tcPr>
          <w:p w14:paraId="29D78A9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2.7</w:t>
            </w:r>
          </w:p>
        </w:tc>
        <w:tc>
          <w:tcPr>
            <w:tcW w:w="719" w:type="dxa"/>
            <w:noWrap w:val="0"/>
            <w:vAlign w:val="center"/>
          </w:tcPr>
          <w:p w14:paraId="68E11B8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2.2</w:t>
            </w:r>
          </w:p>
        </w:tc>
        <w:tc>
          <w:tcPr>
            <w:tcW w:w="719" w:type="dxa"/>
            <w:noWrap w:val="0"/>
            <w:vAlign w:val="center"/>
          </w:tcPr>
          <w:p w14:paraId="0D0B235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2.1</w:t>
            </w:r>
          </w:p>
        </w:tc>
        <w:tc>
          <w:tcPr>
            <w:tcW w:w="730" w:type="dxa"/>
            <w:shd w:val="clear" w:color="auto" w:fill="auto"/>
            <w:noWrap w:val="0"/>
            <w:vAlign w:val="center"/>
          </w:tcPr>
          <w:p w14:paraId="65C4D26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4.8</w:t>
            </w:r>
          </w:p>
        </w:tc>
        <w:tc>
          <w:tcPr>
            <w:tcW w:w="730" w:type="dxa"/>
            <w:shd w:val="clear" w:color="auto" w:fill="auto"/>
            <w:noWrap w:val="0"/>
            <w:vAlign w:val="center"/>
          </w:tcPr>
          <w:p w14:paraId="0494F7E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4.6</w:t>
            </w:r>
          </w:p>
        </w:tc>
        <w:tc>
          <w:tcPr>
            <w:tcW w:w="730" w:type="dxa"/>
            <w:shd w:val="clear" w:color="auto" w:fill="auto"/>
            <w:noWrap w:val="0"/>
            <w:vAlign w:val="center"/>
          </w:tcPr>
          <w:p w14:paraId="4447C28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4.6</w:t>
            </w:r>
          </w:p>
        </w:tc>
        <w:tc>
          <w:tcPr>
            <w:tcW w:w="730" w:type="dxa"/>
            <w:noWrap w:val="0"/>
            <w:vAlign w:val="center"/>
          </w:tcPr>
          <w:p w14:paraId="47FDA75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2.0</w:t>
            </w:r>
          </w:p>
        </w:tc>
        <w:tc>
          <w:tcPr>
            <w:tcW w:w="730" w:type="dxa"/>
            <w:noWrap w:val="0"/>
            <w:vAlign w:val="center"/>
          </w:tcPr>
          <w:p w14:paraId="6A572D3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1.9</w:t>
            </w:r>
          </w:p>
        </w:tc>
        <w:tc>
          <w:tcPr>
            <w:tcW w:w="732" w:type="dxa"/>
            <w:noWrap w:val="0"/>
            <w:vAlign w:val="center"/>
          </w:tcPr>
          <w:p w14:paraId="59DBAED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1.7</w:t>
            </w:r>
          </w:p>
        </w:tc>
        <w:tc>
          <w:tcPr>
            <w:tcW w:w="333" w:type="pct"/>
            <w:noWrap w:val="0"/>
            <w:vAlign w:val="center"/>
          </w:tcPr>
          <w:p w14:paraId="60E38E1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bl>
    <w:p w14:paraId="5F2D6439">
      <w:pPr>
        <w:spacing w:line="480" w:lineRule="exact"/>
        <w:ind w:firstLine="482" w:firstLineChars="200"/>
        <w:jc w:val="center"/>
        <w:rPr>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pacing w:val="0"/>
          <w:sz w:val="24"/>
          <w:szCs w:val="24"/>
          <w14:textFill>
            <w14:solidFill>
              <w14:schemeClr w14:val="tx1"/>
            </w14:solidFill>
          </w14:textFill>
        </w:rPr>
        <w:t>表4.2-</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10</w:t>
      </w:r>
      <w:r>
        <w:rPr>
          <w:rFonts w:ascii="Times New Roman" w:hAnsi="Times New Roman" w:eastAsia="宋体" w:cs="Times New Roman"/>
          <w:b/>
          <w:bCs/>
          <w:color w:val="000000" w:themeColor="text1"/>
          <w:spacing w:val="0"/>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选矿厂范围</w:t>
      </w:r>
      <w:r>
        <w:rPr>
          <w:rFonts w:ascii="Times New Roman" w:hAnsi="Times New Roman" w:eastAsia="宋体" w:cs="Times New Roman"/>
          <w:b/>
          <w:bCs/>
          <w:color w:val="000000" w:themeColor="text1"/>
          <w:spacing w:val="0"/>
          <w:sz w:val="24"/>
          <w:szCs w:val="24"/>
          <w14:textFill>
            <w14:solidFill>
              <w14:schemeClr w14:val="tx1"/>
            </w14:solidFill>
          </w14:textFill>
        </w:rPr>
        <w:t>内</w:t>
      </w:r>
      <w:r>
        <w:rPr>
          <w:rFonts w:hint="eastAsia" w:ascii="Times New Roman" w:hAnsi="Times New Roman" w:eastAsia="宋体" w:cs="Times New Roman"/>
          <w:b/>
          <w:bCs/>
          <w:color w:val="000000" w:themeColor="text1"/>
          <w:spacing w:val="0"/>
          <w:sz w:val="24"/>
          <w:szCs w:val="24"/>
          <w14:textFill>
            <w14:solidFill>
              <w14:schemeClr w14:val="tx1"/>
            </w14:solidFill>
          </w14:textFill>
        </w:rPr>
        <w:t>（T</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14</w:t>
      </w:r>
      <w:r>
        <w:rPr>
          <w:rFonts w:hint="eastAsia" w:ascii="Times New Roman" w:hAnsi="Times New Roman" w:eastAsia="宋体" w:cs="Times New Roman"/>
          <w:b/>
          <w:bCs/>
          <w:color w:val="000000" w:themeColor="text1"/>
          <w:spacing w:val="0"/>
          <w:sz w:val="24"/>
          <w:szCs w:val="24"/>
          <w14:textFill>
            <w14:solidFill>
              <w14:schemeClr w14:val="tx1"/>
            </w14:solidFill>
          </w14:textFill>
        </w:rPr>
        <w:t>）</w:t>
      </w:r>
      <w:r>
        <w:rPr>
          <w:rFonts w:hint="eastAsia" w:ascii="Times New Roman" w:hAnsi="Times New Roman" w:eastAsia="宋体" w:cs="Times New Roman"/>
          <w:b/>
          <w:bCs/>
          <w:color w:val="000000" w:themeColor="text1"/>
          <w:spacing w:val="0"/>
          <w:sz w:val="24"/>
          <w:szCs w:val="24"/>
          <w:lang w:eastAsia="zh-CN"/>
          <w14:textFill>
            <w14:solidFill>
              <w14:schemeClr w14:val="tx1"/>
            </w14:solidFill>
          </w14:textFill>
        </w:rPr>
        <w:t>、</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选矿厂范围外（T4、T8）</w:t>
      </w:r>
      <w:r>
        <w:rPr>
          <w:rFonts w:ascii="Times New Roman" w:hAnsi="Times New Roman" w:eastAsia="宋体" w:cs="Times New Roman"/>
          <w:b/>
          <w:bCs/>
          <w:color w:val="000000" w:themeColor="text1"/>
          <w:spacing w:val="0"/>
          <w:sz w:val="24"/>
          <w:szCs w:val="24"/>
          <w14:textFill>
            <w14:solidFill>
              <w14:schemeClr w14:val="tx1"/>
            </w14:solidFill>
          </w14:textFill>
        </w:rPr>
        <w:t>土壤环境质量现状监测及评价结果</w:t>
      </w:r>
    </w:p>
    <w:tbl>
      <w:tblPr>
        <w:tblStyle w:val="32"/>
        <w:tblW w:w="505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196"/>
        <w:gridCol w:w="1207"/>
        <w:gridCol w:w="1010"/>
        <w:gridCol w:w="1225"/>
        <w:gridCol w:w="1779"/>
      </w:tblGrid>
      <w:tr w14:paraId="7120EF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898" w:type="pct"/>
            <w:vMerge w:val="restart"/>
            <w:noWrap w:val="0"/>
            <w:vAlign w:val="center"/>
          </w:tcPr>
          <w:p w14:paraId="57F740B6">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监测项目</w:t>
            </w:r>
          </w:p>
        </w:tc>
        <w:tc>
          <w:tcPr>
            <w:tcW w:w="2044" w:type="pct"/>
            <w:gridSpan w:val="3"/>
            <w:noWrap w:val="0"/>
            <w:vAlign w:val="center"/>
          </w:tcPr>
          <w:p w14:paraId="359CDA5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检测结果</w:t>
            </w:r>
          </w:p>
        </w:tc>
        <w:tc>
          <w:tcPr>
            <w:tcW w:w="1056" w:type="pct"/>
            <w:vMerge w:val="restart"/>
            <w:noWrap w:val="0"/>
            <w:vAlign w:val="center"/>
          </w:tcPr>
          <w:p w14:paraId="2BBB59E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标准值</w:t>
            </w:r>
          </w:p>
        </w:tc>
      </w:tr>
      <w:tr w14:paraId="286EF5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898" w:type="pct"/>
            <w:vMerge w:val="continue"/>
            <w:noWrap w:val="0"/>
            <w:vAlign w:val="center"/>
          </w:tcPr>
          <w:p w14:paraId="0EACED8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17" w:type="pct"/>
            <w:noWrap w:val="0"/>
            <w:vAlign w:val="center"/>
          </w:tcPr>
          <w:p w14:paraId="26BE8D8F">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T14</w:t>
            </w:r>
          </w:p>
        </w:tc>
        <w:tc>
          <w:tcPr>
            <w:tcW w:w="600" w:type="pct"/>
            <w:noWrap w:val="0"/>
            <w:vAlign w:val="center"/>
          </w:tcPr>
          <w:p w14:paraId="4DF183EB">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T4</w:t>
            </w:r>
          </w:p>
        </w:tc>
        <w:tc>
          <w:tcPr>
            <w:tcW w:w="727" w:type="pct"/>
            <w:noWrap w:val="0"/>
            <w:vAlign w:val="center"/>
          </w:tcPr>
          <w:p w14:paraId="2D78EECB">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T8</w:t>
            </w:r>
          </w:p>
        </w:tc>
        <w:tc>
          <w:tcPr>
            <w:tcW w:w="1056" w:type="pct"/>
            <w:vMerge w:val="continue"/>
            <w:noWrap w:val="0"/>
            <w:vAlign w:val="center"/>
          </w:tcPr>
          <w:p w14:paraId="28756CF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22BD61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6166B040">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pH</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无量纲</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2B56105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8.37</w:t>
            </w:r>
          </w:p>
        </w:tc>
        <w:tc>
          <w:tcPr>
            <w:tcW w:w="600" w:type="pct"/>
            <w:shd w:val="clear" w:color="auto" w:fill="auto"/>
            <w:noWrap w:val="0"/>
            <w:vAlign w:val="center"/>
          </w:tcPr>
          <w:p w14:paraId="77FEC35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8.02</w:t>
            </w:r>
          </w:p>
        </w:tc>
        <w:tc>
          <w:tcPr>
            <w:tcW w:w="727" w:type="pct"/>
            <w:shd w:val="clear" w:color="auto" w:fill="auto"/>
            <w:noWrap w:val="0"/>
            <w:vAlign w:val="center"/>
          </w:tcPr>
          <w:p w14:paraId="2F96740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8.09</w:t>
            </w:r>
          </w:p>
        </w:tc>
        <w:tc>
          <w:tcPr>
            <w:tcW w:w="1056" w:type="pct"/>
            <w:shd w:val="clear" w:color="auto" w:fill="auto"/>
            <w:noWrap w:val="0"/>
            <w:vAlign w:val="center"/>
          </w:tcPr>
          <w:p w14:paraId="0EF4E14E">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13B6F3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50D09473">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含盐量</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560E90B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2.3</w:t>
            </w:r>
          </w:p>
        </w:tc>
        <w:tc>
          <w:tcPr>
            <w:tcW w:w="600" w:type="pct"/>
            <w:shd w:val="clear" w:color="auto" w:fill="auto"/>
            <w:noWrap w:val="0"/>
            <w:vAlign w:val="center"/>
          </w:tcPr>
          <w:p w14:paraId="7702693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3.2</w:t>
            </w:r>
          </w:p>
        </w:tc>
        <w:tc>
          <w:tcPr>
            <w:tcW w:w="727" w:type="pct"/>
            <w:shd w:val="clear" w:color="auto" w:fill="auto"/>
            <w:noWrap w:val="0"/>
            <w:vAlign w:val="center"/>
          </w:tcPr>
          <w:p w14:paraId="6D8F894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1.5</w:t>
            </w:r>
          </w:p>
        </w:tc>
        <w:tc>
          <w:tcPr>
            <w:tcW w:w="1056" w:type="pct"/>
            <w:shd w:val="clear" w:color="auto" w:fill="auto"/>
            <w:noWrap w:val="0"/>
            <w:vAlign w:val="center"/>
          </w:tcPr>
          <w:p w14:paraId="1ACD992F">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3BF4B2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0821D923">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砷</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4B4C396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11.0</w:t>
            </w:r>
          </w:p>
        </w:tc>
        <w:tc>
          <w:tcPr>
            <w:tcW w:w="600" w:type="pct"/>
            <w:shd w:val="clear" w:color="auto" w:fill="auto"/>
            <w:noWrap w:val="0"/>
            <w:vAlign w:val="center"/>
          </w:tcPr>
          <w:p w14:paraId="70AFE15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17.7</w:t>
            </w:r>
          </w:p>
        </w:tc>
        <w:tc>
          <w:tcPr>
            <w:tcW w:w="727" w:type="pct"/>
            <w:shd w:val="clear" w:color="auto" w:fill="auto"/>
            <w:noWrap w:val="0"/>
            <w:vAlign w:val="center"/>
          </w:tcPr>
          <w:p w14:paraId="67B5847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8.59</w:t>
            </w:r>
          </w:p>
        </w:tc>
        <w:tc>
          <w:tcPr>
            <w:tcW w:w="1056" w:type="pct"/>
            <w:shd w:val="clear" w:color="auto" w:fill="auto"/>
            <w:noWrap w:val="0"/>
            <w:vAlign w:val="center"/>
          </w:tcPr>
          <w:p w14:paraId="39D15905">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60</w:t>
            </w:r>
          </w:p>
        </w:tc>
      </w:tr>
      <w:tr w14:paraId="0C20BD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188D285E">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镉</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648EC60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0.08</w:t>
            </w:r>
          </w:p>
        </w:tc>
        <w:tc>
          <w:tcPr>
            <w:tcW w:w="600" w:type="pct"/>
            <w:shd w:val="clear" w:color="auto" w:fill="auto"/>
            <w:noWrap w:val="0"/>
            <w:vAlign w:val="center"/>
          </w:tcPr>
          <w:p w14:paraId="140B89C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0.41</w:t>
            </w:r>
          </w:p>
        </w:tc>
        <w:tc>
          <w:tcPr>
            <w:tcW w:w="727" w:type="pct"/>
            <w:shd w:val="clear" w:color="auto" w:fill="auto"/>
            <w:noWrap w:val="0"/>
            <w:vAlign w:val="center"/>
          </w:tcPr>
          <w:p w14:paraId="334EE2E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0.14</w:t>
            </w:r>
          </w:p>
        </w:tc>
        <w:tc>
          <w:tcPr>
            <w:tcW w:w="1056" w:type="pct"/>
            <w:shd w:val="clear" w:color="auto" w:fill="auto"/>
            <w:noWrap w:val="0"/>
            <w:vAlign w:val="center"/>
          </w:tcPr>
          <w:p w14:paraId="2E544121">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6</w:t>
            </w:r>
            <w:r>
              <w:rPr>
                <w:rFonts w:hint="default" w:ascii="Times New Roman" w:hAnsi="Times New Roman" w:eastAsia="宋体" w:cs="Times New Roman"/>
                <w:bCs/>
                <w:color w:val="000000" w:themeColor="text1"/>
                <w:sz w:val="21"/>
                <w:szCs w:val="21"/>
                <w14:textFill>
                  <w14:solidFill>
                    <w14:schemeClr w14:val="tx1"/>
                  </w14:solidFill>
                </w14:textFill>
              </w:rPr>
              <w:t>5</w:t>
            </w:r>
          </w:p>
        </w:tc>
      </w:tr>
      <w:tr w14:paraId="475FE5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4A068F3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六价铬</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6085553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600" w:type="pct"/>
            <w:shd w:val="clear" w:color="auto" w:fill="auto"/>
            <w:noWrap w:val="0"/>
            <w:vAlign w:val="center"/>
          </w:tcPr>
          <w:p w14:paraId="28D9096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27" w:type="pct"/>
            <w:shd w:val="clear" w:color="auto" w:fill="auto"/>
            <w:noWrap w:val="0"/>
            <w:vAlign w:val="center"/>
          </w:tcPr>
          <w:p w14:paraId="6F7F10A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1056" w:type="pct"/>
            <w:shd w:val="clear" w:color="auto" w:fill="auto"/>
            <w:noWrap w:val="0"/>
            <w:vAlign w:val="center"/>
          </w:tcPr>
          <w:p w14:paraId="3B435BB6">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.7</w:t>
            </w:r>
          </w:p>
        </w:tc>
      </w:tr>
      <w:tr w14:paraId="781E2A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6DA5FC1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铜</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6BCE2EC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w:t>
            </w:r>
          </w:p>
        </w:tc>
        <w:tc>
          <w:tcPr>
            <w:tcW w:w="600" w:type="pct"/>
            <w:shd w:val="clear" w:color="auto" w:fill="auto"/>
            <w:noWrap w:val="0"/>
            <w:vAlign w:val="center"/>
          </w:tcPr>
          <w:p w14:paraId="72411A4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34</w:t>
            </w:r>
          </w:p>
        </w:tc>
        <w:tc>
          <w:tcPr>
            <w:tcW w:w="727" w:type="pct"/>
            <w:shd w:val="clear" w:color="auto" w:fill="auto"/>
            <w:noWrap w:val="0"/>
            <w:vAlign w:val="center"/>
          </w:tcPr>
          <w:p w14:paraId="5BA4EED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w:t>
            </w:r>
          </w:p>
        </w:tc>
        <w:tc>
          <w:tcPr>
            <w:tcW w:w="1056" w:type="pct"/>
            <w:shd w:val="clear" w:color="auto" w:fill="auto"/>
            <w:noWrap w:val="0"/>
            <w:vAlign w:val="center"/>
          </w:tcPr>
          <w:p w14:paraId="390AB40C">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18000</w:t>
            </w:r>
          </w:p>
        </w:tc>
      </w:tr>
      <w:tr w14:paraId="645E56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70F4BF0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铅</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4B9BB2C6">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8.6</w:t>
            </w:r>
          </w:p>
        </w:tc>
        <w:tc>
          <w:tcPr>
            <w:tcW w:w="600" w:type="pct"/>
            <w:shd w:val="clear" w:color="auto" w:fill="auto"/>
            <w:noWrap w:val="0"/>
            <w:vAlign w:val="center"/>
          </w:tcPr>
          <w:p w14:paraId="411DC6F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6.7</w:t>
            </w:r>
          </w:p>
        </w:tc>
        <w:tc>
          <w:tcPr>
            <w:tcW w:w="727" w:type="pct"/>
            <w:shd w:val="clear" w:color="auto" w:fill="auto"/>
            <w:noWrap w:val="0"/>
            <w:vAlign w:val="center"/>
          </w:tcPr>
          <w:p w14:paraId="4634B7A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8.5</w:t>
            </w:r>
          </w:p>
        </w:tc>
        <w:tc>
          <w:tcPr>
            <w:tcW w:w="1056" w:type="pct"/>
            <w:shd w:val="clear" w:color="auto" w:fill="auto"/>
            <w:noWrap w:val="0"/>
            <w:vAlign w:val="center"/>
          </w:tcPr>
          <w:p w14:paraId="092023DF">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8</w:t>
            </w:r>
            <w:r>
              <w:rPr>
                <w:rFonts w:hint="default" w:ascii="Times New Roman" w:hAnsi="Times New Roman" w:eastAsia="宋体" w:cs="Times New Roman"/>
                <w:bCs/>
                <w:color w:val="000000" w:themeColor="text1"/>
                <w:sz w:val="21"/>
                <w:szCs w:val="21"/>
                <w14:textFill>
                  <w14:solidFill>
                    <w14:schemeClr w14:val="tx1"/>
                  </w14:solidFill>
                </w14:textFill>
              </w:rPr>
              <w:t>00</w:t>
            </w:r>
          </w:p>
        </w:tc>
      </w:tr>
      <w:tr w14:paraId="392729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06160BEE">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汞</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4868533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0.401</w:t>
            </w:r>
          </w:p>
        </w:tc>
        <w:tc>
          <w:tcPr>
            <w:tcW w:w="600" w:type="pct"/>
            <w:shd w:val="clear" w:color="auto" w:fill="auto"/>
            <w:noWrap w:val="0"/>
            <w:vAlign w:val="center"/>
          </w:tcPr>
          <w:p w14:paraId="495C811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0.840</w:t>
            </w:r>
          </w:p>
        </w:tc>
        <w:tc>
          <w:tcPr>
            <w:tcW w:w="727" w:type="pct"/>
            <w:shd w:val="clear" w:color="auto" w:fill="auto"/>
            <w:noWrap w:val="0"/>
            <w:vAlign w:val="center"/>
          </w:tcPr>
          <w:p w14:paraId="46E7B29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0.488</w:t>
            </w:r>
          </w:p>
        </w:tc>
        <w:tc>
          <w:tcPr>
            <w:tcW w:w="1056" w:type="pct"/>
            <w:shd w:val="clear" w:color="auto" w:fill="auto"/>
            <w:noWrap w:val="0"/>
            <w:vAlign w:val="center"/>
          </w:tcPr>
          <w:p w14:paraId="18EA2B28">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8</w:t>
            </w:r>
          </w:p>
        </w:tc>
      </w:tr>
      <w:tr w14:paraId="078295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217A314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镍</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1D45379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600" w:type="pct"/>
            <w:shd w:val="clear" w:color="auto" w:fill="auto"/>
            <w:noWrap w:val="0"/>
            <w:vAlign w:val="center"/>
          </w:tcPr>
          <w:p w14:paraId="28ECD82E">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18</w:t>
            </w:r>
          </w:p>
        </w:tc>
        <w:tc>
          <w:tcPr>
            <w:tcW w:w="727" w:type="pct"/>
            <w:shd w:val="clear" w:color="auto" w:fill="auto"/>
            <w:noWrap w:val="0"/>
            <w:vAlign w:val="center"/>
          </w:tcPr>
          <w:p w14:paraId="1F41396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w:t>
            </w:r>
          </w:p>
        </w:tc>
        <w:tc>
          <w:tcPr>
            <w:tcW w:w="1056" w:type="pct"/>
            <w:shd w:val="clear" w:color="auto" w:fill="auto"/>
            <w:noWrap w:val="0"/>
            <w:vAlign w:val="center"/>
          </w:tcPr>
          <w:p w14:paraId="0B7B675F">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00</w:t>
            </w:r>
          </w:p>
        </w:tc>
      </w:tr>
      <w:tr w14:paraId="6903C8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1258AF5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四氯化碳</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1A2488E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70EA1A0E">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1.3</w:t>
            </w:r>
          </w:p>
        </w:tc>
        <w:tc>
          <w:tcPr>
            <w:tcW w:w="727" w:type="pct"/>
            <w:shd w:val="clear" w:color="auto" w:fill="auto"/>
            <w:noWrap w:val="0"/>
            <w:vAlign w:val="center"/>
          </w:tcPr>
          <w:p w14:paraId="48FCFED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20032877">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2.8</w:t>
            </w:r>
          </w:p>
        </w:tc>
      </w:tr>
      <w:tr w14:paraId="49675A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0E62D48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氯仿</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3EB2DE1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6937B44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w:t>
            </w:r>
          </w:p>
        </w:tc>
        <w:tc>
          <w:tcPr>
            <w:tcW w:w="727" w:type="pct"/>
            <w:shd w:val="clear" w:color="auto" w:fill="auto"/>
            <w:noWrap w:val="0"/>
            <w:vAlign w:val="center"/>
          </w:tcPr>
          <w:p w14:paraId="7BFC974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35739C9E">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0.9</w:t>
            </w:r>
          </w:p>
        </w:tc>
      </w:tr>
      <w:tr w14:paraId="1A5800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noWrap w:val="0"/>
            <w:vAlign w:val="center"/>
          </w:tcPr>
          <w:p w14:paraId="07215F95">
            <w:pPr>
              <w:keepNext w:val="0"/>
              <w:keepLines w:val="0"/>
              <w:suppressLineNumbers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氯甲烷</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3CE1D4A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1B0B933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727" w:type="pct"/>
            <w:shd w:val="clear" w:color="auto" w:fill="auto"/>
            <w:noWrap w:val="0"/>
            <w:vAlign w:val="center"/>
          </w:tcPr>
          <w:p w14:paraId="47BE912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noWrap w:val="0"/>
            <w:vAlign w:val="center"/>
          </w:tcPr>
          <w:p w14:paraId="445144E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37</w:t>
            </w:r>
          </w:p>
        </w:tc>
      </w:tr>
      <w:tr w14:paraId="2A9361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noWrap w:val="0"/>
            <w:vAlign w:val="center"/>
          </w:tcPr>
          <w:p w14:paraId="225AE295">
            <w:pPr>
              <w:keepNext w:val="0"/>
              <w:keepLines w:val="0"/>
              <w:widowControl/>
              <w:suppressLineNumbers w:val="0"/>
              <w:spacing w:before="0" w:beforeAutospacing="0" w:after="0" w:afterAutospacing="0" w:line="360" w:lineRule="exact"/>
              <w:ind w:left="0" w:right="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氯乙烯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1836463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03E644C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727" w:type="pct"/>
            <w:shd w:val="clear" w:color="auto" w:fill="auto"/>
            <w:noWrap w:val="0"/>
            <w:vAlign w:val="center"/>
          </w:tcPr>
          <w:p w14:paraId="3E24BE3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noWrap w:val="0"/>
            <w:vAlign w:val="center"/>
          </w:tcPr>
          <w:p w14:paraId="4E725258">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0.43</w:t>
            </w:r>
          </w:p>
        </w:tc>
      </w:tr>
      <w:tr w14:paraId="07982C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noWrap w:val="0"/>
            <w:vAlign w:val="center"/>
          </w:tcPr>
          <w:p w14:paraId="29299EB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1，1-二氯乙烯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037C44DE">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0E331B8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727" w:type="pct"/>
            <w:shd w:val="clear" w:color="auto" w:fill="auto"/>
            <w:noWrap w:val="0"/>
            <w:vAlign w:val="center"/>
          </w:tcPr>
          <w:p w14:paraId="00D55ADF">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noWrap w:val="0"/>
            <w:vAlign w:val="center"/>
          </w:tcPr>
          <w:p w14:paraId="74E0EBA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66</w:t>
            </w:r>
          </w:p>
        </w:tc>
      </w:tr>
      <w:tr w14:paraId="22B38E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noWrap w:val="0"/>
            <w:vAlign w:val="center"/>
          </w:tcPr>
          <w:p w14:paraId="7E54AA04">
            <w:pPr>
              <w:keepNext w:val="0"/>
              <w:keepLines w:val="0"/>
              <w:widowControl/>
              <w:suppressLineNumbers w:val="0"/>
              <w:spacing w:before="0" w:beforeAutospacing="0" w:after="0" w:afterAutospacing="0" w:line="360" w:lineRule="exact"/>
              <w:ind w:left="0" w:right="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二氯甲烷</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062744C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4AB8397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1.5</w:t>
            </w:r>
          </w:p>
        </w:tc>
        <w:tc>
          <w:tcPr>
            <w:tcW w:w="727" w:type="pct"/>
            <w:shd w:val="clear" w:color="auto" w:fill="auto"/>
            <w:noWrap w:val="0"/>
            <w:vAlign w:val="center"/>
          </w:tcPr>
          <w:p w14:paraId="6B0C478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noWrap w:val="0"/>
            <w:vAlign w:val="center"/>
          </w:tcPr>
          <w:p w14:paraId="63FCDAC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616</w:t>
            </w:r>
          </w:p>
        </w:tc>
      </w:tr>
      <w:tr w14:paraId="1572F0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noWrap w:val="0"/>
            <w:vAlign w:val="center"/>
          </w:tcPr>
          <w:p w14:paraId="516D7327">
            <w:pPr>
              <w:keepNext w:val="0"/>
              <w:keepLines w:val="0"/>
              <w:widowControl/>
              <w:suppressLineNumbers w:val="0"/>
              <w:spacing w:before="0" w:beforeAutospacing="0" w:after="0" w:afterAutospacing="0" w:line="360" w:lineRule="exact"/>
              <w:ind w:left="0" w:right="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反-1,2-二氯乙烯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00E66FEF">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1022FCA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1.4</w:t>
            </w:r>
          </w:p>
        </w:tc>
        <w:tc>
          <w:tcPr>
            <w:tcW w:w="727" w:type="pct"/>
            <w:shd w:val="clear" w:color="auto" w:fill="auto"/>
            <w:noWrap w:val="0"/>
            <w:vAlign w:val="center"/>
          </w:tcPr>
          <w:p w14:paraId="553C667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noWrap w:val="0"/>
            <w:vAlign w:val="center"/>
          </w:tcPr>
          <w:p w14:paraId="155A6E71">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54</w:t>
            </w:r>
          </w:p>
        </w:tc>
      </w:tr>
      <w:tr w14:paraId="141B1B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noWrap w:val="0"/>
            <w:vAlign w:val="center"/>
          </w:tcPr>
          <w:p w14:paraId="19FDB590">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1,1-二氯乙烷</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7489A8B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2AE507DF">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727" w:type="pct"/>
            <w:shd w:val="clear" w:color="auto" w:fill="auto"/>
            <w:noWrap w:val="0"/>
            <w:vAlign w:val="center"/>
          </w:tcPr>
          <w:p w14:paraId="6902575E">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noWrap w:val="0"/>
            <w:vAlign w:val="center"/>
          </w:tcPr>
          <w:p w14:paraId="6BB1D0B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w:t>
            </w:r>
          </w:p>
        </w:tc>
      </w:tr>
      <w:tr w14:paraId="1A84B1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noWrap w:val="0"/>
            <w:vAlign w:val="center"/>
          </w:tcPr>
          <w:p w14:paraId="550B2E46">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顺-1,2-二氯乙烯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54B9194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6C0036F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1.3</w:t>
            </w:r>
          </w:p>
        </w:tc>
        <w:tc>
          <w:tcPr>
            <w:tcW w:w="727" w:type="pct"/>
            <w:shd w:val="clear" w:color="auto" w:fill="auto"/>
            <w:noWrap w:val="0"/>
            <w:vAlign w:val="center"/>
          </w:tcPr>
          <w:p w14:paraId="3ADB0E8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noWrap w:val="0"/>
            <w:vAlign w:val="center"/>
          </w:tcPr>
          <w:p w14:paraId="3306B36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596</w:t>
            </w:r>
          </w:p>
        </w:tc>
      </w:tr>
      <w:tr w14:paraId="5EB783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4128AF07">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1,1,1-三氯乙烷</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4C85E683">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607B3EE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1.3</w:t>
            </w:r>
          </w:p>
        </w:tc>
        <w:tc>
          <w:tcPr>
            <w:tcW w:w="727" w:type="pct"/>
            <w:shd w:val="clear" w:color="auto" w:fill="auto"/>
            <w:noWrap w:val="0"/>
            <w:vAlign w:val="center"/>
          </w:tcPr>
          <w:p w14:paraId="3C27CB6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794B409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840</w:t>
            </w:r>
          </w:p>
        </w:tc>
      </w:tr>
      <w:tr w14:paraId="365DA6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2893B09C">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15992B5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20840A4E">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1.9</w:t>
            </w:r>
          </w:p>
        </w:tc>
        <w:tc>
          <w:tcPr>
            <w:tcW w:w="727" w:type="pct"/>
            <w:shd w:val="clear" w:color="auto" w:fill="auto"/>
            <w:noWrap w:val="0"/>
            <w:vAlign w:val="center"/>
          </w:tcPr>
          <w:p w14:paraId="6F9F32E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530C6FC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w:t>
            </w:r>
          </w:p>
        </w:tc>
      </w:tr>
      <w:tr w14:paraId="7E7A7D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29E5446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1,2-二氯乙烷</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7AC746D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76B5D80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1.3</w:t>
            </w:r>
          </w:p>
        </w:tc>
        <w:tc>
          <w:tcPr>
            <w:tcW w:w="727" w:type="pct"/>
            <w:shd w:val="clear" w:color="auto" w:fill="auto"/>
            <w:noWrap w:val="0"/>
            <w:vAlign w:val="center"/>
          </w:tcPr>
          <w:p w14:paraId="4DD14AF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5092ECF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w:t>
            </w:r>
          </w:p>
        </w:tc>
      </w:tr>
      <w:tr w14:paraId="6CC097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0B92FB58">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三氯乙烯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501777F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74FF575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727" w:type="pct"/>
            <w:shd w:val="clear" w:color="auto" w:fill="auto"/>
            <w:noWrap w:val="0"/>
            <w:vAlign w:val="center"/>
          </w:tcPr>
          <w:p w14:paraId="6AF01DE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100708B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2.8</w:t>
            </w:r>
          </w:p>
        </w:tc>
      </w:tr>
      <w:tr w14:paraId="440E1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2302B127">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甲苯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2254C24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27F6ADE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1.3</w:t>
            </w:r>
          </w:p>
        </w:tc>
        <w:tc>
          <w:tcPr>
            <w:tcW w:w="727" w:type="pct"/>
            <w:shd w:val="clear" w:color="auto" w:fill="auto"/>
            <w:noWrap w:val="0"/>
            <w:vAlign w:val="center"/>
          </w:tcPr>
          <w:p w14:paraId="278C584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2F944F5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1200</w:t>
            </w:r>
          </w:p>
        </w:tc>
      </w:tr>
      <w:tr w14:paraId="1F2C5D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5E048083">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1,2-二氯丙烷</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66132C4E">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36C8FC0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w:t>
            </w:r>
          </w:p>
        </w:tc>
        <w:tc>
          <w:tcPr>
            <w:tcW w:w="727" w:type="pct"/>
            <w:shd w:val="clear" w:color="auto" w:fill="auto"/>
            <w:noWrap w:val="0"/>
            <w:vAlign w:val="center"/>
          </w:tcPr>
          <w:p w14:paraId="7AE54B83">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4154040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w:t>
            </w:r>
          </w:p>
        </w:tc>
      </w:tr>
      <w:tr w14:paraId="4855D6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17E3E5B9">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四氯乙烯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424363A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5D346A63">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1.4</w:t>
            </w:r>
          </w:p>
        </w:tc>
        <w:tc>
          <w:tcPr>
            <w:tcW w:w="727" w:type="pct"/>
            <w:shd w:val="clear" w:color="auto" w:fill="auto"/>
            <w:noWrap w:val="0"/>
            <w:vAlign w:val="center"/>
          </w:tcPr>
          <w:p w14:paraId="16078DD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2D8AE0A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53</w:t>
            </w:r>
          </w:p>
        </w:tc>
      </w:tr>
      <w:tr w14:paraId="19928F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7EF8B342">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1,1,2-三氯乙烷</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19C5B6E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6C702FB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727" w:type="pct"/>
            <w:shd w:val="clear" w:color="auto" w:fill="auto"/>
            <w:noWrap w:val="0"/>
            <w:vAlign w:val="center"/>
          </w:tcPr>
          <w:p w14:paraId="1A18AD0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5D91DBC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2.8</w:t>
            </w:r>
          </w:p>
        </w:tc>
      </w:tr>
      <w:tr w14:paraId="0422AC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238C56DB">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氯苯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1C75E393">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16D282A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727" w:type="pct"/>
            <w:shd w:val="clear" w:color="auto" w:fill="auto"/>
            <w:noWrap w:val="0"/>
            <w:vAlign w:val="center"/>
          </w:tcPr>
          <w:p w14:paraId="009C4F7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0543C6D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270</w:t>
            </w:r>
          </w:p>
        </w:tc>
      </w:tr>
      <w:tr w14:paraId="7750B8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091A5911">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1,1,1,2-四氯乙烷</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435BE0B6">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2D826C3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727" w:type="pct"/>
            <w:shd w:val="clear" w:color="auto" w:fill="auto"/>
            <w:noWrap w:val="0"/>
            <w:vAlign w:val="center"/>
          </w:tcPr>
          <w:p w14:paraId="616C3E6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7A54F39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10</w:t>
            </w:r>
          </w:p>
        </w:tc>
      </w:tr>
      <w:tr w14:paraId="4BFC69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6B5D06AD">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乙苯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76DF351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5B0B479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727" w:type="pct"/>
            <w:shd w:val="clear" w:color="auto" w:fill="auto"/>
            <w:noWrap w:val="0"/>
            <w:vAlign w:val="center"/>
          </w:tcPr>
          <w:p w14:paraId="7AA63D1E">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46BB3A1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28</w:t>
            </w:r>
          </w:p>
        </w:tc>
      </w:tr>
      <w:tr w14:paraId="4B5364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669AB18E">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间二甲苯+对二甲苯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7368076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2677E12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727" w:type="pct"/>
            <w:shd w:val="clear" w:color="auto" w:fill="auto"/>
            <w:noWrap w:val="0"/>
            <w:vAlign w:val="center"/>
          </w:tcPr>
          <w:p w14:paraId="53AFB7D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6905ED13">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570</w:t>
            </w:r>
          </w:p>
        </w:tc>
      </w:tr>
      <w:tr w14:paraId="12DB18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685C45A1">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邻二甲苯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28D1266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446FEF2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727" w:type="pct"/>
            <w:shd w:val="clear" w:color="auto" w:fill="auto"/>
            <w:noWrap w:val="0"/>
            <w:vAlign w:val="center"/>
          </w:tcPr>
          <w:p w14:paraId="7FEE5F3F">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52008B1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640</w:t>
            </w:r>
          </w:p>
        </w:tc>
      </w:tr>
      <w:tr w14:paraId="1CB149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6053A0C3">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苯乙烯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7BDA3E3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17DE386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w:t>
            </w:r>
          </w:p>
        </w:tc>
        <w:tc>
          <w:tcPr>
            <w:tcW w:w="727" w:type="pct"/>
            <w:shd w:val="clear" w:color="auto" w:fill="auto"/>
            <w:noWrap w:val="0"/>
            <w:vAlign w:val="center"/>
          </w:tcPr>
          <w:p w14:paraId="45A6068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31F93AB6">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1290</w:t>
            </w:r>
          </w:p>
        </w:tc>
      </w:tr>
      <w:tr w14:paraId="58926C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68AB4FFD">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1,1,2,2-四氯乙烷</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659B97F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7F961A5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727" w:type="pct"/>
            <w:shd w:val="clear" w:color="auto" w:fill="auto"/>
            <w:noWrap w:val="0"/>
            <w:vAlign w:val="center"/>
          </w:tcPr>
          <w:p w14:paraId="7E3D6FD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647258A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6.8</w:t>
            </w:r>
          </w:p>
        </w:tc>
      </w:tr>
      <w:tr w14:paraId="784C35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35AC37D3">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1,2,3-三氯丙烷</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4C3348B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277C459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727" w:type="pct"/>
            <w:shd w:val="clear" w:color="auto" w:fill="auto"/>
            <w:noWrap w:val="0"/>
            <w:vAlign w:val="center"/>
          </w:tcPr>
          <w:p w14:paraId="7233CF8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428AB9E6">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0.5</w:t>
            </w:r>
          </w:p>
        </w:tc>
      </w:tr>
      <w:tr w14:paraId="16B877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1E59DF03">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1,4-二氯苯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4ED374F3">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06D9101E">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1.5</w:t>
            </w:r>
          </w:p>
        </w:tc>
        <w:tc>
          <w:tcPr>
            <w:tcW w:w="727" w:type="pct"/>
            <w:shd w:val="clear" w:color="auto" w:fill="auto"/>
            <w:noWrap w:val="0"/>
            <w:vAlign w:val="center"/>
          </w:tcPr>
          <w:p w14:paraId="389885E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6775020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w:t>
            </w:r>
          </w:p>
        </w:tc>
      </w:tr>
      <w:tr w14:paraId="21D41B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4AA73A0A">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1,2-二氯苯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华文仿宋" w:cs="Times New Roman"/>
                <w:b w:val="0"/>
                <w:bCs w:val="0"/>
                <w:color w:val="000000" w:themeColor="text1"/>
                <w:sz w:val="21"/>
                <w:szCs w:val="21"/>
                <w:lang w:val="en-US" w:eastAsia="zh-CN"/>
                <w14:textFill>
                  <w14:solidFill>
                    <w14:schemeClr w14:val="tx1"/>
                  </w14:solidFill>
                </w14:textFill>
              </w:rPr>
              <w:t>μ</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594346D3">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5DE7889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1.5</w:t>
            </w:r>
          </w:p>
        </w:tc>
        <w:tc>
          <w:tcPr>
            <w:tcW w:w="727" w:type="pct"/>
            <w:shd w:val="clear" w:color="auto" w:fill="auto"/>
            <w:noWrap w:val="0"/>
            <w:vAlign w:val="center"/>
          </w:tcPr>
          <w:p w14:paraId="62813FB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3946C86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560</w:t>
            </w:r>
          </w:p>
        </w:tc>
      </w:tr>
      <w:tr w14:paraId="0721FA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0A6D8A90">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苯胺</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6054375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7E4CA8B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&lt;0.08</w:t>
            </w:r>
          </w:p>
        </w:tc>
        <w:tc>
          <w:tcPr>
            <w:tcW w:w="727" w:type="pct"/>
            <w:shd w:val="clear" w:color="auto" w:fill="auto"/>
            <w:noWrap w:val="0"/>
            <w:vAlign w:val="center"/>
          </w:tcPr>
          <w:p w14:paraId="309E9C9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771061A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260</w:t>
            </w:r>
          </w:p>
        </w:tc>
      </w:tr>
      <w:tr w14:paraId="614A4E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609E388F">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2-氯酚</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3E6D174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3BE5E02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&lt;0.06</w:t>
            </w:r>
          </w:p>
        </w:tc>
        <w:tc>
          <w:tcPr>
            <w:tcW w:w="727" w:type="pct"/>
            <w:shd w:val="clear" w:color="auto" w:fill="auto"/>
            <w:noWrap w:val="0"/>
            <w:vAlign w:val="center"/>
          </w:tcPr>
          <w:p w14:paraId="4B89005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6DFCE49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2256</w:t>
            </w:r>
          </w:p>
        </w:tc>
      </w:tr>
      <w:tr w14:paraId="76DF0E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3314066D">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硝基苯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2B7C97B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6B03AC8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&lt;0.09</w:t>
            </w:r>
          </w:p>
        </w:tc>
        <w:tc>
          <w:tcPr>
            <w:tcW w:w="727" w:type="pct"/>
            <w:shd w:val="clear" w:color="auto" w:fill="auto"/>
            <w:noWrap w:val="0"/>
            <w:vAlign w:val="center"/>
          </w:tcPr>
          <w:p w14:paraId="5E7DA3E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2AFE5F8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76</w:t>
            </w:r>
          </w:p>
        </w:tc>
      </w:tr>
      <w:tr w14:paraId="23B00D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3AD994B0">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萘</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6A239A4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658B71C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&lt;0.09</w:t>
            </w:r>
          </w:p>
        </w:tc>
        <w:tc>
          <w:tcPr>
            <w:tcW w:w="727" w:type="pct"/>
            <w:shd w:val="clear" w:color="auto" w:fill="auto"/>
            <w:noWrap w:val="0"/>
            <w:vAlign w:val="center"/>
          </w:tcPr>
          <w:p w14:paraId="550BBC2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02E808D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70</w:t>
            </w:r>
          </w:p>
        </w:tc>
      </w:tr>
      <w:tr w14:paraId="2C477D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53961904">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苯并[a]蒽</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482B1B3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73BEEAC6">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&lt;0.1</w:t>
            </w:r>
          </w:p>
        </w:tc>
        <w:tc>
          <w:tcPr>
            <w:tcW w:w="727" w:type="pct"/>
            <w:shd w:val="clear" w:color="auto" w:fill="auto"/>
            <w:noWrap w:val="0"/>
            <w:vAlign w:val="center"/>
          </w:tcPr>
          <w:p w14:paraId="45794943">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3227954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w:t>
            </w:r>
          </w:p>
        </w:tc>
      </w:tr>
      <w:tr w14:paraId="1C9A36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3112F614">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䓛</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20AB89BE">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6B38662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&lt;0.1</w:t>
            </w:r>
          </w:p>
        </w:tc>
        <w:tc>
          <w:tcPr>
            <w:tcW w:w="727" w:type="pct"/>
            <w:shd w:val="clear" w:color="auto" w:fill="auto"/>
            <w:noWrap w:val="0"/>
            <w:vAlign w:val="center"/>
          </w:tcPr>
          <w:p w14:paraId="6F48EF1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37BFBF7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1293</w:t>
            </w:r>
          </w:p>
        </w:tc>
      </w:tr>
      <w:tr w14:paraId="2D76E9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1CADFE01">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苯并[b]荧蒽</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385E50CF">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4D1EF75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&lt;0.2</w:t>
            </w:r>
          </w:p>
        </w:tc>
        <w:tc>
          <w:tcPr>
            <w:tcW w:w="727" w:type="pct"/>
            <w:shd w:val="clear" w:color="auto" w:fill="auto"/>
            <w:noWrap w:val="0"/>
            <w:vAlign w:val="center"/>
          </w:tcPr>
          <w:p w14:paraId="00978AA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7984DE3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w:t>
            </w:r>
          </w:p>
        </w:tc>
      </w:tr>
      <w:tr w14:paraId="17BEEC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65A66A93">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苯并[k]荧蒽</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742408C3">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785075DF">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&lt;0.1</w:t>
            </w:r>
          </w:p>
        </w:tc>
        <w:tc>
          <w:tcPr>
            <w:tcW w:w="727" w:type="pct"/>
            <w:shd w:val="clear" w:color="auto" w:fill="auto"/>
            <w:noWrap w:val="0"/>
            <w:vAlign w:val="center"/>
          </w:tcPr>
          <w:p w14:paraId="1492DC1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44A53F1F">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151</w:t>
            </w:r>
          </w:p>
        </w:tc>
      </w:tr>
      <w:tr w14:paraId="162F9B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07C5D079">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苯并[a]芘</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60F347E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489A489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&lt;0.1</w:t>
            </w:r>
          </w:p>
        </w:tc>
        <w:tc>
          <w:tcPr>
            <w:tcW w:w="727" w:type="pct"/>
            <w:shd w:val="clear" w:color="auto" w:fill="auto"/>
            <w:noWrap w:val="0"/>
            <w:vAlign w:val="center"/>
          </w:tcPr>
          <w:p w14:paraId="74C78D1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393233A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w:t>
            </w:r>
          </w:p>
        </w:tc>
      </w:tr>
      <w:tr w14:paraId="49CAF6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31DBD1D0">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茚并[1、2、3-cd]芘</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0E09EB06">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469C80D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&lt;0.1</w:t>
            </w:r>
          </w:p>
        </w:tc>
        <w:tc>
          <w:tcPr>
            <w:tcW w:w="727" w:type="pct"/>
            <w:shd w:val="clear" w:color="auto" w:fill="auto"/>
            <w:noWrap w:val="0"/>
            <w:vAlign w:val="center"/>
          </w:tcPr>
          <w:p w14:paraId="768F96A3">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050D55A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w:t>
            </w:r>
          </w:p>
        </w:tc>
      </w:tr>
      <w:tr w14:paraId="471F1A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5CD715CB">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二苯并</w:t>
            </w:r>
            <w:r>
              <w:rPr>
                <w:rFonts w:hint="default" w:ascii="Times New Roman" w:hAnsi="Times New Roman" w:eastAsia="宋体" w:cs="Times New Roman"/>
                <w:color w:val="000000" w:themeColor="text1"/>
                <w:sz w:val="21"/>
                <w:szCs w:val="21"/>
                <w14:textFill>
                  <w14:solidFill>
                    <w14:schemeClr w14:val="tx1"/>
                  </w14:solidFill>
                </w14:textFill>
              </w:rPr>
              <w:t>[a，h]蒽</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6B33B2FF">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600" w:type="pct"/>
            <w:shd w:val="clear" w:color="auto" w:fill="auto"/>
            <w:noWrap w:val="0"/>
            <w:vAlign w:val="center"/>
          </w:tcPr>
          <w:p w14:paraId="1625B7DF">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&lt;0.1</w:t>
            </w:r>
          </w:p>
        </w:tc>
        <w:tc>
          <w:tcPr>
            <w:tcW w:w="727" w:type="pct"/>
            <w:shd w:val="clear" w:color="auto" w:fill="auto"/>
            <w:noWrap w:val="0"/>
            <w:vAlign w:val="center"/>
          </w:tcPr>
          <w:p w14:paraId="0C4BA49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56" w:type="pct"/>
            <w:shd w:val="clear" w:color="auto" w:fill="auto"/>
            <w:noWrap w:val="0"/>
            <w:vAlign w:val="center"/>
          </w:tcPr>
          <w:p w14:paraId="708AA8D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w:t>
            </w:r>
          </w:p>
        </w:tc>
      </w:tr>
    </w:tbl>
    <w:p w14:paraId="3B5A5D15">
      <w:pPr>
        <w:tabs>
          <w:tab w:val="left" w:pos="1129"/>
        </w:tabs>
        <w:spacing w:line="480" w:lineRule="exact"/>
        <w:ind w:firstLine="0" w:firstLineChars="0"/>
        <w:jc w:val="center"/>
        <w:rPr>
          <w:rFonts w:ascii="Times New Roman" w:hAnsi="Times New Roman" w:eastAsia="宋体" w:cs="Times New Roman"/>
          <w:b/>
          <w:bCs/>
          <w:color w:val="000000" w:themeColor="text1"/>
          <w:spacing w:val="0"/>
          <w:sz w:val="24"/>
          <w:szCs w:val="24"/>
          <w14:textFill>
            <w14:solidFill>
              <w14:schemeClr w14:val="tx1"/>
            </w14:solidFill>
          </w14:textFill>
        </w:rPr>
      </w:pPr>
      <w:r>
        <w:rPr>
          <w:rFonts w:ascii="Times New Roman" w:hAnsi="Times New Roman" w:eastAsia="宋体" w:cs="Times New Roman"/>
          <w:b/>
          <w:bCs/>
          <w:color w:val="000000" w:themeColor="text1"/>
          <w:spacing w:val="0"/>
          <w:sz w:val="24"/>
          <w:szCs w:val="24"/>
          <w14:textFill>
            <w14:solidFill>
              <w14:schemeClr w14:val="tx1"/>
            </w14:solidFill>
          </w14:textFill>
        </w:rPr>
        <w:t>表4.2-</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11</w:t>
      </w:r>
      <w:r>
        <w:rPr>
          <w:rFonts w:ascii="Times New Roman" w:hAnsi="Times New Roman" w:eastAsia="宋体" w:cs="Times New Roman"/>
          <w:b/>
          <w:bCs/>
          <w:color w:val="000000" w:themeColor="text1"/>
          <w:spacing w:val="0"/>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尾矿库范围</w:t>
      </w:r>
      <w:r>
        <w:rPr>
          <w:rFonts w:ascii="Times New Roman" w:hAnsi="Times New Roman" w:eastAsia="宋体" w:cs="Times New Roman"/>
          <w:b/>
          <w:bCs/>
          <w:color w:val="000000" w:themeColor="text1"/>
          <w:spacing w:val="0"/>
          <w:sz w:val="24"/>
          <w:szCs w:val="24"/>
          <w14:textFill>
            <w14:solidFill>
              <w14:schemeClr w14:val="tx1"/>
            </w14:solidFill>
          </w14:textFill>
        </w:rPr>
        <w:t>内</w:t>
      </w:r>
      <w:r>
        <w:rPr>
          <w:rFonts w:hint="eastAsia" w:ascii="Times New Roman" w:hAnsi="Times New Roman" w:eastAsia="宋体" w:cs="Times New Roman"/>
          <w:b/>
          <w:bCs/>
          <w:color w:val="000000" w:themeColor="text1"/>
          <w:spacing w:val="0"/>
          <w:sz w:val="24"/>
          <w:szCs w:val="24"/>
          <w14:textFill>
            <w14:solidFill>
              <w14:schemeClr w14:val="tx1"/>
            </w14:solidFill>
          </w14:textFill>
        </w:rPr>
        <w:t>（T</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17</w:t>
      </w:r>
      <w:r>
        <w:rPr>
          <w:rFonts w:ascii="Times New Roman" w:hAnsi="Times New Roman" w:eastAsia="宋体" w:cs="Times New Roman"/>
          <w:b/>
          <w:bCs/>
          <w:color w:val="000000" w:themeColor="text1"/>
          <w:spacing w:val="0"/>
          <w:sz w:val="24"/>
          <w:szCs w:val="24"/>
          <w14:textFill>
            <w14:solidFill>
              <w14:schemeClr w14:val="tx1"/>
            </w14:solidFill>
          </w14:textFill>
        </w:rPr>
        <w:t>-</w:t>
      </w:r>
      <w:r>
        <w:rPr>
          <w:rFonts w:hint="eastAsia" w:ascii="Times New Roman" w:hAnsi="Times New Roman" w:eastAsia="宋体" w:cs="Times New Roman"/>
          <w:b/>
          <w:bCs/>
          <w:color w:val="000000" w:themeColor="text1"/>
          <w:spacing w:val="0"/>
          <w:sz w:val="24"/>
          <w:szCs w:val="24"/>
          <w14:textFill>
            <w14:solidFill>
              <w14:schemeClr w14:val="tx1"/>
            </w14:solidFill>
          </w14:textFill>
        </w:rPr>
        <w:t>T</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19</w:t>
      </w:r>
      <w:r>
        <w:rPr>
          <w:rFonts w:hint="eastAsia" w:ascii="Times New Roman" w:hAnsi="Times New Roman" w:eastAsia="宋体" w:cs="Times New Roman"/>
          <w:b/>
          <w:bCs/>
          <w:color w:val="000000" w:themeColor="text1"/>
          <w:spacing w:val="0"/>
          <w:sz w:val="24"/>
          <w:szCs w:val="24"/>
          <w14:textFill>
            <w14:solidFill>
              <w14:schemeClr w14:val="tx1"/>
            </w14:solidFill>
          </w14:textFill>
        </w:rPr>
        <w:t>）</w:t>
      </w:r>
      <w:r>
        <w:rPr>
          <w:rFonts w:ascii="Times New Roman" w:hAnsi="Times New Roman" w:eastAsia="宋体" w:cs="Times New Roman"/>
          <w:b/>
          <w:bCs/>
          <w:color w:val="000000" w:themeColor="text1"/>
          <w:spacing w:val="0"/>
          <w:sz w:val="24"/>
          <w:szCs w:val="24"/>
          <w14:textFill>
            <w14:solidFill>
              <w14:schemeClr w14:val="tx1"/>
            </w14:solidFill>
          </w14:textFill>
        </w:rPr>
        <w:t>土壤环境质量现状监测及评价结果</w:t>
      </w:r>
    </w:p>
    <w:tbl>
      <w:tblPr>
        <w:tblStyle w:val="32"/>
        <w:tblW w:w="506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619"/>
        <w:gridCol w:w="690"/>
        <w:gridCol w:w="730"/>
        <w:gridCol w:w="730"/>
        <w:gridCol w:w="730"/>
        <w:gridCol w:w="730"/>
        <w:gridCol w:w="730"/>
        <w:gridCol w:w="730"/>
        <w:gridCol w:w="730"/>
        <w:gridCol w:w="730"/>
        <w:gridCol w:w="740"/>
        <w:gridCol w:w="556"/>
      </w:tblGrid>
      <w:tr w14:paraId="68EC6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776" w:type="pct"/>
            <w:gridSpan w:val="2"/>
            <w:noWrap w:val="0"/>
            <w:vAlign w:val="center"/>
          </w:tcPr>
          <w:p w14:paraId="3610B630">
            <w:pPr>
              <w:keepNext w:val="0"/>
              <w:keepLines w:val="0"/>
              <w:widowControl/>
              <w:suppressLineNumbers w:val="0"/>
              <w:spacing w:before="0" w:beforeAutospacing="0" w:after="0" w:afterAutospacing="0" w:line="360" w:lineRule="exact"/>
              <w:ind w:left="0" w:right="0" w:firstLine="0" w:firstLineChars="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lang w:bidi="ar"/>
                <w14:textFill>
                  <w14:solidFill>
                    <w14:schemeClr w14:val="tx1"/>
                  </w14:solidFill>
                </w14:textFill>
              </w:rPr>
              <w:t>样品编码</w:t>
            </w:r>
          </w:p>
        </w:tc>
        <w:tc>
          <w:tcPr>
            <w:tcW w:w="432" w:type="pct"/>
            <w:noWrap w:val="0"/>
            <w:vAlign w:val="center"/>
          </w:tcPr>
          <w:p w14:paraId="7C5F1E7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17</w:t>
            </w:r>
            <w:r>
              <w:rPr>
                <w:rFonts w:hint="default" w:ascii="Times New Roman" w:hAnsi="Times New Roman" w:eastAsia="宋体" w:cs="Times New Roman"/>
                <w:b/>
                <w:color w:val="000000" w:themeColor="text1"/>
                <w:sz w:val="21"/>
                <w:szCs w:val="21"/>
                <w14:textFill>
                  <w14:solidFill>
                    <w14:schemeClr w14:val="tx1"/>
                  </w14:solidFill>
                </w14:textFill>
              </w:rPr>
              <w:t>-1-1</w:t>
            </w:r>
          </w:p>
        </w:tc>
        <w:tc>
          <w:tcPr>
            <w:tcW w:w="432" w:type="pct"/>
            <w:noWrap w:val="0"/>
            <w:vAlign w:val="center"/>
          </w:tcPr>
          <w:p w14:paraId="2202C03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17</w:t>
            </w:r>
            <w:r>
              <w:rPr>
                <w:rFonts w:hint="default" w:ascii="Times New Roman" w:hAnsi="Times New Roman" w:eastAsia="宋体" w:cs="Times New Roman"/>
                <w:b/>
                <w:color w:val="000000" w:themeColor="text1"/>
                <w:sz w:val="21"/>
                <w:szCs w:val="21"/>
                <w14:textFill>
                  <w14:solidFill>
                    <w14:schemeClr w14:val="tx1"/>
                  </w14:solidFill>
                </w14:textFill>
              </w:rPr>
              <w:t>-1-</w:t>
            </w:r>
            <w:r>
              <w:rPr>
                <w:rFonts w:hint="eastAsia" w:ascii="Times New Roman" w:hAnsi="Times New Roman" w:eastAsia="宋体" w:cs="Times New Roman"/>
                <w:b/>
                <w:color w:val="000000" w:themeColor="text1"/>
                <w:sz w:val="21"/>
                <w:szCs w:val="21"/>
                <w14:textFill>
                  <w14:solidFill>
                    <w14:schemeClr w14:val="tx1"/>
                  </w14:solidFill>
                </w14:textFill>
              </w:rPr>
              <w:t>2</w:t>
            </w:r>
          </w:p>
        </w:tc>
        <w:tc>
          <w:tcPr>
            <w:tcW w:w="432" w:type="pct"/>
            <w:noWrap w:val="0"/>
            <w:vAlign w:val="center"/>
          </w:tcPr>
          <w:p w14:paraId="36FE536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17</w:t>
            </w:r>
            <w:r>
              <w:rPr>
                <w:rFonts w:hint="default" w:ascii="Times New Roman" w:hAnsi="Times New Roman" w:eastAsia="宋体" w:cs="Times New Roman"/>
                <w:b/>
                <w:color w:val="000000" w:themeColor="text1"/>
                <w:sz w:val="21"/>
                <w:szCs w:val="21"/>
                <w14:textFill>
                  <w14:solidFill>
                    <w14:schemeClr w14:val="tx1"/>
                  </w14:solidFill>
                </w14:textFill>
              </w:rPr>
              <w:t>-1-</w:t>
            </w:r>
            <w:r>
              <w:rPr>
                <w:rFonts w:hint="eastAsia" w:ascii="Times New Roman" w:hAnsi="Times New Roman" w:eastAsia="宋体" w:cs="Times New Roman"/>
                <w:b/>
                <w:color w:val="000000" w:themeColor="text1"/>
                <w:sz w:val="21"/>
                <w:szCs w:val="21"/>
                <w14:textFill>
                  <w14:solidFill>
                    <w14:schemeClr w14:val="tx1"/>
                  </w14:solidFill>
                </w14:textFill>
              </w:rPr>
              <w:t>3</w:t>
            </w:r>
          </w:p>
        </w:tc>
        <w:tc>
          <w:tcPr>
            <w:tcW w:w="432" w:type="pct"/>
            <w:noWrap w:val="0"/>
            <w:vAlign w:val="center"/>
          </w:tcPr>
          <w:p w14:paraId="2E8938E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b/>
                <w:color w:val="000000" w:themeColor="text1"/>
                <w:sz w:val="21"/>
                <w:szCs w:val="21"/>
                <w14:textFill>
                  <w14:solidFill>
                    <w14:schemeClr w14:val="tx1"/>
                  </w14:solidFill>
                </w14:textFill>
              </w:rPr>
              <w:t>-1-1</w:t>
            </w:r>
          </w:p>
        </w:tc>
        <w:tc>
          <w:tcPr>
            <w:tcW w:w="432" w:type="pct"/>
            <w:noWrap w:val="0"/>
            <w:vAlign w:val="center"/>
          </w:tcPr>
          <w:p w14:paraId="51E8621D">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b/>
                <w:color w:val="000000" w:themeColor="text1"/>
                <w:sz w:val="21"/>
                <w:szCs w:val="21"/>
                <w14:textFill>
                  <w14:solidFill>
                    <w14:schemeClr w14:val="tx1"/>
                  </w14:solidFill>
                </w14:textFill>
              </w:rPr>
              <w:t>-1-</w:t>
            </w:r>
            <w:r>
              <w:rPr>
                <w:rFonts w:hint="eastAsia" w:ascii="Times New Roman" w:hAnsi="Times New Roman" w:eastAsia="宋体" w:cs="Times New Roman"/>
                <w:b/>
                <w:color w:val="000000" w:themeColor="text1"/>
                <w:sz w:val="21"/>
                <w:szCs w:val="21"/>
                <w14:textFill>
                  <w14:solidFill>
                    <w14:schemeClr w14:val="tx1"/>
                  </w14:solidFill>
                </w14:textFill>
              </w:rPr>
              <w:t>2</w:t>
            </w:r>
          </w:p>
        </w:tc>
        <w:tc>
          <w:tcPr>
            <w:tcW w:w="432" w:type="pct"/>
            <w:noWrap w:val="0"/>
            <w:vAlign w:val="center"/>
          </w:tcPr>
          <w:p w14:paraId="661188F2">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b/>
                <w:color w:val="000000" w:themeColor="text1"/>
                <w:sz w:val="21"/>
                <w:szCs w:val="21"/>
                <w14:textFill>
                  <w14:solidFill>
                    <w14:schemeClr w14:val="tx1"/>
                  </w14:solidFill>
                </w14:textFill>
              </w:rPr>
              <w:t>-1-</w:t>
            </w:r>
            <w:r>
              <w:rPr>
                <w:rFonts w:hint="eastAsia" w:ascii="Times New Roman" w:hAnsi="Times New Roman" w:eastAsia="宋体" w:cs="Times New Roman"/>
                <w:b/>
                <w:color w:val="000000" w:themeColor="text1"/>
                <w:sz w:val="21"/>
                <w:szCs w:val="21"/>
                <w14:textFill>
                  <w14:solidFill>
                    <w14:schemeClr w14:val="tx1"/>
                  </w14:solidFill>
                </w14:textFill>
              </w:rPr>
              <w:t>3</w:t>
            </w:r>
          </w:p>
        </w:tc>
        <w:tc>
          <w:tcPr>
            <w:tcW w:w="432" w:type="pct"/>
            <w:noWrap w:val="0"/>
            <w:vAlign w:val="center"/>
          </w:tcPr>
          <w:p w14:paraId="39F02544">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19</w:t>
            </w:r>
            <w:r>
              <w:rPr>
                <w:rFonts w:hint="eastAsia" w:ascii="Times New Roman" w:hAnsi="Times New Roman" w:eastAsia="宋体" w:cs="Times New Roman"/>
                <w:b/>
                <w:color w:val="000000" w:themeColor="text1"/>
                <w:sz w:val="21"/>
                <w:szCs w:val="21"/>
                <w14:textFill>
                  <w14:solidFill>
                    <w14:schemeClr w14:val="tx1"/>
                  </w14:solidFill>
                </w14:textFill>
              </w:rPr>
              <w:t>-1-1</w:t>
            </w:r>
          </w:p>
        </w:tc>
        <w:tc>
          <w:tcPr>
            <w:tcW w:w="432" w:type="pct"/>
            <w:noWrap w:val="0"/>
            <w:vAlign w:val="center"/>
          </w:tcPr>
          <w:p w14:paraId="4022AA7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19</w:t>
            </w:r>
            <w:r>
              <w:rPr>
                <w:rFonts w:hint="eastAsia" w:ascii="Times New Roman" w:hAnsi="Times New Roman" w:eastAsia="宋体" w:cs="Times New Roman"/>
                <w:b/>
                <w:color w:val="000000" w:themeColor="text1"/>
                <w:sz w:val="21"/>
                <w:szCs w:val="21"/>
                <w14:textFill>
                  <w14:solidFill>
                    <w14:schemeClr w14:val="tx1"/>
                  </w14:solidFill>
                </w14:textFill>
              </w:rPr>
              <w:t>-1-2</w:t>
            </w:r>
          </w:p>
        </w:tc>
        <w:tc>
          <w:tcPr>
            <w:tcW w:w="436" w:type="pct"/>
            <w:noWrap w:val="0"/>
            <w:vAlign w:val="center"/>
          </w:tcPr>
          <w:p w14:paraId="29D5802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T</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19</w:t>
            </w:r>
            <w:r>
              <w:rPr>
                <w:rFonts w:hint="eastAsia" w:ascii="Times New Roman" w:hAnsi="Times New Roman" w:eastAsia="宋体" w:cs="Times New Roman"/>
                <w:b/>
                <w:color w:val="000000" w:themeColor="text1"/>
                <w:sz w:val="21"/>
                <w:szCs w:val="21"/>
                <w14:textFill>
                  <w14:solidFill>
                    <w14:schemeClr w14:val="tx1"/>
                  </w14:solidFill>
                </w14:textFill>
              </w:rPr>
              <w:t>-1-3</w:t>
            </w:r>
          </w:p>
        </w:tc>
        <w:tc>
          <w:tcPr>
            <w:tcW w:w="329" w:type="pct"/>
            <w:vMerge w:val="restart"/>
            <w:noWrap w:val="0"/>
            <w:vAlign w:val="center"/>
          </w:tcPr>
          <w:p w14:paraId="21CE8DC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标准值</w:t>
            </w:r>
          </w:p>
        </w:tc>
      </w:tr>
      <w:tr w14:paraId="1FB66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7" w:type="pct"/>
            <w:noWrap w:val="0"/>
            <w:vAlign w:val="center"/>
          </w:tcPr>
          <w:p w14:paraId="36EA7640">
            <w:pPr>
              <w:keepNext w:val="0"/>
              <w:keepLines w:val="0"/>
              <w:widowControl/>
              <w:suppressLineNumbers w:val="0"/>
              <w:spacing w:before="0" w:beforeAutospacing="0" w:after="0" w:afterAutospacing="0" w:line="360" w:lineRule="exact"/>
              <w:ind w:left="0" w:right="0" w:firstLine="0" w:firstLineChars="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lang w:bidi="ar"/>
                <w14:textFill>
                  <w14:solidFill>
                    <w14:schemeClr w14:val="tx1"/>
                  </w14:solidFill>
                </w14:textFill>
              </w:rPr>
              <w:t>检测项目</w:t>
            </w:r>
          </w:p>
        </w:tc>
        <w:tc>
          <w:tcPr>
            <w:tcW w:w="408" w:type="pct"/>
            <w:noWrap w:val="0"/>
            <w:vAlign w:val="center"/>
          </w:tcPr>
          <w:p w14:paraId="031768B3">
            <w:pPr>
              <w:keepNext w:val="0"/>
              <w:keepLines w:val="0"/>
              <w:widowControl/>
              <w:suppressLineNumbers w:val="0"/>
              <w:spacing w:before="0" w:beforeAutospacing="0" w:after="0" w:afterAutospacing="0" w:line="360" w:lineRule="exact"/>
              <w:ind w:left="0" w:right="0" w:firstLine="0" w:firstLineChars="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lang w:bidi="ar"/>
                <w14:textFill>
                  <w14:solidFill>
                    <w14:schemeClr w14:val="tx1"/>
                  </w14:solidFill>
                </w14:textFill>
              </w:rPr>
              <w:t>单位</w:t>
            </w:r>
          </w:p>
        </w:tc>
        <w:tc>
          <w:tcPr>
            <w:tcW w:w="3894" w:type="pct"/>
            <w:gridSpan w:val="9"/>
            <w:noWrap w:val="0"/>
            <w:vAlign w:val="center"/>
          </w:tcPr>
          <w:p w14:paraId="64AFBD1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检测结果</w:t>
            </w:r>
          </w:p>
        </w:tc>
        <w:tc>
          <w:tcPr>
            <w:tcW w:w="329" w:type="pct"/>
            <w:vMerge w:val="continue"/>
            <w:noWrap w:val="0"/>
            <w:vAlign w:val="center"/>
          </w:tcPr>
          <w:p w14:paraId="16810601">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p>
        </w:tc>
      </w:tr>
      <w:tr w14:paraId="26713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7" w:type="pct"/>
            <w:noWrap w:val="0"/>
            <w:vAlign w:val="center"/>
          </w:tcPr>
          <w:p w14:paraId="0864C906">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textAlignment w:val="auto"/>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铜</w:t>
            </w:r>
          </w:p>
        </w:tc>
        <w:tc>
          <w:tcPr>
            <w:tcW w:w="408" w:type="pct"/>
            <w:noWrap w:val="0"/>
            <w:vAlign w:val="center"/>
          </w:tcPr>
          <w:p w14:paraId="7B64949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mg/kg</w:t>
            </w:r>
          </w:p>
        </w:tc>
        <w:tc>
          <w:tcPr>
            <w:tcW w:w="730" w:type="dxa"/>
            <w:noWrap w:val="0"/>
            <w:vAlign w:val="center"/>
          </w:tcPr>
          <w:p w14:paraId="01E5967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730" w:type="dxa"/>
            <w:noWrap w:val="0"/>
            <w:vAlign w:val="center"/>
          </w:tcPr>
          <w:p w14:paraId="35972B6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730" w:type="dxa"/>
            <w:noWrap w:val="0"/>
            <w:vAlign w:val="center"/>
          </w:tcPr>
          <w:p w14:paraId="37DE5CE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730" w:type="dxa"/>
            <w:noWrap w:val="0"/>
            <w:vAlign w:val="center"/>
          </w:tcPr>
          <w:p w14:paraId="3FA42EF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w:t>
            </w:r>
          </w:p>
        </w:tc>
        <w:tc>
          <w:tcPr>
            <w:tcW w:w="730" w:type="dxa"/>
            <w:noWrap w:val="0"/>
            <w:vAlign w:val="center"/>
          </w:tcPr>
          <w:p w14:paraId="2DBC350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730" w:type="dxa"/>
            <w:noWrap w:val="0"/>
            <w:vAlign w:val="center"/>
          </w:tcPr>
          <w:p w14:paraId="10ECAE9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730" w:type="dxa"/>
            <w:noWrap w:val="0"/>
            <w:vAlign w:val="center"/>
          </w:tcPr>
          <w:p w14:paraId="54E545F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w:t>
            </w:r>
          </w:p>
        </w:tc>
        <w:tc>
          <w:tcPr>
            <w:tcW w:w="730" w:type="dxa"/>
            <w:noWrap w:val="0"/>
            <w:vAlign w:val="center"/>
          </w:tcPr>
          <w:p w14:paraId="54F70A5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w:t>
            </w:r>
          </w:p>
        </w:tc>
        <w:tc>
          <w:tcPr>
            <w:tcW w:w="740" w:type="dxa"/>
            <w:noWrap w:val="0"/>
            <w:vAlign w:val="center"/>
          </w:tcPr>
          <w:p w14:paraId="3129EC4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w:t>
            </w:r>
          </w:p>
        </w:tc>
        <w:tc>
          <w:tcPr>
            <w:tcW w:w="329" w:type="pct"/>
            <w:noWrap w:val="0"/>
            <w:vAlign w:val="center"/>
          </w:tcPr>
          <w:p w14:paraId="17F095E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18000</w:t>
            </w:r>
          </w:p>
        </w:tc>
      </w:tr>
      <w:tr w14:paraId="26732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7" w:type="pct"/>
            <w:noWrap w:val="0"/>
            <w:vAlign w:val="center"/>
          </w:tcPr>
          <w:p w14:paraId="7FD83693">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textAlignment w:val="auto"/>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镍</w:t>
            </w:r>
          </w:p>
        </w:tc>
        <w:tc>
          <w:tcPr>
            <w:tcW w:w="408" w:type="pct"/>
            <w:noWrap w:val="0"/>
            <w:vAlign w:val="center"/>
          </w:tcPr>
          <w:p w14:paraId="32959D9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mg/kg</w:t>
            </w:r>
          </w:p>
        </w:tc>
        <w:tc>
          <w:tcPr>
            <w:tcW w:w="730" w:type="dxa"/>
            <w:noWrap w:val="0"/>
            <w:vAlign w:val="center"/>
          </w:tcPr>
          <w:p w14:paraId="35048CA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16</w:t>
            </w:r>
          </w:p>
        </w:tc>
        <w:tc>
          <w:tcPr>
            <w:tcW w:w="730" w:type="dxa"/>
            <w:noWrap w:val="0"/>
            <w:vAlign w:val="center"/>
          </w:tcPr>
          <w:p w14:paraId="23BFEB1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17</w:t>
            </w:r>
          </w:p>
        </w:tc>
        <w:tc>
          <w:tcPr>
            <w:tcW w:w="730" w:type="dxa"/>
            <w:noWrap w:val="0"/>
            <w:vAlign w:val="center"/>
          </w:tcPr>
          <w:p w14:paraId="5F98C99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17</w:t>
            </w:r>
          </w:p>
        </w:tc>
        <w:tc>
          <w:tcPr>
            <w:tcW w:w="730" w:type="dxa"/>
            <w:noWrap w:val="0"/>
            <w:vAlign w:val="center"/>
          </w:tcPr>
          <w:p w14:paraId="24F22C8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16</w:t>
            </w:r>
          </w:p>
        </w:tc>
        <w:tc>
          <w:tcPr>
            <w:tcW w:w="730" w:type="dxa"/>
            <w:noWrap w:val="0"/>
            <w:vAlign w:val="center"/>
          </w:tcPr>
          <w:p w14:paraId="0A40007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15</w:t>
            </w:r>
          </w:p>
        </w:tc>
        <w:tc>
          <w:tcPr>
            <w:tcW w:w="730" w:type="dxa"/>
            <w:noWrap w:val="0"/>
            <w:vAlign w:val="center"/>
          </w:tcPr>
          <w:p w14:paraId="2B3B968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17</w:t>
            </w:r>
          </w:p>
        </w:tc>
        <w:tc>
          <w:tcPr>
            <w:tcW w:w="730" w:type="dxa"/>
            <w:noWrap w:val="0"/>
            <w:vAlign w:val="center"/>
          </w:tcPr>
          <w:p w14:paraId="0A68315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16</w:t>
            </w:r>
          </w:p>
        </w:tc>
        <w:tc>
          <w:tcPr>
            <w:tcW w:w="730" w:type="dxa"/>
            <w:noWrap w:val="0"/>
            <w:vAlign w:val="center"/>
          </w:tcPr>
          <w:p w14:paraId="4C14178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22</w:t>
            </w:r>
          </w:p>
        </w:tc>
        <w:tc>
          <w:tcPr>
            <w:tcW w:w="740" w:type="dxa"/>
            <w:noWrap w:val="0"/>
            <w:vAlign w:val="center"/>
          </w:tcPr>
          <w:p w14:paraId="2F6277A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14</w:t>
            </w:r>
          </w:p>
        </w:tc>
        <w:tc>
          <w:tcPr>
            <w:tcW w:w="329" w:type="pct"/>
            <w:noWrap w:val="0"/>
            <w:vAlign w:val="center"/>
          </w:tcPr>
          <w:p w14:paraId="0B7957D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900</w:t>
            </w:r>
          </w:p>
        </w:tc>
      </w:tr>
      <w:tr w14:paraId="7C855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7" w:type="pct"/>
            <w:noWrap w:val="0"/>
            <w:vAlign w:val="center"/>
          </w:tcPr>
          <w:p w14:paraId="3095F8C0">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textAlignment w:val="auto"/>
              <w:rPr>
                <w:rFonts w:hint="eastAsia"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eastAsia" w:ascii="Times New Roman" w:hAnsi="Times New Roman" w:eastAsia="宋体" w:cs="Calibri"/>
                <w:color w:val="000000" w:themeColor="text1"/>
                <w:spacing w:val="-8"/>
                <w:kern w:val="2"/>
                <w:sz w:val="21"/>
                <w:szCs w:val="21"/>
                <w:lang w:val="en-US" w:eastAsia="zh-CN" w:bidi="ar-SA"/>
                <w14:textFill>
                  <w14:solidFill>
                    <w14:schemeClr w14:val="tx1"/>
                  </w14:solidFill>
                </w14:textFill>
              </w:rPr>
              <w:t>六价铬</w:t>
            </w:r>
          </w:p>
        </w:tc>
        <w:tc>
          <w:tcPr>
            <w:tcW w:w="408" w:type="pct"/>
            <w:noWrap w:val="0"/>
            <w:vAlign w:val="center"/>
          </w:tcPr>
          <w:p w14:paraId="3D6DE58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mg/kg</w:t>
            </w:r>
          </w:p>
        </w:tc>
        <w:tc>
          <w:tcPr>
            <w:tcW w:w="730" w:type="dxa"/>
            <w:noWrap w:val="0"/>
            <w:vAlign w:val="center"/>
          </w:tcPr>
          <w:p w14:paraId="3165EAD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30" w:type="dxa"/>
            <w:noWrap w:val="0"/>
            <w:vAlign w:val="center"/>
          </w:tcPr>
          <w:p w14:paraId="2A70248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30" w:type="dxa"/>
            <w:noWrap w:val="0"/>
            <w:vAlign w:val="center"/>
          </w:tcPr>
          <w:p w14:paraId="16E6D30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30" w:type="dxa"/>
            <w:noWrap w:val="0"/>
            <w:vAlign w:val="center"/>
          </w:tcPr>
          <w:p w14:paraId="6102A01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30" w:type="dxa"/>
            <w:noWrap w:val="0"/>
            <w:vAlign w:val="center"/>
          </w:tcPr>
          <w:p w14:paraId="194A73B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30" w:type="dxa"/>
            <w:noWrap w:val="0"/>
            <w:vAlign w:val="center"/>
          </w:tcPr>
          <w:p w14:paraId="40614F9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30" w:type="dxa"/>
            <w:noWrap w:val="0"/>
            <w:vAlign w:val="center"/>
          </w:tcPr>
          <w:p w14:paraId="0CFA6CF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30" w:type="dxa"/>
            <w:noWrap w:val="0"/>
            <w:vAlign w:val="center"/>
          </w:tcPr>
          <w:p w14:paraId="1E2B425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40" w:type="dxa"/>
            <w:noWrap w:val="0"/>
            <w:vAlign w:val="center"/>
          </w:tcPr>
          <w:p w14:paraId="78821C1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329" w:type="pct"/>
            <w:noWrap w:val="0"/>
            <w:vAlign w:val="center"/>
          </w:tcPr>
          <w:p w14:paraId="646FA7C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5.7</w:t>
            </w:r>
          </w:p>
        </w:tc>
      </w:tr>
      <w:tr w14:paraId="2DBB0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7" w:type="pct"/>
            <w:noWrap w:val="0"/>
            <w:vAlign w:val="center"/>
          </w:tcPr>
          <w:p w14:paraId="5BDD89CF">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textAlignment w:val="auto"/>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铅</w:t>
            </w:r>
          </w:p>
        </w:tc>
        <w:tc>
          <w:tcPr>
            <w:tcW w:w="408" w:type="pct"/>
            <w:noWrap w:val="0"/>
            <w:vAlign w:val="center"/>
          </w:tcPr>
          <w:p w14:paraId="59DDDFB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mg/kg</w:t>
            </w:r>
          </w:p>
        </w:tc>
        <w:tc>
          <w:tcPr>
            <w:tcW w:w="730" w:type="dxa"/>
            <w:noWrap w:val="0"/>
            <w:vAlign w:val="center"/>
          </w:tcPr>
          <w:p w14:paraId="1662D6A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6.5</w:t>
            </w:r>
          </w:p>
        </w:tc>
        <w:tc>
          <w:tcPr>
            <w:tcW w:w="730" w:type="dxa"/>
            <w:noWrap w:val="0"/>
            <w:vAlign w:val="center"/>
          </w:tcPr>
          <w:p w14:paraId="106FE38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7.0</w:t>
            </w:r>
          </w:p>
        </w:tc>
        <w:tc>
          <w:tcPr>
            <w:tcW w:w="730" w:type="dxa"/>
            <w:noWrap w:val="0"/>
            <w:vAlign w:val="center"/>
          </w:tcPr>
          <w:p w14:paraId="1CFB1DF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7.7</w:t>
            </w:r>
          </w:p>
        </w:tc>
        <w:tc>
          <w:tcPr>
            <w:tcW w:w="730" w:type="dxa"/>
            <w:noWrap w:val="0"/>
            <w:vAlign w:val="center"/>
          </w:tcPr>
          <w:p w14:paraId="2CA4E34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11.2</w:t>
            </w:r>
          </w:p>
        </w:tc>
        <w:tc>
          <w:tcPr>
            <w:tcW w:w="730" w:type="dxa"/>
            <w:noWrap w:val="0"/>
            <w:vAlign w:val="center"/>
          </w:tcPr>
          <w:p w14:paraId="415477B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6.2</w:t>
            </w:r>
          </w:p>
        </w:tc>
        <w:tc>
          <w:tcPr>
            <w:tcW w:w="730" w:type="dxa"/>
            <w:noWrap w:val="0"/>
            <w:vAlign w:val="center"/>
          </w:tcPr>
          <w:p w14:paraId="172162A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5.9</w:t>
            </w:r>
          </w:p>
        </w:tc>
        <w:tc>
          <w:tcPr>
            <w:tcW w:w="730" w:type="dxa"/>
            <w:noWrap w:val="0"/>
            <w:vAlign w:val="center"/>
          </w:tcPr>
          <w:p w14:paraId="062AF60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7.5</w:t>
            </w:r>
          </w:p>
        </w:tc>
        <w:tc>
          <w:tcPr>
            <w:tcW w:w="730" w:type="dxa"/>
            <w:noWrap w:val="0"/>
            <w:vAlign w:val="center"/>
          </w:tcPr>
          <w:p w14:paraId="35AF98A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5.9</w:t>
            </w:r>
          </w:p>
        </w:tc>
        <w:tc>
          <w:tcPr>
            <w:tcW w:w="740" w:type="dxa"/>
            <w:noWrap w:val="0"/>
            <w:vAlign w:val="center"/>
          </w:tcPr>
          <w:p w14:paraId="7FD0E64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6.3</w:t>
            </w:r>
          </w:p>
        </w:tc>
        <w:tc>
          <w:tcPr>
            <w:tcW w:w="329" w:type="pct"/>
            <w:noWrap w:val="0"/>
            <w:vAlign w:val="center"/>
          </w:tcPr>
          <w:p w14:paraId="001FB0A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800</w:t>
            </w:r>
          </w:p>
        </w:tc>
      </w:tr>
      <w:tr w14:paraId="5747C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7" w:type="pct"/>
            <w:noWrap w:val="0"/>
            <w:vAlign w:val="center"/>
          </w:tcPr>
          <w:p w14:paraId="35619299">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textAlignment w:val="auto"/>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镉</w:t>
            </w:r>
          </w:p>
        </w:tc>
        <w:tc>
          <w:tcPr>
            <w:tcW w:w="408" w:type="pct"/>
            <w:noWrap w:val="0"/>
            <w:vAlign w:val="center"/>
          </w:tcPr>
          <w:p w14:paraId="6481EC5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mg/kg</w:t>
            </w:r>
          </w:p>
        </w:tc>
        <w:tc>
          <w:tcPr>
            <w:tcW w:w="730" w:type="dxa"/>
            <w:noWrap w:val="0"/>
            <w:vAlign w:val="center"/>
          </w:tcPr>
          <w:p w14:paraId="6DEA1EA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0.24</w:t>
            </w:r>
          </w:p>
        </w:tc>
        <w:tc>
          <w:tcPr>
            <w:tcW w:w="730" w:type="dxa"/>
            <w:noWrap w:val="0"/>
            <w:vAlign w:val="center"/>
          </w:tcPr>
          <w:p w14:paraId="723B0F2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0.18</w:t>
            </w:r>
          </w:p>
        </w:tc>
        <w:tc>
          <w:tcPr>
            <w:tcW w:w="730" w:type="dxa"/>
            <w:noWrap w:val="0"/>
            <w:vAlign w:val="center"/>
          </w:tcPr>
          <w:p w14:paraId="6FE1256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0.18</w:t>
            </w:r>
          </w:p>
        </w:tc>
        <w:tc>
          <w:tcPr>
            <w:tcW w:w="730" w:type="dxa"/>
            <w:noWrap w:val="0"/>
            <w:vAlign w:val="center"/>
          </w:tcPr>
          <w:p w14:paraId="10C98ED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0.16</w:t>
            </w:r>
          </w:p>
        </w:tc>
        <w:tc>
          <w:tcPr>
            <w:tcW w:w="730" w:type="dxa"/>
            <w:noWrap w:val="0"/>
            <w:vAlign w:val="center"/>
          </w:tcPr>
          <w:p w14:paraId="244E733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0.18</w:t>
            </w:r>
          </w:p>
        </w:tc>
        <w:tc>
          <w:tcPr>
            <w:tcW w:w="730" w:type="dxa"/>
            <w:noWrap w:val="0"/>
            <w:vAlign w:val="center"/>
          </w:tcPr>
          <w:p w14:paraId="63EBED6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0.18</w:t>
            </w:r>
          </w:p>
        </w:tc>
        <w:tc>
          <w:tcPr>
            <w:tcW w:w="730" w:type="dxa"/>
            <w:noWrap w:val="0"/>
            <w:vAlign w:val="center"/>
          </w:tcPr>
          <w:p w14:paraId="7D5AE9A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0.29</w:t>
            </w:r>
          </w:p>
        </w:tc>
        <w:tc>
          <w:tcPr>
            <w:tcW w:w="730" w:type="dxa"/>
            <w:noWrap w:val="0"/>
            <w:vAlign w:val="center"/>
          </w:tcPr>
          <w:p w14:paraId="20E92B4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0.29</w:t>
            </w:r>
          </w:p>
        </w:tc>
        <w:tc>
          <w:tcPr>
            <w:tcW w:w="740" w:type="dxa"/>
            <w:noWrap w:val="0"/>
            <w:vAlign w:val="center"/>
          </w:tcPr>
          <w:p w14:paraId="00E7434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0.19</w:t>
            </w:r>
          </w:p>
        </w:tc>
        <w:tc>
          <w:tcPr>
            <w:tcW w:w="329" w:type="pct"/>
            <w:noWrap w:val="0"/>
            <w:vAlign w:val="center"/>
          </w:tcPr>
          <w:p w14:paraId="0EE55F3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65</w:t>
            </w:r>
          </w:p>
        </w:tc>
      </w:tr>
      <w:tr w14:paraId="6B952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7" w:type="pct"/>
            <w:noWrap w:val="0"/>
            <w:vAlign w:val="center"/>
          </w:tcPr>
          <w:p w14:paraId="6F1B4F75">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textAlignment w:val="auto"/>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汞</w:t>
            </w:r>
          </w:p>
        </w:tc>
        <w:tc>
          <w:tcPr>
            <w:tcW w:w="408" w:type="pct"/>
            <w:noWrap w:val="0"/>
            <w:vAlign w:val="center"/>
          </w:tcPr>
          <w:p w14:paraId="27691CE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mg/kg</w:t>
            </w:r>
          </w:p>
        </w:tc>
        <w:tc>
          <w:tcPr>
            <w:tcW w:w="730" w:type="dxa"/>
            <w:noWrap w:val="0"/>
            <w:vAlign w:val="center"/>
          </w:tcPr>
          <w:p w14:paraId="0FDF44A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0.401</w:t>
            </w:r>
          </w:p>
        </w:tc>
        <w:tc>
          <w:tcPr>
            <w:tcW w:w="730" w:type="dxa"/>
            <w:noWrap w:val="0"/>
            <w:vAlign w:val="center"/>
          </w:tcPr>
          <w:p w14:paraId="3A4520F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0.619</w:t>
            </w:r>
          </w:p>
        </w:tc>
        <w:tc>
          <w:tcPr>
            <w:tcW w:w="730" w:type="dxa"/>
            <w:noWrap w:val="0"/>
            <w:vAlign w:val="center"/>
          </w:tcPr>
          <w:p w14:paraId="18EFF0D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0.663</w:t>
            </w:r>
          </w:p>
        </w:tc>
        <w:tc>
          <w:tcPr>
            <w:tcW w:w="730" w:type="dxa"/>
            <w:noWrap w:val="0"/>
            <w:vAlign w:val="center"/>
          </w:tcPr>
          <w:p w14:paraId="4658275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0.640</w:t>
            </w:r>
          </w:p>
        </w:tc>
        <w:tc>
          <w:tcPr>
            <w:tcW w:w="730" w:type="dxa"/>
            <w:noWrap w:val="0"/>
            <w:vAlign w:val="center"/>
          </w:tcPr>
          <w:p w14:paraId="4C07C83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0.811</w:t>
            </w:r>
          </w:p>
        </w:tc>
        <w:tc>
          <w:tcPr>
            <w:tcW w:w="730" w:type="dxa"/>
            <w:noWrap w:val="0"/>
            <w:vAlign w:val="center"/>
          </w:tcPr>
          <w:p w14:paraId="726A519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0.598</w:t>
            </w:r>
          </w:p>
        </w:tc>
        <w:tc>
          <w:tcPr>
            <w:tcW w:w="730" w:type="dxa"/>
            <w:noWrap w:val="0"/>
            <w:vAlign w:val="center"/>
          </w:tcPr>
          <w:p w14:paraId="7412835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0.556</w:t>
            </w:r>
          </w:p>
        </w:tc>
        <w:tc>
          <w:tcPr>
            <w:tcW w:w="730" w:type="dxa"/>
            <w:noWrap w:val="0"/>
            <w:vAlign w:val="center"/>
          </w:tcPr>
          <w:p w14:paraId="79276FA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2.78</w:t>
            </w:r>
          </w:p>
        </w:tc>
        <w:tc>
          <w:tcPr>
            <w:tcW w:w="740" w:type="dxa"/>
            <w:noWrap w:val="0"/>
            <w:vAlign w:val="center"/>
          </w:tcPr>
          <w:p w14:paraId="6F205F9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1.11</w:t>
            </w:r>
          </w:p>
        </w:tc>
        <w:tc>
          <w:tcPr>
            <w:tcW w:w="329" w:type="pct"/>
            <w:noWrap w:val="0"/>
            <w:vAlign w:val="center"/>
          </w:tcPr>
          <w:p w14:paraId="327C733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38</w:t>
            </w:r>
          </w:p>
        </w:tc>
      </w:tr>
      <w:tr w14:paraId="17A2A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7" w:type="pct"/>
            <w:noWrap w:val="0"/>
            <w:vAlign w:val="center"/>
          </w:tcPr>
          <w:p w14:paraId="39E3E437">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textAlignment w:val="auto"/>
              <w:rPr>
                <w:rFonts w:hint="default" w:ascii="Times New Roman" w:hAnsi="Times New Roman" w:eastAsia="宋体" w:cs="Calibri"/>
                <w:color w:val="000000" w:themeColor="text1"/>
                <w:spacing w:val="-8"/>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砷</w:t>
            </w:r>
          </w:p>
        </w:tc>
        <w:tc>
          <w:tcPr>
            <w:tcW w:w="408" w:type="pct"/>
            <w:noWrap w:val="0"/>
            <w:vAlign w:val="center"/>
          </w:tcPr>
          <w:p w14:paraId="4EDB1F6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t>mg/kg</w:t>
            </w:r>
          </w:p>
        </w:tc>
        <w:tc>
          <w:tcPr>
            <w:tcW w:w="730" w:type="dxa"/>
            <w:noWrap w:val="0"/>
            <w:vAlign w:val="center"/>
          </w:tcPr>
          <w:p w14:paraId="3F71EBD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7.88</w:t>
            </w:r>
          </w:p>
        </w:tc>
        <w:tc>
          <w:tcPr>
            <w:tcW w:w="730" w:type="dxa"/>
            <w:noWrap w:val="0"/>
            <w:vAlign w:val="center"/>
          </w:tcPr>
          <w:p w14:paraId="5EC292C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8.42</w:t>
            </w:r>
          </w:p>
        </w:tc>
        <w:tc>
          <w:tcPr>
            <w:tcW w:w="730" w:type="dxa"/>
            <w:noWrap w:val="0"/>
            <w:vAlign w:val="center"/>
          </w:tcPr>
          <w:p w14:paraId="55320F0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8.03</w:t>
            </w:r>
          </w:p>
        </w:tc>
        <w:tc>
          <w:tcPr>
            <w:tcW w:w="730" w:type="dxa"/>
            <w:noWrap w:val="0"/>
            <w:vAlign w:val="center"/>
          </w:tcPr>
          <w:p w14:paraId="0C356CE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8.69</w:t>
            </w:r>
          </w:p>
        </w:tc>
        <w:tc>
          <w:tcPr>
            <w:tcW w:w="730" w:type="dxa"/>
            <w:noWrap w:val="0"/>
            <w:vAlign w:val="center"/>
          </w:tcPr>
          <w:p w14:paraId="2F258C6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8.68</w:t>
            </w:r>
          </w:p>
        </w:tc>
        <w:tc>
          <w:tcPr>
            <w:tcW w:w="730" w:type="dxa"/>
            <w:noWrap w:val="0"/>
            <w:vAlign w:val="center"/>
          </w:tcPr>
          <w:p w14:paraId="26C3E746">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6.33</w:t>
            </w:r>
          </w:p>
        </w:tc>
        <w:tc>
          <w:tcPr>
            <w:tcW w:w="730" w:type="dxa"/>
            <w:noWrap w:val="0"/>
            <w:vAlign w:val="center"/>
          </w:tcPr>
          <w:p w14:paraId="61A119F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8.42</w:t>
            </w:r>
          </w:p>
        </w:tc>
        <w:tc>
          <w:tcPr>
            <w:tcW w:w="730" w:type="dxa"/>
            <w:noWrap w:val="0"/>
            <w:vAlign w:val="center"/>
          </w:tcPr>
          <w:p w14:paraId="002E70F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9.66</w:t>
            </w:r>
          </w:p>
        </w:tc>
        <w:tc>
          <w:tcPr>
            <w:tcW w:w="740" w:type="dxa"/>
            <w:noWrap w:val="0"/>
            <w:vAlign w:val="center"/>
          </w:tcPr>
          <w:p w14:paraId="0CA6B24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7.35</w:t>
            </w:r>
          </w:p>
        </w:tc>
        <w:tc>
          <w:tcPr>
            <w:tcW w:w="329" w:type="pct"/>
            <w:noWrap w:val="0"/>
            <w:vAlign w:val="center"/>
          </w:tcPr>
          <w:p w14:paraId="612A290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60</w:t>
            </w:r>
          </w:p>
        </w:tc>
      </w:tr>
      <w:tr w14:paraId="2F518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7" w:type="pct"/>
            <w:noWrap w:val="0"/>
            <w:vAlign w:val="center"/>
          </w:tcPr>
          <w:p w14:paraId="15547D30">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textAlignment w:val="auto"/>
              <w:rPr>
                <w:rFonts w:hint="eastAsia"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8"/>
                <w:kern w:val="0"/>
                <w:sz w:val="21"/>
                <w:szCs w:val="21"/>
                <w:lang w:val="en-US" w:eastAsia="zh-CN" w:bidi="ar-SA"/>
                <w14:textFill>
                  <w14:solidFill>
                    <w14:schemeClr w14:val="tx1"/>
                  </w14:solidFill>
                </w14:textFill>
              </w:rPr>
              <w:t>锌</w:t>
            </w:r>
          </w:p>
        </w:tc>
        <w:tc>
          <w:tcPr>
            <w:tcW w:w="408" w:type="pct"/>
            <w:noWrap w:val="0"/>
            <w:vAlign w:val="center"/>
          </w:tcPr>
          <w:p w14:paraId="51E38B6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t>mg/kg</w:t>
            </w:r>
          </w:p>
        </w:tc>
        <w:tc>
          <w:tcPr>
            <w:tcW w:w="730" w:type="dxa"/>
            <w:noWrap w:val="0"/>
            <w:vAlign w:val="center"/>
          </w:tcPr>
          <w:p w14:paraId="670C60A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33</w:t>
            </w:r>
          </w:p>
        </w:tc>
        <w:tc>
          <w:tcPr>
            <w:tcW w:w="730" w:type="dxa"/>
            <w:noWrap w:val="0"/>
            <w:vAlign w:val="center"/>
          </w:tcPr>
          <w:p w14:paraId="545DCB2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35</w:t>
            </w:r>
          </w:p>
        </w:tc>
        <w:tc>
          <w:tcPr>
            <w:tcW w:w="730" w:type="dxa"/>
            <w:noWrap w:val="0"/>
            <w:vAlign w:val="center"/>
          </w:tcPr>
          <w:p w14:paraId="017E479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37</w:t>
            </w:r>
          </w:p>
        </w:tc>
        <w:tc>
          <w:tcPr>
            <w:tcW w:w="730" w:type="dxa"/>
            <w:noWrap w:val="0"/>
            <w:vAlign w:val="center"/>
          </w:tcPr>
          <w:p w14:paraId="26E2FC8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33</w:t>
            </w:r>
          </w:p>
        </w:tc>
        <w:tc>
          <w:tcPr>
            <w:tcW w:w="730" w:type="dxa"/>
            <w:noWrap w:val="0"/>
            <w:vAlign w:val="center"/>
          </w:tcPr>
          <w:p w14:paraId="62C6540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36</w:t>
            </w:r>
          </w:p>
        </w:tc>
        <w:tc>
          <w:tcPr>
            <w:tcW w:w="730" w:type="dxa"/>
            <w:noWrap w:val="0"/>
            <w:vAlign w:val="center"/>
          </w:tcPr>
          <w:p w14:paraId="67D82A3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37</w:t>
            </w:r>
          </w:p>
        </w:tc>
        <w:tc>
          <w:tcPr>
            <w:tcW w:w="730" w:type="dxa"/>
            <w:noWrap w:val="0"/>
            <w:vAlign w:val="center"/>
          </w:tcPr>
          <w:p w14:paraId="75DB3F6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34</w:t>
            </w:r>
          </w:p>
        </w:tc>
        <w:tc>
          <w:tcPr>
            <w:tcW w:w="730" w:type="dxa"/>
            <w:noWrap w:val="0"/>
            <w:vAlign w:val="center"/>
          </w:tcPr>
          <w:p w14:paraId="260269D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46</w:t>
            </w:r>
          </w:p>
        </w:tc>
        <w:tc>
          <w:tcPr>
            <w:tcW w:w="740" w:type="dxa"/>
            <w:noWrap w:val="0"/>
            <w:vAlign w:val="center"/>
          </w:tcPr>
          <w:p w14:paraId="2969641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35</w:t>
            </w:r>
          </w:p>
        </w:tc>
        <w:tc>
          <w:tcPr>
            <w:tcW w:w="329" w:type="pct"/>
            <w:noWrap w:val="0"/>
            <w:vAlign w:val="center"/>
          </w:tcPr>
          <w:p w14:paraId="6EFAFB4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57E35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7" w:type="pct"/>
            <w:noWrap w:val="0"/>
            <w:vAlign w:val="center"/>
          </w:tcPr>
          <w:p w14:paraId="517B545C">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textAlignment w:val="auto"/>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eastAsia" w:ascii="Times New Roman" w:hAnsi="Times New Roman" w:eastAsia="宋体" w:cs="Calibri"/>
                <w:color w:val="000000" w:themeColor="text1"/>
                <w:spacing w:val="-8"/>
                <w:kern w:val="2"/>
                <w:sz w:val="21"/>
                <w:szCs w:val="21"/>
                <w:lang w:val="en-US" w:eastAsia="zh-CN" w:bidi="ar-SA"/>
                <w14:textFill>
                  <w14:solidFill>
                    <w14:schemeClr w14:val="tx1"/>
                  </w14:solidFill>
                </w14:textFill>
              </w:rPr>
              <w:t>pH</w:t>
            </w:r>
          </w:p>
        </w:tc>
        <w:tc>
          <w:tcPr>
            <w:tcW w:w="408" w:type="pct"/>
            <w:noWrap w:val="0"/>
            <w:vAlign w:val="center"/>
          </w:tcPr>
          <w:p w14:paraId="24693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无量纲</w:t>
            </w:r>
          </w:p>
        </w:tc>
        <w:tc>
          <w:tcPr>
            <w:tcW w:w="432" w:type="pct"/>
            <w:noWrap w:val="0"/>
            <w:vAlign w:val="center"/>
          </w:tcPr>
          <w:p w14:paraId="61E504E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8.78</w:t>
            </w:r>
          </w:p>
        </w:tc>
        <w:tc>
          <w:tcPr>
            <w:tcW w:w="432" w:type="pct"/>
            <w:noWrap w:val="0"/>
            <w:vAlign w:val="center"/>
          </w:tcPr>
          <w:p w14:paraId="0E99547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8.74</w:t>
            </w:r>
          </w:p>
        </w:tc>
        <w:tc>
          <w:tcPr>
            <w:tcW w:w="432" w:type="pct"/>
            <w:noWrap w:val="0"/>
            <w:vAlign w:val="center"/>
          </w:tcPr>
          <w:p w14:paraId="04116ADE">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8.72</w:t>
            </w:r>
          </w:p>
        </w:tc>
        <w:tc>
          <w:tcPr>
            <w:tcW w:w="432" w:type="pct"/>
            <w:shd w:val="clear" w:color="auto" w:fill="auto"/>
            <w:noWrap w:val="0"/>
            <w:vAlign w:val="center"/>
          </w:tcPr>
          <w:p w14:paraId="43E8D50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8.75</w:t>
            </w:r>
          </w:p>
        </w:tc>
        <w:tc>
          <w:tcPr>
            <w:tcW w:w="432" w:type="pct"/>
            <w:shd w:val="clear" w:color="auto" w:fill="auto"/>
            <w:noWrap w:val="0"/>
            <w:vAlign w:val="center"/>
          </w:tcPr>
          <w:p w14:paraId="5BD1FE63">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8.74</w:t>
            </w:r>
          </w:p>
        </w:tc>
        <w:tc>
          <w:tcPr>
            <w:tcW w:w="432" w:type="pct"/>
            <w:shd w:val="clear" w:color="auto" w:fill="auto"/>
            <w:noWrap w:val="0"/>
            <w:vAlign w:val="center"/>
          </w:tcPr>
          <w:p w14:paraId="5C59FF2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8.71</w:t>
            </w:r>
          </w:p>
        </w:tc>
        <w:tc>
          <w:tcPr>
            <w:tcW w:w="730" w:type="dxa"/>
            <w:noWrap w:val="0"/>
            <w:vAlign w:val="center"/>
          </w:tcPr>
          <w:p w14:paraId="66D3466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8.74</w:t>
            </w:r>
          </w:p>
        </w:tc>
        <w:tc>
          <w:tcPr>
            <w:tcW w:w="730" w:type="dxa"/>
            <w:noWrap w:val="0"/>
            <w:vAlign w:val="center"/>
          </w:tcPr>
          <w:p w14:paraId="3D78FB0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8.77</w:t>
            </w:r>
          </w:p>
        </w:tc>
        <w:tc>
          <w:tcPr>
            <w:tcW w:w="740" w:type="dxa"/>
            <w:noWrap w:val="0"/>
            <w:vAlign w:val="center"/>
          </w:tcPr>
          <w:p w14:paraId="5706945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8.74</w:t>
            </w:r>
          </w:p>
        </w:tc>
        <w:tc>
          <w:tcPr>
            <w:tcW w:w="329" w:type="pct"/>
            <w:noWrap w:val="0"/>
            <w:vAlign w:val="center"/>
          </w:tcPr>
          <w:p w14:paraId="6E790C34">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r w14:paraId="43885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67" w:type="pct"/>
            <w:noWrap w:val="0"/>
            <w:vAlign w:val="center"/>
          </w:tcPr>
          <w:p w14:paraId="3142CD21">
            <w:pPr>
              <w:keepNext w:val="0"/>
              <w:keepLines w:val="0"/>
              <w:pageBreakBefore w:val="0"/>
              <w:widowControl w:val="0"/>
              <w:suppressLineNumbers w:val="0"/>
              <w:tabs>
                <w:tab w:val="left" w:pos="1081"/>
                <w:tab w:val="left" w:pos="6037"/>
              </w:tabs>
              <w:kinsoku/>
              <w:wordWrap/>
              <w:overflowPunct/>
              <w:topLinePunct w:val="0"/>
              <w:autoSpaceDE/>
              <w:autoSpaceDN/>
              <w:bidi w:val="0"/>
              <w:adjustRightInd/>
              <w:snapToGrid w:val="0"/>
              <w:spacing w:before="0" w:beforeAutospacing="0" w:after="0" w:afterAutospacing="0" w:line="360" w:lineRule="exact"/>
              <w:ind w:left="0" w:right="-28" w:firstLine="0" w:firstLineChars="0"/>
              <w:jc w:val="center"/>
              <w:textAlignment w:val="auto"/>
              <w:rPr>
                <w:rFonts w:hint="default" w:ascii="Times New Roman" w:hAnsi="Times New Roman" w:eastAsia="宋体" w:cs="Calibri"/>
                <w:color w:val="000000" w:themeColor="text1"/>
                <w:spacing w:val="-8"/>
                <w:kern w:val="2"/>
                <w:sz w:val="21"/>
                <w:szCs w:val="21"/>
                <w:lang w:val="en-US" w:eastAsia="zh-CN" w:bidi="ar-SA"/>
                <w14:textFill>
                  <w14:solidFill>
                    <w14:schemeClr w14:val="tx1"/>
                  </w14:solidFill>
                </w14:textFill>
              </w:rPr>
            </w:pPr>
            <w:r>
              <w:rPr>
                <w:rFonts w:hint="eastAsia" w:ascii="Times New Roman" w:hAnsi="Times New Roman" w:eastAsia="宋体" w:cs="Calibri"/>
                <w:color w:val="000000" w:themeColor="text1"/>
                <w:spacing w:val="-8"/>
                <w:kern w:val="2"/>
                <w:sz w:val="21"/>
                <w:szCs w:val="21"/>
                <w:lang w:val="en-US" w:eastAsia="zh-CN" w:bidi="ar-SA"/>
                <w14:textFill>
                  <w14:solidFill>
                    <w14:schemeClr w14:val="tx1"/>
                  </w14:solidFill>
                </w14:textFill>
              </w:rPr>
              <w:t>含盐量</w:t>
            </w:r>
          </w:p>
        </w:tc>
        <w:tc>
          <w:tcPr>
            <w:tcW w:w="408" w:type="pct"/>
            <w:noWrap w:val="0"/>
            <w:vAlign w:val="center"/>
          </w:tcPr>
          <w:p w14:paraId="23E8CD8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g/kg</w:t>
            </w:r>
          </w:p>
        </w:tc>
        <w:tc>
          <w:tcPr>
            <w:tcW w:w="432" w:type="pct"/>
            <w:noWrap w:val="0"/>
            <w:vAlign w:val="center"/>
          </w:tcPr>
          <w:p w14:paraId="52134C8C">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1.9</w:t>
            </w:r>
          </w:p>
        </w:tc>
        <w:tc>
          <w:tcPr>
            <w:tcW w:w="432" w:type="pct"/>
            <w:noWrap w:val="0"/>
            <w:vAlign w:val="center"/>
          </w:tcPr>
          <w:p w14:paraId="09152872">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1.3</w:t>
            </w:r>
          </w:p>
        </w:tc>
        <w:tc>
          <w:tcPr>
            <w:tcW w:w="432" w:type="pct"/>
            <w:noWrap w:val="0"/>
            <w:vAlign w:val="center"/>
          </w:tcPr>
          <w:p w14:paraId="4271C779">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432" w:type="pct"/>
            <w:shd w:val="clear" w:color="auto" w:fill="auto"/>
            <w:noWrap w:val="0"/>
            <w:vAlign w:val="center"/>
          </w:tcPr>
          <w:p w14:paraId="3D2E5555">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432" w:type="pct"/>
            <w:shd w:val="clear" w:color="auto" w:fill="auto"/>
            <w:noWrap w:val="0"/>
            <w:vAlign w:val="center"/>
          </w:tcPr>
          <w:p w14:paraId="5766DEF8">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w:t>
            </w:r>
          </w:p>
        </w:tc>
        <w:tc>
          <w:tcPr>
            <w:tcW w:w="432" w:type="pct"/>
            <w:shd w:val="clear" w:color="auto" w:fill="auto"/>
            <w:noWrap w:val="0"/>
            <w:vAlign w:val="center"/>
          </w:tcPr>
          <w:p w14:paraId="765F2980">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1.3</w:t>
            </w:r>
          </w:p>
        </w:tc>
        <w:tc>
          <w:tcPr>
            <w:tcW w:w="730" w:type="dxa"/>
            <w:noWrap w:val="0"/>
            <w:vAlign w:val="center"/>
          </w:tcPr>
          <w:p w14:paraId="1F640B7D">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3.6</w:t>
            </w:r>
          </w:p>
        </w:tc>
        <w:tc>
          <w:tcPr>
            <w:tcW w:w="730" w:type="dxa"/>
            <w:noWrap w:val="0"/>
            <w:vAlign w:val="center"/>
          </w:tcPr>
          <w:p w14:paraId="0CAE68F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3.1</w:t>
            </w:r>
          </w:p>
        </w:tc>
        <w:tc>
          <w:tcPr>
            <w:tcW w:w="740" w:type="dxa"/>
            <w:noWrap w:val="0"/>
            <w:vAlign w:val="center"/>
          </w:tcPr>
          <w:p w14:paraId="44197A17">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2.7</w:t>
            </w:r>
          </w:p>
        </w:tc>
        <w:tc>
          <w:tcPr>
            <w:tcW w:w="329" w:type="pct"/>
            <w:noWrap w:val="0"/>
            <w:vAlign w:val="center"/>
          </w:tcPr>
          <w:p w14:paraId="3763D8BA">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r>
    </w:tbl>
    <w:p w14:paraId="2A81234A">
      <w:pPr>
        <w:spacing w:line="480" w:lineRule="exact"/>
        <w:ind w:firstLine="482" w:firstLineChars="200"/>
        <w:jc w:val="center"/>
        <w:rPr>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pacing w:val="0"/>
          <w:sz w:val="24"/>
          <w:szCs w:val="24"/>
          <w14:textFill>
            <w14:solidFill>
              <w14:schemeClr w14:val="tx1"/>
            </w14:solidFill>
          </w14:textFill>
        </w:rPr>
        <w:t>表4.2-</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12</w:t>
      </w:r>
      <w:r>
        <w:rPr>
          <w:rFonts w:ascii="Times New Roman" w:hAnsi="Times New Roman" w:eastAsia="宋体" w:cs="Times New Roman"/>
          <w:b/>
          <w:bCs/>
          <w:color w:val="000000" w:themeColor="text1"/>
          <w:spacing w:val="0"/>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尾矿库范围外（T15、T16）</w:t>
      </w:r>
      <w:r>
        <w:rPr>
          <w:rFonts w:hint="eastAsia" w:ascii="Times New Roman" w:hAnsi="Times New Roman" w:eastAsia="宋体" w:cs="Times New Roman"/>
          <w:b/>
          <w:bCs/>
          <w:color w:val="000000" w:themeColor="text1"/>
          <w:spacing w:val="0"/>
          <w:sz w:val="24"/>
          <w:szCs w:val="24"/>
          <w:lang w:eastAsia="zh-CN"/>
          <w14:textFill>
            <w14:solidFill>
              <w14:schemeClr w14:val="tx1"/>
            </w14:solidFill>
          </w14:textFill>
        </w:rPr>
        <w:t>、</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尾矿库范围</w:t>
      </w:r>
      <w:r>
        <w:rPr>
          <w:rFonts w:ascii="Times New Roman" w:hAnsi="Times New Roman" w:eastAsia="宋体" w:cs="Times New Roman"/>
          <w:b/>
          <w:bCs/>
          <w:color w:val="000000" w:themeColor="text1"/>
          <w:spacing w:val="0"/>
          <w:sz w:val="24"/>
          <w:szCs w:val="24"/>
          <w14:textFill>
            <w14:solidFill>
              <w14:schemeClr w14:val="tx1"/>
            </w14:solidFill>
          </w14:textFill>
        </w:rPr>
        <w:t>内</w:t>
      </w:r>
      <w:r>
        <w:rPr>
          <w:rFonts w:hint="eastAsia" w:ascii="Times New Roman" w:hAnsi="Times New Roman" w:eastAsia="宋体" w:cs="Times New Roman"/>
          <w:b/>
          <w:bCs/>
          <w:color w:val="000000" w:themeColor="text1"/>
          <w:spacing w:val="0"/>
          <w:sz w:val="24"/>
          <w:szCs w:val="24"/>
          <w14:textFill>
            <w14:solidFill>
              <w14:schemeClr w14:val="tx1"/>
            </w14:solidFill>
          </w14:textFill>
        </w:rPr>
        <w:t>（T</w:t>
      </w: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20</w:t>
      </w:r>
      <w:r>
        <w:rPr>
          <w:rFonts w:hint="eastAsia" w:ascii="Times New Roman" w:hAnsi="Times New Roman" w:eastAsia="宋体" w:cs="Times New Roman"/>
          <w:b/>
          <w:bCs/>
          <w:color w:val="000000" w:themeColor="text1"/>
          <w:spacing w:val="0"/>
          <w:sz w:val="24"/>
          <w:szCs w:val="24"/>
          <w14:textFill>
            <w14:solidFill>
              <w14:schemeClr w14:val="tx1"/>
            </w14:solidFill>
          </w14:textFill>
        </w:rPr>
        <w:t>）</w:t>
      </w:r>
      <w:r>
        <w:rPr>
          <w:rFonts w:ascii="Times New Roman" w:hAnsi="Times New Roman" w:eastAsia="宋体" w:cs="Times New Roman"/>
          <w:b/>
          <w:bCs/>
          <w:color w:val="000000" w:themeColor="text1"/>
          <w:spacing w:val="0"/>
          <w:sz w:val="24"/>
          <w:szCs w:val="24"/>
          <w14:textFill>
            <w14:solidFill>
              <w14:schemeClr w14:val="tx1"/>
            </w14:solidFill>
          </w14:textFill>
        </w:rPr>
        <w:t>土壤环境质量现状监测及评价结果</w:t>
      </w:r>
    </w:p>
    <w:tbl>
      <w:tblPr>
        <w:tblStyle w:val="32"/>
        <w:tblW w:w="505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196"/>
        <w:gridCol w:w="1207"/>
        <w:gridCol w:w="1010"/>
        <w:gridCol w:w="1225"/>
        <w:gridCol w:w="1779"/>
      </w:tblGrid>
      <w:tr w14:paraId="263165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898" w:type="pct"/>
            <w:vMerge w:val="restart"/>
            <w:noWrap w:val="0"/>
            <w:vAlign w:val="center"/>
          </w:tcPr>
          <w:p w14:paraId="3DDAC079">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监测项目</w:t>
            </w:r>
          </w:p>
        </w:tc>
        <w:tc>
          <w:tcPr>
            <w:tcW w:w="2044" w:type="pct"/>
            <w:gridSpan w:val="3"/>
            <w:noWrap w:val="0"/>
            <w:vAlign w:val="center"/>
          </w:tcPr>
          <w:p w14:paraId="749AC795">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检测结果</w:t>
            </w:r>
          </w:p>
        </w:tc>
        <w:tc>
          <w:tcPr>
            <w:tcW w:w="1056" w:type="pct"/>
            <w:vMerge w:val="restart"/>
            <w:noWrap w:val="0"/>
            <w:vAlign w:val="center"/>
          </w:tcPr>
          <w:p w14:paraId="25A65FE3">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标准值</w:t>
            </w:r>
          </w:p>
        </w:tc>
      </w:tr>
      <w:tr w14:paraId="1194CF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898" w:type="pct"/>
            <w:vMerge w:val="continue"/>
            <w:noWrap w:val="0"/>
            <w:vAlign w:val="center"/>
          </w:tcPr>
          <w:p w14:paraId="4BBD4B6C">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17" w:type="pct"/>
            <w:noWrap w:val="0"/>
            <w:vAlign w:val="center"/>
          </w:tcPr>
          <w:p w14:paraId="30428DB5">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T15</w:t>
            </w:r>
          </w:p>
        </w:tc>
        <w:tc>
          <w:tcPr>
            <w:tcW w:w="600" w:type="pct"/>
            <w:noWrap w:val="0"/>
            <w:vAlign w:val="center"/>
          </w:tcPr>
          <w:p w14:paraId="7CCE97FA">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T16</w:t>
            </w:r>
          </w:p>
        </w:tc>
        <w:tc>
          <w:tcPr>
            <w:tcW w:w="727" w:type="pct"/>
            <w:noWrap w:val="0"/>
            <w:vAlign w:val="center"/>
          </w:tcPr>
          <w:p w14:paraId="32B11406">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T20</w:t>
            </w:r>
          </w:p>
        </w:tc>
        <w:tc>
          <w:tcPr>
            <w:tcW w:w="1056" w:type="pct"/>
            <w:vMerge w:val="continue"/>
            <w:noWrap w:val="0"/>
            <w:vAlign w:val="center"/>
          </w:tcPr>
          <w:p w14:paraId="41F22E7E">
            <w:pPr>
              <w:keepNext w:val="0"/>
              <w:keepLines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r>
      <w:tr w14:paraId="332C91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5263E07A">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pH</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无量纲</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1207" w:type="dxa"/>
            <w:shd w:val="clear" w:color="auto" w:fill="auto"/>
            <w:noWrap w:val="0"/>
            <w:vAlign w:val="center"/>
          </w:tcPr>
          <w:p w14:paraId="0870CE2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8.49</w:t>
            </w:r>
          </w:p>
        </w:tc>
        <w:tc>
          <w:tcPr>
            <w:tcW w:w="600" w:type="pct"/>
            <w:shd w:val="clear" w:color="auto" w:fill="auto"/>
            <w:noWrap w:val="0"/>
            <w:vAlign w:val="center"/>
          </w:tcPr>
          <w:p w14:paraId="355730AF">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8.51</w:t>
            </w:r>
          </w:p>
        </w:tc>
        <w:tc>
          <w:tcPr>
            <w:tcW w:w="1225" w:type="dxa"/>
            <w:shd w:val="clear" w:color="auto" w:fill="auto"/>
            <w:noWrap w:val="0"/>
            <w:vAlign w:val="center"/>
          </w:tcPr>
          <w:p w14:paraId="6DFBEDD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8.44</w:t>
            </w:r>
          </w:p>
        </w:tc>
        <w:tc>
          <w:tcPr>
            <w:tcW w:w="1056" w:type="pct"/>
            <w:shd w:val="clear" w:color="auto" w:fill="auto"/>
            <w:noWrap w:val="0"/>
            <w:vAlign w:val="center"/>
          </w:tcPr>
          <w:p w14:paraId="4A6DC24A">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3E1F7C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7000F7FD">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含盐量</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1207" w:type="dxa"/>
            <w:shd w:val="clear" w:color="auto" w:fill="auto"/>
            <w:noWrap w:val="0"/>
            <w:vAlign w:val="center"/>
          </w:tcPr>
          <w:p w14:paraId="135D1F3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1.9</w:t>
            </w:r>
          </w:p>
        </w:tc>
        <w:tc>
          <w:tcPr>
            <w:tcW w:w="600" w:type="pct"/>
            <w:shd w:val="clear" w:color="auto" w:fill="auto"/>
            <w:noWrap w:val="0"/>
            <w:vAlign w:val="center"/>
          </w:tcPr>
          <w:p w14:paraId="184992F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3.1</w:t>
            </w:r>
          </w:p>
        </w:tc>
        <w:tc>
          <w:tcPr>
            <w:tcW w:w="1225" w:type="dxa"/>
            <w:shd w:val="clear" w:color="auto" w:fill="auto"/>
            <w:noWrap w:val="0"/>
            <w:vAlign w:val="center"/>
          </w:tcPr>
          <w:p w14:paraId="7981680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3.5</w:t>
            </w:r>
          </w:p>
        </w:tc>
        <w:tc>
          <w:tcPr>
            <w:tcW w:w="1056" w:type="pct"/>
            <w:shd w:val="clear" w:color="auto" w:fill="auto"/>
            <w:noWrap w:val="0"/>
            <w:vAlign w:val="center"/>
          </w:tcPr>
          <w:p w14:paraId="395D8D96">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3FE0C5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3232F0A7">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砷</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47613E9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8.28</w:t>
            </w:r>
          </w:p>
        </w:tc>
        <w:tc>
          <w:tcPr>
            <w:tcW w:w="600" w:type="pct"/>
            <w:shd w:val="clear" w:color="auto" w:fill="auto"/>
            <w:noWrap w:val="0"/>
            <w:vAlign w:val="center"/>
          </w:tcPr>
          <w:p w14:paraId="485246B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10.7</w:t>
            </w:r>
          </w:p>
        </w:tc>
        <w:tc>
          <w:tcPr>
            <w:tcW w:w="727" w:type="pct"/>
            <w:shd w:val="clear" w:color="auto" w:fill="auto"/>
            <w:noWrap w:val="0"/>
            <w:vAlign w:val="center"/>
          </w:tcPr>
          <w:p w14:paraId="3D59152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9.72</w:t>
            </w:r>
          </w:p>
        </w:tc>
        <w:tc>
          <w:tcPr>
            <w:tcW w:w="1056" w:type="pct"/>
            <w:shd w:val="clear" w:color="auto" w:fill="auto"/>
            <w:noWrap w:val="0"/>
            <w:vAlign w:val="center"/>
          </w:tcPr>
          <w:p w14:paraId="0676AD82">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60</w:t>
            </w:r>
          </w:p>
        </w:tc>
      </w:tr>
      <w:tr w14:paraId="30CB79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7E7458AF">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镉</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0D3163D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0.15</w:t>
            </w:r>
          </w:p>
        </w:tc>
        <w:tc>
          <w:tcPr>
            <w:tcW w:w="600" w:type="pct"/>
            <w:shd w:val="clear" w:color="auto" w:fill="auto"/>
            <w:noWrap w:val="0"/>
            <w:vAlign w:val="center"/>
          </w:tcPr>
          <w:p w14:paraId="4A05A0C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0.14</w:t>
            </w:r>
          </w:p>
        </w:tc>
        <w:tc>
          <w:tcPr>
            <w:tcW w:w="727" w:type="pct"/>
            <w:shd w:val="clear" w:color="auto" w:fill="auto"/>
            <w:noWrap w:val="0"/>
            <w:vAlign w:val="center"/>
          </w:tcPr>
          <w:p w14:paraId="3551DEF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0.21</w:t>
            </w:r>
          </w:p>
        </w:tc>
        <w:tc>
          <w:tcPr>
            <w:tcW w:w="1056" w:type="pct"/>
            <w:shd w:val="clear" w:color="auto" w:fill="auto"/>
            <w:noWrap w:val="0"/>
            <w:vAlign w:val="center"/>
          </w:tcPr>
          <w:p w14:paraId="5FA044CA">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6</w:t>
            </w:r>
            <w:r>
              <w:rPr>
                <w:rFonts w:hint="default" w:ascii="Times New Roman" w:hAnsi="Times New Roman" w:eastAsia="宋体" w:cs="Times New Roman"/>
                <w:bCs/>
                <w:color w:val="000000" w:themeColor="text1"/>
                <w:sz w:val="21"/>
                <w:szCs w:val="21"/>
                <w14:textFill>
                  <w14:solidFill>
                    <w14:schemeClr w14:val="tx1"/>
                  </w14:solidFill>
                </w14:textFill>
              </w:rPr>
              <w:t>5</w:t>
            </w:r>
          </w:p>
        </w:tc>
      </w:tr>
      <w:tr w14:paraId="687606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686F716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六价铬</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2F4B5F0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600" w:type="pct"/>
            <w:shd w:val="clear" w:color="auto" w:fill="auto"/>
            <w:noWrap w:val="0"/>
            <w:vAlign w:val="center"/>
          </w:tcPr>
          <w:p w14:paraId="1EB32D5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727" w:type="pct"/>
            <w:shd w:val="clear" w:color="auto" w:fill="auto"/>
            <w:noWrap w:val="0"/>
            <w:vAlign w:val="center"/>
          </w:tcPr>
          <w:p w14:paraId="6BB3195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&lt;0.5</w:t>
            </w:r>
          </w:p>
        </w:tc>
        <w:tc>
          <w:tcPr>
            <w:tcW w:w="1056" w:type="pct"/>
            <w:shd w:val="clear" w:color="auto" w:fill="auto"/>
            <w:noWrap w:val="0"/>
            <w:vAlign w:val="center"/>
          </w:tcPr>
          <w:p w14:paraId="1F92E1B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.7</w:t>
            </w:r>
          </w:p>
        </w:tc>
      </w:tr>
      <w:tr w14:paraId="6731FE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4117AFF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铜</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0FE414B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w:t>
            </w:r>
          </w:p>
        </w:tc>
        <w:tc>
          <w:tcPr>
            <w:tcW w:w="600" w:type="pct"/>
            <w:shd w:val="clear" w:color="auto" w:fill="auto"/>
            <w:noWrap w:val="0"/>
            <w:vAlign w:val="center"/>
          </w:tcPr>
          <w:p w14:paraId="6817CE8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13</w:t>
            </w:r>
          </w:p>
        </w:tc>
        <w:tc>
          <w:tcPr>
            <w:tcW w:w="727" w:type="pct"/>
            <w:shd w:val="clear" w:color="auto" w:fill="auto"/>
            <w:noWrap w:val="0"/>
            <w:vAlign w:val="center"/>
          </w:tcPr>
          <w:p w14:paraId="115DA6D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16</w:t>
            </w:r>
          </w:p>
        </w:tc>
        <w:tc>
          <w:tcPr>
            <w:tcW w:w="1056" w:type="pct"/>
            <w:shd w:val="clear" w:color="auto" w:fill="auto"/>
            <w:noWrap w:val="0"/>
            <w:vAlign w:val="center"/>
          </w:tcPr>
          <w:p w14:paraId="71FC5083">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18000</w:t>
            </w:r>
          </w:p>
        </w:tc>
      </w:tr>
      <w:tr w14:paraId="7E7099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2E81FC9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铅</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1599FF9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10.3</w:t>
            </w:r>
          </w:p>
        </w:tc>
        <w:tc>
          <w:tcPr>
            <w:tcW w:w="600" w:type="pct"/>
            <w:shd w:val="clear" w:color="auto" w:fill="auto"/>
            <w:noWrap w:val="0"/>
            <w:vAlign w:val="center"/>
          </w:tcPr>
          <w:p w14:paraId="2003872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8.5</w:t>
            </w:r>
          </w:p>
        </w:tc>
        <w:tc>
          <w:tcPr>
            <w:tcW w:w="727" w:type="pct"/>
            <w:shd w:val="clear" w:color="auto" w:fill="auto"/>
            <w:noWrap w:val="0"/>
            <w:vAlign w:val="center"/>
          </w:tcPr>
          <w:p w14:paraId="6639099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8.2</w:t>
            </w:r>
          </w:p>
        </w:tc>
        <w:tc>
          <w:tcPr>
            <w:tcW w:w="1056" w:type="pct"/>
            <w:shd w:val="clear" w:color="auto" w:fill="auto"/>
            <w:noWrap w:val="0"/>
            <w:vAlign w:val="center"/>
          </w:tcPr>
          <w:p w14:paraId="7E599B5B">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8</w:t>
            </w:r>
            <w:r>
              <w:rPr>
                <w:rFonts w:hint="default" w:ascii="Times New Roman" w:hAnsi="Times New Roman" w:eastAsia="宋体" w:cs="Times New Roman"/>
                <w:bCs/>
                <w:color w:val="000000" w:themeColor="text1"/>
                <w:sz w:val="21"/>
                <w:szCs w:val="21"/>
                <w14:textFill>
                  <w14:solidFill>
                    <w14:schemeClr w14:val="tx1"/>
                  </w14:solidFill>
                </w14:textFill>
              </w:rPr>
              <w:t>00</w:t>
            </w:r>
          </w:p>
        </w:tc>
      </w:tr>
      <w:tr w14:paraId="5410D5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0481EFF9">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汞</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0911B79F">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0.619</w:t>
            </w:r>
          </w:p>
        </w:tc>
        <w:tc>
          <w:tcPr>
            <w:tcW w:w="600" w:type="pct"/>
            <w:shd w:val="clear" w:color="auto" w:fill="auto"/>
            <w:noWrap w:val="0"/>
            <w:vAlign w:val="center"/>
          </w:tcPr>
          <w:p w14:paraId="38A06C5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0.663</w:t>
            </w:r>
          </w:p>
        </w:tc>
        <w:tc>
          <w:tcPr>
            <w:tcW w:w="727" w:type="pct"/>
            <w:shd w:val="clear" w:color="auto" w:fill="auto"/>
            <w:noWrap w:val="0"/>
            <w:vAlign w:val="center"/>
          </w:tcPr>
          <w:p w14:paraId="7CD3B58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0.669</w:t>
            </w:r>
          </w:p>
        </w:tc>
        <w:tc>
          <w:tcPr>
            <w:tcW w:w="1056" w:type="pct"/>
            <w:shd w:val="clear" w:color="auto" w:fill="auto"/>
            <w:noWrap w:val="0"/>
            <w:vAlign w:val="center"/>
          </w:tcPr>
          <w:p w14:paraId="1ED96484">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8</w:t>
            </w:r>
          </w:p>
        </w:tc>
      </w:tr>
      <w:tr w14:paraId="361CD5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72893C8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镍</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3D998746">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12</w:t>
            </w:r>
          </w:p>
        </w:tc>
        <w:tc>
          <w:tcPr>
            <w:tcW w:w="600" w:type="pct"/>
            <w:shd w:val="clear" w:color="auto" w:fill="auto"/>
            <w:noWrap w:val="0"/>
            <w:vAlign w:val="center"/>
          </w:tcPr>
          <w:p w14:paraId="1591962D">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15</w:t>
            </w:r>
          </w:p>
        </w:tc>
        <w:tc>
          <w:tcPr>
            <w:tcW w:w="727" w:type="pct"/>
            <w:shd w:val="clear" w:color="auto" w:fill="auto"/>
            <w:noWrap w:val="0"/>
            <w:vAlign w:val="center"/>
          </w:tcPr>
          <w:p w14:paraId="11D7D50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17</w:t>
            </w:r>
          </w:p>
        </w:tc>
        <w:tc>
          <w:tcPr>
            <w:tcW w:w="1056" w:type="pct"/>
            <w:shd w:val="clear" w:color="auto" w:fill="auto"/>
            <w:noWrap w:val="0"/>
            <w:vAlign w:val="center"/>
          </w:tcPr>
          <w:p w14:paraId="5D35D20D">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00</w:t>
            </w:r>
          </w:p>
        </w:tc>
      </w:tr>
      <w:tr w14:paraId="6F0393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98" w:type="pct"/>
            <w:shd w:val="clear" w:color="auto" w:fill="auto"/>
            <w:noWrap w:val="0"/>
            <w:vAlign w:val="center"/>
          </w:tcPr>
          <w:p w14:paraId="178E1F08">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锌</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mg/kg</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717" w:type="pct"/>
            <w:shd w:val="clear" w:color="auto" w:fill="auto"/>
            <w:noWrap w:val="0"/>
            <w:vAlign w:val="center"/>
          </w:tcPr>
          <w:p w14:paraId="253B5F2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48</w:t>
            </w:r>
          </w:p>
        </w:tc>
        <w:tc>
          <w:tcPr>
            <w:tcW w:w="600" w:type="pct"/>
            <w:shd w:val="clear" w:color="auto" w:fill="auto"/>
            <w:noWrap w:val="0"/>
            <w:vAlign w:val="center"/>
          </w:tcPr>
          <w:p w14:paraId="286F451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40</w:t>
            </w:r>
          </w:p>
        </w:tc>
        <w:tc>
          <w:tcPr>
            <w:tcW w:w="727" w:type="pct"/>
            <w:shd w:val="clear" w:color="auto" w:fill="auto"/>
            <w:noWrap w:val="0"/>
            <w:vAlign w:val="center"/>
          </w:tcPr>
          <w:p w14:paraId="6C6BB80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42</w:t>
            </w:r>
          </w:p>
        </w:tc>
        <w:tc>
          <w:tcPr>
            <w:tcW w:w="1056" w:type="pct"/>
            <w:shd w:val="clear" w:color="auto" w:fill="auto"/>
            <w:noWrap w:val="0"/>
            <w:vAlign w:val="center"/>
          </w:tcPr>
          <w:p w14:paraId="0931F30E">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p>
        </w:tc>
      </w:tr>
    </w:tbl>
    <w:p w14:paraId="7E01EC0B">
      <w:pPr>
        <w:spacing w:line="480" w:lineRule="exact"/>
        <w:ind w:firstLine="480" w:firstLineChars="200"/>
        <w:rPr>
          <w:color w:val="000000" w:themeColor="text1"/>
          <w:sz w:val="24"/>
          <w:szCs w:val="24"/>
          <w:highlight w:val="none"/>
          <w14:textFill>
            <w14:solidFill>
              <w14:schemeClr w14:val="tx1"/>
            </w14:solidFill>
          </w14:textFill>
        </w:rPr>
      </w:pPr>
      <w:r>
        <w:rPr>
          <w:color w:val="000000" w:themeColor="text1"/>
          <w:sz w:val="24"/>
          <w:szCs w:val="24"/>
          <w14:textFill>
            <w14:solidFill>
              <w14:schemeClr w14:val="tx1"/>
            </w14:solidFill>
          </w14:textFill>
        </w:rPr>
        <w:t>监测结果表明：各监测点监测结果均能达到《土壤环境质量建设用地土壤污染风险管控标准（试行）》（GB36600-2018）第二类用地筛选值要求。</w:t>
      </w:r>
    </w:p>
    <w:p w14:paraId="125249B2">
      <w:pPr>
        <w:spacing w:line="480" w:lineRule="exact"/>
        <w:ind w:firstLine="480" w:firstLineChars="20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理化特性调查</w:t>
      </w:r>
    </w:p>
    <w:p w14:paraId="5D8108E3">
      <w:pPr>
        <w:spacing w:line="480" w:lineRule="exact"/>
        <w:ind w:firstLine="480" w:firstLineChars="200"/>
        <w:rPr>
          <w:rFonts w:hint="eastAsia" w:ascii="Times New Roman" w:hAnsi="Times New Roman" w:eastAsia="宋体" w:cs="宋体"/>
          <w:color w:val="000000" w:themeColor="text1"/>
          <w:sz w:val="24"/>
          <w:szCs w:val="24"/>
          <w:highlight w:val="none"/>
          <w:lang w:eastAsia="zh-CN"/>
          <w14:textFill>
            <w14:solidFill>
              <w14:schemeClr w14:val="tx1"/>
            </w14:solidFill>
          </w14:textFill>
        </w:rPr>
      </w:pPr>
      <w:r>
        <w:rPr>
          <w:rFonts w:hint="eastAsia"/>
          <w:color w:val="000000" w:themeColor="text1"/>
          <w:sz w:val="24"/>
          <w:szCs w:val="24"/>
          <w14:textFill>
            <w14:solidFill>
              <w14:schemeClr w14:val="tx1"/>
            </w14:solidFill>
          </w14:textFill>
        </w:rPr>
        <w:t>土体松散岩组为第四系全新统洪冲积堆积（Q</w:t>
      </w:r>
      <w:r>
        <w:rPr>
          <w:rFonts w:hint="eastAsia"/>
          <w:color w:val="000000" w:themeColor="text1"/>
          <w:sz w:val="24"/>
          <w:szCs w:val="24"/>
          <w:vertAlign w:val="subscript"/>
          <w14:textFill>
            <w14:solidFill>
              <w14:schemeClr w14:val="tx1"/>
            </w14:solidFill>
          </w14:textFill>
        </w:rPr>
        <w:t>4</w:t>
      </w:r>
      <w:r>
        <w:rPr>
          <w:rFonts w:hint="eastAsia"/>
          <w:color w:val="000000" w:themeColor="text1"/>
          <w:sz w:val="24"/>
          <w:szCs w:val="24"/>
          <w:vertAlign w:val="superscript"/>
          <w14:textFill>
            <w14:solidFill>
              <w14:schemeClr w14:val="tx1"/>
            </w14:solidFill>
          </w14:textFill>
        </w:rPr>
        <w:t>apl</w:t>
      </w:r>
      <w:r>
        <w:rPr>
          <w:rFonts w:hint="eastAsia"/>
          <w:color w:val="000000" w:themeColor="text1"/>
          <w:sz w:val="24"/>
          <w:szCs w:val="24"/>
          <w14:textFill>
            <w14:solidFill>
              <w14:schemeClr w14:val="tx1"/>
            </w14:solidFill>
          </w14:textFill>
        </w:rPr>
        <w:t>）地层，覆盖厚度在0.50～14.00m，平均厚度在5.0m左右</w:t>
      </w:r>
      <w:r>
        <w:rPr>
          <w:rFonts w:hint="eastAsia"/>
          <w:color w:val="000000" w:themeColor="text1"/>
          <w:sz w:val="24"/>
          <w:szCs w:val="24"/>
          <w:lang w:eastAsia="zh-CN"/>
          <w14:textFill>
            <w14:solidFill>
              <w14:schemeClr w14:val="tx1"/>
            </w14:solidFill>
          </w14:textFill>
        </w:rPr>
        <w:t>，主要为砾石、砂、碎石、砂土组成，</w:t>
      </w:r>
      <w:r>
        <w:rPr>
          <w:rFonts w:hint="eastAsia"/>
          <w:color w:val="000000" w:themeColor="text1"/>
          <w:sz w:val="24"/>
          <w:szCs w:val="24"/>
          <w:lang w:val="en-US" w:eastAsia="zh-CN"/>
          <w14:textFill>
            <w14:solidFill>
              <w14:schemeClr w14:val="tx1"/>
            </w14:solidFill>
          </w14:textFill>
        </w:rPr>
        <w:t>岩组结构松散。矿区土壤类型以砾质棕漠土为主，零散分布着砾土及钙质砾土，砂砾石含量15%-20%；土壤容重1.56-1.59g/cm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；有机质含量3.78-4.02g/kg，pH值8.0-8.6左右。地下水水位标高在1213.71～1227.43m之间，水位埋深在10.08～24.80m，平均水位标高1222.32m。</w:t>
      </w:r>
      <w:r>
        <w:rPr>
          <w:rFonts w:hint="eastAsia" w:ascii="Times New Roman" w:hAnsi="Times New Roman" w:eastAsia="宋体" w:cs="宋体"/>
          <w:color w:val="000000" w:themeColor="text1"/>
          <w:sz w:val="24"/>
          <w:szCs w:val="24"/>
          <w:highlight w:val="none"/>
          <w14:textFill>
            <w14:solidFill>
              <w14:schemeClr w14:val="tx1"/>
            </w14:solidFill>
          </w14:textFill>
        </w:rPr>
        <w:t>地下水化学类型为HCO</w:t>
      </w:r>
      <w:r>
        <w:rPr>
          <w:rFonts w:hint="eastAsia" w:ascii="Times New Roman" w:hAnsi="Times New Roman" w:eastAsia="宋体" w:cs="宋体"/>
          <w:color w:val="000000" w:themeColor="text1"/>
          <w:sz w:val="24"/>
          <w:szCs w:val="24"/>
          <w:highlight w:val="none"/>
          <w:vertAlign w:val="subscript"/>
          <w14:textFill>
            <w14:solidFill>
              <w14:schemeClr w14:val="tx1"/>
            </w14:solidFill>
          </w14:textFill>
        </w:rPr>
        <w:t>3</w:t>
      </w:r>
      <w:r>
        <w:rPr>
          <w:rFonts w:hint="eastAsia" w:ascii="Times New Roman" w:hAnsi="Times New Roman" w:eastAsia="宋体" w:cs="宋体"/>
          <w:color w:val="000000" w:themeColor="text1"/>
          <w:sz w:val="24"/>
          <w:szCs w:val="24"/>
          <w:highlight w:val="none"/>
          <w14:textFill>
            <w14:solidFill>
              <w14:schemeClr w14:val="tx1"/>
            </w14:solidFill>
          </w14:textFill>
        </w:rPr>
        <w:t>·SO</w:t>
      </w:r>
      <w:r>
        <w:rPr>
          <w:rFonts w:hint="eastAsia" w:ascii="Times New Roman" w:hAnsi="Times New Roman" w:eastAsia="宋体" w:cs="宋体"/>
          <w:color w:val="000000" w:themeColor="text1"/>
          <w:sz w:val="24"/>
          <w:szCs w:val="24"/>
          <w:highlight w:val="none"/>
          <w:vertAlign w:val="subscript"/>
          <w14:textFill>
            <w14:solidFill>
              <w14:schemeClr w14:val="tx1"/>
            </w14:solidFill>
          </w14:textFill>
        </w:rPr>
        <w:t>4</w:t>
      </w:r>
      <w:r>
        <w:rPr>
          <w:rFonts w:hint="eastAsia" w:ascii="Times New Roman" w:hAnsi="Times New Roman" w:eastAsia="宋体" w:cs="宋体"/>
          <w:color w:val="000000" w:themeColor="text1"/>
          <w:sz w:val="24"/>
          <w:szCs w:val="24"/>
          <w:highlight w:val="none"/>
          <w14:textFill>
            <w14:solidFill>
              <w14:schemeClr w14:val="tx1"/>
            </w14:solidFill>
          </w14:textFill>
        </w:rPr>
        <w:t>-Ca·Na型水</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土壤pH值8.1～8.2。</w:t>
      </w:r>
    </w:p>
    <w:p w14:paraId="6971C87A">
      <w:pPr>
        <w:spacing w:line="480" w:lineRule="exact"/>
        <w:ind w:firstLine="480" w:firstLineChars="200"/>
        <w:rPr>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lang w:val="en-US" w:eastAsia="zh-CN"/>
          <w14:textFill>
            <w14:solidFill>
              <w14:schemeClr w14:val="tx1"/>
            </w14:solidFill>
          </w14:textFill>
        </w:rPr>
        <w:t>土壤理化性质详见表4.2-13。</w:t>
      </w:r>
    </w:p>
    <w:p w14:paraId="63FA0E73">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eastAsia="宋体" w:cs="宋体"/>
          <w:b/>
          <w:bCs/>
          <w:color w:val="000000" w:themeColor="text1"/>
          <w:sz w:val="24"/>
          <w:szCs w:val="24"/>
          <w:highlight w:val="none"/>
          <w:lang w:val="en-US" w:eastAsia="zh-CN"/>
          <w14:textFill>
            <w14:solidFill>
              <w14:schemeClr w14:val="tx1"/>
            </w14:solidFill>
          </w14:textFill>
        </w:rPr>
      </w:pPr>
      <w:r>
        <w:rPr>
          <w:rFonts w:hint="eastAsia" w:cs="宋体"/>
          <w:b/>
          <w:bCs/>
          <w:color w:val="000000" w:themeColor="text1"/>
          <w:sz w:val="24"/>
          <w:szCs w:val="24"/>
          <w:highlight w:val="none"/>
          <w:lang w:val="en-US" w:eastAsia="zh-CN"/>
          <w14:textFill>
            <w14:solidFill>
              <w14:schemeClr w14:val="tx1"/>
            </w14:solidFill>
          </w14:textFill>
        </w:rPr>
        <w:t>表4.2-13    土壤理化性质表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187"/>
        <w:gridCol w:w="1759"/>
        <w:gridCol w:w="2045"/>
        <w:gridCol w:w="2053"/>
      </w:tblGrid>
      <w:tr w14:paraId="15DBA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0" w:type="pct"/>
            <w:gridSpan w:val="2"/>
            <w:tcBorders>
              <w:tl2br w:val="nil"/>
              <w:tr2bl w:val="nil"/>
            </w:tcBorders>
            <w:noWrap w:val="0"/>
            <w:vAlign w:val="center"/>
          </w:tcPr>
          <w:p w14:paraId="7BDE2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采样地点</w:t>
            </w:r>
          </w:p>
        </w:tc>
        <w:tc>
          <w:tcPr>
            <w:tcW w:w="3439" w:type="pct"/>
            <w:gridSpan w:val="3"/>
            <w:tcBorders>
              <w:tl2br w:val="nil"/>
              <w:tr2bl w:val="nil"/>
            </w:tcBorders>
            <w:noWrap w:val="0"/>
            <w:vAlign w:val="center"/>
          </w:tcPr>
          <w:p w14:paraId="326609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T11</w:t>
            </w:r>
            <w:r>
              <w:rPr>
                <w:rFonts w:hint="eastAsia" w:cs="Times New Roman"/>
                <w:color w:val="000000" w:themeColor="text1"/>
                <w:sz w:val="21"/>
                <w:szCs w:val="21"/>
                <w:lang w:val="en-US" w:eastAsia="zh-CN"/>
                <w14:textFill>
                  <w14:solidFill>
                    <w14:schemeClr w14:val="tx1"/>
                  </w14:solidFill>
                </w14:textFill>
              </w:rPr>
              <w:t>选矿厂项目区范围内柱状样</w:t>
            </w:r>
          </w:p>
        </w:tc>
      </w:tr>
      <w:tr w14:paraId="2DE6F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0" w:type="pct"/>
            <w:gridSpan w:val="2"/>
            <w:tcBorders>
              <w:tl2br w:val="nil"/>
              <w:tr2bl w:val="nil"/>
            </w:tcBorders>
            <w:noWrap w:val="0"/>
            <w:vAlign w:val="center"/>
          </w:tcPr>
          <w:p w14:paraId="426EB2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点位坐标</w:t>
            </w:r>
          </w:p>
        </w:tc>
        <w:tc>
          <w:tcPr>
            <w:tcW w:w="3439" w:type="pct"/>
            <w:gridSpan w:val="3"/>
            <w:tcBorders>
              <w:tl2br w:val="nil"/>
              <w:tr2bl w:val="nil"/>
            </w:tcBorders>
            <w:noWrap w:val="0"/>
            <w:vAlign w:val="center"/>
          </w:tcPr>
          <w:p w14:paraId="73303C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E**********</w:t>
            </w: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N**********</w:t>
            </w:r>
          </w:p>
        </w:tc>
      </w:tr>
      <w:tr w14:paraId="3A408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0" w:type="pct"/>
            <w:gridSpan w:val="2"/>
            <w:tcBorders>
              <w:tl2br w:val="nil"/>
              <w:tr2bl w:val="nil"/>
            </w:tcBorders>
            <w:noWrap w:val="0"/>
            <w:vAlign w:val="center"/>
          </w:tcPr>
          <w:p w14:paraId="06AFC8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采样深度</w:t>
            </w:r>
          </w:p>
        </w:tc>
        <w:tc>
          <w:tcPr>
            <w:tcW w:w="1031" w:type="pct"/>
            <w:tcBorders>
              <w:tl2br w:val="nil"/>
              <w:tr2bl w:val="nil"/>
            </w:tcBorders>
            <w:noWrap w:val="0"/>
            <w:vAlign w:val="center"/>
          </w:tcPr>
          <w:p w14:paraId="4A96B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0-50cm</w:t>
            </w:r>
          </w:p>
        </w:tc>
        <w:tc>
          <w:tcPr>
            <w:tcW w:w="1200" w:type="pct"/>
            <w:tcBorders>
              <w:tl2br w:val="nil"/>
              <w:tr2bl w:val="nil"/>
            </w:tcBorders>
            <w:noWrap w:val="0"/>
            <w:vAlign w:val="center"/>
          </w:tcPr>
          <w:p w14:paraId="0B6BC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50-150cm</w:t>
            </w:r>
          </w:p>
        </w:tc>
        <w:tc>
          <w:tcPr>
            <w:tcW w:w="1207" w:type="pct"/>
            <w:tcBorders>
              <w:tl2br w:val="nil"/>
              <w:tr2bl w:val="nil"/>
            </w:tcBorders>
            <w:noWrap w:val="0"/>
            <w:vAlign w:val="center"/>
          </w:tcPr>
          <w:p w14:paraId="54E60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150-300cm</w:t>
            </w:r>
          </w:p>
        </w:tc>
      </w:tr>
      <w:tr w14:paraId="5234F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tcBorders>
              <w:tl2br w:val="nil"/>
              <w:tr2bl w:val="nil"/>
            </w:tcBorders>
            <w:noWrap w:val="0"/>
            <w:vAlign w:val="center"/>
          </w:tcPr>
          <w:p w14:paraId="06F0CC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检测项目</w:t>
            </w:r>
          </w:p>
        </w:tc>
        <w:tc>
          <w:tcPr>
            <w:tcW w:w="697" w:type="pct"/>
            <w:tcBorders>
              <w:tl2br w:val="nil"/>
              <w:tr2bl w:val="nil"/>
            </w:tcBorders>
            <w:noWrap w:val="0"/>
            <w:vAlign w:val="center"/>
          </w:tcPr>
          <w:p w14:paraId="71516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单位</w:t>
            </w:r>
          </w:p>
        </w:tc>
        <w:tc>
          <w:tcPr>
            <w:tcW w:w="3439" w:type="pct"/>
            <w:gridSpan w:val="3"/>
            <w:tcBorders>
              <w:tl2br w:val="nil"/>
              <w:tr2bl w:val="nil"/>
            </w:tcBorders>
            <w:noWrap w:val="0"/>
            <w:vAlign w:val="center"/>
          </w:tcPr>
          <w:p w14:paraId="6E4A9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检测结果</w:t>
            </w:r>
          </w:p>
        </w:tc>
      </w:tr>
      <w:tr w14:paraId="3E658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tcBorders>
              <w:tl2br w:val="nil"/>
              <w:tr2bl w:val="nil"/>
            </w:tcBorders>
            <w:noWrap w:val="0"/>
            <w:vAlign w:val="center"/>
          </w:tcPr>
          <w:p w14:paraId="66CD21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阳离子交换量</w:t>
            </w:r>
          </w:p>
        </w:tc>
        <w:tc>
          <w:tcPr>
            <w:tcW w:w="697" w:type="pct"/>
            <w:tcBorders>
              <w:tl2br w:val="nil"/>
              <w:tr2bl w:val="nil"/>
            </w:tcBorders>
            <w:noWrap w:val="0"/>
            <w:vAlign w:val="center"/>
          </w:tcPr>
          <w:p w14:paraId="5C280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cmol/kg</w:t>
            </w:r>
          </w:p>
        </w:tc>
        <w:tc>
          <w:tcPr>
            <w:tcW w:w="1757" w:type="dxa"/>
            <w:tcBorders>
              <w:tl2br w:val="nil"/>
              <w:tr2bl w:val="nil"/>
            </w:tcBorders>
            <w:noWrap w:val="0"/>
            <w:vAlign w:val="center"/>
          </w:tcPr>
          <w:p w14:paraId="0106F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1.8</w:t>
            </w:r>
          </w:p>
        </w:tc>
        <w:tc>
          <w:tcPr>
            <w:tcW w:w="2045" w:type="dxa"/>
            <w:tcBorders>
              <w:tl2br w:val="nil"/>
              <w:tr2bl w:val="nil"/>
            </w:tcBorders>
            <w:noWrap w:val="0"/>
            <w:vAlign w:val="center"/>
          </w:tcPr>
          <w:p w14:paraId="6247DD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2.7</w:t>
            </w:r>
          </w:p>
        </w:tc>
        <w:tc>
          <w:tcPr>
            <w:tcW w:w="2058" w:type="dxa"/>
            <w:tcBorders>
              <w:tl2br w:val="nil"/>
              <w:tr2bl w:val="nil"/>
            </w:tcBorders>
            <w:noWrap w:val="0"/>
            <w:vAlign w:val="center"/>
          </w:tcPr>
          <w:p w14:paraId="6A7514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2.3</w:t>
            </w:r>
          </w:p>
        </w:tc>
      </w:tr>
      <w:tr w14:paraId="65903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tcBorders>
              <w:tl2br w:val="nil"/>
              <w:tr2bl w:val="nil"/>
            </w:tcBorders>
            <w:noWrap w:val="0"/>
            <w:vAlign w:val="center"/>
          </w:tcPr>
          <w:p w14:paraId="7DE35A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氧化还原电位</w:t>
            </w:r>
          </w:p>
        </w:tc>
        <w:tc>
          <w:tcPr>
            <w:tcW w:w="697" w:type="pct"/>
            <w:tcBorders>
              <w:tl2br w:val="nil"/>
              <w:tr2bl w:val="nil"/>
            </w:tcBorders>
            <w:noWrap w:val="0"/>
            <w:vAlign w:val="center"/>
          </w:tcPr>
          <w:p w14:paraId="03E089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m</w:t>
            </w: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V</w:t>
            </w:r>
          </w:p>
        </w:tc>
        <w:tc>
          <w:tcPr>
            <w:tcW w:w="1757" w:type="dxa"/>
            <w:tcBorders>
              <w:tl2br w:val="nil"/>
              <w:tr2bl w:val="nil"/>
            </w:tcBorders>
            <w:noWrap w:val="0"/>
            <w:vAlign w:val="center"/>
          </w:tcPr>
          <w:p w14:paraId="2C2A06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297</w:t>
            </w:r>
          </w:p>
        </w:tc>
        <w:tc>
          <w:tcPr>
            <w:tcW w:w="2045" w:type="dxa"/>
            <w:tcBorders>
              <w:tl2br w:val="nil"/>
              <w:tr2bl w:val="nil"/>
            </w:tcBorders>
            <w:noWrap w:val="0"/>
            <w:vAlign w:val="center"/>
          </w:tcPr>
          <w:p w14:paraId="7648E3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275</w:t>
            </w:r>
          </w:p>
        </w:tc>
        <w:tc>
          <w:tcPr>
            <w:tcW w:w="2058" w:type="dxa"/>
            <w:tcBorders>
              <w:tl2br w:val="nil"/>
              <w:tr2bl w:val="nil"/>
            </w:tcBorders>
            <w:noWrap w:val="0"/>
            <w:vAlign w:val="center"/>
          </w:tcPr>
          <w:p w14:paraId="4ABD11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268</w:t>
            </w:r>
          </w:p>
        </w:tc>
      </w:tr>
      <w:tr w14:paraId="19065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tcBorders>
              <w:tl2br w:val="nil"/>
              <w:tr2bl w:val="nil"/>
            </w:tcBorders>
            <w:noWrap w:val="0"/>
            <w:vAlign w:val="center"/>
          </w:tcPr>
          <w:p w14:paraId="1CD1ED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饱和导水率</w:t>
            </w:r>
          </w:p>
        </w:tc>
        <w:tc>
          <w:tcPr>
            <w:tcW w:w="697" w:type="pct"/>
            <w:tcBorders>
              <w:tl2br w:val="nil"/>
              <w:tr2bl w:val="nil"/>
            </w:tcBorders>
            <w:noWrap w:val="0"/>
            <w:vAlign w:val="center"/>
          </w:tcPr>
          <w:p w14:paraId="699AB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mm/min</w:t>
            </w:r>
          </w:p>
        </w:tc>
        <w:tc>
          <w:tcPr>
            <w:tcW w:w="1757" w:type="dxa"/>
            <w:tcBorders>
              <w:tl2br w:val="nil"/>
              <w:tr2bl w:val="nil"/>
            </w:tcBorders>
            <w:noWrap w:val="0"/>
            <w:vAlign w:val="center"/>
          </w:tcPr>
          <w:p w14:paraId="06741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0.701</w:t>
            </w:r>
          </w:p>
        </w:tc>
        <w:tc>
          <w:tcPr>
            <w:tcW w:w="2045" w:type="dxa"/>
            <w:tcBorders>
              <w:tl2br w:val="nil"/>
              <w:tr2bl w:val="nil"/>
            </w:tcBorders>
            <w:noWrap w:val="0"/>
            <w:vAlign w:val="center"/>
          </w:tcPr>
          <w:p w14:paraId="54D4F3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0.678</w:t>
            </w:r>
          </w:p>
        </w:tc>
        <w:tc>
          <w:tcPr>
            <w:tcW w:w="2058" w:type="dxa"/>
            <w:tcBorders>
              <w:tl2br w:val="nil"/>
              <w:tr2bl w:val="nil"/>
            </w:tcBorders>
            <w:noWrap w:val="0"/>
            <w:vAlign w:val="center"/>
          </w:tcPr>
          <w:p w14:paraId="4DE839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0.690</w:t>
            </w:r>
          </w:p>
        </w:tc>
      </w:tr>
      <w:tr w14:paraId="2B62F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tcBorders>
              <w:tl2br w:val="nil"/>
              <w:tr2bl w:val="nil"/>
            </w:tcBorders>
            <w:noWrap w:val="0"/>
            <w:vAlign w:val="center"/>
          </w:tcPr>
          <w:p w14:paraId="1746E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容重</w:t>
            </w:r>
          </w:p>
        </w:tc>
        <w:tc>
          <w:tcPr>
            <w:tcW w:w="697" w:type="pct"/>
            <w:tcBorders>
              <w:tl2br w:val="nil"/>
              <w:tr2bl w:val="nil"/>
            </w:tcBorders>
            <w:noWrap w:val="0"/>
            <w:vAlign w:val="center"/>
          </w:tcPr>
          <w:p w14:paraId="030063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g/cm</w:t>
            </w:r>
            <w:r>
              <w:rPr>
                <w:rFonts w:hint="default" w:ascii="Times New Roman" w:hAnsi="Times New Roman" w:eastAsia="宋体" w:cs="Times New Roman"/>
                <w:bCs/>
                <w:color w:val="000000" w:themeColor="text1"/>
                <w:kern w:val="0"/>
                <w:sz w:val="21"/>
                <w:szCs w:val="21"/>
                <w:vertAlign w:val="superscript"/>
                <w:lang w:val="en-US" w:eastAsia="zh-CN" w:bidi="ar"/>
                <w14:textFill>
                  <w14:solidFill>
                    <w14:schemeClr w14:val="tx1"/>
                  </w14:solidFill>
                </w14:textFill>
              </w:rPr>
              <w:t>3</w:t>
            </w:r>
          </w:p>
        </w:tc>
        <w:tc>
          <w:tcPr>
            <w:tcW w:w="1757" w:type="dxa"/>
            <w:tcBorders>
              <w:tl2br w:val="nil"/>
              <w:tr2bl w:val="nil"/>
            </w:tcBorders>
            <w:noWrap w:val="0"/>
            <w:vAlign w:val="center"/>
          </w:tcPr>
          <w:p w14:paraId="15FA5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1.54</w:t>
            </w:r>
          </w:p>
        </w:tc>
        <w:tc>
          <w:tcPr>
            <w:tcW w:w="2045" w:type="dxa"/>
            <w:tcBorders>
              <w:tl2br w:val="nil"/>
              <w:tr2bl w:val="nil"/>
            </w:tcBorders>
            <w:noWrap w:val="0"/>
            <w:vAlign w:val="center"/>
          </w:tcPr>
          <w:p w14:paraId="5CDDD3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1.57</w:t>
            </w:r>
          </w:p>
        </w:tc>
        <w:tc>
          <w:tcPr>
            <w:tcW w:w="2058" w:type="dxa"/>
            <w:tcBorders>
              <w:tl2br w:val="nil"/>
              <w:tr2bl w:val="nil"/>
            </w:tcBorders>
            <w:noWrap w:val="0"/>
            <w:vAlign w:val="center"/>
          </w:tcPr>
          <w:p w14:paraId="1F3E32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1.52</w:t>
            </w:r>
          </w:p>
        </w:tc>
      </w:tr>
      <w:tr w14:paraId="560A7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2" w:type="pct"/>
            <w:tcBorders>
              <w:tl2br w:val="nil"/>
              <w:tr2bl w:val="nil"/>
            </w:tcBorders>
            <w:noWrap w:val="0"/>
            <w:vAlign w:val="center"/>
          </w:tcPr>
          <w:p w14:paraId="76719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孔隙度</w:t>
            </w:r>
          </w:p>
        </w:tc>
        <w:tc>
          <w:tcPr>
            <w:tcW w:w="697" w:type="pct"/>
            <w:tcBorders>
              <w:tl2br w:val="nil"/>
              <w:tr2bl w:val="nil"/>
            </w:tcBorders>
            <w:noWrap w:val="0"/>
            <w:vAlign w:val="center"/>
          </w:tcPr>
          <w:p w14:paraId="4D1234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t>%</w:t>
            </w:r>
          </w:p>
        </w:tc>
        <w:tc>
          <w:tcPr>
            <w:tcW w:w="1757" w:type="dxa"/>
            <w:tcBorders>
              <w:tl2br w:val="nil"/>
              <w:tr2bl w:val="nil"/>
            </w:tcBorders>
            <w:noWrap w:val="0"/>
            <w:vAlign w:val="center"/>
          </w:tcPr>
          <w:p w14:paraId="5F9E33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44.1</w:t>
            </w:r>
          </w:p>
        </w:tc>
        <w:tc>
          <w:tcPr>
            <w:tcW w:w="2045" w:type="dxa"/>
            <w:tcBorders>
              <w:tl2br w:val="nil"/>
              <w:tr2bl w:val="nil"/>
            </w:tcBorders>
            <w:noWrap w:val="0"/>
            <w:vAlign w:val="center"/>
          </w:tcPr>
          <w:p w14:paraId="62F4E3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42.6</w:t>
            </w:r>
          </w:p>
        </w:tc>
        <w:tc>
          <w:tcPr>
            <w:tcW w:w="2058" w:type="dxa"/>
            <w:tcBorders>
              <w:tl2br w:val="nil"/>
              <w:tr2bl w:val="nil"/>
            </w:tcBorders>
            <w:noWrap w:val="0"/>
            <w:vAlign w:val="center"/>
          </w:tcPr>
          <w:p w14:paraId="25068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42.1</w:t>
            </w:r>
          </w:p>
        </w:tc>
      </w:tr>
    </w:tbl>
    <w:p w14:paraId="24FA6E29">
      <w:pPr>
        <w:spacing w:line="480" w:lineRule="exact"/>
        <w:ind w:firstLine="480" w:firstLineChars="200"/>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8</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土壤类型及剖面</w:t>
      </w:r>
    </w:p>
    <w:p w14:paraId="011AD1CB">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按照《中国土壤》和《新疆土壤》等著述的土壤分类系统，依据《新疆维吾尔自治区土壤类型图，1：50万》和野外实地调查，区域土壤主要是石膏盐盘棕漠土。项目区土壤类型图见图4.2-</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p>
    <w:p w14:paraId="65A7CF32">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棕漠土是在极端干旱的气候条件下形成的土壤，主要分布于南疆和东疆各冲洪积扇上、中部的砾质戈壁上。生物过程极度微弱，在剖面中看不出明显的腐殖质层次。表层有机质含量极低，砂砾石含量15-20%，主要为棕色土、砂、砾石混杂层；中间以土和细砂为主；再下为基岩层非常坚硬。土壤剖面见图</w:t>
      </w:r>
      <w:r>
        <w:rPr>
          <w:color w:val="000000" w:themeColor="text1"/>
          <w:sz w:val="24"/>
          <w:szCs w:val="24"/>
          <w:highlight w:val="none"/>
          <w14:textFill>
            <w14:solidFill>
              <w14:schemeClr w14:val="tx1"/>
            </w14:solidFill>
          </w14:textFill>
        </w:rPr>
        <w:t>4.2-</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w:t>
      </w:r>
    </w:p>
    <w:p w14:paraId="7DD06D4E">
      <w:pPr>
        <w:spacing w:line="240" w:lineRule="auto"/>
        <w:jc w:val="center"/>
        <w:rPr>
          <w:color w:val="000000" w:themeColor="text1"/>
          <w:sz w:val="24"/>
          <w:szCs w:val="24"/>
          <w:highlight w:val="none"/>
          <w14:textFill>
            <w14:solidFill>
              <w14:schemeClr w14:val="tx1"/>
            </w14:solidFill>
          </w14:textFill>
        </w:rPr>
      </w:pPr>
      <w:r>
        <w:rPr>
          <w:rFonts w:ascii="宋体"/>
          <w:color w:val="000000" w:themeColor="text1"/>
          <w:highlight w:val="none"/>
          <w14:textFill>
            <w14:solidFill>
              <w14:schemeClr w14:val="tx1"/>
            </w14:solidFill>
          </w14:textFill>
        </w:rPr>
        <w:drawing>
          <wp:inline distT="0" distB="0" distL="114300" distR="114300">
            <wp:extent cx="2022475" cy="2858135"/>
            <wp:effectExtent l="0" t="0" r="4445" b="6985"/>
            <wp:docPr id="190" name="图片 10" descr="1625336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0" descr="1625336770(1)"/>
                    <pic:cNvPicPr>
                      <a:picLocks noChangeAspect="1"/>
                    </pic:cNvPicPr>
                  </pic:nvPicPr>
                  <pic:blipFill>
                    <a:blip r:embed="rId24"/>
                    <a:srcRect t="11935" b="7166"/>
                    <a:stretch>
                      <a:fillRect/>
                    </a:stretch>
                  </pic:blipFill>
                  <pic:spPr>
                    <a:xfrm>
                      <a:off x="0" y="0"/>
                      <a:ext cx="2022475" cy="2858135"/>
                    </a:xfrm>
                    <a:prstGeom prst="rect">
                      <a:avLst/>
                    </a:prstGeom>
                    <a:noFill/>
                    <a:ln>
                      <a:noFill/>
                    </a:ln>
                  </pic:spPr>
                </pic:pic>
              </a:graphicData>
            </a:graphic>
          </wp:inline>
        </w:drawing>
      </w:r>
    </w:p>
    <w:p w14:paraId="1EF761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图</w:t>
      </w:r>
      <w:r>
        <w:rPr>
          <w:b/>
          <w:color w:val="000000" w:themeColor="text1"/>
          <w:sz w:val="24"/>
          <w:szCs w:val="24"/>
          <w:highlight w:val="none"/>
          <w14:textFill>
            <w14:solidFill>
              <w14:schemeClr w14:val="tx1"/>
            </w14:solidFill>
          </w14:textFill>
        </w:rPr>
        <w:t>4.2-</w:t>
      </w:r>
      <w:r>
        <w:rPr>
          <w:rFonts w:hint="eastAsia"/>
          <w:b/>
          <w:color w:val="000000" w:themeColor="text1"/>
          <w:sz w:val="24"/>
          <w:szCs w:val="24"/>
          <w:highlight w:val="none"/>
          <w:lang w:val="en-US" w:eastAsia="zh-CN"/>
          <w14:textFill>
            <w14:solidFill>
              <w14:schemeClr w14:val="tx1"/>
            </w14:solidFill>
          </w14:textFill>
        </w:rPr>
        <w:t>3</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14:textFill>
            <w14:solidFill>
              <w14:schemeClr w14:val="tx1"/>
            </w14:solidFill>
          </w14:textFill>
        </w:rPr>
        <w:t>项目区土壤剖面图</w:t>
      </w:r>
    </w:p>
    <w:p w14:paraId="7C1C86C7">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.2.6</w:t>
      </w:r>
      <w:r>
        <w:rPr>
          <w:rFonts w:hint="eastAsia"/>
          <w:color w:val="000000" w:themeColor="text1"/>
          <w:highlight w:val="none"/>
          <w14:textFill>
            <w14:solidFill>
              <w14:schemeClr w14:val="tx1"/>
            </w14:solidFill>
          </w14:textFill>
        </w:rPr>
        <w:t>尾矿辐射监测结果及评价</w:t>
      </w:r>
    </w:p>
    <w:p w14:paraId="4D0B5B9B">
      <w:pPr>
        <w:spacing w:line="460" w:lineRule="exact"/>
        <w:ind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核工业二</w:t>
      </w:r>
      <w:r>
        <w:rPr>
          <w:rFonts w:hint="eastAsia"/>
          <w:color w:val="000000" w:themeColor="text1"/>
          <w:sz w:val="24"/>
          <w:szCs w:val="24"/>
          <w:highlight w:val="none"/>
          <w:lang w:eastAsia="zh-CN"/>
          <w14:textFill>
            <w14:solidFill>
              <w14:schemeClr w14:val="tx1"/>
            </w14:solidFill>
          </w14:textFill>
        </w:rPr>
        <w:t>〇三研究所分析测试中心</w:t>
      </w:r>
      <w:r>
        <w:rPr>
          <w:color w:val="000000" w:themeColor="text1"/>
          <w:sz w:val="24"/>
          <w:szCs w:val="24"/>
          <w:highlight w:val="none"/>
          <w14:textFill>
            <w14:solidFill>
              <w14:schemeClr w14:val="tx1"/>
            </w14:solidFill>
          </w14:textFill>
        </w:rPr>
        <w:t>于</w:t>
      </w:r>
      <w:r>
        <w:rPr>
          <w:rFonts w:hint="eastAsia"/>
          <w:color w:val="000000" w:themeColor="text1"/>
          <w:sz w:val="24"/>
          <w:szCs w:val="24"/>
          <w:highlight w:val="none"/>
          <w14:textFill>
            <w14:solidFill>
              <w14:schemeClr w14:val="tx1"/>
            </w14:solidFill>
          </w14:textFill>
        </w:rPr>
        <w:t>202</w:t>
      </w:r>
      <w:r>
        <w:rPr>
          <w:rFonts w:hint="eastAsia"/>
          <w:color w:val="000000" w:themeColor="text1"/>
          <w:sz w:val="24"/>
          <w:szCs w:val="24"/>
          <w:highlight w:val="none"/>
          <w:lang w:val="en-US" w:eastAsia="zh-CN"/>
          <w14:textFill>
            <w14:solidFill>
              <w14:schemeClr w14:val="tx1"/>
            </w14:solidFill>
          </w14:textFill>
        </w:rPr>
        <w:t>2</w:t>
      </w:r>
      <w:r>
        <w:rPr>
          <w:color w:val="000000" w:themeColor="text1"/>
          <w:sz w:val="24"/>
          <w:szCs w:val="24"/>
          <w:highlight w:val="none"/>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9</w:t>
      </w:r>
      <w:r>
        <w:rPr>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val="en-US" w:eastAsia="zh-CN"/>
          <w14:textFill>
            <w14:solidFill>
              <w14:schemeClr w14:val="tx1"/>
            </w14:solidFill>
          </w14:textFill>
        </w:rPr>
        <w:t>14</w:t>
      </w:r>
      <w:r>
        <w:rPr>
          <w:color w:val="000000" w:themeColor="text1"/>
          <w:sz w:val="24"/>
          <w:szCs w:val="24"/>
          <w:highlight w:val="none"/>
          <w14:textFill>
            <w14:solidFill>
              <w14:schemeClr w14:val="tx1"/>
            </w14:solidFill>
          </w14:textFill>
        </w:rPr>
        <w:t>日对</w:t>
      </w:r>
      <w:r>
        <w:rPr>
          <w:rFonts w:hint="eastAsia"/>
          <w:color w:val="000000" w:themeColor="text1"/>
          <w:sz w:val="24"/>
          <w:szCs w:val="24"/>
          <w:highlight w:val="none"/>
          <w14:textFill>
            <w14:solidFill>
              <w14:schemeClr w14:val="tx1"/>
            </w14:solidFill>
          </w14:textFill>
        </w:rPr>
        <w:t>本项目</w:t>
      </w:r>
      <w:r>
        <w:rPr>
          <w:rFonts w:hint="eastAsia"/>
          <w:color w:val="000000" w:themeColor="text1"/>
          <w:sz w:val="24"/>
          <w:szCs w:val="24"/>
          <w:highlight w:val="none"/>
          <w:lang w:val="en-US" w:eastAsia="zh-CN"/>
          <w14:textFill>
            <w14:solidFill>
              <w14:schemeClr w14:val="tx1"/>
            </w14:solidFill>
          </w14:textFill>
        </w:rPr>
        <w:t>尾矿</w:t>
      </w:r>
      <w:r>
        <w:rPr>
          <w:color w:val="000000" w:themeColor="text1"/>
          <w:sz w:val="24"/>
          <w:szCs w:val="24"/>
          <w:highlight w:val="none"/>
          <w14:textFill>
            <w14:solidFill>
              <w14:schemeClr w14:val="tx1"/>
            </w14:solidFill>
          </w14:textFill>
        </w:rPr>
        <w:t>样进行了铀（钍）系单个核素活度浓度检测</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检测报告见附件</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监测结果见表4.2-1</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w:t>
      </w:r>
    </w:p>
    <w:p w14:paraId="76F0408C">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表4.2-1</w:t>
      </w:r>
      <w:r>
        <w:rPr>
          <w:rFonts w:hint="eastAsia"/>
          <w:b/>
          <w:bCs/>
          <w:color w:val="000000" w:themeColor="text1"/>
          <w:sz w:val="24"/>
          <w:szCs w:val="24"/>
          <w:highlight w:val="none"/>
          <w:lang w:val="en-US" w:eastAsia="zh-CN"/>
          <w14:textFill>
            <w14:solidFill>
              <w14:schemeClr w14:val="tx1"/>
            </w14:solidFill>
          </w14:textFill>
        </w:rPr>
        <w:t>4</w:t>
      </w:r>
      <w:r>
        <w:rPr>
          <w:rFonts w:hint="eastAsia"/>
          <w:b/>
          <w:bCs/>
          <w:color w:val="000000" w:themeColor="text1"/>
          <w:sz w:val="24"/>
          <w:szCs w:val="24"/>
          <w:highlight w:val="none"/>
          <w14:textFill>
            <w14:solidFill>
              <w14:schemeClr w14:val="tx1"/>
            </w14:solidFill>
          </w14:textFill>
        </w:rPr>
        <w:t xml:space="preserve">    </w:t>
      </w:r>
      <w:r>
        <w:rPr>
          <w:rFonts w:hint="eastAsia"/>
          <w:b/>
          <w:bCs/>
          <w:color w:val="000000" w:themeColor="text1"/>
          <w:sz w:val="24"/>
          <w:szCs w:val="24"/>
          <w:highlight w:val="none"/>
          <w:lang w:val="en-US" w:eastAsia="zh-CN"/>
          <w14:textFill>
            <w14:solidFill>
              <w14:schemeClr w14:val="tx1"/>
            </w14:solidFill>
          </w14:textFill>
        </w:rPr>
        <w:t>尾矿</w:t>
      </w:r>
      <w:r>
        <w:rPr>
          <w:rFonts w:hint="eastAsia"/>
          <w:b/>
          <w:bCs/>
          <w:color w:val="000000" w:themeColor="text1"/>
          <w:sz w:val="24"/>
          <w:szCs w:val="24"/>
          <w:highlight w:val="none"/>
          <w14:textFill>
            <w14:solidFill>
              <w14:schemeClr w14:val="tx1"/>
            </w14:solidFill>
          </w14:textFill>
        </w:rPr>
        <w:t>核素监测结果    Bq/kg</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023"/>
        <w:gridCol w:w="1419"/>
        <w:gridCol w:w="1419"/>
        <w:gridCol w:w="1419"/>
        <w:gridCol w:w="1420"/>
      </w:tblGrid>
      <w:tr w14:paraId="46DE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79" w:type="pct"/>
            <w:vMerge w:val="restart"/>
            <w:tcBorders>
              <w:top w:val="single" w:color="auto" w:sz="12" w:space="0"/>
              <w:left w:val="single" w:color="auto" w:sz="12" w:space="0"/>
            </w:tcBorders>
            <w:noWrap w:val="0"/>
            <w:vAlign w:val="center"/>
          </w:tcPr>
          <w:p w14:paraId="2D1DF67F">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0"/>
                <w:sz w:val="21"/>
                <w:szCs w:val="22"/>
                <w:highlight w:val="none"/>
                <w:lang w:bidi="ar"/>
                <w14:textFill>
                  <w14:solidFill>
                    <w14:schemeClr w14:val="tx1"/>
                  </w14:solidFill>
                </w14:textFill>
              </w:rPr>
              <w:t>序号</w:t>
            </w:r>
          </w:p>
        </w:tc>
        <w:tc>
          <w:tcPr>
            <w:tcW w:w="1188" w:type="pct"/>
            <w:vMerge w:val="restart"/>
            <w:tcBorders>
              <w:top w:val="single" w:color="auto" w:sz="12" w:space="0"/>
            </w:tcBorders>
            <w:noWrap w:val="0"/>
            <w:vAlign w:val="center"/>
          </w:tcPr>
          <w:p w14:paraId="08B99EC3">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0"/>
                <w:sz w:val="21"/>
                <w:szCs w:val="22"/>
                <w:highlight w:val="none"/>
                <w:lang w:bidi="ar"/>
                <w14:textFill>
                  <w14:solidFill>
                    <w14:schemeClr w14:val="tx1"/>
                  </w14:solidFill>
                </w14:textFill>
              </w:rPr>
              <w:t>样品</w:t>
            </w:r>
          </w:p>
        </w:tc>
        <w:tc>
          <w:tcPr>
            <w:tcW w:w="3333" w:type="pct"/>
            <w:gridSpan w:val="4"/>
            <w:tcBorders>
              <w:top w:val="single" w:color="auto" w:sz="12" w:space="0"/>
              <w:right w:val="single" w:color="auto" w:sz="12" w:space="0"/>
            </w:tcBorders>
            <w:noWrap w:val="0"/>
            <w:vAlign w:val="center"/>
          </w:tcPr>
          <w:p w14:paraId="7405BD92">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0"/>
                <w:sz w:val="21"/>
                <w:szCs w:val="22"/>
                <w:highlight w:val="none"/>
                <w:lang w:bidi="ar"/>
                <w14:textFill>
                  <w14:solidFill>
                    <w14:schemeClr w14:val="tx1"/>
                  </w14:solidFill>
                </w14:textFill>
              </w:rPr>
              <w:t>测试项目</w:t>
            </w:r>
          </w:p>
        </w:tc>
      </w:tr>
      <w:tr w14:paraId="5E74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vMerge w:val="continue"/>
            <w:tcBorders>
              <w:left w:val="single" w:color="auto" w:sz="12" w:space="0"/>
            </w:tcBorders>
            <w:noWrap w:val="0"/>
            <w:vAlign w:val="center"/>
          </w:tcPr>
          <w:p w14:paraId="79F0D8CA">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p>
        </w:tc>
        <w:tc>
          <w:tcPr>
            <w:tcW w:w="1188" w:type="pct"/>
            <w:vMerge w:val="continue"/>
            <w:noWrap w:val="0"/>
            <w:vAlign w:val="center"/>
          </w:tcPr>
          <w:p w14:paraId="4219D026">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p>
        </w:tc>
        <w:tc>
          <w:tcPr>
            <w:tcW w:w="833" w:type="pct"/>
            <w:noWrap w:val="0"/>
            <w:vAlign w:val="center"/>
          </w:tcPr>
          <w:p w14:paraId="60D70C25">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vertAlign w:val="superscript"/>
                <w:lang w:bidi="ar"/>
                <w14:textFill>
                  <w14:solidFill>
                    <w14:schemeClr w14:val="tx1"/>
                  </w14:solidFill>
                </w14:textFill>
              </w:rPr>
              <w:t>226</w:t>
            </w: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Ra</w:t>
            </w:r>
          </w:p>
        </w:tc>
        <w:tc>
          <w:tcPr>
            <w:tcW w:w="833" w:type="pct"/>
            <w:noWrap w:val="0"/>
            <w:vAlign w:val="center"/>
          </w:tcPr>
          <w:p w14:paraId="3C0CFC2B">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vertAlign w:val="superscript"/>
                <w:lang w:bidi="ar"/>
                <w14:textFill>
                  <w14:solidFill>
                    <w14:schemeClr w14:val="tx1"/>
                  </w14:solidFill>
                </w14:textFill>
              </w:rPr>
              <w:t>232</w:t>
            </w: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Th</w:t>
            </w:r>
          </w:p>
        </w:tc>
        <w:tc>
          <w:tcPr>
            <w:tcW w:w="833" w:type="pct"/>
            <w:noWrap w:val="0"/>
            <w:vAlign w:val="center"/>
          </w:tcPr>
          <w:p w14:paraId="76A3047E">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vertAlign w:val="superscript"/>
                <w:lang w:bidi="ar"/>
                <w14:textFill>
                  <w14:solidFill>
                    <w14:schemeClr w14:val="tx1"/>
                  </w14:solidFill>
                </w14:textFill>
              </w:rPr>
              <w:t>40</w:t>
            </w: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K</w:t>
            </w:r>
          </w:p>
        </w:tc>
        <w:tc>
          <w:tcPr>
            <w:tcW w:w="833" w:type="pct"/>
            <w:tcBorders>
              <w:right w:val="single" w:color="auto" w:sz="12" w:space="0"/>
            </w:tcBorders>
            <w:noWrap w:val="0"/>
            <w:vAlign w:val="center"/>
          </w:tcPr>
          <w:p w14:paraId="6E3C3760">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vertAlign w:val="superscript"/>
                <w:lang w:bidi="ar"/>
                <w14:textFill>
                  <w14:solidFill>
                    <w14:schemeClr w14:val="tx1"/>
                  </w14:solidFill>
                </w14:textFill>
              </w:rPr>
              <w:t>238</w:t>
            </w: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U</w:t>
            </w:r>
          </w:p>
        </w:tc>
      </w:tr>
      <w:tr w14:paraId="757D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9" w:type="pct"/>
            <w:tcBorders>
              <w:left w:val="single" w:color="auto" w:sz="12" w:space="0"/>
              <w:bottom w:val="single" w:color="auto" w:sz="12" w:space="0"/>
            </w:tcBorders>
            <w:noWrap w:val="0"/>
            <w:vAlign w:val="center"/>
          </w:tcPr>
          <w:p w14:paraId="268019F5">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1188" w:type="pct"/>
            <w:tcBorders>
              <w:bottom w:val="single" w:color="auto" w:sz="12" w:space="0"/>
            </w:tcBorders>
            <w:noWrap w:val="0"/>
            <w:vAlign w:val="center"/>
          </w:tcPr>
          <w:p w14:paraId="3D701FB2">
            <w:pPr>
              <w:keepNext w:val="0"/>
              <w:keepLines w:val="0"/>
              <w:suppressLineNumbers w:val="0"/>
              <w:snapToGrid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bidi="ar"/>
                <w14:textFill>
                  <w14:solidFill>
                    <w14:schemeClr w14:val="tx1"/>
                  </w14:solidFill>
                </w14:textFill>
              </w:rPr>
              <w:t>西成矿业</w:t>
            </w:r>
            <w:r>
              <w:rPr>
                <w:rFonts w:hint="eastAsia" w:cs="Times New Roman"/>
                <w:color w:val="000000" w:themeColor="text1"/>
                <w:kern w:val="0"/>
                <w:sz w:val="21"/>
                <w:szCs w:val="21"/>
                <w:highlight w:val="none"/>
                <w:lang w:val="en-US" w:eastAsia="zh-CN" w:bidi="ar"/>
                <w14:textFill>
                  <w14:solidFill>
                    <w14:schemeClr w14:val="tx1"/>
                  </w14:solidFill>
                </w14:textFill>
              </w:rPr>
              <w:t>尾矿</w:t>
            </w:r>
          </w:p>
        </w:tc>
        <w:tc>
          <w:tcPr>
            <w:tcW w:w="833" w:type="pct"/>
            <w:tcBorders>
              <w:bottom w:val="single" w:color="auto" w:sz="12" w:space="0"/>
            </w:tcBorders>
            <w:noWrap w:val="0"/>
            <w:vAlign w:val="center"/>
          </w:tcPr>
          <w:p w14:paraId="1E401029">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16.9</w:t>
            </w:r>
          </w:p>
        </w:tc>
        <w:tc>
          <w:tcPr>
            <w:tcW w:w="833" w:type="pct"/>
            <w:tcBorders>
              <w:bottom w:val="single" w:color="auto" w:sz="12" w:space="0"/>
            </w:tcBorders>
            <w:noWrap w:val="0"/>
            <w:vAlign w:val="center"/>
          </w:tcPr>
          <w:p w14:paraId="1DF21E34">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19.6</w:t>
            </w:r>
          </w:p>
        </w:tc>
        <w:tc>
          <w:tcPr>
            <w:tcW w:w="833" w:type="pct"/>
            <w:tcBorders>
              <w:bottom w:val="single" w:color="auto" w:sz="12" w:space="0"/>
            </w:tcBorders>
            <w:noWrap w:val="0"/>
            <w:vAlign w:val="center"/>
          </w:tcPr>
          <w:p w14:paraId="109E5E77">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324</w:t>
            </w:r>
          </w:p>
        </w:tc>
        <w:tc>
          <w:tcPr>
            <w:tcW w:w="833" w:type="pct"/>
            <w:tcBorders>
              <w:bottom w:val="single" w:color="auto" w:sz="12" w:space="0"/>
              <w:right w:val="single" w:color="auto" w:sz="12" w:space="0"/>
            </w:tcBorders>
            <w:noWrap w:val="0"/>
            <w:vAlign w:val="center"/>
          </w:tcPr>
          <w:p w14:paraId="0906A3E7">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10.2</w:t>
            </w:r>
          </w:p>
        </w:tc>
      </w:tr>
    </w:tbl>
    <w:p w14:paraId="603A787E">
      <w:pPr>
        <w:overflowPunct w:val="0"/>
        <w:topLinePunct/>
        <w:rPr>
          <w:rFonts w:hint="eastAsia" w:eastAsia="宋体"/>
          <w:color w:val="000000" w:themeColor="text1"/>
          <w:szCs w:val="22"/>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结果显示</w:t>
      </w:r>
      <w:r>
        <w:rPr>
          <w:rFonts w:hint="eastAsia"/>
          <w:color w:val="000000" w:themeColor="text1"/>
          <w:sz w:val="24"/>
          <w:szCs w:val="24"/>
          <w:highlight w:val="none"/>
          <w:lang w:val="en-US" w:eastAsia="zh-CN"/>
          <w14:textFill>
            <w14:solidFill>
              <w14:schemeClr w14:val="tx1"/>
            </w14:solidFill>
          </w14:textFill>
        </w:rPr>
        <w:t>尾矿中的</w:t>
      </w:r>
      <w:r>
        <w:rPr>
          <w:color w:val="000000" w:themeColor="text1"/>
          <w:sz w:val="24"/>
          <w:szCs w:val="24"/>
          <w:highlight w:val="none"/>
          <w:vertAlign w:val="superscript"/>
          <w14:textFill>
            <w14:solidFill>
              <w14:schemeClr w14:val="tx1"/>
            </w14:solidFill>
          </w14:textFill>
        </w:rPr>
        <w:t>238</w:t>
      </w:r>
      <w:r>
        <w:rPr>
          <w:color w:val="000000" w:themeColor="text1"/>
          <w:sz w:val="24"/>
          <w:szCs w:val="24"/>
          <w:highlight w:val="none"/>
          <w14:textFill>
            <w14:solidFill>
              <w14:schemeClr w14:val="tx1"/>
            </w14:solidFill>
          </w14:textFill>
        </w:rPr>
        <w:t>U、</w:t>
      </w:r>
      <w:r>
        <w:rPr>
          <w:color w:val="000000" w:themeColor="text1"/>
          <w:sz w:val="24"/>
          <w:szCs w:val="24"/>
          <w:highlight w:val="none"/>
          <w:vertAlign w:val="superscript"/>
          <w14:textFill>
            <w14:solidFill>
              <w14:schemeClr w14:val="tx1"/>
            </w14:solidFill>
          </w14:textFill>
        </w:rPr>
        <w:t>226</w:t>
      </w:r>
      <w:r>
        <w:rPr>
          <w:color w:val="000000" w:themeColor="text1"/>
          <w:sz w:val="24"/>
          <w:szCs w:val="24"/>
          <w:highlight w:val="none"/>
          <w14:textFill>
            <w14:solidFill>
              <w14:schemeClr w14:val="tx1"/>
            </w14:solidFill>
          </w14:textFill>
        </w:rPr>
        <w:t>Ra、</w:t>
      </w:r>
      <w:r>
        <w:rPr>
          <w:color w:val="000000" w:themeColor="text1"/>
          <w:sz w:val="24"/>
          <w:szCs w:val="24"/>
          <w:highlight w:val="none"/>
          <w:vertAlign w:val="superscript"/>
          <w14:textFill>
            <w14:solidFill>
              <w14:schemeClr w14:val="tx1"/>
            </w14:solidFill>
          </w14:textFill>
        </w:rPr>
        <w:t>232</w:t>
      </w:r>
      <w:r>
        <w:rPr>
          <w:color w:val="000000" w:themeColor="text1"/>
          <w:sz w:val="24"/>
          <w:szCs w:val="24"/>
          <w:highlight w:val="none"/>
          <w14:textFill>
            <w14:solidFill>
              <w14:schemeClr w14:val="tx1"/>
            </w14:solidFill>
          </w14:textFill>
        </w:rPr>
        <w:t>Th、</w:t>
      </w:r>
      <w:r>
        <w:rPr>
          <w:color w:val="000000" w:themeColor="text1"/>
          <w:sz w:val="24"/>
          <w:szCs w:val="24"/>
          <w:highlight w:val="none"/>
          <w:vertAlign w:val="superscript"/>
          <w14:textFill>
            <w14:solidFill>
              <w14:schemeClr w14:val="tx1"/>
            </w14:solidFill>
          </w14:textFill>
        </w:rPr>
        <w:t>40</w:t>
      </w:r>
      <w:r>
        <w:rPr>
          <w:color w:val="000000" w:themeColor="text1"/>
          <w:sz w:val="24"/>
          <w:szCs w:val="24"/>
          <w:highlight w:val="none"/>
          <w14:textFill>
            <w14:solidFill>
              <w14:schemeClr w14:val="tx1"/>
            </w14:solidFill>
          </w14:textFill>
        </w:rPr>
        <w:t>K等元素活度浓度均未超过1贝克/克（Bq/g），</w:t>
      </w:r>
      <w:r>
        <w:rPr>
          <w:rFonts w:hint="default" w:ascii="Times New Roman" w:hAnsi="Times New Roman" w:eastAsia="宋体" w:cs="Times New Roman"/>
          <w:color w:val="000000" w:themeColor="text1"/>
          <w:sz w:val="24"/>
          <w:szCs w:val="24"/>
          <w14:textFill>
            <w14:solidFill>
              <w14:schemeClr w14:val="tx1"/>
            </w14:solidFill>
          </w14:textFill>
        </w:rPr>
        <w:t>无放射性异常，依据《矿产资源开发利用辐射环境监督管理名录》相关规定，无需编制辐射环境影响评价专篇。</w:t>
      </w:r>
    </w:p>
    <w:p w14:paraId="3DE47EE1">
      <w:pPr>
        <w:pStyle w:val="4"/>
        <w:rPr>
          <w:color w:val="000000" w:themeColor="text1"/>
          <w:highlight w:val="none"/>
          <w14:textFill>
            <w14:solidFill>
              <w14:schemeClr w14:val="tx1"/>
            </w14:solidFill>
          </w14:textFill>
        </w:rPr>
      </w:pPr>
      <w:bookmarkStart w:id="703" w:name="_Toc17009"/>
      <w:bookmarkStart w:id="704" w:name="_Toc27212"/>
      <w:bookmarkStart w:id="705" w:name="_Toc30667"/>
      <w:bookmarkStart w:id="706" w:name="_Toc5061"/>
      <w:bookmarkStart w:id="707" w:name="_Toc472"/>
      <w:bookmarkStart w:id="708" w:name="_Toc20867"/>
      <w:bookmarkStart w:id="709" w:name="_Toc11704"/>
      <w:bookmarkStart w:id="710" w:name="_Toc22777"/>
      <w:bookmarkStart w:id="711" w:name="_Toc20874"/>
      <w:bookmarkStart w:id="712" w:name="_Toc19053"/>
      <w:bookmarkStart w:id="713" w:name="_Toc29098"/>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区域生态环境现状调查与评价</w:t>
      </w:r>
      <w:bookmarkEnd w:id="703"/>
      <w:bookmarkEnd w:id="704"/>
      <w:bookmarkEnd w:id="705"/>
      <w:bookmarkEnd w:id="706"/>
      <w:bookmarkEnd w:id="707"/>
      <w:bookmarkEnd w:id="708"/>
      <w:bookmarkEnd w:id="709"/>
      <w:bookmarkEnd w:id="710"/>
      <w:bookmarkEnd w:id="711"/>
      <w:bookmarkEnd w:id="712"/>
      <w:bookmarkEnd w:id="713"/>
    </w:p>
    <w:p w14:paraId="0F342AFB">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.1生态功能区划</w:t>
      </w:r>
    </w:p>
    <w:p w14:paraId="00D46E79">
      <w:pPr>
        <w:overflowPunct w:val="0"/>
        <w:topLinePunct/>
        <w:ind w:firstLine="48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根据</w:t>
      </w:r>
      <w:r>
        <w:rPr>
          <w:color w:val="000000" w:themeColor="text1"/>
          <w:sz w:val="24"/>
          <w:szCs w:val="24"/>
          <w:highlight w:val="none"/>
          <w14:textFill>
            <w14:solidFill>
              <w14:schemeClr w14:val="tx1"/>
            </w14:solidFill>
          </w14:textFill>
        </w:rPr>
        <w:t>《新疆生态功能区划》</w:t>
      </w:r>
      <w:r>
        <w:rPr>
          <w:rFonts w:hint="eastAsia"/>
          <w:color w:val="000000" w:themeColor="text1"/>
          <w:sz w:val="24"/>
          <w:szCs w:val="24"/>
          <w:highlight w:val="none"/>
          <w14:textFill>
            <w14:solidFill>
              <w14:schemeClr w14:val="tx1"/>
            </w14:solidFill>
          </w14:textFill>
        </w:rPr>
        <w:t>，本项目位于Ⅲ天山山地温性草原、森林生态区——Ⅲ</w:t>
      </w:r>
      <w:r>
        <w:rPr>
          <w:rFonts w:hint="eastAsia"/>
          <w:color w:val="000000" w:themeColor="text1"/>
          <w:sz w:val="24"/>
          <w:szCs w:val="24"/>
          <w:highlight w:val="none"/>
          <w:vertAlign w:val="subscript"/>
          <w14:textFill>
            <w14:solidFill>
              <w14:schemeClr w14:val="tx1"/>
            </w14:solidFill>
          </w14:textFill>
        </w:rPr>
        <w:t>4</w:t>
      </w:r>
      <w:r>
        <w:rPr>
          <w:rFonts w:hint="eastAsia"/>
          <w:color w:val="000000" w:themeColor="text1"/>
          <w:sz w:val="24"/>
          <w:szCs w:val="24"/>
          <w:highlight w:val="none"/>
          <w14:textFill>
            <w14:solidFill>
              <w14:schemeClr w14:val="tx1"/>
            </w14:solidFill>
          </w14:textFill>
        </w:rPr>
        <w:t>天山南坡吐鲁番—哈密盆地戈壁荒漠、绿洲农业生态亚区——5</w:t>
      </w:r>
      <w:r>
        <w:rPr>
          <w:color w:val="000000" w:themeColor="text1"/>
          <w:sz w:val="24"/>
          <w:szCs w:val="24"/>
          <w:highlight w:val="none"/>
          <w14:textFill>
            <w14:solidFill>
              <w14:schemeClr w14:val="tx1"/>
            </w14:solidFill>
          </w14:textFill>
        </w:rPr>
        <w:t>3.</w:t>
      </w:r>
      <w:r>
        <w:rPr>
          <w:rFonts w:hint="eastAsia"/>
          <w:color w:val="000000" w:themeColor="text1"/>
          <w:sz w:val="24"/>
          <w:szCs w:val="24"/>
          <w:highlight w:val="none"/>
          <w14:textFill>
            <w14:solidFill>
              <w14:schemeClr w14:val="tx1"/>
            </w14:solidFill>
          </w14:textFill>
        </w:rPr>
        <w:t>嘎顺—南湖戈壁荒漠风蚀敏感生态功能区。该生态功能区的主要生态服务功能、生态敏感因子、主要生态环境问题和主要保护目标见表4.2-1</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，生态功能区划图见图</w:t>
      </w:r>
      <w:r>
        <w:rPr>
          <w:rFonts w:hint="eastAsia"/>
          <w:color w:val="000000" w:themeColor="text1"/>
          <w:sz w:val="24"/>
          <w:szCs w:val="24"/>
          <w:highlight w:val="none"/>
          <w:lang w:val="en-US" w:eastAsia="zh-CN"/>
          <w14:textFill>
            <w14:solidFill>
              <w14:schemeClr w14:val="tx1"/>
            </w14:solidFill>
          </w14:textFill>
        </w:rPr>
        <w:t>1.3-1</w:t>
      </w:r>
      <w:r>
        <w:rPr>
          <w:rFonts w:hint="eastAsia"/>
          <w:color w:val="000000" w:themeColor="text1"/>
          <w:sz w:val="24"/>
          <w:szCs w:val="24"/>
          <w:highlight w:val="none"/>
          <w:lang w:eastAsia="zh-CN"/>
          <w14:textFill>
            <w14:solidFill>
              <w14:schemeClr w14:val="tx1"/>
            </w14:solidFill>
          </w14:textFill>
        </w:rPr>
        <w:t>。</w:t>
      </w:r>
    </w:p>
    <w:p w14:paraId="52E0E63E">
      <w:pPr>
        <w:overflowPunct w:val="0"/>
        <w:topLinePunct/>
        <w:ind w:firstLine="480"/>
        <w:rPr>
          <w:rFonts w:hint="eastAsia"/>
          <w:color w:val="000000" w:themeColor="text1"/>
          <w:sz w:val="24"/>
          <w:szCs w:val="24"/>
          <w:highlight w:val="none"/>
          <w:lang w:eastAsia="zh-CN"/>
          <w14:textFill>
            <w14:solidFill>
              <w14:schemeClr w14:val="tx1"/>
            </w14:solidFill>
          </w14:textFill>
        </w:rPr>
      </w:pPr>
    </w:p>
    <w:p w14:paraId="211E8560">
      <w:pPr>
        <w:spacing w:line="480" w:lineRule="exact"/>
        <w:jc w:val="center"/>
        <w:rPr>
          <w:b/>
          <w:color w:val="000000" w:themeColor="text1"/>
          <w:kern w:val="0"/>
          <w:sz w:val="24"/>
          <w:szCs w:val="24"/>
          <w:highlight w:val="none"/>
          <w:lang w:val="zh-CN" w:bidi="ar"/>
          <w14:textFill>
            <w14:solidFill>
              <w14:schemeClr w14:val="tx1"/>
            </w14:solidFill>
          </w14:textFill>
        </w:rPr>
      </w:pPr>
      <w:r>
        <w:rPr>
          <w:b/>
          <w:color w:val="000000" w:themeColor="text1"/>
          <w:kern w:val="0"/>
          <w:sz w:val="24"/>
          <w:szCs w:val="24"/>
          <w:highlight w:val="none"/>
          <w:lang w:val="zh-CN" w:bidi="ar"/>
          <w14:textFill>
            <w14:solidFill>
              <w14:schemeClr w14:val="tx1"/>
            </w14:solidFill>
          </w14:textFill>
        </w:rPr>
        <w:t>表</w:t>
      </w:r>
      <w:r>
        <w:rPr>
          <w:b/>
          <w:color w:val="000000" w:themeColor="text1"/>
          <w:kern w:val="0"/>
          <w:sz w:val="24"/>
          <w:szCs w:val="24"/>
          <w:highlight w:val="none"/>
          <w:lang w:bidi="ar"/>
          <w14:textFill>
            <w14:solidFill>
              <w14:schemeClr w14:val="tx1"/>
            </w14:solidFill>
          </w14:textFill>
        </w:rPr>
        <w:t>4.</w:t>
      </w:r>
      <w:r>
        <w:rPr>
          <w:rFonts w:hint="eastAsia"/>
          <w:b/>
          <w:color w:val="000000" w:themeColor="text1"/>
          <w:kern w:val="0"/>
          <w:sz w:val="24"/>
          <w:szCs w:val="24"/>
          <w:highlight w:val="none"/>
          <w:lang w:bidi="ar"/>
          <w14:textFill>
            <w14:solidFill>
              <w14:schemeClr w14:val="tx1"/>
            </w14:solidFill>
          </w14:textFill>
        </w:rPr>
        <w:t>2</w:t>
      </w:r>
      <w:r>
        <w:rPr>
          <w:b/>
          <w:color w:val="000000" w:themeColor="text1"/>
          <w:kern w:val="0"/>
          <w:sz w:val="24"/>
          <w:szCs w:val="24"/>
          <w:highlight w:val="none"/>
          <w:lang w:bidi="ar"/>
          <w14:textFill>
            <w14:solidFill>
              <w14:schemeClr w14:val="tx1"/>
            </w14:solidFill>
          </w14:textFill>
        </w:rPr>
        <w:t>-</w:t>
      </w:r>
      <w:r>
        <w:rPr>
          <w:rFonts w:hint="eastAsia"/>
          <w:b/>
          <w:color w:val="000000" w:themeColor="text1"/>
          <w:kern w:val="0"/>
          <w:sz w:val="24"/>
          <w:szCs w:val="24"/>
          <w:highlight w:val="none"/>
          <w:lang w:bidi="ar"/>
          <w14:textFill>
            <w14:solidFill>
              <w14:schemeClr w14:val="tx1"/>
            </w14:solidFill>
          </w14:textFill>
        </w:rPr>
        <w:t>1</w:t>
      </w:r>
      <w:r>
        <w:rPr>
          <w:rFonts w:hint="eastAsia"/>
          <w:b/>
          <w:color w:val="000000" w:themeColor="text1"/>
          <w:kern w:val="0"/>
          <w:sz w:val="24"/>
          <w:szCs w:val="24"/>
          <w:highlight w:val="none"/>
          <w:lang w:val="en-US" w:eastAsia="zh-CN" w:bidi="ar"/>
          <w14:textFill>
            <w14:solidFill>
              <w14:schemeClr w14:val="tx1"/>
            </w14:solidFill>
          </w14:textFill>
        </w:rPr>
        <w:t>5</w:t>
      </w:r>
      <w:r>
        <w:rPr>
          <w:b/>
          <w:color w:val="000000" w:themeColor="text1"/>
          <w:kern w:val="0"/>
          <w:sz w:val="24"/>
          <w:szCs w:val="24"/>
          <w:highlight w:val="none"/>
          <w:lang w:bidi="ar"/>
          <w14:textFill>
            <w14:solidFill>
              <w14:schemeClr w14:val="tx1"/>
            </w14:solidFill>
          </w14:textFill>
        </w:rPr>
        <w:t xml:space="preserve">   </w:t>
      </w:r>
      <w:r>
        <w:rPr>
          <w:b/>
          <w:color w:val="000000" w:themeColor="text1"/>
          <w:kern w:val="0"/>
          <w:sz w:val="24"/>
          <w:szCs w:val="24"/>
          <w:highlight w:val="none"/>
          <w:lang w:val="zh-CN" w:bidi="ar"/>
          <w14:textFill>
            <w14:solidFill>
              <w14:schemeClr w14:val="tx1"/>
            </w14:solidFill>
          </w14:textFill>
        </w:rPr>
        <w:t xml:space="preserve"> 项目所在区域生态功能区划</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0"/>
        <w:gridCol w:w="1739"/>
        <w:gridCol w:w="5621"/>
      </w:tblGrid>
      <w:tr w14:paraId="5E25A8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restart"/>
            <w:noWrap w:val="0"/>
            <w:vAlign w:val="center"/>
          </w:tcPr>
          <w:p w14:paraId="6571E640">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生态功能分区单元</w:t>
            </w:r>
          </w:p>
        </w:tc>
        <w:tc>
          <w:tcPr>
            <w:tcW w:w="1739" w:type="dxa"/>
            <w:noWrap w:val="0"/>
            <w:vAlign w:val="center"/>
          </w:tcPr>
          <w:p w14:paraId="7BDA92A1">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生态区</w:t>
            </w:r>
          </w:p>
        </w:tc>
        <w:tc>
          <w:tcPr>
            <w:tcW w:w="5621" w:type="dxa"/>
            <w:noWrap w:val="0"/>
            <w:vAlign w:val="center"/>
          </w:tcPr>
          <w:p w14:paraId="716FB34D">
            <w:pPr>
              <w:pStyle w:val="45"/>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Ⅲ天山山地温性草原、森林生态区</w:t>
            </w:r>
          </w:p>
        </w:tc>
      </w:tr>
      <w:tr w14:paraId="4B6935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continue"/>
            <w:noWrap w:val="0"/>
            <w:vAlign w:val="center"/>
          </w:tcPr>
          <w:p w14:paraId="3B9B2AC5">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p>
        </w:tc>
        <w:tc>
          <w:tcPr>
            <w:tcW w:w="1739" w:type="dxa"/>
            <w:noWrap w:val="0"/>
            <w:vAlign w:val="center"/>
          </w:tcPr>
          <w:p w14:paraId="55875525">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生态亚区</w:t>
            </w:r>
          </w:p>
        </w:tc>
        <w:tc>
          <w:tcPr>
            <w:tcW w:w="5621" w:type="dxa"/>
            <w:noWrap w:val="0"/>
            <w:vAlign w:val="center"/>
          </w:tcPr>
          <w:p w14:paraId="5353E801">
            <w:pPr>
              <w:pStyle w:val="45"/>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Ⅲ4天山南坡吐鲁番—哈密盆地戈壁荒漠、绿洲农业生态亚区</w:t>
            </w:r>
          </w:p>
        </w:tc>
      </w:tr>
      <w:tr w14:paraId="5BFF37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continue"/>
            <w:noWrap w:val="0"/>
            <w:vAlign w:val="center"/>
          </w:tcPr>
          <w:p w14:paraId="0AADD3F9">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p>
        </w:tc>
        <w:tc>
          <w:tcPr>
            <w:tcW w:w="1739" w:type="dxa"/>
            <w:noWrap w:val="0"/>
            <w:vAlign w:val="center"/>
          </w:tcPr>
          <w:p w14:paraId="7E10FEDD">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生态功能区</w:t>
            </w:r>
          </w:p>
        </w:tc>
        <w:tc>
          <w:tcPr>
            <w:tcW w:w="5621" w:type="dxa"/>
            <w:noWrap w:val="0"/>
            <w:vAlign w:val="center"/>
          </w:tcPr>
          <w:p w14:paraId="2740AEF2">
            <w:pPr>
              <w:pStyle w:val="45"/>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53.嘎顺—南湖戈壁荒漠风蚀敏感生态功能区</w:t>
            </w:r>
          </w:p>
        </w:tc>
      </w:tr>
      <w:tr w14:paraId="4EB132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0FCF2267">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隶属行政区</w:t>
            </w:r>
          </w:p>
        </w:tc>
        <w:tc>
          <w:tcPr>
            <w:tcW w:w="5621" w:type="dxa"/>
            <w:noWrap w:val="0"/>
            <w:vAlign w:val="center"/>
          </w:tcPr>
          <w:p w14:paraId="368550ED">
            <w:pPr>
              <w:pStyle w:val="45"/>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哈密市</w:t>
            </w:r>
          </w:p>
        </w:tc>
      </w:tr>
      <w:tr w14:paraId="6F4A01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57BB98DF">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主要生态服务功能</w:t>
            </w:r>
          </w:p>
        </w:tc>
        <w:tc>
          <w:tcPr>
            <w:tcW w:w="5621" w:type="dxa"/>
            <w:noWrap w:val="0"/>
            <w:vAlign w:val="center"/>
          </w:tcPr>
          <w:p w14:paraId="367C2DAF">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荒漠化控制、生物多样性维护、矿产资源开发</w:t>
            </w:r>
          </w:p>
        </w:tc>
      </w:tr>
      <w:tr w14:paraId="4FA0AC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5B1D0F13">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主要生态环境问题</w:t>
            </w:r>
          </w:p>
        </w:tc>
        <w:tc>
          <w:tcPr>
            <w:tcW w:w="5621" w:type="dxa"/>
            <w:noWrap w:val="0"/>
            <w:vAlign w:val="center"/>
          </w:tcPr>
          <w:p w14:paraId="25021BEF">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风沙危害铁路公路、地表形态破坏</w:t>
            </w:r>
          </w:p>
        </w:tc>
      </w:tr>
      <w:tr w14:paraId="08758E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5C966221">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主要生态敏感因子、敏感程度</w:t>
            </w:r>
          </w:p>
        </w:tc>
        <w:tc>
          <w:tcPr>
            <w:tcW w:w="5621" w:type="dxa"/>
            <w:noWrap w:val="0"/>
            <w:vAlign w:val="center"/>
          </w:tcPr>
          <w:p w14:paraId="44D5C354">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生物多样性及其生境高度敏感，土壤侵蚀极度敏感，土地沙漠化轻度敏感</w:t>
            </w:r>
          </w:p>
        </w:tc>
      </w:tr>
      <w:tr w14:paraId="78EBD2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2FCD90AB">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主要保护目标</w:t>
            </w:r>
          </w:p>
        </w:tc>
        <w:tc>
          <w:tcPr>
            <w:tcW w:w="5621" w:type="dxa"/>
            <w:noWrap w:val="0"/>
            <w:vAlign w:val="center"/>
          </w:tcPr>
          <w:p w14:paraId="7B1310F4">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保护砾幕、保护野生动植物、保护铁路公路、保护戈壁泉眼</w:t>
            </w:r>
          </w:p>
        </w:tc>
      </w:tr>
      <w:tr w14:paraId="28B2C1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0261CD65">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主要保护措施</w:t>
            </w:r>
          </w:p>
        </w:tc>
        <w:tc>
          <w:tcPr>
            <w:tcW w:w="5621" w:type="dxa"/>
            <w:noWrap w:val="0"/>
            <w:vAlign w:val="center"/>
          </w:tcPr>
          <w:p w14:paraId="1B96CCF6">
            <w:pPr>
              <w:pStyle w:val="45"/>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减少公路管道工程破坏地表植被、保护矿区生态、铁路公路沿线防风固沙</w:t>
            </w:r>
          </w:p>
        </w:tc>
      </w:tr>
      <w:tr w14:paraId="1358C0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739FAACF">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2"/>
                <w:highlight w:val="none"/>
                <w:lang w:bidi="ar"/>
                <w14:textFill>
                  <w14:solidFill>
                    <w14:schemeClr w14:val="tx1"/>
                  </w14:solidFill>
                </w14:textFill>
              </w:rPr>
              <w:t>适宜发展方向</w:t>
            </w:r>
          </w:p>
        </w:tc>
        <w:tc>
          <w:tcPr>
            <w:tcW w:w="5621" w:type="dxa"/>
            <w:noWrap w:val="0"/>
            <w:vAlign w:val="center"/>
          </w:tcPr>
          <w:p w14:paraId="678688A6">
            <w:pPr>
              <w:pStyle w:val="45"/>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保护荒漠自然景观，维护生态平衡</w:t>
            </w:r>
          </w:p>
        </w:tc>
      </w:tr>
    </w:tbl>
    <w:p w14:paraId="1D6390CC">
      <w:pPr>
        <w:pStyle w:val="5"/>
        <w:spacing w:before="0" w:after="0" w:line="480" w:lineRule="exact"/>
        <w:ind w:firstLine="482"/>
        <w:rPr>
          <w:rFonts w:ascii="Times New Roman" w:hAnsi="Times New Roman"/>
          <w:bCs w:val="0"/>
          <w:color w:val="000000" w:themeColor="text1"/>
          <w:kern w:val="2"/>
          <w:szCs w:val="24"/>
          <w:highlight w:val="none"/>
          <w14:textFill>
            <w14:solidFill>
              <w14:schemeClr w14:val="tx1"/>
            </w14:solidFill>
          </w14:textFill>
        </w:rPr>
      </w:pPr>
      <w:r>
        <w:rPr>
          <w:rFonts w:ascii="Times New Roman" w:hAnsi="Times New Roman"/>
          <w:bCs w:val="0"/>
          <w:color w:val="000000" w:themeColor="text1"/>
          <w:kern w:val="2"/>
          <w:szCs w:val="24"/>
          <w:highlight w:val="none"/>
          <w14:textFill>
            <w14:solidFill>
              <w14:schemeClr w14:val="tx1"/>
            </w14:solidFill>
          </w14:textFill>
        </w:rPr>
        <w:t>4.2.7.2</w:t>
      </w:r>
      <w:r>
        <w:rPr>
          <w:rFonts w:hint="eastAsia" w:ascii="Times New Roman" w:hAnsi="Times New Roman"/>
          <w:bCs w:val="0"/>
          <w:color w:val="000000" w:themeColor="text1"/>
          <w:kern w:val="2"/>
          <w:szCs w:val="24"/>
          <w:highlight w:val="none"/>
          <w14:textFill>
            <w14:solidFill>
              <w14:schemeClr w14:val="tx1"/>
            </w14:solidFill>
          </w14:textFill>
        </w:rPr>
        <w:t>生态景观现状及评价</w:t>
      </w:r>
    </w:p>
    <w:p w14:paraId="3DCC29C1">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区域气候干燥，降雨稀少，植被覆盖率低，植物种类少，景观较单一。项目建设区域的生态环境质量的控制性组分是戈壁、裸岩等未利用地，生态环境比较脆弱，在人类活动的干扰下，生态环境很容易衰退，所以要尽量保持其原始状况，在项目实施过程中，尽量减少对未利用土地的占用和破坏。</w:t>
      </w:r>
    </w:p>
    <w:p w14:paraId="4F085031">
      <w:pPr>
        <w:pStyle w:val="5"/>
        <w:spacing w:before="0" w:after="0" w:line="480" w:lineRule="exact"/>
        <w:ind w:firstLine="482"/>
        <w:rPr>
          <w:rFonts w:ascii="Times New Roman" w:hAnsi="Times New Roman"/>
          <w:bCs w:val="0"/>
          <w:color w:val="000000" w:themeColor="text1"/>
          <w:kern w:val="2"/>
          <w:szCs w:val="24"/>
          <w:highlight w:val="none"/>
          <w14:textFill>
            <w14:solidFill>
              <w14:schemeClr w14:val="tx1"/>
            </w14:solidFill>
          </w14:textFill>
        </w:rPr>
      </w:pPr>
      <w:r>
        <w:rPr>
          <w:rFonts w:ascii="Times New Roman" w:hAnsi="Times New Roman"/>
          <w:bCs w:val="0"/>
          <w:color w:val="000000" w:themeColor="text1"/>
          <w:kern w:val="2"/>
          <w:szCs w:val="24"/>
          <w:highlight w:val="none"/>
          <w14:textFill>
            <w14:solidFill>
              <w14:schemeClr w14:val="tx1"/>
            </w14:solidFill>
          </w14:textFill>
        </w:rPr>
        <w:t>4.2.7.3</w:t>
      </w:r>
      <w:r>
        <w:rPr>
          <w:rFonts w:hint="eastAsia" w:ascii="Times New Roman" w:hAnsi="Times New Roman"/>
          <w:bCs w:val="0"/>
          <w:color w:val="000000" w:themeColor="text1"/>
          <w:kern w:val="2"/>
          <w:szCs w:val="24"/>
          <w:highlight w:val="none"/>
          <w14:textFill>
            <w14:solidFill>
              <w14:schemeClr w14:val="tx1"/>
            </w14:solidFill>
          </w14:textFill>
        </w:rPr>
        <w:t>土地利用现状</w:t>
      </w:r>
    </w:p>
    <w:p w14:paraId="6B08E408">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本项目永久占地面积</w:t>
      </w:r>
      <w:r>
        <w:rPr>
          <w:rFonts w:hint="eastAsia"/>
          <w:color w:val="000000" w:themeColor="text1"/>
          <w:highlight w:val="none"/>
          <w:lang w:val="en-US" w:eastAsia="zh-CN"/>
          <w14:textFill>
            <w14:solidFill>
              <w14:schemeClr w14:val="tx1"/>
            </w14:solidFill>
          </w14:textFill>
        </w:rPr>
        <w:t>42.96</w:t>
      </w:r>
      <w:r>
        <w:rPr>
          <w:rFonts w:hint="eastAsia"/>
          <w:color w:val="000000" w:themeColor="text1"/>
          <w:sz w:val="24"/>
          <w:szCs w:val="24"/>
          <w:highlight w:val="none"/>
          <w14:textFill>
            <w14:solidFill>
              <w14:schemeClr w14:val="tx1"/>
            </w14:solidFill>
          </w14:textFill>
        </w:rPr>
        <w:t>hm</w:t>
      </w:r>
      <w:r>
        <w:rPr>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，临时用地均在永久占地范围内，项目区土地利用现状为戈壁和裸岩石砾地。评价区域土地利用现状见图4.2-</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w:t>
      </w:r>
    </w:p>
    <w:p w14:paraId="3088C1CD">
      <w:pPr>
        <w:pStyle w:val="5"/>
        <w:spacing w:before="0" w:after="0" w:line="480" w:lineRule="exact"/>
        <w:ind w:firstLine="482"/>
        <w:rPr>
          <w:rFonts w:ascii="Times New Roman" w:hAnsi="Times New Roman"/>
          <w:bCs w:val="0"/>
          <w:color w:val="000000" w:themeColor="text1"/>
          <w:kern w:val="2"/>
          <w:szCs w:val="24"/>
          <w:highlight w:val="none"/>
          <w14:textFill>
            <w14:solidFill>
              <w14:schemeClr w14:val="tx1"/>
            </w14:solidFill>
          </w14:textFill>
        </w:rPr>
      </w:pPr>
      <w:r>
        <w:rPr>
          <w:rFonts w:ascii="Times New Roman" w:hAnsi="Times New Roman"/>
          <w:bCs w:val="0"/>
          <w:color w:val="000000" w:themeColor="text1"/>
          <w:kern w:val="2"/>
          <w:szCs w:val="24"/>
          <w:highlight w:val="none"/>
          <w14:textFill>
            <w14:solidFill>
              <w14:schemeClr w14:val="tx1"/>
            </w14:solidFill>
          </w14:textFill>
        </w:rPr>
        <w:t>4.2.7.</w:t>
      </w:r>
      <w:r>
        <w:rPr>
          <w:rFonts w:hint="eastAsia"/>
          <w:bCs w:val="0"/>
          <w:color w:val="000000" w:themeColor="text1"/>
          <w:kern w:val="2"/>
          <w:szCs w:val="24"/>
          <w:highlight w:val="none"/>
          <w:lang w:val="en-US" w:eastAsia="zh-CN"/>
          <w14:textFill>
            <w14:solidFill>
              <w14:schemeClr w14:val="tx1"/>
            </w14:solidFill>
          </w14:textFill>
        </w:rPr>
        <w:t>4</w:t>
      </w:r>
      <w:r>
        <w:rPr>
          <w:rFonts w:ascii="Times New Roman" w:hAnsi="Times New Roman"/>
          <w:bCs w:val="0"/>
          <w:color w:val="000000" w:themeColor="text1"/>
          <w:kern w:val="2"/>
          <w:szCs w:val="24"/>
          <w:highlight w:val="none"/>
          <w14:textFill>
            <w14:solidFill>
              <w14:schemeClr w14:val="tx1"/>
            </w14:solidFill>
          </w14:textFill>
        </w:rPr>
        <w:t>植被现状调查及评价</w:t>
      </w:r>
    </w:p>
    <w:p w14:paraId="7AF2AE56">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（1）植被类型及分布</w:t>
      </w:r>
    </w:p>
    <w:p w14:paraId="39AECA20">
      <w:pPr>
        <w:spacing w:line="480" w:lineRule="exact"/>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区位于哈密市南部，项目所在区域以戈壁居多，总体呈荒漠戈壁状态，植被类型为裸地。根据收集的资料以及现状调查，区域植被主要是灌木亚菊、沙生针茅、梭梭、骆驼刺。项目区植被稀疏，群落总盖度不到1%，绝大部分地段基本无植被生长。项目区</w:t>
      </w:r>
      <w:r>
        <w:rPr>
          <w:rFonts w:hint="eastAsia"/>
          <w:color w:val="000000" w:themeColor="text1"/>
          <w:sz w:val="24"/>
          <w:szCs w:val="24"/>
          <w:highlight w:val="none"/>
          <w:lang w:val="en-US" w:eastAsia="zh-CN"/>
          <w14:textFill>
            <w14:solidFill>
              <w14:schemeClr w14:val="tx1"/>
            </w14:solidFill>
          </w14:textFill>
        </w:rPr>
        <w:t>植被</w:t>
      </w:r>
      <w:r>
        <w:rPr>
          <w:rFonts w:hint="eastAsia"/>
          <w:color w:val="000000" w:themeColor="text1"/>
          <w:sz w:val="24"/>
          <w:szCs w:val="24"/>
          <w:highlight w:val="none"/>
          <w14:textFill>
            <w14:solidFill>
              <w14:schemeClr w14:val="tx1"/>
            </w14:solidFill>
          </w14:textFill>
        </w:rPr>
        <w:t>类型图见图4.2-</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w:t>
      </w:r>
    </w:p>
    <w:p w14:paraId="6FBB0E11">
      <w:pPr>
        <w:numPr>
          <w:ilvl w:val="0"/>
          <w:numId w:val="2"/>
        </w:numPr>
        <w:spacing w:line="480" w:lineRule="exact"/>
        <w:ind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评价区植被种类</w:t>
      </w:r>
    </w:p>
    <w:p w14:paraId="173B3E0F">
      <w:pPr>
        <w:spacing w:line="480" w:lineRule="exact"/>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项目区主要植物种类见表4.2-1</w:t>
      </w:r>
      <w:r>
        <w:rPr>
          <w:rFonts w:hint="eastAsia"/>
          <w:color w:val="000000" w:themeColor="text1"/>
          <w:sz w:val="24"/>
          <w:szCs w:val="24"/>
          <w:highlight w:val="none"/>
          <w:lang w:val="en-US" w:eastAsia="zh-CN"/>
          <w14:textFill>
            <w14:solidFill>
              <w14:schemeClr w14:val="tx1"/>
            </w14:solidFill>
          </w14:textFill>
        </w:rPr>
        <w:t>6</w:t>
      </w:r>
      <w:r>
        <w:rPr>
          <w:rFonts w:hint="eastAsia"/>
          <w:color w:val="000000" w:themeColor="text1"/>
          <w:sz w:val="24"/>
          <w:szCs w:val="24"/>
          <w:highlight w:val="none"/>
          <w14:textFill>
            <w14:solidFill>
              <w14:schemeClr w14:val="tx1"/>
            </w14:solidFill>
          </w14:textFill>
        </w:rPr>
        <w:t>。</w:t>
      </w:r>
    </w:p>
    <w:p w14:paraId="7E3EF0E3">
      <w:pPr>
        <w:spacing w:line="480" w:lineRule="exact"/>
        <w:ind w:firstLine="480" w:firstLineChars="200"/>
        <w:rPr>
          <w:rFonts w:hint="eastAsia"/>
          <w:color w:val="000000" w:themeColor="text1"/>
          <w:sz w:val="24"/>
          <w:szCs w:val="24"/>
          <w:highlight w:val="none"/>
          <w14:textFill>
            <w14:solidFill>
              <w14:schemeClr w14:val="tx1"/>
            </w14:solidFill>
          </w14:textFill>
        </w:rPr>
      </w:pPr>
    </w:p>
    <w:p w14:paraId="0124B09F">
      <w:pPr>
        <w:spacing w:line="480" w:lineRule="exact"/>
        <w:jc w:val="center"/>
        <w:rPr>
          <w:b/>
          <w:color w:val="000000" w:themeColor="text1"/>
          <w:kern w:val="0"/>
          <w:sz w:val="24"/>
          <w:szCs w:val="24"/>
          <w:highlight w:val="none"/>
          <w:lang w:bidi="ar"/>
          <w14:textFill>
            <w14:solidFill>
              <w14:schemeClr w14:val="tx1"/>
            </w14:solidFill>
          </w14:textFill>
        </w:rPr>
      </w:pPr>
      <w:r>
        <w:rPr>
          <w:rFonts w:hint="eastAsia"/>
          <w:b/>
          <w:color w:val="000000" w:themeColor="text1"/>
          <w:kern w:val="0"/>
          <w:sz w:val="24"/>
          <w:szCs w:val="24"/>
          <w:highlight w:val="none"/>
          <w:lang w:bidi="ar"/>
          <w14:textFill>
            <w14:solidFill>
              <w14:schemeClr w14:val="tx1"/>
            </w14:solidFill>
          </w14:textFill>
        </w:rPr>
        <w:t>表4.2-1</w:t>
      </w:r>
      <w:r>
        <w:rPr>
          <w:rFonts w:hint="eastAsia"/>
          <w:b/>
          <w:color w:val="000000" w:themeColor="text1"/>
          <w:kern w:val="0"/>
          <w:sz w:val="24"/>
          <w:szCs w:val="24"/>
          <w:highlight w:val="none"/>
          <w:lang w:val="en-US" w:eastAsia="zh-CN" w:bidi="ar"/>
          <w14:textFill>
            <w14:solidFill>
              <w14:schemeClr w14:val="tx1"/>
            </w14:solidFill>
          </w14:textFill>
        </w:rPr>
        <w:t>6</w:t>
      </w:r>
      <w:r>
        <w:rPr>
          <w:rFonts w:hint="eastAsia"/>
          <w:b/>
          <w:color w:val="000000" w:themeColor="text1"/>
          <w:kern w:val="0"/>
          <w:sz w:val="24"/>
          <w:szCs w:val="24"/>
          <w:highlight w:val="none"/>
          <w:lang w:bidi="ar"/>
          <w14:textFill>
            <w14:solidFill>
              <w14:schemeClr w14:val="tx1"/>
            </w14:solidFill>
          </w14:textFill>
        </w:rPr>
        <w:t xml:space="preserve">    项目区主要植物名录</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147"/>
        <w:gridCol w:w="3967"/>
        <w:gridCol w:w="850"/>
        <w:gridCol w:w="1113"/>
        <w:gridCol w:w="1253"/>
      </w:tblGrid>
      <w:tr w14:paraId="74BC6B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689" w:type="pct"/>
            <w:noWrap w:val="0"/>
            <w:vAlign w:val="center"/>
          </w:tcPr>
          <w:p w14:paraId="02FA9D46">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植物名称</w:t>
            </w:r>
          </w:p>
        </w:tc>
        <w:tc>
          <w:tcPr>
            <w:tcW w:w="2381" w:type="pct"/>
            <w:noWrap w:val="0"/>
            <w:vAlign w:val="center"/>
          </w:tcPr>
          <w:p w14:paraId="05B5E3E1">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拉丁名</w:t>
            </w:r>
          </w:p>
        </w:tc>
        <w:tc>
          <w:tcPr>
            <w:tcW w:w="510" w:type="pct"/>
            <w:noWrap w:val="0"/>
            <w:vAlign w:val="center"/>
          </w:tcPr>
          <w:p w14:paraId="5CDF55DC">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科</w:t>
            </w:r>
          </w:p>
        </w:tc>
        <w:tc>
          <w:tcPr>
            <w:tcW w:w="668" w:type="pct"/>
            <w:noWrap w:val="0"/>
            <w:vAlign w:val="center"/>
          </w:tcPr>
          <w:p w14:paraId="6959C9BF">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属</w:t>
            </w:r>
          </w:p>
        </w:tc>
        <w:tc>
          <w:tcPr>
            <w:tcW w:w="752" w:type="pct"/>
            <w:noWrap w:val="0"/>
            <w:vAlign w:val="top"/>
          </w:tcPr>
          <w:p w14:paraId="23E8D700">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保护等级</w:t>
            </w:r>
          </w:p>
        </w:tc>
      </w:tr>
      <w:tr w14:paraId="4D437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89" w:type="pct"/>
            <w:noWrap w:val="0"/>
            <w:vAlign w:val="center"/>
          </w:tcPr>
          <w:p w14:paraId="4EB797C4">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default" w:ascii="Times New Roman" w:hAnsi="Times New Roman" w:eastAsia="宋体" w:cs="Times New Roman"/>
                <w:color w:val="000000" w:themeColor="text1"/>
                <w:sz w:val="21"/>
                <w:szCs w:val="22"/>
                <w:highlight w:val="none"/>
                <w14:textFill>
                  <w14:solidFill>
                    <w14:schemeClr w14:val="tx1"/>
                  </w14:solidFill>
                </w14:textFill>
              </w:rPr>
              <w:t>沙生针茅</w:t>
            </w:r>
          </w:p>
        </w:tc>
        <w:tc>
          <w:tcPr>
            <w:tcW w:w="2381" w:type="pct"/>
            <w:noWrap w:val="0"/>
            <w:vAlign w:val="center"/>
          </w:tcPr>
          <w:p w14:paraId="54495923">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i/>
                <w:iCs/>
                <w:color w:val="000000" w:themeColor="text1"/>
                <w:sz w:val="21"/>
                <w:szCs w:val="22"/>
                <w:highlight w:val="none"/>
                <w14:textFill>
                  <w14:solidFill>
                    <w14:schemeClr w14:val="tx1"/>
                  </w14:solidFill>
                </w14:textFill>
              </w:rPr>
            </w:pPr>
            <w:r>
              <w:rPr>
                <w:rFonts w:hint="default" w:ascii="Times New Roman" w:hAnsi="Times New Roman" w:eastAsia="宋体" w:cs="Times New Roman"/>
                <w:i/>
                <w:iCs/>
                <w:color w:val="000000" w:themeColor="text1"/>
                <w:sz w:val="21"/>
                <w:szCs w:val="22"/>
                <w:highlight w:val="none"/>
                <w14:textFill>
                  <w14:solidFill>
                    <w14:schemeClr w14:val="tx1"/>
                  </w14:solidFill>
                </w14:textFill>
              </w:rPr>
              <w:t>S</w:t>
            </w:r>
            <w:r>
              <w:rPr>
                <w:rFonts w:hint="eastAsia" w:ascii="Times New Roman" w:hAnsi="Times New Roman" w:eastAsia="宋体" w:cs="Times New Roman"/>
                <w:i/>
                <w:iCs/>
                <w:color w:val="000000" w:themeColor="text1"/>
                <w:sz w:val="21"/>
                <w:szCs w:val="22"/>
                <w:highlight w:val="none"/>
                <w14:textFill>
                  <w14:solidFill>
                    <w14:schemeClr w14:val="tx1"/>
                  </w14:solidFill>
                </w14:textFill>
              </w:rPr>
              <w:t>.</w:t>
            </w:r>
            <w:r>
              <w:rPr>
                <w:rFonts w:hint="default" w:ascii="Times New Roman" w:hAnsi="Times New Roman" w:eastAsia="宋体" w:cs="Times New Roman"/>
                <w:i/>
                <w:iCs/>
                <w:color w:val="000000" w:themeColor="text1"/>
                <w:sz w:val="21"/>
                <w:szCs w:val="22"/>
                <w:highlight w:val="none"/>
                <w14:textFill>
                  <w14:solidFill>
                    <w14:schemeClr w14:val="tx1"/>
                  </w14:solidFill>
                </w14:textFill>
              </w:rPr>
              <w:t>glareosa</w:t>
            </w:r>
          </w:p>
        </w:tc>
        <w:tc>
          <w:tcPr>
            <w:tcW w:w="510" w:type="pct"/>
            <w:noWrap w:val="0"/>
            <w:vAlign w:val="center"/>
          </w:tcPr>
          <w:p w14:paraId="1D6914F6">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eastAsia" w:ascii="Times New Roman" w:hAnsi="Times New Roman" w:eastAsia="宋体" w:cs="Times New Roman"/>
                <w:color w:val="000000" w:themeColor="text1"/>
                <w:sz w:val="21"/>
                <w:szCs w:val="22"/>
                <w:highlight w:val="none"/>
                <w14:textFill>
                  <w14:solidFill>
                    <w14:schemeClr w14:val="tx1"/>
                  </w14:solidFill>
                </w14:textFill>
              </w:rPr>
              <w:t>禾本科</w:t>
            </w:r>
          </w:p>
        </w:tc>
        <w:tc>
          <w:tcPr>
            <w:tcW w:w="668" w:type="pct"/>
            <w:noWrap w:val="0"/>
            <w:vAlign w:val="center"/>
          </w:tcPr>
          <w:p w14:paraId="1390EF14">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eastAsia" w:ascii="Times New Roman" w:hAnsi="Times New Roman" w:eastAsia="宋体" w:cs="Times New Roman"/>
                <w:color w:val="000000" w:themeColor="text1"/>
                <w:sz w:val="21"/>
                <w:szCs w:val="22"/>
                <w:highlight w:val="none"/>
                <w14:textFill>
                  <w14:solidFill>
                    <w14:schemeClr w14:val="tx1"/>
                  </w14:solidFill>
                </w14:textFill>
              </w:rPr>
              <w:t>针茅属</w:t>
            </w:r>
          </w:p>
        </w:tc>
        <w:tc>
          <w:tcPr>
            <w:tcW w:w="752" w:type="pct"/>
            <w:noWrap w:val="0"/>
            <w:vAlign w:val="top"/>
          </w:tcPr>
          <w:p w14:paraId="76AF8B4D">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eastAsia" w:cs="Times New Roman"/>
                <w:color w:val="000000" w:themeColor="text1"/>
                <w:sz w:val="21"/>
                <w:szCs w:val="22"/>
                <w:highlight w:val="none"/>
                <w:lang w:val="en-US" w:eastAsia="zh-CN"/>
                <w14:textFill>
                  <w14:solidFill>
                    <w14:schemeClr w14:val="tx1"/>
                  </w14:solidFill>
                </w14:textFill>
              </w:rPr>
              <w:t>无</w:t>
            </w:r>
          </w:p>
        </w:tc>
      </w:tr>
      <w:tr w14:paraId="72DA7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689" w:type="pct"/>
            <w:noWrap w:val="0"/>
            <w:vAlign w:val="center"/>
          </w:tcPr>
          <w:p w14:paraId="1A164AF0">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default" w:ascii="Times New Roman" w:hAnsi="Times New Roman" w:eastAsia="宋体" w:cs="Times New Roman"/>
                <w:color w:val="000000" w:themeColor="text1"/>
                <w:sz w:val="21"/>
                <w:szCs w:val="22"/>
                <w:highlight w:val="none"/>
                <w14:textFill>
                  <w14:solidFill>
                    <w14:schemeClr w14:val="tx1"/>
                  </w14:solidFill>
                </w14:textFill>
              </w:rPr>
              <w:t>灌木亚菊</w:t>
            </w:r>
          </w:p>
        </w:tc>
        <w:tc>
          <w:tcPr>
            <w:tcW w:w="2381" w:type="pct"/>
            <w:noWrap w:val="0"/>
            <w:vAlign w:val="center"/>
          </w:tcPr>
          <w:p w14:paraId="5D9F5D9F">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i/>
                <w:iCs/>
                <w:color w:val="000000" w:themeColor="text1"/>
                <w:sz w:val="21"/>
                <w:szCs w:val="22"/>
                <w:highlight w:val="none"/>
                <w14:textFill>
                  <w14:solidFill>
                    <w14:schemeClr w14:val="tx1"/>
                  </w14:solidFill>
                </w14:textFill>
              </w:rPr>
            </w:pPr>
            <w:r>
              <w:rPr>
                <w:rFonts w:hint="default" w:ascii="Times New Roman" w:hAnsi="Times New Roman" w:eastAsia="宋体" w:cs="Times New Roman"/>
                <w:i/>
                <w:iCs/>
                <w:color w:val="000000" w:themeColor="text1"/>
                <w:sz w:val="21"/>
                <w:szCs w:val="22"/>
                <w:highlight w:val="none"/>
                <w14:textFill>
                  <w14:solidFill>
                    <w14:schemeClr w14:val="tx1"/>
                  </w14:solidFill>
                </w14:textFill>
              </w:rPr>
              <w:t>Ajania fruticulosa (Ledeb.)Poljak.</w:t>
            </w:r>
          </w:p>
        </w:tc>
        <w:tc>
          <w:tcPr>
            <w:tcW w:w="510" w:type="pct"/>
            <w:noWrap w:val="0"/>
            <w:vAlign w:val="center"/>
          </w:tcPr>
          <w:p w14:paraId="06A08760">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eastAsia" w:ascii="Times New Roman" w:hAnsi="Times New Roman" w:eastAsia="宋体" w:cs="Times New Roman"/>
                <w:color w:val="000000" w:themeColor="text1"/>
                <w:sz w:val="21"/>
                <w:szCs w:val="22"/>
                <w:highlight w:val="none"/>
                <w14:textFill>
                  <w14:solidFill>
                    <w14:schemeClr w14:val="tx1"/>
                  </w14:solidFill>
                </w14:textFill>
              </w:rPr>
              <w:t>菊科</w:t>
            </w:r>
          </w:p>
        </w:tc>
        <w:tc>
          <w:tcPr>
            <w:tcW w:w="668" w:type="pct"/>
            <w:noWrap w:val="0"/>
            <w:vAlign w:val="center"/>
          </w:tcPr>
          <w:p w14:paraId="00BC4BF3">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default" w:ascii="Times New Roman" w:hAnsi="Times New Roman" w:eastAsia="宋体" w:cs="Times New Roman"/>
                <w:color w:val="000000" w:themeColor="text1"/>
                <w:sz w:val="21"/>
                <w:szCs w:val="22"/>
                <w:highlight w:val="none"/>
                <w14:textFill>
                  <w14:solidFill>
                    <w14:schemeClr w14:val="tx1"/>
                  </w14:solidFill>
                </w14:textFill>
              </w:rPr>
              <w:t>亚菊属</w:t>
            </w:r>
          </w:p>
        </w:tc>
        <w:tc>
          <w:tcPr>
            <w:tcW w:w="752" w:type="pct"/>
            <w:noWrap w:val="0"/>
            <w:vAlign w:val="top"/>
          </w:tcPr>
          <w:p w14:paraId="32E08A58">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eastAsia" w:cs="Times New Roman"/>
                <w:color w:val="000000" w:themeColor="text1"/>
                <w:sz w:val="21"/>
                <w:szCs w:val="22"/>
                <w:highlight w:val="none"/>
                <w:lang w:val="en-US" w:eastAsia="zh-CN"/>
                <w14:textFill>
                  <w14:solidFill>
                    <w14:schemeClr w14:val="tx1"/>
                  </w14:solidFill>
                </w14:textFill>
              </w:rPr>
              <w:t>无</w:t>
            </w:r>
          </w:p>
        </w:tc>
      </w:tr>
      <w:tr w14:paraId="5BEF83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89" w:type="pct"/>
            <w:noWrap w:val="0"/>
            <w:vAlign w:val="center"/>
          </w:tcPr>
          <w:p w14:paraId="64F93045">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eastAsia" w:ascii="Times New Roman" w:hAnsi="Times New Roman" w:eastAsia="宋体" w:cs="Times New Roman"/>
                <w:color w:val="000000" w:themeColor="text1"/>
                <w:sz w:val="21"/>
                <w:szCs w:val="22"/>
                <w:highlight w:val="none"/>
                <w14:textFill>
                  <w14:solidFill>
                    <w14:schemeClr w14:val="tx1"/>
                  </w14:solidFill>
                </w14:textFill>
              </w:rPr>
              <w:t>梭梭</w:t>
            </w:r>
          </w:p>
        </w:tc>
        <w:tc>
          <w:tcPr>
            <w:tcW w:w="2381" w:type="pct"/>
            <w:noWrap w:val="0"/>
            <w:vAlign w:val="center"/>
          </w:tcPr>
          <w:p w14:paraId="31F6321E">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i/>
                <w:iCs/>
                <w:color w:val="000000" w:themeColor="text1"/>
                <w:sz w:val="21"/>
                <w:szCs w:val="22"/>
                <w:highlight w:val="none"/>
                <w14:textFill>
                  <w14:solidFill>
                    <w14:schemeClr w14:val="tx1"/>
                  </w14:solidFill>
                </w14:textFill>
              </w:rPr>
            </w:pPr>
            <w:r>
              <w:rPr>
                <w:rFonts w:hint="default" w:ascii="Times New Roman" w:hAnsi="Times New Roman" w:eastAsia="宋体" w:cs="Times New Roman"/>
                <w:i/>
                <w:iCs/>
                <w:color w:val="000000" w:themeColor="text1"/>
                <w:sz w:val="21"/>
                <w:szCs w:val="22"/>
                <w:highlight w:val="none"/>
                <w14:textFill>
                  <w14:solidFill>
                    <w14:schemeClr w14:val="tx1"/>
                  </w14:solidFill>
                </w14:textFill>
              </w:rPr>
              <w:t>Haloxylon ammodendron (C.A.Mey.)Bunge</w:t>
            </w:r>
          </w:p>
        </w:tc>
        <w:tc>
          <w:tcPr>
            <w:tcW w:w="510" w:type="pct"/>
            <w:noWrap w:val="0"/>
            <w:vAlign w:val="center"/>
          </w:tcPr>
          <w:p w14:paraId="575DD8A5">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eastAsia" w:ascii="Times New Roman" w:hAnsi="Times New Roman" w:eastAsia="宋体" w:cs="Times New Roman"/>
                <w:color w:val="000000" w:themeColor="text1"/>
                <w:sz w:val="21"/>
                <w:szCs w:val="22"/>
                <w:highlight w:val="none"/>
                <w14:textFill>
                  <w14:solidFill>
                    <w14:schemeClr w14:val="tx1"/>
                  </w14:solidFill>
                </w14:textFill>
              </w:rPr>
              <w:t>黎科</w:t>
            </w:r>
          </w:p>
        </w:tc>
        <w:tc>
          <w:tcPr>
            <w:tcW w:w="668" w:type="pct"/>
            <w:noWrap w:val="0"/>
            <w:vAlign w:val="center"/>
          </w:tcPr>
          <w:p w14:paraId="1E6AE436">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eastAsia" w:ascii="Times New Roman" w:hAnsi="Times New Roman" w:eastAsia="宋体" w:cs="Times New Roman"/>
                <w:color w:val="000000" w:themeColor="text1"/>
                <w:sz w:val="21"/>
                <w:szCs w:val="22"/>
                <w:highlight w:val="none"/>
                <w14:textFill>
                  <w14:solidFill>
                    <w14:schemeClr w14:val="tx1"/>
                  </w14:solidFill>
                </w14:textFill>
              </w:rPr>
              <w:t>梭梭属</w:t>
            </w:r>
          </w:p>
        </w:tc>
        <w:tc>
          <w:tcPr>
            <w:tcW w:w="752" w:type="pct"/>
            <w:noWrap w:val="0"/>
            <w:vAlign w:val="top"/>
          </w:tcPr>
          <w:p w14:paraId="7258FF7E">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eastAsia" w:ascii="Times New Roman" w:hAnsi="Times New Roman" w:eastAsia="宋体" w:cs="Times New Roman"/>
                <w:color w:val="000000" w:themeColor="text1"/>
                <w:sz w:val="21"/>
                <w:szCs w:val="22"/>
                <w:highlight w:val="none"/>
                <w14:textFill>
                  <w14:solidFill>
                    <w14:schemeClr w14:val="tx1"/>
                  </w14:solidFill>
                </w14:textFill>
              </w:rPr>
            </w:pPr>
            <w:r>
              <w:rPr>
                <w:rFonts w:hint="eastAsia" w:cs="Times New Roman"/>
                <w:color w:val="000000" w:themeColor="text1"/>
                <w:sz w:val="21"/>
                <w:szCs w:val="22"/>
                <w:highlight w:val="none"/>
                <w:lang w:val="en-US" w:eastAsia="zh-CN"/>
                <w14:textFill>
                  <w14:solidFill>
                    <w14:schemeClr w14:val="tx1"/>
                  </w14:solidFill>
                </w14:textFill>
              </w:rPr>
              <w:t>无</w:t>
            </w:r>
          </w:p>
        </w:tc>
      </w:tr>
      <w:tr w14:paraId="3664B2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89" w:type="pct"/>
            <w:noWrap w:val="0"/>
            <w:vAlign w:val="center"/>
          </w:tcPr>
          <w:p w14:paraId="52698F3C">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eastAsia" w:ascii="Times New Roman" w:hAnsi="Times New Roman" w:eastAsia="宋体" w:cs="Times New Roman"/>
                <w:color w:val="000000" w:themeColor="text1"/>
                <w:sz w:val="21"/>
                <w:szCs w:val="22"/>
                <w:highlight w:val="none"/>
                <w14:textFill>
                  <w14:solidFill>
                    <w14:schemeClr w14:val="tx1"/>
                  </w14:solidFill>
                </w14:textFill>
              </w:rPr>
              <w:t>骆驼刺</w:t>
            </w:r>
          </w:p>
        </w:tc>
        <w:tc>
          <w:tcPr>
            <w:tcW w:w="2381" w:type="pct"/>
            <w:noWrap w:val="0"/>
            <w:vAlign w:val="center"/>
          </w:tcPr>
          <w:p w14:paraId="38717DDB">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i/>
                <w:iCs/>
                <w:color w:val="000000" w:themeColor="text1"/>
                <w:sz w:val="21"/>
                <w:szCs w:val="22"/>
                <w:highlight w:val="none"/>
                <w14:textFill>
                  <w14:solidFill>
                    <w14:schemeClr w14:val="tx1"/>
                  </w14:solidFill>
                </w14:textFill>
              </w:rPr>
            </w:pPr>
            <w:r>
              <w:rPr>
                <w:rFonts w:hint="default" w:ascii="Times New Roman" w:hAnsi="Times New Roman" w:eastAsia="宋体" w:cs="Times New Roman"/>
                <w:i/>
                <w:iCs/>
                <w:color w:val="000000" w:themeColor="text1"/>
                <w:sz w:val="21"/>
                <w:szCs w:val="22"/>
                <w:highlight w:val="none"/>
                <w14:textFill>
                  <w14:solidFill>
                    <w14:schemeClr w14:val="tx1"/>
                  </w14:solidFill>
                </w14:textFill>
              </w:rPr>
              <w:t>Alhagi sparsifolia</w:t>
            </w:r>
            <w:r>
              <w:rPr>
                <w:rFonts w:hint="eastAsia" w:ascii="Times New Roman" w:hAnsi="Times New Roman" w:eastAsia="宋体" w:cs="Times New Roman"/>
                <w:i/>
                <w:iCs/>
                <w:color w:val="000000" w:themeColor="text1"/>
                <w:sz w:val="21"/>
                <w:szCs w:val="22"/>
                <w:highlight w:val="none"/>
                <w:lang w:val="en-US" w:eastAsia="zh-CN"/>
                <w14:textFill>
                  <w14:solidFill>
                    <w14:schemeClr w14:val="tx1"/>
                  </w14:solidFill>
                </w14:textFill>
              </w:rPr>
              <w:t xml:space="preserve"> </w:t>
            </w:r>
            <w:r>
              <w:rPr>
                <w:rFonts w:hint="default" w:ascii="Times New Roman" w:hAnsi="Times New Roman" w:eastAsia="宋体" w:cs="Times New Roman"/>
                <w:i/>
                <w:iCs/>
                <w:color w:val="000000" w:themeColor="text1"/>
                <w:sz w:val="21"/>
                <w:szCs w:val="22"/>
                <w:highlight w:val="none"/>
                <w14:textFill>
                  <w14:solidFill>
                    <w14:schemeClr w14:val="tx1"/>
                  </w14:solidFill>
                </w14:textFill>
              </w:rPr>
              <w:t>Shap.</w:t>
            </w:r>
          </w:p>
        </w:tc>
        <w:tc>
          <w:tcPr>
            <w:tcW w:w="510" w:type="pct"/>
            <w:noWrap w:val="0"/>
            <w:vAlign w:val="center"/>
          </w:tcPr>
          <w:p w14:paraId="2A22259E">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eastAsia" w:ascii="Times New Roman" w:hAnsi="Times New Roman" w:eastAsia="宋体" w:cs="Times New Roman"/>
                <w:color w:val="000000" w:themeColor="text1"/>
                <w:sz w:val="21"/>
                <w:szCs w:val="22"/>
                <w:highlight w:val="none"/>
                <w14:textFill>
                  <w14:solidFill>
                    <w14:schemeClr w14:val="tx1"/>
                  </w14:solidFill>
                </w14:textFill>
              </w:rPr>
              <w:t>豆科</w:t>
            </w:r>
          </w:p>
        </w:tc>
        <w:tc>
          <w:tcPr>
            <w:tcW w:w="668" w:type="pct"/>
            <w:noWrap w:val="0"/>
            <w:vAlign w:val="center"/>
          </w:tcPr>
          <w:p w14:paraId="55E46903">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default" w:ascii="Times New Roman" w:hAnsi="Times New Roman" w:eastAsia="宋体" w:cs="Times New Roman"/>
                <w:color w:val="000000" w:themeColor="text1"/>
                <w:sz w:val="21"/>
                <w:szCs w:val="22"/>
                <w:highlight w:val="none"/>
                <w14:textFill>
                  <w14:solidFill>
                    <w14:schemeClr w14:val="tx1"/>
                  </w14:solidFill>
                </w14:textFill>
              </w:rPr>
              <w:t>骆驼刺属</w:t>
            </w:r>
          </w:p>
        </w:tc>
        <w:tc>
          <w:tcPr>
            <w:tcW w:w="752" w:type="pct"/>
            <w:noWrap w:val="0"/>
            <w:vAlign w:val="top"/>
          </w:tcPr>
          <w:p w14:paraId="7964EC3A">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sz w:val="21"/>
                <w:szCs w:val="22"/>
                <w:highlight w:val="none"/>
                <w14:textFill>
                  <w14:solidFill>
                    <w14:schemeClr w14:val="tx1"/>
                  </w14:solidFill>
                </w14:textFill>
              </w:rPr>
            </w:pPr>
            <w:r>
              <w:rPr>
                <w:rFonts w:hint="eastAsia" w:cs="Times New Roman"/>
                <w:color w:val="000000" w:themeColor="text1"/>
                <w:sz w:val="21"/>
                <w:szCs w:val="22"/>
                <w:highlight w:val="none"/>
                <w:lang w:val="en-US" w:eastAsia="zh-CN"/>
                <w14:textFill>
                  <w14:solidFill>
                    <w14:schemeClr w14:val="tx1"/>
                  </w14:solidFill>
                </w14:textFill>
              </w:rPr>
              <w:t>无</w:t>
            </w:r>
          </w:p>
        </w:tc>
      </w:tr>
    </w:tbl>
    <w:p w14:paraId="6505CA31">
      <w:pPr>
        <w:spacing w:line="480" w:lineRule="exact"/>
        <w:ind w:firstLine="480" w:firstLineChars="200"/>
        <w:rPr>
          <w:rFonts w:hint="eastAsia"/>
          <w:b/>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在评价区分布的天然植被中，无国家和自治区重点保护的植物，无《中国生物多样性红色名录》中列为极危、濒危和易危的物种及其他重要物种。</w:t>
      </w:r>
    </w:p>
    <w:p w14:paraId="02FDE4C9">
      <w:pPr>
        <w:pStyle w:val="5"/>
        <w:spacing w:before="0" w:after="0" w:line="480" w:lineRule="exact"/>
        <w:ind w:firstLine="482"/>
        <w:rPr>
          <w:rFonts w:ascii="Times New Roman" w:hAnsi="Times New Roman"/>
          <w:bCs w:val="0"/>
          <w:color w:val="000000" w:themeColor="text1"/>
          <w:kern w:val="2"/>
          <w:szCs w:val="24"/>
          <w:highlight w:val="none"/>
          <w14:textFill>
            <w14:solidFill>
              <w14:schemeClr w14:val="tx1"/>
            </w14:solidFill>
          </w14:textFill>
        </w:rPr>
      </w:pPr>
      <w:r>
        <w:rPr>
          <w:rFonts w:ascii="Times New Roman" w:hAnsi="Times New Roman"/>
          <w:bCs w:val="0"/>
          <w:color w:val="000000" w:themeColor="text1"/>
          <w:kern w:val="2"/>
          <w:szCs w:val="24"/>
          <w:highlight w:val="none"/>
          <w14:textFill>
            <w14:solidFill>
              <w14:schemeClr w14:val="tx1"/>
            </w14:solidFill>
          </w14:textFill>
        </w:rPr>
        <w:t>4.2.7.</w:t>
      </w:r>
      <w:r>
        <w:rPr>
          <w:rFonts w:hint="eastAsia"/>
          <w:bCs w:val="0"/>
          <w:color w:val="000000" w:themeColor="text1"/>
          <w:kern w:val="2"/>
          <w:szCs w:val="24"/>
          <w:highlight w:val="none"/>
          <w:lang w:val="en-US" w:eastAsia="zh-CN"/>
          <w14:textFill>
            <w14:solidFill>
              <w14:schemeClr w14:val="tx1"/>
            </w14:solidFill>
          </w14:textFill>
        </w:rPr>
        <w:t>5</w:t>
      </w:r>
      <w:r>
        <w:rPr>
          <w:rFonts w:ascii="Times New Roman" w:hAnsi="Times New Roman"/>
          <w:bCs w:val="0"/>
          <w:color w:val="000000" w:themeColor="text1"/>
          <w:kern w:val="2"/>
          <w:szCs w:val="24"/>
          <w:highlight w:val="none"/>
          <w14:textFill>
            <w14:solidFill>
              <w14:schemeClr w14:val="tx1"/>
            </w14:solidFill>
          </w14:textFill>
        </w:rPr>
        <w:t>野生动物现状调查与评价</w:t>
      </w:r>
    </w:p>
    <w:p w14:paraId="14D3D84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哈密地区主要野生动物种类约有60余种，分布在北部山区、南部荒漠平原区及绿洲三种生态类型区。</w:t>
      </w:r>
      <w:r>
        <w:rPr>
          <w:rFonts w:hint="eastAsia"/>
          <w:color w:val="000000" w:themeColor="text1"/>
          <w:sz w:val="24"/>
          <w:szCs w:val="24"/>
          <w:highlight w:val="none"/>
          <w:lang w:eastAsia="zh-CN"/>
          <w14:textFill>
            <w14:solidFill>
              <w14:schemeClr w14:val="tx1"/>
            </w14:solidFill>
          </w14:textFill>
        </w:rPr>
        <w:t>项目区域</w:t>
      </w:r>
      <w:r>
        <w:rPr>
          <w:rFonts w:hint="eastAsia"/>
          <w:color w:val="000000" w:themeColor="text1"/>
          <w:sz w:val="24"/>
          <w:szCs w:val="24"/>
          <w:highlight w:val="none"/>
          <w14:textFill>
            <w14:solidFill>
              <w14:schemeClr w14:val="tx1"/>
            </w14:solidFill>
          </w14:textFill>
        </w:rPr>
        <w:t>在中国动物地理区划中属古北界、中亚亚界、蒙新区、西部荒漠亚区、东疆小区。</w:t>
      </w:r>
    </w:p>
    <w:p w14:paraId="46B58436">
      <w:pPr>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项目区域动物区系组成简单，野生动物种类及分布均很少。经过林业、农业部门咨询和沿途踏勘、访谈，当地分布的野生动物有壁虎和鼠类，但平时比较少见。</w:t>
      </w:r>
      <w:r>
        <w:rPr>
          <w:rFonts w:hint="eastAsia"/>
          <w:color w:val="000000" w:themeColor="text1"/>
          <w:sz w:val="24"/>
          <w:szCs w:val="24"/>
          <w:highlight w:val="none"/>
          <w:lang w:eastAsia="zh-CN"/>
          <w14:textFill>
            <w14:solidFill>
              <w14:schemeClr w14:val="tx1"/>
            </w14:solidFill>
          </w14:textFill>
        </w:rPr>
        <w:t>本项目区域内无国家和自治区级野生保护动物</w:t>
      </w:r>
      <w:r>
        <w:rPr>
          <w:rFonts w:hint="eastAsia"/>
          <w:color w:val="000000" w:themeColor="text1"/>
          <w:highlight w:val="none"/>
          <w:lang w:eastAsia="zh-CN"/>
          <w14:textFill>
            <w14:solidFill>
              <w14:schemeClr w14:val="tx1"/>
            </w14:solidFill>
          </w14:textFill>
        </w:rPr>
        <w:t>。</w:t>
      </w:r>
    </w:p>
    <w:p w14:paraId="55731A59">
      <w:pPr>
        <w:pStyle w:val="5"/>
        <w:spacing w:before="0" w:after="0" w:line="480" w:lineRule="exact"/>
        <w:ind w:firstLine="482"/>
        <w:rPr>
          <w:rFonts w:ascii="Times New Roman" w:hAnsi="Times New Roman"/>
          <w:bCs w:val="0"/>
          <w:color w:val="000000" w:themeColor="text1"/>
          <w:kern w:val="2"/>
          <w:szCs w:val="24"/>
          <w:highlight w:val="none"/>
          <w14:textFill>
            <w14:solidFill>
              <w14:schemeClr w14:val="tx1"/>
            </w14:solidFill>
          </w14:textFill>
        </w:rPr>
      </w:pPr>
      <w:r>
        <w:rPr>
          <w:rFonts w:ascii="Times New Roman" w:hAnsi="Times New Roman"/>
          <w:bCs w:val="0"/>
          <w:color w:val="000000" w:themeColor="text1"/>
          <w:kern w:val="2"/>
          <w:szCs w:val="24"/>
          <w:highlight w:val="none"/>
          <w14:textFill>
            <w14:solidFill>
              <w14:schemeClr w14:val="tx1"/>
            </w14:solidFill>
          </w14:textFill>
        </w:rPr>
        <w:t>4.2.7.</w:t>
      </w:r>
      <w:r>
        <w:rPr>
          <w:rFonts w:hint="eastAsia"/>
          <w:bCs w:val="0"/>
          <w:color w:val="000000" w:themeColor="text1"/>
          <w:kern w:val="2"/>
          <w:szCs w:val="24"/>
          <w:highlight w:val="none"/>
          <w:lang w:val="en-US" w:eastAsia="zh-CN"/>
          <w14:textFill>
            <w14:solidFill>
              <w14:schemeClr w14:val="tx1"/>
            </w14:solidFill>
          </w14:textFill>
        </w:rPr>
        <w:t>6土地沙化</w:t>
      </w:r>
      <w:r>
        <w:rPr>
          <w:rFonts w:ascii="Times New Roman" w:hAnsi="Times New Roman"/>
          <w:bCs w:val="0"/>
          <w:color w:val="000000" w:themeColor="text1"/>
          <w:kern w:val="2"/>
          <w:szCs w:val="24"/>
          <w:highlight w:val="none"/>
          <w14:textFill>
            <w14:solidFill>
              <w14:schemeClr w14:val="tx1"/>
            </w14:solidFill>
          </w14:textFill>
        </w:rPr>
        <w:t>调查</w:t>
      </w:r>
    </w:p>
    <w:p w14:paraId="541479C8">
      <w:pPr>
        <w:overflowPunct w:val="0"/>
        <w:topLinePunct/>
        <w:ind w:firstLine="480"/>
        <w:rPr>
          <w:rFonts w:hint="eastAsia"/>
          <w:color w:val="000000" w:themeColor="text1"/>
          <w:shd w:val="clear" w:color="auto" w:fill="FFFFFF"/>
          <w14:textFill>
            <w14:solidFill>
              <w14:schemeClr w14:val="tx1"/>
            </w14:solidFill>
          </w14:textFill>
        </w:rPr>
      </w:pPr>
      <w:r>
        <w:rPr>
          <w:rFonts w:hint="eastAsia"/>
          <w:color w:val="000000" w:themeColor="text1"/>
          <w:shd w:val="clear" w:color="auto" w:fill="FFFFFF"/>
          <w14:textFill>
            <w14:solidFill>
              <w14:schemeClr w14:val="tx1"/>
            </w14:solidFill>
          </w14:textFill>
        </w:rPr>
        <w:t>根据《新疆第</w:t>
      </w:r>
      <w:r>
        <w:rPr>
          <w:rFonts w:hint="eastAsia"/>
          <w:color w:val="000000" w:themeColor="text1"/>
          <w:shd w:val="clear" w:color="auto" w:fill="FFFFFF"/>
          <w:lang w:val="en-US" w:eastAsia="zh-CN"/>
          <w14:textFill>
            <w14:solidFill>
              <w14:schemeClr w14:val="tx1"/>
            </w14:solidFill>
          </w14:textFill>
        </w:rPr>
        <w:t>六</w:t>
      </w:r>
      <w:r>
        <w:rPr>
          <w:rFonts w:hint="eastAsia"/>
          <w:color w:val="000000" w:themeColor="text1"/>
          <w:shd w:val="clear" w:color="auto" w:fill="FFFFFF"/>
          <w14:textFill>
            <w14:solidFill>
              <w14:schemeClr w14:val="tx1"/>
            </w14:solidFill>
          </w14:textFill>
        </w:rPr>
        <w:t>次沙化监测报告》，荒漠化土地面积占比较大的有巴音郭楞蒙古自治州、和田地区、哈密市、阿克苏地区、阿勒泰地区五个地区（州、市），荒漠化土地总面积7164.19万公顷，占荒漠化土地总面积67.03%；</w:t>
      </w:r>
      <w:r>
        <w:rPr>
          <w:rFonts w:hint="eastAsia"/>
          <w:color w:val="000000" w:themeColor="text1"/>
          <w:shd w:val="clear" w:color="auto" w:fill="FFFFFF"/>
          <w:lang w:eastAsia="zh-CN"/>
          <w14:textFill>
            <w14:solidFill>
              <w14:schemeClr w14:val="tx1"/>
            </w14:solidFill>
          </w14:textFill>
        </w:rPr>
        <w:t>其他</w:t>
      </w:r>
      <w:r>
        <w:rPr>
          <w:rFonts w:hint="eastAsia"/>
          <w:color w:val="000000" w:themeColor="text1"/>
          <w:shd w:val="clear" w:color="auto" w:fill="FFFFFF"/>
          <w14:textFill>
            <w14:solidFill>
              <w14:schemeClr w14:val="tx1"/>
            </w14:solidFill>
          </w14:textFill>
        </w:rPr>
        <w:t>10个地区（州、市）及自治区直辖县级市荒漠化土地面积3522.44万公顷，占荒漠化土地总面积的32.97%。其中：</w:t>
      </w:r>
    </w:p>
    <w:p w14:paraId="1A27F2DB">
      <w:pPr>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highlight w:val="none"/>
          <w:lang w:eastAsia="zh-CN"/>
          <w14:textFill>
            <w14:solidFill>
              <w14:schemeClr w14:val="tx1"/>
            </w14:solidFill>
          </w14:textFill>
        </w:rPr>
      </w:pPr>
      <w:r>
        <w:rPr>
          <w:rFonts w:hint="eastAsia"/>
          <w:color w:val="000000" w:themeColor="text1"/>
          <w:shd w:val="clear" w:color="auto" w:fill="FFFFFF"/>
          <w14:textFill>
            <w14:solidFill>
              <w14:schemeClr w14:val="tx1"/>
            </w14:solidFill>
          </w14:textFill>
        </w:rPr>
        <w:t>巴音郭楞蒙古自治州为2429.30万公顷，占新疆荒漠化土地面积22.73%；和田地区为1621.31万公顷，占新疆荒漠化土地面积15.17%；哈密市为1282.90万公顷，占12.00%，阿克苏地区为988.46万公顷，占9.25%，阿勒泰地区842.22万公顷，占7.88%。</w:t>
      </w:r>
    </w:p>
    <w:p w14:paraId="3A4E0A60">
      <w:pPr>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位于</w:t>
      </w:r>
      <w:r>
        <w:rPr>
          <w:rFonts w:hint="eastAsia"/>
          <w:color w:val="000000" w:themeColor="text1"/>
          <w:highlight w:val="none"/>
          <w:lang w:val="en-US" w:eastAsia="zh-CN"/>
          <w14:textFill>
            <w14:solidFill>
              <w14:schemeClr w14:val="tx1"/>
            </w14:solidFill>
          </w14:textFill>
        </w:rPr>
        <w:t>哈密市东南方向，距离哈密市中心城区直线距离约179km，属哈密市伊州区雅满苏镇管辖</w:t>
      </w:r>
      <w:r>
        <w:rPr>
          <w:rFonts w:hint="eastAsia"/>
          <w:color w:val="000000" w:themeColor="text1"/>
          <w:highlight w:val="none"/>
          <w14:textFill>
            <w14:solidFill>
              <w14:schemeClr w14:val="tx1"/>
            </w14:solidFill>
          </w14:textFill>
        </w:rPr>
        <w:t>。</w:t>
      </w:r>
      <w:r>
        <w:rPr>
          <w:rFonts w:hint="eastAsia"/>
          <w:color w:val="000000" w:themeColor="text1"/>
          <w:shd w:val="clear" w:color="auto" w:fill="FFFFFF"/>
          <w14:textFill>
            <w14:solidFill>
              <w14:schemeClr w14:val="tx1"/>
            </w14:solidFill>
          </w14:textFill>
        </w:rPr>
        <w:t>根据</w:t>
      </w:r>
      <w:r>
        <w:rPr>
          <w:rFonts w:hint="eastAsia"/>
          <w:color w:val="000000" w:themeColor="text1"/>
          <w:shd w:val="clear" w:color="auto" w:fill="FFFFFF"/>
          <w:lang w:val="en-US" w:eastAsia="zh-CN"/>
          <w14:textFill>
            <w14:solidFill>
              <w14:schemeClr w14:val="tx1"/>
            </w14:solidFill>
          </w14:textFill>
        </w:rPr>
        <w:t>图4.2-6本项目</w:t>
      </w:r>
      <w:r>
        <w:rPr>
          <w:rFonts w:hint="eastAsia"/>
          <w:color w:val="000000" w:themeColor="text1"/>
          <w:shd w:val="clear" w:color="auto" w:fill="FFFFFF"/>
          <w14:textFill>
            <w14:solidFill>
              <w14:schemeClr w14:val="tx1"/>
            </w14:solidFill>
          </w14:textFill>
        </w:rPr>
        <w:t>与新疆沙化土地分布图</w:t>
      </w:r>
      <w:r>
        <w:rPr>
          <w:rFonts w:hint="eastAsia"/>
          <w:color w:val="000000" w:themeColor="text1"/>
          <w:shd w:val="clear" w:color="auto" w:fill="FFFFFF"/>
          <w:lang w:val="en-US" w:eastAsia="zh-CN"/>
          <w14:textFill>
            <w14:solidFill>
              <w14:schemeClr w14:val="tx1"/>
            </w14:solidFill>
          </w14:textFill>
        </w:rPr>
        <w:t>可知，</w:t>
      </w:r>
      <w:r>
        <w:rPr>
          <w:rFonts w:hint="eastAsia"/>
          <w:color w:val="000000" w:themeColor="text1"/>
          <w:shd w:val="clear" w:color="auto" w:fill="FFFFFF"/>
          <w14:textFill>
            <w14:solidFill>
              <w14:schemeClr w14:val="tx1"/>
            </w14:solidFill>
          </w14:textFill>
        </w:rPr>
        <w:t>项目区不位于土地沙化区。</w:t>
      </w:r>
    </w:p>
    <w:p w14:paraId="5DD4835D">
      <w:pPr>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highlight w:val="none"/>
          <w:lang w:eastAsia="zh-CN"/>
          <w14:textFill>
            <w14:solidFill>
              <w14:schemeClr w14:val="tx1"/>
            </w14:solidFill>
          </w14:textFill>
        </w:rPr>
        <w:sectPr>
          <w:pgSz w:w="11906" w:h="16838"/>
          <w:pgMar w:top="1440" w:right="1803" w:bottom="1440" w:left="1803" w:header="850" w:footer="1134" w:gutter="0"/>
          <w:pgBorders>
            <w:top w:val="none" w:sz="0" w:space="0"/>
            <w:left w:val="none" w:sz="0" w:space="0"/>
            <w:bottom w:val="none" w:sz="0" w:space="0"/>
            <w:right w:val="none" w:sz="0" w:space="0"/>
          </w:pgBorders>
          <w:pgNumType w:fmt="decimal"/>
          <w:cols w:space="720" w:num="1"/>
          <w:docGrid w:linePitch="312" w:charSpace="0"/>
        </w:sectPr>
      </w:pPr>
    </w:p>
    <w:p w14:paraId="3B9CD0FD">
      <w:pPr>
        <w:pStyle w:val="2"/>
        <w:spacing w:line="720" w:lineRule="exact"/>
        <w:rPr>
          <w:color w:val="000000" w:themeColor="text1"/>
          <w:highlight w:val="none"/>
          <w14:textFill>
            <w14:solidFill>
              <w14:schemeClr w14:val="tx1"/>
            </w14:solidFill>
          </w14:textFill>
        </w:rPr>
      </w:pPr>
      <w:bookmarkStart w:id="714" w:name="_Toc16798"/>
      <w:r>
        <w:rPr>
          <w:color w:val="000000" w:themeColor="text1"/>
          <w:highlight w:val="none"/>
          <w14:textFill>
            <w14:solidFill>
              <w14:schemeClr w14:val="tx1"/>
            </w14:solidFill>
          </w14:textFill>
        </w:rPr>
        <w:t>5环境影响</w:t>
      </w:r>
      <w:bookmarkEnd w:id="579"/>
      <w:bookmarkEnd w:id="580"/>
      <w:r>
        <w:rPr>
          <w:color w:val="000000" w:themeColor="text1"/>
          <w:highlight w:val="none"/>
          <w14:textFill>
            <w14:solidFill>
              <w14:schemeClr w14:val="tx1"/>
            </w14:solidFill>
          </w14:textFill>
        </w:rPr>
        <w:t>预测与评价</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714"/>
    </w:p>
    <w:p w14:paraId="18DAE53E">
      <w:pPr>
        <w:pStyle w:val="3"/>
        <w:spacing w:line="560" w:lineRule="atLeast"/>
        <w:rPr>
          <w:color w:val="000000" w:themeColor="text1"/>
          <w:highlight w:val="none"/>
          <w14:textFill>
            <w14:solidFill>
              <w14:schemeClr w14:val="tx1"/>
            </w14:solidFill>
          </w14:textFill>
        </w:rPr>
      </w:pPr>
      <w:bookmarkStart w:id="715" w:name="_Toc1604"/>
      <w:bookmarkStart w:id="716" w:name="_Toc32447"/>
      <w:bookmarkStart w:id="717" w:name="_Toc30343"/>
      <w:bookmarkStart w:id="718" w:name="_Toc23228"/>
      <w:bookmarkStart w:id="719" w:name="_Toc107414664"/>
      <w:bookmarkStart w:id="720" w:name="_Toc23825"/>
      <w:bookmarkStart w:id="721" w:name="_Toc107413897"/>
      <w:bookmarkStart w:id="722" w:name="_Toc8337"/>
      <w:bookmarkStart w:id="723" w:name="_Toc27995"/>
      <w:bookmarkStart w:id="724" w:name="_Toc5063"/>
      <w:bookmarkStart w:id="725" w:name="_Toc9308"/>
      <w:bookmarkStart w:id="726" w:name="_Toc107413898"/>
      <w:bookmarkStart w:id="727" w:name="_Toc15184"/>
      <w:bookmarkStart w:id="728" w:name="_Toc107414665"/>
      <w:bookmarkStart w:id="729" w:name="_Toc21045"/>
      <w:bookmarkStart w:id="730" w:name="_Toc27236"/>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施工期环境影响预测与评价</w:t>
      </w:r>
      <w:bookmarkEnd w:id="715"/>
      <w:bookmarkEnd w:id="716"/>
      <w:bookmarkEnd w:id="717"/>
      <w:bookmarkEnd w:id="718"/>
      <w:bookmarkEnd w:id="719"/>
      <w:bookmarkEnd w:id="720"/>
      <w:bookmarkEnd w:id="721"/>
    </w:p>
    <w:p w14:paraId="5D545E90">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.1.1</w:t>
      </w:r>
      <w:r>
        <w:rPr>
          <w:rFonts w:hint="eastAsia"/>
          <w:color w:val="000000" w:themeColor="text1"/>
          <w:highlight w:val="none"/>
          <w14:textFill>
            <w14:solidFill>
              <w14:schemeClr w14:val="tx1"/>
            </w14:solidFill>
          </w14:textFill>
        </w:rPr>
        <w:t>施工期废气环境影响分析</w:t>
      </w:r>
      <w:bookmarkEnd w:id="722"/>
      <w:bookmarkEnd w:id="723"/>
      <w:bookmarkEnd w:id="724"/>
    </w:p>
    <w:p w14:paraId="7B3C4A6B">
      <w:pPr>
        <w:pStyle w:val="28"/>
        <w:widowControl w:val="0"/>
        <w:overflowPunct w:val="0"/>
        <w:topLinePunct/>
        <w:spacing w:before="0" w:beforeAutospacing="0" w:after="0" w:afterAutospacing="0"/>
        <w:ind w:firstLine="48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本项目施工期产生的废气主要来自施工扬尘与机械尾气等。</w:t>
      </w:r>
    </w:p>
    <w:p w14:paraId="5989CDC6">
      <w:pPr>
        <w:pStyle w:val="28"/>
        <w:widowControl w:val="0"/>
        <w:overflowPunct w:val="0"/>
        <w:topLinePunct/>
        <w:spacing w:before="0" w:beforeAutospacing="0" w:after="0" w:afterAutospacing="0"/>
        <w:ind w:firstLine="48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在施工过程中，开挖土方造成土地裸露和土方堆积，建筑材料装卸以及运输车辆行驶等均会产生粉尘，这些粉尘随风扩散造成施工扬尘。施工扬尘的大小随施工季节、施工管理等不同差别甚大，影响可达150～300m。</w:t>
      </w:r>
    </w:p>
    <w:p w14:paraId="28397796">
      <w:pPr>
        <w:pStyle w:val="28"/>
        <w:widowControl w:val="0"/>
        <w:overflowPunct w:val="0"/>
        <w:topLinePunct/>
        <w:spacing w:before="0" w:beforeAutospacing="0" w:after="0" w:afterAutospacing="0"/>
        <w:ind w:firstLine="48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（1）施工扬尘的来源</w:t>
      </w:r>
    </w:p>
    <w:p w14:paraId="595DBD3E">
      <w:pPr>
        <w:pStyle w:val="28"/>
        <w:widowControl w:val="0"/>
        <w:overflowPunct w:val="0"/>
        <w:topLinePunct/>
        <w:spacing w:before="0" w:beforeAutospacing="0" w:after="0" w:afterAutospacing="0"/>
        <w:ind w:firstLine="48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1）场地平整、土方堆放和清运过程造成的扬尘；</w:t>
      </w:r>
    </w:p>
    <w:p w14:paraId="40C694B6">
      <w:pPr>
        <w:pStyle w:val="28"/>
        <w:widowControl w:val="0"/>
        <w:overflowPunct w:val="0"/>
        <w:topLinePunct/>
        <w:spacing w:before="0" w:beforeAutospacing="0" w:after="0" w:afterAutospacing="0"/>
        <w:ind w:firstLine="48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2）道路建设造成的扬尘；</w:t>
      </w:r>
    </w:p>
    <w:p w14:paraId="6BA38D43">
      <w:pPr>
        <w:pStyle w:val="28"/>
        <w:widowControl w:val="0"/>
        <w:overflowPunct w:val="0"/>
        <w:topLinePunct/>
        <w:spacing w:before="0" w:beforeAutospacing="0" w:after="0" w:afterAutospacing="0"/>
        <w:ind w:firstLine="48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3）建筑材料运输、装卸、堆放的扬尘；</w:t>
      </w:r>
    </w:p>
    <w:p w14:paraId="23BC4B5B">
      <w:pPr>
        <w:pStyle w:val="28"/>
        <w:widowControl w:val="0"/>
        <w:overflowPunct w:val="0"/>
        <w:topLinePunct/>
        <w:spacing w:before="0" w:beforeAutospacing="0" w:after="0" w:afterAutospacing="0"/>
        <w:ind w:firstLine="48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4）运输车辆往来造成的扬尘；</w:t>
      </w:r>
    </w:p>
    <w:p w14:paraId="25E4FDE2">
      <w:pPr>
        <w:pStyle w:val="28"/>
        <w:widowControl w:val="0"/>
        <w:overflowPunct w:val="0"/>
        <w:topLinePunct/>
        <w:spacing w:before="0" w:beforeAutospacing="0" w:after="0" w:afterAutospacing="0"/>
        <w:ind w:firstLine="48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5）施工垃圾的堆放和清运过程造成的扬尘。</w:t>
      </w:r>
    </w:p>
    <w:p w14:paraId="4E5DBDB9">
      <w:pPr>
        <w:pStyle w:val="28"/>
        <w:widowControl w:val="0"/>
        <w:overflowPunct w:val="0"/>
        <w:topLinePunct/>
        <w:spacing w:before="0" w:beforeAutospacing="0" w:after="0" w:afterAutospacing="0"/>
        <w:ind w:firstLine="48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（2）扬尘对大气环境的影响分析</w:t>
      </w:r>
    </w:p>
    <w:p w14:paraId="40D12B08">
      <w:pPr>
        <w:pStyle w:val="28"/>
        <w:widowControl w:val="0"/>
        <w:overflowPunct w:val="0"/>
        <w:topLinePunct/>
        <w:spacing w:before="0" w:beforeAutospacing="0" w:after="0" w:afterAutospacing="0"/>
        <w:ind w:firstLine="48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根据类比调查资料可知，施工及运输车辆引起的扬尘影响道路两侧各约50m的区域；表土剥离扬尘污染严重，空气中扬尘浓度可达20mg/m</w:t>
      </w:r>
      <w:r>
        <w:rPr>
          <w:rFonts w:ascii="Times New Roman" w:hAnsi="Times New Roman" w:cs="Times New Roman"/>
          <w:color w:val="000000" w:themeColor="text1"/>
          <w:kern w:val="2"/>
          <w:highlight w:val="none"/>
          <w:vertAlign w:val="superscript"/>
          <w14:textFill>
            <w14:solidFill>
              <w14:schemeClr w14:val="tx1"/>
            </w14:solidFill>
          </w14:textFill>
        </w:rPr>
        <w:t>3</w:t>
      </w:r>
      <w:r>
        <w:rPr>
          <w:rFonts w:ascii="Times New Roman" w:hAnsi="Times New Roman" w:cs="Times New Roman"/>
          <w:color w:val="000000" w:themeColor="text1"/>
          <w:kern w:val="2"/>
          <w:highlight w:val="none"/>
          <w14:textFill>
            <w14:solidFill>
              <w14:schemeClr w14:val="tx1"/>
            </w14:solidFill>
          </w14:textFill>
        </w:rPr>
        <w:t>，随着距离的增加，TSP浓度迅速下降，影响范围主要在周围50m内；建筑工地扬尘的影响范围主要在施工场地外100m以内。</w:t>
      </w:r>
    </w:p>
    <w:p w14:paraId="3D8BB9B0">
      <w:pPr>
        <w:pStyle w:val="28"/>
        <w:widowControl w:val="0"/>
        <w:overflowPunct w:val="0"/>
        <w:topLinePunct/>
        <w:spacing w:before="0" w:beforeAutospacing="0" w:after="0" w:afterAutospacing="0"/>
        <w:ind w:firstLine="48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（3）施工废气影响分析</w:t>
      </w:r>
    </w:p>
    <w:p w14:paraId="744D051C">
      <w:pPr>
        <w:pStyle w:val="28"/>
        <w:widowControl w:val="0"/>
        <w:overflowPunct w:val="0"/>
        <w:topLinePunct/>
        <w:spacing w:before="0" w:beforeAutospacing="0" w:after="0" w:afterAutospacing="0"/>
        <w:ind w:firstLine="48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施工废气来源包括各种燃油机械的废气排放以及运输车辆产生的尾气。</w:t>
      </w:r>
    </w:p>
    <w:p w14:paraId="7FBDF7F4">
      <w:pPr>
        <w:pStyle w:val="41"/>
        <w:overflowPunct w:val="0"/>
        <w:topLinePunct/>
        <w:spacing w:line="480" w:lineRule="exact"/>
        <w:ind w:firstLine="480"/>
        <w:rPr>
          <w:rFonts w:ascii="宋体" w:hAnsi="宋体"/>
          <w:color w:val="000000" w:themeColor="text1"/>
          <w:kern w:val="0"/>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燃油机械和汽车尾气中的污染物主要有一氧化碳（CO）、碳氢化合物（C</w:t>
      </w:r>
      <w:r>
        <w:rPr>
          <w:rFonts w:cs="Times New Roman"/>
          <w:color w:val="000000" w:themeColor="text1"/>
          <w:szCs w:val="24"/>
          <w:highlight w:val="none"/>
          <w:vertAlign w:val="subscript"/>
          <w14:textFill>
            <w14:solidFill>
              <w14:schemeClr w14:val="tx1"/>
            </w14:solidFill>
          </w14:textFill>
        </w:rPr>
        <w:t>m</w:t>
      </w:r>
      <w:r>
        <w:rPr>
          <w:rFonts w:cs="Times New Roman"/>
          <w:color w:val="000000" w:themeColor="text1"/>
          <w:szCs w:val="24"/>
          <w:highlight w:val="none"/>
          <w14:textFill>
            <w14:solidFill>
              <w14:schemeClr w14:val="tx1"/>
            </w14:solidFill>
          </w14:textFill>
        </w:rPr>
        <w:t>H</w:t>
      </w:r>
      <w:r>
        <w:rPr>
          <w:rFonts w:cs="Times New Roman"/>
          <w:color w:val="000000" w:themeColor="text1"/>
          <w:szCs w:val="24"/>
          <w:highlight w:val="none"/>
          <w:vertAlign w:val="subscript"/>
          <w14:textFill>
            <w14:solidFill>
              <w14:schemeClr w14:val="tx1"/>
            </w14:solidFill>
          </w14:textFill>
        </w:rPr>
        <w:t>n</w:t>
      </w:r>
      <w:r>
        <w:rPr>
          <w:rFonts w:cs="Times New Roman"/>
          <w:color w:val="000000" w:themeColor="text1"/>
          <w:szCs w:val="24"/>
          <w:highlight w:val="none"/>
          <w14:textFill>
            <w14:solidFill>
              <w14:schemeClr w14:val="tx1"/>
            </w14:solidFill>
          </w14:textFill>
        </w:rPr>
        <w:t>）及氮氧化物（NO</w:t>
      </w:r>
      <w:r>
        <w:rPr>
          <w:rFonts w:cs="Times New Roman"/>
          <w:color w:val="000000" w:themeColor="text1"/>
          <w:szCs w:val="24"/>
          <w:highlight w:val="none"/>
          <w:vertAlign w:val="subscript"/>
          <w14:textFill>
            <w14:solidFill>
              <w14:schemeClr w14:val="tx1"/>
            </w14:solidFill>
          </w14:textFill>
        </w:rPr>
        <w:t>x</w:t>
      </w:r>
      <w:r>
        <w:rPr>
          <w:rFonts w:cs="Times New Roman"/>
          <w:color w:val="000000" w:themeColor="text1"/>
          <w:szCs w:val="24"/>
          <w:highlight w:val="none"/>
          <w14:textFill>
            <w14:solidFill>
              <w14:schemeClr w14:val="tx1"/>
            </w14:solidFill>
          </w14:textFill>
        </w:rPr>
        <w:t>）等。据有关单位在施工现场的测试结果表明：氮氧化物（NO</w:t>
      </w:r>
      <w:r>
        <w:rPr>
          <w:rFonts w:cs="Times New Roman"/>
          <w:color w:val="000000" w:themeColor="text1"/>
          <w:szCs w:val="24"/>
          <w:highlight w:val="none"/>
          <w:vertAlign w:val="subscript"/>
          <w14:textFill>
            <w14:solidFill>
              <w14:schemeClr w14:val="tx1"/>
            </w14:solidFill>
          </w14:textFill>
        </w:rPr>
        <w:t>x</w:t>
      </w:r>
      <w:r>
        <w:rPr>
          <w:rFonts w:cs="Times New Roman"/>
          <w:color w:val="000000" w:themeColor="text1"/>
          <w:szCs w:val="24"/>
          <w:highlight w:val="none"/>
          <w14:textFill>
            <w14:solidFill>
              <w14:schemeClr w14:val="tx1"/>
            </w14:solidFill>
          </w14:textFill>
        </w:rPr>
        <w:t>）的浓度可达到150μg/m</w:t>
      </w:r>
      <w:r>
        <w:rPr>
          <w:rFonts w:cs="Times New Roman"/>
          <w:color w:val="000000" w:themeColor="text1"/>
          <w:szCs w:val="24"/>
          <w:highlight w:val="none"/>
          <w:vertAlign w:val="superscript"/>
          <w14:textFill>
            <w14:solidFill>
              <w14:schemeClr w14:val="tx1"/>
            </w14:solidFill>
          </w14:textFill>
        </w:rPr>
        <w:t>3</w:t>
      </w:r>
      <w:r>
        <w:rPr>
          <w:rFonts w:cs="Times New Roman"/>
          <w:color w:val="000000" w:themeColor="text1"/>
          <w:szCs w:val="24"/>
          <w:highlight w:val="none"/>
          <w14:textFill>
            <w14:solidFill>
              <w14:schemeClr w14:val="tx1"/>
            </w14:solidFill>
          </w14:textFill>
        </w:rPr>
        <w:t>，其影响范围在下风向200m的范围内</w:t>
      </w:r>
      <w:r>
        <w:rPr>
          <w:rFonts w:hint="eastAsia" w:cs="Times New Roman"/>
          <w:color w:val="000000" w:themeColor="text1"/>
          <w:szCs w:val="24"/>
          <w:highlight w:val="none"/>
          <w14:textFill>
            <w14:solidFill>
              <w14:schemeClr w14:val="tx1"/>
            </w14:solidFill>
          </w14:textFill>
        </w:rPr>
        <w:t>。</w:t>
      </w:r>
    </w:p>
    <w:p w14:paraId="47637344">
      <w:pPr>
        <w:pStyle w:val="4"/>
        <w:rPr>
          <w:color w:val="000000" w:themeColor="text1"/>
          <w:highlight w:val="none"/>
          <w14:textFill>
            <w14:solidFill>
              <w14:schemeClr w14:val="tx1"/>
            </w14:solidFill>
          </w14:textFill>
        </w:rPr>
      </w:pPr>
      <w:bookmarkStart w:id="731" w:name="_Toc7174"/>
      <w:bookmarkStart w:id="732" w:name="_Toc9655"/>
      <w:bookmarkStart w:id="733" w:name="_Toc18909"/>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施工期废水环境影响分析</w:t>
      </w:r>
      <w:bookmarkEnd w:id="731"/>
      <w:bookmarkEnd w:id="732"/>
      <w:bookmarkEnd w:id="733"/>
    </w:p>
    <w:p w14:paraId="7C2CED9C">
      <w:pPr>
        <w:autoSpaceDE w:val="0"/>
        <w:autoSpaceDN w:val="0"/>
        <w:ind w:firstLine="480"/>
        <w:textAlignment w:val="baseline"/>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施工期废水为</w:t>
      </w:r>
      <w:r>
        <w:rPr>
          <w:rFonts w:hint="eastAsia"/>
          <w:color w:val="000000" w:themeColor="text1"/>
          <w:highlight w:val="none"/>
          <w14:textFill>
            <w14:solidFill>
              <w14:schemeClr w14:val="tx1"/>
            </w14:solidFill>
          </w14:textFill>
        </w:rPr>
        <w:t>工程废水</w:t>
      </w:r>
      <w:r>
        <w:rPr>
          <w:color w:val="000000" w:themeColor="text1"/>
          <w:highlight w:val="none"/>
          <w14:textFill>
            <w14:solidFill>
              <w14:schemeClr w14:val="tx1"/>
            </w14:solidFill>
          </w14:textFill>
        </w:rPr>
        <w:t>和生活污水。工程废水包括进出施工场地的车辆清洗产生的泥浆水等工程废水，</w:t>
      </w:r>
      <w:r>
        <w:rPr>
          <w:color w:val="000000" w:themeColor="text1"/>
          <w:kern w:val="0"/>
          <w:highlight w:val="none"/>
          <w:lang w:val="zh-CN"/>
          <w14:textFill>
            <w14:solidFill>
              <w14:schemeClr w14:val="tx1"/>
            </w14:solidFill>
          </w14:textFill>
        </w:rPr>
        <w:t>主要污染物为含有较高的石油类、悬浮物等</w:t>
      </w:r>
      <w:r>
        <w:rPr>
          <w:color w:val="000000" w:themeColor="text1"/>
          <w:highlight w:val="none"/>
          <w14:textFill>
            <w14:solidFill>
              <w14:schemeClr w14:val="tx1"/>
            </w14:solidFill>
          </w14:textFill>
        </w:rPr>
        <w:t>。生活污水来自基建施工人员排放的生活污水，主要污染物为COD、BOD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、SS等</w:t>
      </w:r>
      <w:r>
        <w:rPr>
          <w:color w:val="000000" w:themeColor="text1"/>
          <w:kern w:val="0"/>
          <w:highlight w:val="none"/>
          <w:lang w:val="zh-CN"/>
          <w14:textFill>
            <w14:solidFill>
              <w14:schemeClr w14:val="tx1"/>
            </w14:solidFill>
          </w14:textFill>
        </w:rPr>
        <w:t>，项目</w:t>
      </w:r>
      <w:r>
        <w:rPr>
          <w:color w:val="000000" w:themeColor="text1"/>
          <w:kern w:val="0"/>
          <w:highlight w:val="none"/>
          <w14:textFill>
            <w14:solidFill>
              <w14:schemeClr w14:val="tx1"/>
            </w14:solidFill>
          </w14:textFill>
        </w:rPr>
        <w:t>废水</w:t>
      </w:r>
      <w:r>
        <w:rPr>
          <w:color w:val="000000" w:themeColor="text1"/>
          <w:kern w:val="0"/>
          <w:highlight w:val="none"/>
          <w:lang w:val="zh-CN"/>
          <w14:textFill>
            <w14:solidFill>
              <w14:schemeClr w14:val="tx1"/>
            </w14:solidFill>
          </w14:textFill>
        </w:rPr>
        <w:t>处置不当会对施工场地周围产生短时间的不良影响</w:t>
      </w:r>
      <w:r>
        <w:rPr>
          <w:color w:val="000000" w:themeColor="text1"/>
          <w:highlight w:val="none"/>
          <w14:textFill>
            <w14:solidFill>
              <w14:schemeClr w14:val="tx1"/>
            </w14:solidFill>
          </w14:textFill>
        </w:rPr>
        <w:t>，需要对项目废水进行处置，具体分析如下：</w:t>
      </w:r>
    </w:p>
    <w:p w14:paraId="0FD03EE4">
      <w:pPr>
        <w:autoSpaceDE w:val="0"/>
        <w:autoSpaceDN w:val="0"/>
        <w:ind w:firstLine="480"/>
        <w:textAlignment w:val="baseline"/>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（1）生活污水</w:t>
      </w:r>
    </w:p>
    <w:p w14:paraId="4154A173">
      <w:pPr>
        <w:overflowPunct w:val="0"/>
        <w:topLinePunct/>
        <w:ind w:firstLine="480"/>
        <w:textAlignment w:val="baseline"/>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生活污水主要污染物为SS、COD、氨氮等。施工期间进场施工人数约为70人左右，施工人员生活用水按30L/人·d计，用水量为2.1m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/d，排放系数以0.8计，排放量约为1.68m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color w:val="000000" w:themeColor="text1"/>
          <w:kern w:val="0"/>
          <w:highlight w:val="none"/>
          <w:lang w:val="zh-CN"/>
          <w14:textFill>
            <w14:solidFill>
              <w14:schemeClr w14:val="tx1"/>
            </w14:solidFill>
          </w14:textFill>
        </w:rPr>
        <w:t>施工期生活污水产生量不大，</w:t>
      </w:r>
      <w:r>
        <w:rPr>
          <w:rFonts w:hint="eastAsia"/>
          <w:color w:val="000000" w:themeColor="text1"/>
          <w:kern w:val="0"/>
          <w:highlight w:val="none"/>
          <w14:textFill>
            <w14:solidFill>
              <w14:schemeClr w14:val="tx1"/>
            </w14:solidFill>
          </w14:textFill>
        </w:rPr>
        <w:t>排入生活区污水管网，</w:t>
      </w:r>
      <w:r>
        <w:rPr>
          <w:rFonts w:hint="eastAsia"/>
          <w:color w:val="000000" w:themeColor="text1"/>
          <w:szCs w:val="28"/>
          <w:highlight w:val="none"/>
          <w14:textFill>
            <w14:solidFill>
              <w14:schemeClr w14:val="tx1"/>
            </w14:solidFill>
          </w14:textFill>
        </w:rPr>
        <w:t>依托选厂现有生活区污水处理设施处理，</w:t>
      </w:r>
      <w:r>
        <w:rPr>
          <w:color w:val="000000" w:themeColor="text1"/>
          <w:highlight w:val="none"/>
          <w:lang w:bidi="ar"/>
          <w14:textFill>
            <w14:solidFill>
              <w14:schemeClr w14:val="tx1"/>
            </w14:solidFill>
          </w14:textFill>
        </w:rPr>
        <w:t>不随意外排。对项目区周围水环境影响较小。</w:t>
      </w:r>
    </w:p>
    <w:p w14:paraId="0023F96A">
      <w:pPr>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（2）</w:t>
      </w:r>
      <w:r>
        <w:rPr>
          <w:color w:val="000000" w:themeColor="text1"/>
          <w:highlight w:val="none"/>
          <w14:textFill>
            <w14:solidFill>
              <w14:schemeClr w14:val="tx1"/>
            </w14:solidFill>
          </w14:textFill>
        </w:rPr>
        <w:t>工程废水</w:t>
      </w:r>
    </w:p>
    <w:p w14:paraId="5A3480F4">
      <w:pPr>
        <w:overflowPunct w:val="0"/>
        <w:topLinePunct/>
        <w:ind w:firstLine="480"/>
        <w:textAlignment w:val="baseline"/>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工程废水包括进出施工场地的车辆清洗产生的泥浆水等工程废水，主要污染物是SS、石油类，水量较少</w:t>
      </w:r>
      <w:r>
        <w:rPr>
          <w:rFonts w:hint="eastAsia"/>
          <w:color w:val="000000" w:themeColor="text1"/>
          <w:highlight w:val="none"/>
          <w14:textFill>
            <w14:solidFill>
              <w14:schemeClr w14:val="tx1"/>
            </w14:solidFill>
          </w14:textFill>
        </w:rPr>
        <w:t>，集中收集沉淀后用于建设场地洒水降尘</w:t>
      </w:r>
      <w:r>
        <w:rPr>
          <w:color w:val="000000" w:themeColor="text1"/>
          <w:highlight w:val="none"/>
          <w14:textFill>
            <w14:solidFill>
              <w14:schemeClr w14:val="tx1"/>
            </w14:solidFill>
          </w14:textFill>
        </w:rPr>
        <w:t>。混凝土为商品混凝土，无需现场搅拌，无搅拌废水产生。</w:t>
      </w:r>
    </w:p>
    <w:p w14:paraId="05E8DC32">
      <w:pPr>
        <w:pStyle w:val="4"/>
        <w:rPr>
          <w:color w:val="000000" w:themeColor="text1"/>
          <w:highlight w:val="none"/>
          <w14:textFill>
            <w14:solidFill>
              <w14:schemeClr w14:val="tx1"/>
            </w14:solidFill>
          </w14:textFill>
        </w:rPr>
      </w:pPr>
      <w:bookmarkStart w:id="734" w:name="_Toc3687"/>
      <w:bookmarkStart w:id="735" w:name="_Toc31387"/>
      <w:bookmarkStart w:id="736" w:name="_Toc14441"/>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3施工期噪声环境影响分析</w:t>
      </w:r>
      <w:bookmarkEnd w:id="734"/>
      <w:bookmarkEnd w:id="735"/>
      <w:bookmarkEnd w:id="736"/>
    </w:p>
    <w:p w14:paraId="496915F1">
      <w:pPr>
        <w:overflowPunct w:val="0"/>
        <w:topLinePunct/>
        <w:ind w:firstLine="480"/>
        <w:rPr>
          <w:color w:val="000000" w:themeColor="text1"/>
          <w:kern w:val="0"/>
          <w:szCs w:val="21"/>
          <w:highlight w:val="none"/>
          <w14:textFill>
            <w14:solidFill>
              <w14:schemeClr w14:val="tx1"/>
            </w14:solidFill>
          </w14:textFill>
        </w:rPr>
      </w:pPr>
      <w:r>
        <w:rPr>
          <w:color w:val="000000" w:themeColor="text1"/>
          <w:highlight w:val="none"/>
          <w14:textFill>
            <w14:solidFill>
              <w14:schemeClr w14:val="tx1"/>
            </w14:solidFill>
          </w14:textFill>
        </w:rPr>
        <w:t>（1）施工期噪声源分析</w:t>
      </w:r>
    </w:p>
    <w:p w14:paraId="35444B77">
      <w:pPr>
        <w:overflowPunct w:val="0"/>
        <w:topLinePunct/>
        <w:ind w:firstLine="480"/>
        <w:rPr>
          <w:color w:val="000000" w:themeColor="text1"/>
          <w:kern w:val="0"/>
          <w:szCs w:val="21"/>
          <w:highlight w:val="none"/>
          <w14:textFill>
            <w14:solidFill>
              <w14:schemeClr w14:val="tx1"/>
            </w14:solidFill>
          </w14:textFill>
        </w:rPr>
      </w:pPr>
      <w:r>
        <w:rPr>
          <w:color w:val="000000" w:themeColor="text1"/>
          <w:highlight w:val="none"/>
          <w14:textFill>
            <w14:solidFill>
              <w14:schemeClr w14:val="tx1"/>
            </w14:solidFill>
          </w14:textFill>
        </w:rPr>
        <w:t>施工噪声具有阶段性、临时性和不固定性，不同的施工设备产生的噪声不同，在多台机械设备同时作业时，各机械声级将会叠加。各施工阶段的主要噪声源及其声级见表5.1-</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，施工期各交通运输车辆噪声排放统计见表5.1-</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，施工机械噪声测试值、预测值见表5.1-</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p>
    <w:p w14:paraId="3068A753">
      <w:pPr>
        <w:ind w:firstLine="120" w:firstLineChars="50"/>
        <w:jc w:val="center"/>
        <w:rPr>
          <w:b/>
          <w:color w:val="000000" w:themeColor="text1"/>
          <w:kern w:val="0"/>
          <w:highlight w:val="none"/>
          <w14:textFill>
            <w14:solidFill>
              <w14:schemeClr w14:val="tx1"/>
            </w14:solidFill>
          </w14:textFill>
        </w:rPr>
      </w:pPr>
      <w:r>
        <w:rPr>
          <w:b/>
          <w:color w:val="000000" w:themeColor="text1"/>
          <w:kern w:val="0"/>
          <w:highlight w:val="none"/>
          <w14:textFill>
            <w14:solidFill>
              <w14:schemeClr w14:val="tx1"/>
            </w14:solidFill>
          </w14:textFill>
        </w:rPr>
        <w:t>表5.1-</w:t>
      </w:r>
      <w:r>
        <w:rPr>
          <w:rFonts w:hint="eastAsia"/>
          <w:b/>
          <w:color w:val="000000" w:themeColor="text1"/>
          <w:kern w:val="0"/>
          <w:highlight w:val="none"/>
          <w14:textFill>
            <w14:solidFill>
              <w14:schemeClr w14:val="tx1"/>
            </w14:solidFill>
          </w14:textFill>
        </w:rPr>
        <w:t>1</w:t>
      </w:r>
      <w:r>
        <w:rPr>
          <w:b/>
          <w:color w:val="000000" w:themeColor="text1"/>
          <w:kern w:val="0"/>
          <w:highlight w:val="none"/>
          <w14:textFill>
            <w14:solidFill>
              <w14:schemeClr w14:val="tx1"/>
            </w14:solidFill>
          </w14:textFill>
        </w:rPr>
        <w:t xml:space="preserve">    主要噪声源及其声级    单位：dB（A）</w:t>
      </w:r>
    </w:p>
    <w:tbl>
      <w:tblPr>
        <w:tblStyle w:val="32"/>
        <w:tblW w:w="851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08" w:type="dxa"/>
          <w:bottom w:w="0" w:type="dxa"/>
          <w:right w:w="108" w:type="dxa"/>
        </w:tblCellMar>
      </w:tblPr>
      <w:tblGrid>
        <w:gridCol w:w="1999"/>
        <w:gridCol w:w="3225"/>
        <w:gridCol w:w="3295"/>
      </w:tblGrid>
      <w:tr w14:paraId="4E1FB9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blHeader/>
          <w:jc w:val="center"/>
        </w:trPr>
        <w:tc>
          <w:tcPr>
            <w:tcW w:w="1999" w:type="dxa"/>
            <w:tcBorders>
              <w:tl2br w:val="nil"/>
              <w:tr2bl w:val="nil"/>
            </w:tcBorders>
            <w:vAlign w:val="center"/>
          </w:tcPr>
          <w:p w14:paraId="76F345DE">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施工期</w:t>
            </w:r>
          </w:p>
        </w:tc>
        <w:tc>
          <w:tcPr>
            <w:tcW w:w="3225" w:type="dxa"/>
            <w:tcBorders>
              <w:tl2br w:val="nil"/>
              <w:tr2bl w:val="nil"/>
            </w:tcBorders>
            <w:vAlign w:val="center"/>
          </w:tcPr>
          <w:p w14:paraId="0DA5952C">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主要声源</w:t>
            </w:r>
          </w:p>
        </w:tc>
        <w:tc>
          <w:tcPr>
            <w:tcW w:w="3295" w:type="dxa"/>
            <w:tcBorders>
              <w:tl2br w:val="nil"/>
              <w:tr2bl w:val="nil"/>
            </w:tcBorders>
            <w:vAlign w:val="center"/>
          </w:tcPr>
          <w:p w14:paraId="1C9C8249">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声级</w:t>
            </w:r>
          </w:p>
        </w:tc>
      </w:tr>
      <w:tr w14:paraId="2C1C4A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293" w:hRule="atLeast"/>
          <w:jc w:val="center"/>
        </w:trPr>
        <w:tc>
          <w:tcPr>
            <w:tcW w:w="1999" w:type="dxa"/>
            <w:vMerge w:val="restart"/>
            <w:tcBorders>
              <w:tl2br w:val="nil"/>
              <w:tr2bl w:val="nil"/>
            </w:tcBorders>
            <w:vAlign w:val="center"/>
          </w:tcPr>
          <w:p w14:paraId="638F5023">
            <w:pPr>
              <w:spacing w:line="360" w:lineRule="exact"/>
              <w:ind w:firstLine="0" w:firstLineChars="0"/>
              <w:jc w:val="center"/>
              <w:rPr>
                <w:color w:val="000000" w:themeColor="text1"/>
                <w:kern w:val="0"/>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土石方阶段</w:t>
            </w:r>
          </w:p>
        </w:tc>
        <w:tc>
          <w:tcPr>
            <w:tcW w:w="3225" w:type="dxa"/>
            <w:tcBorders>
              <w:tl2br w:val="nil"/>
              <w:tr2bl w:val="nil"/>
            </w:tcBorders>
            <w:vAlign w:val="center"/>
          </w:tcPr>
          <w:p w14:paraId="4D0DDE13">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挖土机</w:t>
            </w:r>
          </w:p>
        </w:tc>
        <w:tc>
          <w:tcPr>
            <w:tcW w:w="3295" w:type="dxa"/>
            <w:tcBorders>
              <w:tl2br w:val="nil"/>
              <w:tr2bl w:val="nil"/>
            </w:tcBorders>
            <w:vAlign w:val="center"/>
          </w:tcPr>
          <w:p w14:paraId="5F109AA1">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78～96</w:t>
            </w:r>
          </w:p>
        </w:tc>
      </w:tr>
      <w:tr w14:paraId="0086C0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35A41F54">
            <w:pPr>
              <w:spacing w:line="360" w:lineRule="exact"/>
              <w:ind w:firstLine="0" w:firstLineChars="0"/>
              <w:jc w:val="center"/>
              <w:rPr>
                <w:color w:val="000000" w:themeColor="text1"/>
                <w:highlight w:val="none"/>
                <w14:textFill>
                  <w14:solidFill>
                    <w14:schemeClr w14:val="tx1"/>
                  </w14:solidFill>
                </w14:textFill>
              </w:rPr>
            </w:pPr>
          </w:p>
        </w:tc>
        <w:tc>
          <w:tcPr>
            <w:tcW w:w="3225" w:type="dxa"/>
            <w:tcBorders>
              <w:tl2br w:val="nil"/>
              <w:tr2bl w:val="nil"/>
            </w:tcBorders>
            <w:vAlign w:val="center"/>
          </w:tcPr>
          <w:p w14:paraId="533FB333">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冲击机</w:t>
            </w:r>
          </w:p>
        </w:tc>
        <w:tc>
          <w:tcPr>
            <w:tcW w:w="3295" w:type="dxa"/>
            <w:tcBorders>
              <w:tl2br w:val="nil"/>
              <w:tr2bl w:val="nil"/>
            </w:tcBorders>
            <w:vAlign w:val="center"/>
          </w:tcPr>
          <w:p w14:paraId="4E52EDD0">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95</w:t>
            </w:r>
          </w:p>
        </w:tc>
      </w:tr>
      <w:tr w14:paraId="234833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2B83D8A3">
            <w:pPr>
              <w:spacing w:line="360" w:lineRule="exact"/>
              <w:ind w:firstLine="0" w:firstLineChars="0"/>
              <w:jc w:val="center"/>
              <w:rPr>
                <w:color w:val="000000" w:themeColor="text1"/>
                <w:highlight w:val="none"/>
                <w14:textFill>
                  <w14:solidFill>
                    <w14:schemeClr w14:val="tx1"/>
                  </w14:solidFill>
                </w14:textFill>
              </w:rPr>
            </w:pPr>
          </w:p>
        </w:tc>
        <w:tc>
          <w:tcPr>
            <w:tcW w:w="3225" w:type="dxa"/>
            <w:tcBorders>
              <w:tl2br w:val="nil"/>
              <w:tr2bl w:val="nil"/>
            </w:tcBorders>
            <w:vAlign w:val="center"/>
          </w:tcPr>
          <w:p w14:paraId="4E84B9F5">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空压机</w:t>
            </w:r>
          </w:p>
        </w:tc>
        <w:tc>
          <w:tcPr>
            <w:tcW w:w="3295" w:type="dxa"/>
            <w:tcBorders>
              <w:tl2br w:val="nil"/>
              <w:tr2bl w:val="nil"/>
            </w:tcBorders>
            <w:vAlign w:val="center"/>
          </w:tcPr>
          <w:p w14:paraId="1A0B27E4">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75～85</w:t>
            </w:r>
          </w:p>
        </w:tc>
      </w:tr>
      <w:tr w14:paraId="39AE4F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7B1BE561">
            <w:pPr>
              <w:spacing w:line="360" w:lineRule="exact"/>
              <w:ind w:firstLine="0" w:firstLineChars="0"/>
              <w:jc w:val="center"/>
              <w:rPr>
                <w:color w:val="000000" w:themeColor="text1"/>
                <w:highlight w:val="none"/>
                <w14:textFill>
                  <w14:solidFill>
                    <w14:schemeClr w14:val="tx1"/>
                  </w14:solidFill>
                </w14:textFill>
              </w:rPr>
            </w:pPr>
          </w:p>
        </w:tc>
        <w:tc>
          <w:tcPr>
            <w:tcW w:w="3225" w:type="dxa"/>
            <w:tcBorders>
              <w:tl2br w:val="nil"/>
              <w:tr2bl w:val="nil"/>
            </w:tcBorders>
            <w:vAlign w:val="center"/>
          </w:tcPr>
          <w:p w14:paraId="72E34B6B">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压缩机</w:t>
            </w:r>
          </w:p>
        </w:tc>
        <w:tc>
          <w:tcPr>
            <w:tcW w:w="3295" w:type="dxa"/>
            <w:tcBorders>
              <w:tl2br w:val="nil"/>
              <w:tr2bl w:val="nil"/>
            </w:tcBorders>
            <w:vAlign w:val="center"/>
          </w:tcPr>
          <w:p w14:paraId="71CE9E6E">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75～88</w:t>
            </w:r>
          </w:p>
        </w:tc>
      </w:tr>
      <w:tr w14:paraId="653403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1" w:hRule="atLeast"/>
          <w:jc w:val="center"/>
        </w:trPr>
        <w:tc>
          <w:tcPr>
            <w:tcW w:w="1999" w:type="dxa"/>
            <w:vMerge w:val="restart"/>
            <w:tcBorders>
              <w:tl2br w:val="nil"/>
              <w:tr2bl w:val="nil"/>
            </w:tcBorders>
            <w:vAlign w:val="center"/>
          </w:tcPr>
          <w:p w14:paraId="13F41D34">
            <w:pPr>
              <w:spacing w:line="360" w:lineRule="exact"/>
              <w:ind w:firstLine="0" w:firstLineChars="0"/>
              <w:jc w:val="center"/>
              <w:rPr>
                <w:color w:val="000000" w:themeColor="text1"/>
                <w:kern w:val="0"/>
                <w:highlight w:val="none"/>
                <w14:textFill>
                  <w14:solidFill>
                    <w14:schemeClr w14:val="tx1"/>
                  </w14:solidFill>
                </w14:textFill>
              </w:rPr>
            </w:pPr>
            <w:r>
              <w:rPr>
                <w:color w:val="000000" w:themeColor="text1"/>
                <w:sz w:val="21"/>
                <w:highlight w:val="none"/>
                <w14:textFill>
                  <w14:solidFill>
                    <w14:schemeClr w14:val="tx1"/>
                  </w14:solidFill>
                </w14:textFill>
              </w:rPr>
              <w:t>结构</w:t>
            </w:r>
            <w:r>
              <w:rPr>
                <w:rFonts w:hint="eastAsia"/>
                <w:color w:val="000000" w:themeColor="text1"/>
                <w:sz w:val="21"/>
                <w:highlight w:val="none"/>
                <w14:textFill>
                  <w14:solidFill>
                    <w14:schemeClr w14:val="tx1"/>
                  </w14:solidFill>
                </w14:textFill>
              </w:rPr>
              <w:t>施工</w:t>
            </w:r>
            <w:r>
              <w:rPr>
                <w:color w:val="000000" w:themeColor="text1"/>
                <w:sz w:val="21"/>
                <w:highlight w:val="none"/>
                <w14:textFill>
                  <w14:solidFill>
                    <w14:schemeClr w14:val="tx1"/>
                  </w14:solidFill>
                </w14:textFill>
              </w:rPr>
              <w:t>阶段</w:t>
            </w:r>
          </w:p>
        </w:tc>
        <w:tc>
          <w:tcPr>
            <w:tcW w:w="3225" w:type="dxa"/>
            <w:tcBorders>
              <w:tl2br w:val="nil"/>
              <w:tr2bl w:val="nil"/>
            </w:tcBorders>
            <w:vAlign w:val="center"/>
          </w:tcPr>
          <w:p w14:paraId="6ACAAEAF">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振捣器</w:t>
            </w:r>
          </w:p>
        </w:tc>
        <w:tc>
          <w:tcPr>
            <w:tcW w:w="3295" w:type="dxa"/>
            <w:tcBorders>
              <w:tl2br w:val="nil"/>
              <w:tr2bl w:val="nil"/>
            </w:tcBorders>
            <w:vAlign w:val="center"/>
          </w:tcPr>
          <w:p w14:paraId="3C211694">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100～105</w:t>
            </w:r>
          </w:p>
        </w:tc>
      </w:tr>
      <w:tr w14:paraId="6B6A4D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05C5B853">
            <w:pPr>
              <w:spacing w:line="360" w:lineRule="exact"/>
              <w:ind w:firstLine="0" w:firstLineChars="0"/>
              <w:jc w:val="center"/>
              <w:rPr>
                <w:color w:val="000000" w:themeColor="text1"/>
                <w:highlight w:val="none"/>
                <w14:textFill>
                  <w14:solidFill>
                    <w14:schemeClr w14:val="tx1"/>
                  </w14:solidFill>
                </w14:textFill>
              </w:rPr>
            </w:pPr>
          </w:p>
        </w:tc>
        <w:tc>
          <w:tcPr>
            <w:tcW w:w="3225" w:type="dxa"/>
            <w:tcBorders>
              <w:tl2br w:val="nil"/>
              <w:tr2bl w:val="nil"/>
            </w:tcBorders>
            <w:vAlign w:val="center"/>
          </w:tcPr>
          <w:p w14:paraId="2D5636E6">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电锯</w:t>
            </w:r>
          </w:p>
        </w:tc>
        <w:tc>
          <w:tcPr>
            <w:tcW w:w="3295" w:type="dxa"/>
            <w:tcBorders>
              <w:tl2br w:val="nil"/>
              <w:tr2bl w:val="nil"/>
            </w:tcBorders>
            <w:vAlign w:val="center"/>
          </w:tcPr>
          <w:p w14:paraId="50102484">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100～105</w:t>
            </w:r>
          </w:p>
        </w:tc>
      </w:tr>
      <w:tr w14:paraId="2FE42B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31C39EF0">
            <w:pPr>
              <w:spacing w:line="360" w:lineRule="exact"/>
              <w:ind w:firstLine="0" w:firstLineChars="0"/>
              <w:jc w:val="center"/>
              <w:rPr>
                <w:color w:val="000000" w:themeColor="text1"/>
                <w:highlight w:val="none"/>
                <w14:textFill>
                  <w14:solidFill>
                    <w14:schemeClr w14:val="tx1"/>
                  </w14:solidFill>
                </w14:textFill>
              </w:rPr>
            </w:pPr>
          </w:p>
        </w:tc>
        <w:tc>
          <w:tcPr>
            <w:tcW w:w="3225" w:type="dxa"/>
            <w:tcBorders>
              <w:tl2br w:val="nil"/>
              <w:tr2bl w:val="nil"/>
            </w:tcBorders>
            <w:vAlign w:val="center"/>
          </w:tcPr>
          <w:p w14:paraId="52CFCAF0">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电焊机</w:t>
            </w:r>
          </w:p>
        </w:tc>
        <w:tc>
          <w:tcPr>
            <w:tcW w:w="3295" w:type="dxa"/>
            <w:tcBorders>
              <w:tl2br w:val="nil"/>
              <w:tr2bl w:val="nil"/>
            </w:tcBorders>
            <w:vAlign w:val="center"/>
          </w:tcPr>
          <w:p w14:paraId="2456DFED">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90～95</w:t>
            </w:r>
          </w:p>
        </w:tc>
      </w:tr>
      <w:tr w14:paraId="0100C8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2AA50630">
            <w:pPr>
              <w:spacing w:line="360" w:lineRule="exact"/>
              <w:ind w:firstLine="0" w:firstLineChars="0"/>
              <w:jc w:val="center"/>
              <w:rPr>
                <w:color w:val="000000" w:themeColor="text1"/>
                <w:highlight w:val="none"/>
                <w14:textFill>
                  <w14:solidFill>
                    <w14:schemeClr w14:val="tx1"/>
                  </w14:solidFill>
                </w14:textFill>
              </w:rPr>
            </w:pPr>
          </w:p>
        </w:tc>
        <w:tc>
          <w:tcPr>
            <w:tcW w:w="3225" w:type="dxa"/>
            <w:tcBorders>
              <w:tl2br w:val="nil"/>
              <w:tr2bl w:val="nil"/>
            </w:tcBorders>
            <w:vAlign w:val="center"/>
          </w:tcPr>
          <w:p w14:paraId="509E8927">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空压机</w:t>
            </w:r>
          </w:p>
        </w:tc>
        <w:tc>
          <w:tcPr>
            <w:tcW w:w="3295" w:type="dxa"/>
            <w:tcBorders>
              <w:tl2br w:val="nil"/>
              <w:tr2bl w:val="nil"/>
            </w:tcBorders>
            <w:vAlign w:val="center"/>
          </w:tcPr>
          <w:p w14:paraId="400B3210">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75～85</w:t>
            </w:r>
          </w:p>
        </w:tc>
      </w:tr>
      <w:tr w14:paraId="174D98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restart"/>
            <w:tcBorders>
              <w:tl2br w:val="nil"/>
              <w:tr2bl w:val="nil"/>
            </w:tcBorders>
            <w:vAlign w:val="center"/>
          </w:tcPr>
          <w:p w14:paraId="6D9CFD4E">
            <w:pPr>
              <w:spacing w:line="360" w:lineRule="exact"/>
              <w:ind w:firstLine="0" w:firstLineChars="0"/>
              <w:jc w:val="center"/>
              <w:rPr>
                <w:color w:val="000000" w:themeColor="text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设备安装</w:t>
            </w:r>
            <w:r>
              <w:rPr>
                <w:color w:val="000000" w:themeColor="text1"/>
                <w:sz w:val="21"/>
                <w:highlight w:val="none"/>
                <w14:textFill>
                  <w14:solidFill>
                    <w14:schemeClr w14:val="tx1"/>
                  </w14:solidFill>
                </w14:textFill>
              </w:rPr>
              <w:t>阶段</w:t>
            </w:r>
          </w:p>
        </w:tc>
        <w:tc>
          <w:tcPr>
            <w:tcW w:w="3225" w:type="dxa"/>
            <w:tcBorders>
              <w:tl2br w:val="nil"/>
              <w:tr2bl w:val="nil"/>
            </w:tcBorders>
            <w:vAlign w:val="center"/>
          </w:tcPr>
          <w:p w14:paraId="54B0BDA6">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电钻</w:t>
            </w:r>
          </w:p>
        </w:tc>
        <w:tc>
          <w:tcPr>
            <w:tcW w:w="3295" w:type="dxa"/>
            <w:tcBorders>
              <w:tl2br w:val="nil"/>
              <w:tr2bl w:val="nil"/>
            </w:tcBorders>
            <w:vAlign w:val="center"/>
          </w:tcPr>
          <w:p w14:paraId="67D30F5F">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100～105</w:t>
            </w:r>
          </w:p>
        </w:tc>
      </w:tr>
      <w:tr w14:paraId="716DBC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1BD59EE2">
            <w:pPr>
              <w:spacing w:line="360" w:lineRule="exact"/>
              <w:ind w:firstLine="0" w:firstLineChars="0"/>
              <w:jc w:val="center"/>
              <w:rPr>
                <w:color w:val="000000" w:themeColor="text1"/>
                <w:highlight w:val="none"/>
                <w14:textFill>
                  <w14:solidFill>
                    <w14:schemeClr w14:val="tx1"/>
                  </w14:solidFill>
                </w14:textFill>
              </w:rPr>
            </w:pPr>
          </w:p>
        </w:tc>
        <w:tc>
          <w:tcPr>
            <w:tcW w:w="3225" w:type="dxa"/>
            <w:tcBorders>
              <w:tl2br w:val="nil"/>
              <w:tr2bl w:val="nil"/>
            </w:tcBorders>
            <w:vAlign w:val="center"/>
          </w:tcPr>
          <w:p w14:paraId="463FF876">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电锤</w:t>
            </w:r>
          </w:p>
        </w:tc>
        <w:tc>
          <w:tcPr>
            <w:tcW w:w="3295" w:type="dxa"/>
            <w:tcBorders>
              <w:tl2br w:val="nil"/>
              <w:tr2bl w:val="nil"/>
            </w:tcBorders>
            <w:vAlign w:val="center"/>
          </w:tcPr>
          <w:p w14:paraId="49D74B8D">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100～105</w:t>
            </w:r>
          </w:p>
        </w:tc>
      </w:tr>
      <w:tr w14:paraId="205CE8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71DECB6F">
            <w:pPr>
              <w:spacing w:line="360" w:lineRule="exact"/>
              <w:ind w:firstLine="0" w:firstLineChars="0"/>
              <w:jc w:val="center"/>
              <w:rPr>
                <w:color w:val="000000" w:themeColor="text1"/>
                <w:highlight w:val="none"/>
                <w14:textFill>
                  <w14:solidFill>
                    <w14:schemeClr w14:val="tx1"/>
                  </w14:solidFill>
                </w14:textFill>
              </w:rPr>
            </w:pPr>
          </w:p>
        </w:tc>
        <w:tc>
          <w:tcPr>
            <w:tcW w:w="3225" w:type="dxa"/>
            <w:tcBorders>
              <w:tl2br w:val="nil"/>
              <w:tr2bl w:val="nil"/>
            </w:tcBorders>
            <w:vAlign w:val="center"/>
          </w:tcPr>
          <w:p w14:paraId="09811CDD">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手工钻</w:t>
            </w:r>
          </w:p>
        </w:tc>
        <w:tc>
          <w:tcPr>
            <w:tcW w:w="3295" w:type="dxa"/>
            <w:tcBorders>
              <w:tl2br w:val="nil"/>
              <w:tr2bl w:val="nil"/>
            </w:tcBorders>
            <w:vAlign w:val="center"/>
          </w:tcPr>
          <w:p w14:paraId="54807052">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100～105</w:t>
            </w:r>
          </w:p>
        </w:tc>
      </w:tr>
      <w:tr w14:paraId="360935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52B66CEA">
            <w:pPr>
              <w:spacing w:line="360" w:lineRule="exact"/>
              <w:ind w:firstLine="0" w:firstLineChars="0"/>
              <w:jc w:val="center"/>
              <w:rPr>
                <w:color w:val="000000" w:themeColor="text1"/>
                <w:highlight w:val="none"/>
                <w14:textFill>
                  <w14:solidFill>
                    <w14:schemeClr w14:val="tx1"/>
                  </w14:solidFill>
                </w14:textFill>
              </w:rPr>
            </w:pPr>
          </w:p>
        </w:tc>
        <w:tc>
          <w:tcPr>
            <w:tcW w:w="3225" w:type="dxa"/>
            <w:tcBorders>
              <w:tl2br w:val="nil"/>
              <w:tr2bl w:val="nil"/>
            </w:tcBorders>
            <w:vAlign w:val="center"/>
          </w:tcPr>
          <w:p w14:paraId="61A53F47">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无齿锯</w:t>
            </w:r>
          </w:p>
        </w:tc>
        <w:tc>
          <w:tcPr>
            <w:tcW w:w="3295" w:type="dxa"/>
            <w:tcBorders>
              <w:tl2br w:val="nil"/>
              <w:tr2bl w:val="nil"/>
            </w:tcBorders>
            <w:vAlign w:val="center"/>
          </w:tcPr>
          <w:p w14:paraId="473F2727">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105</w:t>
            </w:r>
          </w:p>
        </w:tc>
      </w:tr>
      <w:tr w14:paraId="46E4C4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7FFED78D">
            <w:pPr>
              <w:spacing w:line="360" w:lineRule="exact"/>
              <w:ind w:firstLine="0" w:firstLineChars="0"/>
              <w:jc w:val="center"/>
              <w:rPr>
                <w:color w:val="000000" w:themeColor="text1"/>
                <w:highlight w:val="none"/>
                <w14:textFill>
                  <w14:solidFill>
                    <w14:schemeClr w14:val="tx1"/>
                  </w14:solidFill>
                </w14:textFill>
              </w:rPr>
            </w:pPr>
          </w:p>
        </w:tc>
        <w:tc>
          <w:tcPr>
            <w:tcW w:w="3225" w:type="dxa"/>
            <w:tcBorders>
              <w:tl2br w:val="nil"/>
              <w:tr2bl w:val="nil"/>
            </w:tcBorders>
            <w:vAlign w:val="center"/>
          </w:tcPr>
          <w:p w14:paraId="14103616">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多功能木工刨</w:t>
            </w:r>
          </w:p>
        </w:tc>
        <w:tc>
          <w:tcPr>
            <w:tcW w:w="3295" w:type="dxa"/>
            <w:tcBorders>
              <w:tl2br w:val="nil"/>
              <w:tr2bl w:val="nil"/>
            </w:tcBorders>
            <w:vAlign w:val="center"/>
          </w:tcPr>
          <w:p w14:paraId="3817BEA0">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90～100</w:t>
            </w:r>
          </w:p>
        </w:tc>
      </w:tr>
      <w:tr w14:paraId="6F6B94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40A67AA4">
            <w:pPr>
              <w:spacing w:line="360" w:lineRule="exact"/>
              <w:ind w:firstLine="0" w:firstLineChars="0"/>
              <w:jc w:val="center"/>
              <w:rPr>
                <w:color w:val="000000" w:themeColor="text1"/>
                <w:highlight w:val="none"/>
                <w14:textFill>
                  <w14:solidFill>
                    <w14:schemeClr w14:val="tx1"/>
                  </w14:solidFill>
                </w14:textFill>
              </w:rPr>
            </w:pPr>
          </w:p>
        </w:tc>
        <w:tc>
          <w:tcPr>
            <w:tcW w:w="3225" w:type="dxa"/>
            <w:tcBorders>
              <w:tl2br w:val="nil"/>
              <w:tr2bl w:val="nil"/>
            </w:tcBorders>
            <w:vAlign w:val="center"/>
          </w:tcPr>
          <w:p w14:paraId="568EB53F">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角向磨光机</w:t>
            </w:r>
          </w:p>
        </w:tc>
        <w:tc>
          <w:tcPr>
            <w:tcW w:w="3295" w:type="dxa"/>
            <w:tcBorders>
              <w:tl2br w:val="nil"/>
              <w:tr2bl w:val="nil"/>
            </w:tcBorders>
            <w:vAlign w:val="center"/>
          </w:tcPr>
          <w:p w14:paraId="789F8A35">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100～115</w:t>
            </w:r>
          </w:p>
        </w:tc>
      </w:tr>
    </w:tbl>
    <w:p w14:paraId="2074726F">
      <w:pPr>
        <w:spacing w:line="500" w:lineRule="exact"/>
        <w:ind w:firstLine="120" w:firstLineChars="50"/>
        <w:jc w:val="center"/>
        <w:rPr>
          <w:b/>
          <w:color w:val="000000" w:themeColor="text1"/>
          <w:kern w:val="0"/>
          <w:highlight w:val="none"/>
          <w14:textFill>
            <w14:solidFill>
              <w14:schemeClr w14:val="tx1"/>
            </w14:solidFill>
          </w14:textFill>
        </w:rPr>
      </w:pPr>
      <w:r>
        <w:rPr>
          <w:b/>
          <w:color w:val="000000" w:themeColor="text1"/>
          <w:kern w:val="0"/>
          <w:highlight w:val="none"/>
          <w14:textFill>
            <w14:solidFill>
              <w14:schemeClr w14:val="tx1"/>
            </w14:solidFill>
          </w14:textFill>
        </w:rPr>
        <w:t>表5.1-2    交通运输车辆噪声排放    单位：dB（A）</w:t>
      </w:r>
    </w:p>
    <w:tbl>
      <w:tblPr>
        <w:tblStyle w:val="32"/>
        <w:tblW w:w="85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50"/>
        <w:gridCol w:w="2688"/>
        <w:gridCol w:w="2068"/>
        <w:gridCol w:w="1913"/>
      </w:tblGrid>
      <w:tr w14:paraId="4C82C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850" w:type="dxa"/>
            <w:vAlign w:val="center"/>
          </w:tcPr>
          <w:p w14:paraId="6E3077EA">
            <w:pPr>
              <w:spacing w:line="360" w:lineRule="exact"/>
              <w:ind w:firstLine="0" w:firstLineChars="0"/>
              <w:jc w:val="center"/>
              <w:rPr>
                <w:b/>
                <w:bCs/>
                <w:color w:val="000000" w:themeColor="text1"/>
                <w:highlight w:val="none"/>
                <w14:textFill>
                  <w14:solidFill>
                    <w14:schemeClr w14:val="tx1"/>
                  </w14:solidFill>
                </w14:textFill>
              </w:rPr>
            </w:pPr>
            <w:r>
              <w:rPr>
                <w:b/>
                <w:bCs/>
                <w:color w:val="000000" w:themeColor="text1"/>
                <w:sz w:val="21"/>
                <w:highlight w:val="none"/>
                <w14:textFill>
                  <w14:solidFill>
                    <w14:schemeClr w14:val="tx1"/>
                  </w14:solidFill>
                </w14:textFill>
              </w:rPr>
              <w:t>施工阶段</w:t>
            </w:r>
          </w:p>
        </w:tc>
        <w:tc>
          <w:tcPr>
            <w:tcW w:w="2688" w:type="dxa"/>
            <w:vAlign w:val="center"/>
          </w:tcPr>
          <w:p w14:paraId="713A54AE">
            <w:pPr>
              <w:spacing w:line="360" w:lineRule="exact"/>
              <w:ind w:firstLine="0" w:firstLineChars="0"/>
              <w:jc w:val="center"/>
              <w:rPr>
                <w:b/>
                <w:bCs/>
                <w:color w:val="000000" w:themeColor="text1"/>
                <w:highlight w:val="none"/>
                <w14:textFill>
                  <w14:solidFill>
                    <w14:schemeClr w14:val="tx1"/>
                  </w14:solidFill>
                </w14:textFill>
              </w:rPr>
            </w:pPr>
            <w:r>
              <w:rPr>
                <w:b/>
                <w:bCs/>
                <w:color w:val="000000" w:themeColor="text1"/>
                <w:sz w:val="21"/>
                <w:highlight w:val="none"/>
                <w14:textFill>
                  <w14:solidFill>
                    <w14:schemeClr w14:val="tx1"/>
                  </w14:solidFill>
                </w14:textFill>
              </w:rPr>
              <w:t>运输内容</w:t>
            </w:r>
          </w:p>
        </w:tc>
        <w:tc>
          <w:tcPr>
            <w:tcW w:w="2068" w:type="dxa"/>
            <w:vAlign w:val="center"/>
          </w:tcPr>
          <w:p w14:paraId="572C9F5E">
            <w:pPr>
              <w:spacing w:line="360" w:lineRule="exact"/>
              <w:ind w:firstLine="0" w:firstLineChars="0"/>
              <w:jc w:val="center"/>
              <w:rPr>
                <w:b/>
                <w:bCs/>
                <w:color w:val="000000" w:themeColor="text1"/>
                <w:highlight w:val="none"/>
                <w14:textFill>
                  <w14:solidFill>
                    <w14:schemeClr w14:val="tx1"/>
                  </w14:solidFill>
                </w14:textFill>
              </w:rPr>
            </w:pPr>
            <w:r>
              <w:rPr>
                <w:b/>
                <w:bCs/>
                <w:color w:val="000000" w:themeColor="text1"/>
                <w:sz w:val="21"/>
                <w:highlight w:val="none"/>
                <w14:textFill>
                  <w14:solidFill>
                    <w14:schemeClr w14:val="tx1"/>
                  </w14:solidFill>
                </w14:textFill>
              </w:rPr>
              <w:t>车辆类型</w:t>
            </w:r>
          </w:p>
        </w:tc>
        <w:tc>
          <w:tcPr>
            <w:tcW w:w="1913" w:type="dxa"/>
            <w:vAlign w:val="center"/>
          </w:tcPr>
          <w:p w14:paraId="1DB0D31D">
            <w:pPr>
              <w:spacing w:line="360" w:lineRule="exact"/>
              <w:ind w:firstLine="0" w:firstLineChars="0"/>
              <w:jc w:val="center"/>
              <w:rPr>
                <w:b/>
                <w:bCs/>
                <w:color w:val="000000" w:themeColor="text1"/>
                <w:highlight w:val="none"/>
                <w14:textFill>
                  <w14:solidFill>
                    <w14:schemeClr w14:val="tx1"/>
                  </w14:solidFill>
                </w14:textFill>
              </w:rPr>
            </w:pPr>
            <w:r>
              <w:rPr>
                <w:b/>
                <w:bCs/>
                <w:color w:val="000000" w:themeColor="text1"/>
                <w:sz w:val="21"/>
                <w:highlight w:val="none"/>
                <w14:textFill>
                  <w14:solidFill>
                    <w14:schemeClr w14:val="tx1"/>
                  </w14:solidFill>
                </w14:textFill>
              </w:rPr>
              <w:t>声源强度[dB（A）]</w:t>
            </w:r>
          </w:p>
        </w:tc>
      </w:tr>
      <w:tr w14:paraId="0F020B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50" w:type="dxa"/>
            <w:vAlign w:val="center"/>
          </w:tcPr>
          <w:p w14:paraId="39C85C83">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土石方阶段</w:t>
            </w:r>
          </w:p>
        </w:tc>
        <w:tc>
          <w:tcPr>
            <w:tcW w:w="2688" w:type="dxa"/>
            <w:vAlign w:val="center"/>
          </w:tcPr>
          <w:p w14:paraId="4698308F">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场内运输</w:t>
            </w:r>
          </w:p>
        </w:tc>
        <w:tc>
          <w:tcPr>
            <w:tcW w:w="2068" w:type="dxa"/>
            <w:vAlign w:val="center"/>
          </w:tcPr>
          <w:p w14:paraId="7DBD820C">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大型载重车</w:t>
            </w:r>
          </w:p>
        </w:tc>
        <w:tc>
          <w:tcPr>
            <w:tcW w:w="1913" w:type="dxa"/>
            <w:vAlign w:val="center"/>
          </w:tcPr>
          <w:p w14:paraId="0DFC1C70">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84～89</w:t>
            </w:r>
          </w:p>
        </w:tc>
      </w:tr>
      <w:tr w14:paraId="38135E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50" w:type="dxa"/>
            <w:vAlign w:val="center"/>
          </w:tcPr>
          <w:p w14:paraId="3063713D">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结构施工阶段</w:t>
            </w:r>
          </w:p>
        </w:tc>
        <w:tc>
          <w:tcPr>
            <w:tcW w:w="2688" w:type="dxa"/>
            <w:vAlign w:val="center"/>
          </w:tcPr>
          <w:p w14:paraId="6CB83142">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钢筋、商品混凝土</w:t>
            </w:r>
          </w:p>
        </w:tc>
        <w:tc>
          <w:tcPr>
            <w:tcW w:w="2068" w:type="dxa"/>
            <w:vAlign w:val="center"/>
          </w:tcPr>
          <w:p w14:paraId="4F2579F6">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混凝土罐车、载重车</w:t>
            </w:r>
          </w:p>
        </w:tc>
        <w:tc>
          <w:tcPr>
            <w:tcW w:w="1913" w:type="dxa"/>
            <w:vAlign w:val="center"/>
          </w:tcPr>
          <w:p w14:paraId="3C366702">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80～85</w:t>
            </w:r>
          </w:p>
        </w:tc>
      </w:tr>
      <w:tr w14:paraId="79D35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50" w:type="dxa"/>
            <w:vAlign w:val="center"/>
          </w:tcPr>
          <w:p w14:paraId="6CE77349">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设备安装阶段</w:t>
            </w:r>
          </w:p>
        </w:tc>
        <w:tc>
          <w:tcPr>
            <w:tcW w:w="2688" w:type="dxa"/>
            <w:vAlign w:val="center"/>
          </w:tcPr>
          <w:p w14:paraId="4086CF2E">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各种装修材料及必备设备</w:t>
            </w:r>
          </w:p>
        </w:tc>
        <w:tc>
          <w:tcPr>
            <w:tcW w:w="2068" w:type="dxa"/>
            <w:vAlign w:val="center"/>
          </w:tcPr>
          <w:p w14:paraId="579CCEBB">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轻型载重卡车</w:t>
            </w:r>
          </w:p>
        </w:tc>
        <w:tc>
          <w:tcPr>
            <w:tcW w:w="1913" w:type="dxa"/>
            <w:vAlign w:val="center"/>
          </w:tcPr>
          <w:p w14:paraId="621F35F2">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75～80</w:t>
            </w:r>
          </w:p>
        </w:tc>
      </w:tr>
    </w:tbl>
    <w:p w14:paraId="0BDE6495">
      <w:pPr>
        <w:spacing w:line="500" w:lineRule="exact"/>
        <w:ind w:firstLine="120" w:firstLineChars="50"/>
        <w:jc w:val="center"/>
        <w:rPr>
          <w:b/>
          <w:color w:val="000000" w:themeColor="text1"/>
          <w:kern w:val="0"/>
          <w:highlight w:val="none"/>
          <w14:textFill>
            <w14:solidFill>
              <w14:schemeClr w14:val="tx1"/>
            </w14:solidFill>
          </w14:textFill>
        </w:rPr>
      </w:pPr>
      <w:r>
        <w:rPr>
          <w:b/>
          <w:color w:val="000000" w:themeColor="text1"/>
          <w:kern w:val="0"/>
          <w:highlight w:val="none"/>
          <w14:textFill>
            <w14:solidFill>
              <w14:schemeClr w14:val="tx1"/>
            </w14:solidFill>
          </w14:textFill>
        </w:rPr>
        <w:t>表5.1-3    施工机械噪声测试值、预测值    单位：dB（A）</w:t>
      </w:r>
    </w:p>
    <w:tbl>
      <w:tblPr>
        <w:tblStyle w:val="32"/>
        <w:tblW w:w="851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08" w:type="dxa"/>
          <w:bottom w:w="0" w:type="dxa"/>
          <w:right w:w="108" w:type="dxa"/>
        </w:tblCellMar>
      </w:tblPr>
      <w:tblGrid>
        <w:gridCol w:w="1505"/>
        <w:gridCol w:w="648"/>
        <w:gridCol w:w="701"/>
        <w:gridCol w:w="700"/>
        <w:gridCol w:w="700"/>
        <w:gridCol w:w="700"/>
        <w:gridCol w:w="700"/>
        <w:gridCol w:w="700"/>
        <w:gridCol w:w="717"/>
        <w:gridCol w:w="717"/>
        <w:gridCol w:w="731"/>
      </w:tblGrid>
      <w:tr w14:paraId="111E3E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258" w:hRule="atLeast"/>
          <w:jc w:val="center"/>
        </w:trPr>
        <w:tc>
          <w:tcPr>
            <w:tcW w:w="1505" w:type="dxa"/>
            <w:vMerge w:val="restart"/>
            <w:tcBorders>
              <w:tl2br w:val="nil"/>
              <w:tr2bl w:val="nil"/>
            </w:tcBorders>
            <w:vAlign w:val="center"/>
          </w:tcPr>
          <w:p w14:paraId="1CBFB266">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设备名称</w:t>
            </w:r>
          </w:p>
        </w:tc>
        <w:tc>
          <w:tcPr>
            <w:tcW w:w="648" w:type="dxa"/>
            <w:vMerge w:val="restart"/>
            <w:tcBorders>
              <w:tl2br w:val="nil"/>
              <w:tr2bl w:val="nil"/>
            </w:tcBorders>
            <w:vAlign w:val="center"/>
          </w:tcPr>
          <w:p w14:paraId="2A4E58D4">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声级</w:t>
            </w:r>
          </w:p>
        </w:tc>
        <w:tc>
          <w:tcPr>
            <w:tcW w:w="6366" w:type="dxa"/>
            <w:gridSpan w:val="9"/>
            <w:tcBorders>
              <w:tl2br w:val="nil"/>
              <w:tr2bl w:val="nil"/>
            </w:tcBorders>
            <w:vAlign w:val="center"/>
          </w:tcPr>
          <w:p w14:paraId="687497A8">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不同距离处的噪声值</w:t>
            </w:r>
          </w:p>
        </w:tc>
      </w:tr>
      <w:tr w14:paraId="7E59F1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227" w:hRule="atLeast"/>
          <w:jc w:val="center"/>
        </w:trPr>
        <w:tc>
          <w:tcPr>
            <w:tcW w:w="1505" w:type="dxa"/>
            <w:vMerge w:val="continue"/>
            <w:tcBorders>
              <w:tl2br w:val="nil"/>
              <w:tr2bl w:val="nil"/>
            </w:tcBorders>
            <w:vAlign w:val="center"/>
          </w:tcPr>
          <w:p w14:paraId="270634BE">
            <w:pPr>
              <w:spacing w:line="360" w:lineRule="exact"/>
              <w:ind w:firstLine="0" w:firstLineChars="0"/>
              <w:jc w:val="center"/>
              <w:rPr>
                <w:b/>
                <w:bCs/>
                <w:color w:val="000000" w:themeColor="text1"/>
                <w:highlight w:val="none"/>
                <w14:textFill>
                  <w14:solidFill>
                    <w14:schemeClr w14:val="tx1"/>
                  </w14:solidFill>
                </w14:textFill>
              </w:rPr>
            </w:pPr>
          </w:p>
        </w:tc>
        <w:tc>
          <w:tcPr>
            <w:tcW w:w="648" w:type="dxa"/>
            <w:vMerge w:val="continue"/>
            <w:tcBorders>
              <w:tl2br w:val="nil"/>
              <w:tr2bl w:val="nil"/>
            </w:tcBorders>
            <w:vAlign w:val="center"/>
          </w:tcPr>
          <w:p w14:paraId="54FCD956">
            <w:pPr>
              <w:spacing w:line="360" w:lineRule="exact"/>
              <w:ind w:firstLine="0" w:firstLineChars="0"/>
              <w:jc w:val="center"/>
              <w:rPr>
                <w:b/>
                <w:bCs/>
                <w:color w:val="000000" w:themeColor="text1"/>
                <w:highlight w:val="none"/>
                <w14:textFill>
                  <w14:solidFill>
                    <w14:schemeClr w14:val="tx1"/>
                  </w14:solidFill>
                </w14:textFill>
              </w:rPr>
            </w:pPr>
          </w:p>
        </w:tc>
        <w:tc>
          <w:tcPr>
            <w:tcW w:w="701" w:type="dxa"/>
            <w:tcBorders>
              <w:tl2br w:val="nil"/>
              <w:tr2bl w:val="nil"/>
            </w:tcBorders>
            <w:vAlign w:val="center"/>
          </w:tcPr>
          <w:p w14:paraId="567A355F">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sz w:val="21"/>
                <w:szCs w:val="21"/>
                <w:highlight w:val="none"/>
                <w14:textFill>
                  <w14:solidFill>
                    <w14:schemeClr w14:val="tx1"/>
                  </w14:solidFill>
                </w14:textFill>
              </w:rPr>
              <w:t>5m</w:t>
            </w:r>
          </w:p>
        </w:tc>
        <w:tc>
          <w:tcPr>
            <w:tcW w:w="700" w:type="dxa"/>
            <w:tcBorders>
              <w:tl2br w:val="nil"/>
              <w:tr2bl w:val="nil"/>
            </w:tcBorders>
            <w:vAlign w:val="center"/>
          </w:tcPr>
          <w:p w14:paraId="457D1814">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10m</w:t>
            </w:r>
          </w:p>
        </w:tc>
        <w:tc>
          <w:tcPr>
            <w:tcW w:w="700" w:type="dxa"/>
            <w:tcBorders>
              <w:tl2br w:val="nil"/>
              <w:tr2bl w:val="nil"/>
            </w:tcBorders>
            <w:vAlign w:val="center"/>
          </w:tcPr>
          <w:p w14:paraId="059025C9">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sz w:val="21"/>
                <w:szCs w:val="21"/>
                <w:highlight w:val="none"/>
                <w14:textFill>
                  <w14:solidFill>
                    <w14:schemeClr w14:val="tx1"/>
                  </w14:solidFill>
                </w14:textFill>
              </w:rPr>
              <w:t>20m</w:t>
            </w:r>
          </w:p>
        </w:tc>
        <w:tc>
          <w:tcPr>
            <w:tcW w:w="700" w:type="dxa"/>
            <w:tcBorders>
              <w:tl2br w:val="nil"/>
              <w:tr2bl w:val="nil"/>
            </w:tcBorders>
            <w:vAlign w:val="center"/>
          </w:tcPr>
          <w:p w14:paraId="6AB717C7">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sz w:val="21"/>
                <w:szCs w:val="21"/>
                <w:highlight w:val="none"/>
                <w14:textFill>
                  <w14:solidFill>
                    <w14:schemeClr w14:val="tx1"/>
                  </w14:solidFill>
                </w14:textFill>
              </w:rPr>
              <w:t>40m</w:t>
            </w:r>
          </w:p>
        </w:tc>
        <w:tc>
          <w:tcPr>
            <w:tcW w:w="700" w:type="dxa"/>
            <w:tcBorders>
              <w:tl2br w:val="nil"/>
              <w:tr2bl w:val="nil"/>
            </w:tcBorders>
            <w:vAlign w:val="center"/>
          </w:tcPr>
          <w:p w14:paraId="60C1D9D5">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sz w:val="21"/>
                <w:szCs w:val="21"/>
                <w:highlight w:val="none"/>
                <w14:textFill>
                  <w14:solidFill>
                    <w14:schemeClr w14:val="tx1"/>
                  </w14:solidFill>
                </w14:textFill>
              </w:rPr>
              <w:t>60m</w:t>
            </w:r>
          </w:p>
        </w:tc>
        <w:tc>
          <w:tcPr>
            <w:tcW w:w="700" w:type="dxa"/>
            <w:tcBorders>
              <w:tl2br w:val="nil"/>
              <w:tr2bl w:val="nil"/>
            </w:tcBorders>
            <w:vAlign w:val="center"/>
          </w:tcPr>
          <w:p w14:paraId="65391E49">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sz w:val="21"/>
                <w:szCs w:val="21"/>
                <w:highlight w:val="none"/>
                <w14:textFill>
                  <w14:solidFill>
                    <w14:schemeClr w14:val="tx1"/>
                  </w14:solidFill>
                </w14:textFill>
              </w:rPr>
              <w:t>80m</w:t>
            </w:r>
          </w:p>
        </w:tc>
        <w:tc>
          <w:tcPr>
            <w:tcW w:w="717" w:type="dxa"/>
            <w:tcBorders>
              <w:tl2br w:val="nil"/>
              <w:tr2bl w:val="nil"/>
            </w:tcBorders>
            <w:vAlign w:val="center"/>
          </w:tcPr>
          <w:p w14:paraId="51F8E315">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100m</w:t>
            </w:r>
          </w:p>
        </w:tc>
        <w:tc>
          <w:tcPr>
            <w:tcW w:w="717" w:type="dxa"/>
            <w:tcBorders>
              <w:tl2br w:val="nil"/>
              <w:tr2bl w:val="nil"/>
            </w:tcBorders>
            <w:vAlign w:val="center"/>
          </w:tcPr>
          <w:p w14:paraId="5637C006">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150m</w:t>
            </w:r>
          </w:p>
        </w:tc>
        <w:tc>
          <w:tcPr>
            <w:tcW w:w="731" w:type="dxa"/>
            <w:tcBorders>
              <w:tl2br w:val="nil"/>
              <w:tr2bl w:val="nil"/>
            </w:tcBorders>
            <w:vAlign w:val="center"/>
          </w:tcPr>
          <w:p w14:paraId="49AC14F9">
            <w:pPr>
              <w:spacing w:line="360" w:lineRule="exact"/>
              <w:ind w:firstLine="0" w:firstLineChars="0"/>
              <w:jc w:val="center"/>
              <w:rPr>
                <w:b/>
                <w:bCs/>
                <w:color w:val="000000" w:themeColor="text1"/>
                <w:kern w:val="0"/>
                <w:highlight w:val="none"/>
                <w14:textFill>
                  <w14:solidFill>
                    <w14:schemeClr w14:val="tx1"/>
                  </w14:solidFill>
                </w14:textFill>
              </w:rPr>
            </w:pPr>
            <w:r>
              <w:rPr>
                <w:b/>
                <w:bCs/>
                <w:color w:val="000000" w:themeColor="text1"/>
                <w:sz w:val="21"/>
                <w:szCs w:val="21"/>
                <w:highlight w:val="none"/>
                <w14:textFill>
                  <w14:solidFill>
                    <w14:schemeClr w14:val="tx1"/>
                  </w14:solidFill>
                </w14:textFill>
              </w:rPr>
              <w:t>200m</w:t>
            </w:r>
          </w:p>
        </w:tc>
      </w:tr>
      <w:tr w14:paraId="6A8E3F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2FAFA9C2">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挖土机</w:t>
            </w:r>
          </w:p>
        </w:tc>
        <w:tc>
          <w:tcPr>
            <w:tcW w:w="648" w:type="dxa"/>
            <w:tcBorders>
              <w:tl2br w:val="nil"/>
              <w:tr2bl w:val="nil"/>
            </w:tcBorders>
            <w:vAlign w:val="center"/>
          </w:tcPr>
          <w:p w14:paraId="3DCE5122">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96</w:t>
            </w:r>
          </w:p>
        </w:tc>
        <w:tc>
          <w:tcPr>
            <w:tcW w:w="701" w:type="dxa"/>
            <w:tcBorders>
              <w:tl2br w:val="nil"/>
              <w:tr2bl w:val="nil"/>
            </w:tcBorders>
            <w:vAlign w:val="center"/>
          </w:tcPr>
          <w:p w14:paraId="73109E4B">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74</w:t>
            </w:r>
          </w:p>
        </w:tc>
        <w:tc>
          <w:tcPr>
            <w:tcW w:w="700" w:type="dxa"/>
            <w:tcBorders>
              <w:tl2br w:val="nil"/>
              <w:tr2bl w:val="nil"/>
            </w:tcBorders>
            <w:vAlign w:val="center"/>
          </w:tcPr>
          <w:p w14:paraId="439C6AD1">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68</w:t>
            </w:r>
          </w:p>
        </w:tc>
        <w:tc>
          <w:tcPr>
            <w:tcW w:w="700" w:type="dxa"/>
            <w:tcBorders>
              <w:tl2br w:val="nil"/>
              <w:tr2bl w:val="nil"/>
            </w:tcBorders>
            <w:vAlign w:val="center"/>
          </w:tcPr>
          <w:p w14:paraId="519DD884">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62</w:t>
            </w:r>
          </w:p>
        </w:tc>
        <w:tc>
          <w:tcPr>
            <w:tcW w:w="700" w:type="dxa"/>
            <w:tcBorders>
              <w:tl2br w:val="nil"/>
              <w:tr2bl w:val="nil"/>
            </w:tcBorders>
            <w:vAlign w:val="center"/>
          </w:tcPr>
          <w:p w14:paraId="610EC75E">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w:t>
            </w:r>
            <w:r>
              <w:rPr>
                <w:rFonts w:hint="eastAsia"/>
                <w:color w:val="000000" w:themeColor="text1"/>
                <w:kern w:val="0"/>
                <w:sz w:val="21"/>
                <w:szCs w:val="21"/>
                <w:highlight w:val="none"/>
                <w:lang w:val="en-US" w:eastAsia="zh-CN"/>
                <w14:textFill>
                  <w14:solidFill>
                    <w14:schemeClr w14:val="tx1"/>
                  </w14:solidFill>
                </w14:textFill>
              </w:rPr>
              <w:t>6</w:t>
            </w:r>
          </w:p>
        </w:tc>
        <w:tc>
          <w:tcPr>
            <w:tcW w:w="700" w:type="dxa"/>
            <w:tcBorders>
              <w:tl2br w:val="nil"/>
              <w:tr2bl w:val="nil"/>
            </w:tcBorders>
            <w:vAlign w:val="center"/>
          </w:tcPr>
          <w:p w14:paraId="3EBFC11B">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52.</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7F17F4AE">
            <w:pPr>
              <w:spacing w:line="360" w:lineRule="exact"/>
              <w:ind w:firstLine="0" w:firstLineChars="0"/>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50</w:t>
            </w:r>
          </w:p>
        </w:tc>
        <w:tc>
          <w:tcPr>
            <w:tcW w:w="717" w:type="dxa"/>
            <w:tcBorders>
              <w:tl2br w:val="nil"/>
              <w:tr2bl w:val="nil"/>
            </w:tcBorders>
            <w:vAlign w:val="center"/>
          </w:tcPr>
          <w:p w14:paraId="5CB928EC">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48</w:t>
            </w:r>
          </w:p>
        </w:tc>
        <w:tc>
          <w:tcPr>
            <w:tcW w:w="717" w:type="dxa"/>
            <w:tcBorders>
              <w:tl2br w:val="nil"/>
              <w:tr2bl w:val="nil"/>
            </w:tcBorders>
            <w:vAlign w:val="center"/>
          </w:tcPr>
          <w:p w14:paraId="44DDAE9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44</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vAlign w:val="center"/>
          </w:tcPr>
          <w:p w14:paraId="6AB53CAD">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42</w:t>
            </w:r>
          </w:p>
        </w:tc>
      </w:tr>
      <w:tr w14:paraId="08BE49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42D1AF4D">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冲击机</w:t>
            </w:r>
          </w:p>
        </w:tc>
        <w:tc>
          <w:tcPr>
            <w:tcW w:w="648" w:type="dxa"/>
            <w:tcBorders>
              <w:tl2br w:val="nil"/>
              <w:tr2bl w:val="nil"/>
            </w:tcBorders>
            <w:vAlign w:val="center"/>
          </w:tcPr>
          <w:p w14:paraId="1AD42E91">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95</w:t>
            </w:r>
          </w:p>
        </w:tc>
        <w:tc>
          <w:tcPr>
            <w:tcW w:w="701" w:type="dxa"/>
            <w:tcBorders>
              <w:tl2br w:val="nil"/>
              <w:tr2bl w:val="nil"/>
            </w:tcBorders>
            <w:vAlign w:val="center"/>
          </w:tcPr>
          <w:p w14:paraId="1123C099">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73</w:t>
            </w:r>
          </w:p>
        </w:tc>
        <w:tc>
          <w:tcPr>
            <w:tcW w:w="700" w:type="dxa"/>
            <w:tcBorders>
              <w:tl2br w:val="nil"/>
              <w:tr2bl w:val="nil"/>
            </w:tcBorders>
            <w:vAlign w:val="center"/>
          </w:tcPr>
          <w:p w14:paraId="25CAB57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67</w:t>
            </w:r>
          </w:p>
        </w:tc>
        <w:tc>
          <w:tcPr>
            <w:tcW w:w="700" w:type="dxa"/>
            <w:tcBorders>
              <w:tl2br w:val="nil"/>
              <w:tr2bl w:val="nil"/>
            </w:tcBorders>
            <w:vAlign w:val="center"/>
          </w:tcPr>
          <w:p w14:paraId="5CB85388">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61</w:t>
            </w:r>
          </w:p>
        </w:tc>
        <w:tc>
          <w:tcPr>
            <w:tcW w:w="700" w:type="dxa"/>
            <w:tcBorders>
              <w:tl2br w:val="nil"/>
              <w:tr2bl w:val="nil"/>
            </w:tcBorders>
            <w:vAlign w:val="center"/>
          </w:tcPr>
          <w:p w14:paraId="273A4C49">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7A2CF041">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51.</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420E2282">
            <w:pPr>
              <w:spacing w:line="360" w:lineRule="exact"/>
              <w:ind w:firstLine="0" w:firstLineChars="0"/>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49</w:t>
            </w:r>
          </w:p>
        </w:tc>
        <w:tc>
          <w:tcPr>
            <w:tcW w:w="717" w:type="dxa"/>
            <w:tcBorders>
              <w:tl2br w:val="nil"/>
              <w:tr2bl w:val="nil"/>
            </w:tcBorders>
            <w:vAlign w:val="center"/>
          </w:tcPr>
          <w:p w14:paraId="7DC6C58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47</w:t>
            </w:r>
          </w:p>
        </w:tc>
        <w:tc>
          <w:tcPr>
            <w:tcW w:w="717" w:type="dxa"/>
            <w:tcBorders>
              <w:tl2br w:val="nil"/>
              <w:tr2bl w:val="nil"/>
            </w:tcBorders>
            <w:vAlign w:val="center"/>
          </w:tcPr>
          <w:p w14:paraId="4B7EB811">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43</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vAlign w:val="center"/>
          </w:tcPr>
          <w:p w14:paraId="45BA5CE2">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41</w:t>
            </w:r>
          </w:p>
        </w:tc>
      </w:tr>
      <w:tr w14:paraId="234E25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1F2F1433">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空压机</w:t>
            </w:r>
          </w:p>
        </w:tc>
        <w:tc>
          <w:tcPr>
            <w:tcW w:w="648" w:type="dxa"/>
            <w:tcBorders>
              <w:tl2br w:val="nil"/>
              <w:tr2bl w:val="nil"/>
            </w:tcBorders>
            <w:vAlign w:val="center"/>
          </w:tcPr>
          <w:p w14:paraId="0C3F89DA">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85</w:t>
            </w:r>
          </w:p>
        </w:tc>
        <w:tc>
          <w:tcPr>
            <w:tcW w:w="701" w:type="dxa"/>
            <w:tcBorders>
              <w:tl2br w:val="nil"/>
              <w:tr2bl w:val="nil"/>
            </w:tcBorders>
            <w:vAlign w:val="center"/>
          </w:tcPr>
          <w:p w14:paraId="726D4545">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63</w:t>
            </w:r>
          </w:p>
        </w:tc>
        <w:tc>
          <w:tcPr>
            <w:tcW w:w="700" w:type="dxa"/>
            <w:tcBorders>
              <w:tl2br w:val="nil"/>
              <w:tr2bl w:val="nil"/>
            </w:tcBorders>
            <w:vAlign w:val="center"/>
          </w:tcPr>
          <w:p w14:paraId="4A02D41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57</w:t>
            </w:r>
          </w:p>
        </w:tc>
        <w:tc>
          <w:tcPr>
            <w:tcW w:w="700" w:type="dxa"/>
            <w:tcBorders>
              <w:tl2br w:val="nil"/>
              <w:tr2bl w:val="nil"/>
            </w:tcBorders>
            <w:vAlign w:val="center"/>
          </w:tcPr>
          <w:p w14:paraId="3ECD83B0">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51</w:t>
            </w:r>
          </w:p>
        </w:tc>
        <w:tc>
          <w:tcPr>
            <w:tcW w:w="700" w:type="dxa"/>
            <w:tcBorders>
              <w:tl2br w:val="nil"/>
              <w:tr2bl w:val="nil"/>
            </w:tcBorders>
            <w:vAlign w:val="center"/>
          </w:tcPr>
          <w:p w14:paraId="3FA4D42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3E50E6A1">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41.</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6AB58166">
            <w:pPr>
              <w:spacing w:line="360" w:lineRule="exact"/>
              <w:ind w:firstLine="0" w:firstLineChars="0"/>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39</w:t>
            </w:r>
          </w:p>
        </w:tc>
        <w:tc>
          <w:tcPr>
            <w:tcW w:w="717" w:type="dxa"/>
            <w:tcBorders>
              <w:tl2br w:val="nil"/>
              <w:tr2bl w:val="nil"/>
            </w:tcBorders>
            <w:vAlign w:val="center"/>
          </w:tcPr>
          <w:p w14:paraId="15459321">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37</w:t>
            </w:r>
          </w:p>
        </w:tc>
        <w:tc>
          <w:tcPr>
            <w:tcW w:w="717" w:type="dxa"/>
            <w:tcBorders>
              <w:tl2br w:val="nil"/>
              <w:tr2bl w:val="nil"/>
            </w:tcBorders>
            <w:vAlign w:val="center"/>
          </w:tcPr>
          <w:p w14:paraId="42A01724">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33</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vAlign w:val="center"/>
          </w:tcPr>
          <w:p w14:paraId="3AF2F2C7">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31</w:t>
            </w:r>
          </w:p>
        </w:tc>
      </w:tr>
      <w:tr w14:paraId="750BBF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46E3133B">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压缩机</w:t>
            </w:r>
          </w:p>
        </w:tc>
        <w:tc>
          <w:tcPr>
            <w:tcW w:w="648" w:type="dxa"/>
            <w:tcBorders>
              <w:tl2br w:val="nil"/>
              <w:tr2bl w:val="nil"/>
            </w:tcBorders>
            <w:vAlign w:val="center"/>
          </w:tcPr>
          <w:p w14:paraId="36796C0E">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88</w:t>
            </w:r>
          </w:p>
        </w:tc>
        <w:tc>
          <w:tcPr>
            <w:tcW w:w="701" w:type="dxa"/>
            <w:tcBorders>
              <w:tl2br w:val="nil"/>
              <w:tr2bl w:val="nil"/>
            </w:tcBorders>
            <w:vAlign w:val="center"/>
          </w:tcPr>
          <w:p w14:paraId="45498DE0">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66</w:t>
            </w:r>
          </w:p>
        </w:tc>
        <w:tc>
          <w:tcPr>
            <w:tcW w:w="700" w:type="dxa"/>
            <w:tcBorders>
              <w:tl2br w:val="nil"/>
              <w:tr2bl w:val="nil"/>
            </w:tcBorders>
            <w:vAlign w:val="center"/>
          </w:tcPr>
          <w:p w14:paraId="1D8F0CB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60</w:t>
            </w:r>
          </w:p>
        </w:tc>
        <w:tc>
          <w:tcPr>
            <w:tcW w:w="700" w:type="dxa"/>
            <w:tcBorders>
              <w:tl2br w:val="nil"/>
              <w:tr2bl w:val="nil"/>
            </w:tcBorders>
            <w:vAlign w:val="center"/>
          </w:tcPr>
          <w:p w14:paraId="67C6DC60">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54</w:t>
            </w:r>
          </w:p>
        </w:tc>
        <w:tc>
          <w:tcPr>
            <w:tcW w:w="700" w:type="dxa"/>
            <w:tcBorders>
              <w:tl2br w:val="nil"/>
              <w:tr2bl w:val="nil"/>
            </w:tcBorders>
            <w:vAlign w:val="center"/>
          </w:tcPr>
          <w:p w14:paraId="733F1769">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w:t>
            </w:r>
            <w:r>
              <w:rPr>
                <w:rFonts w:hint="eastAsia"/>
                <w:color w:val="000000" w:themeColor="text1"/>
                <w:kern w:val="0"/>
                <w:sz w:val="21"/>
                <w:szCs w:val="21"/>
                <w:highlight w:val="none"/>
                <w:lang w:val="en-US" w:eastAsia="zh-CN"/>
                <w14:textFill>
                  <w14:solidFill>
                    <w14:schemeClr w14:val="tx1"/>
                  </w14:solidFill>
                </w14:textFill>
              </w:rPr>
              <w:t>8</w:t>
            </w:r>
          </w:p>
        </w:tc>
        <w:tc>
          <w:tcPr>
            <w:tcW w:w="700" w:type="dxa"/>
            <w:tcBorders>
              <w:tl2br w:val="nil"/>
              <w:tr2bl w:val="nil"/>
            </w:tcBorders>
            <w:vAlign w:val="center"/>
          </w:tcPr>
          <w:p w14:paraId="7D2D7394">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44.</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7EC3BEF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w:t>
            </w:r>
            <w:r>
              <w:rPr>
                <w:rFonts w:hint="eastAsia"/>
                <w:color w:val="000000" w:themeColor="text1"/>
                <w:kern w:val="0"/>
                <w:sz w:val="21"/>
                <w:szCs w:val="21"/>
                <w:highlight w:val="none"/>
                <w:lang w:val="en-US" w:eastAsia="zh-CN"/>
                <w14:textFill>
                  <w14:solidFill>
                    <w14:schemeClr w14:val="tx1"/>
                  </w14:solidFill>
                </w14:textFill>
              </w:rPr>
              <w:t>2</w:t>
            </w:r>
          </w:p>
        </w:tc>
        <w:tc>
          <w:tcPr>
            <w:tcW w:w="717" w:type="dxa"/>
            <w:tcBorders>
              <w:tl2br w:val="nil"/>
              <w:tr2bl w:val="nil"/>
            </w:tcBorders>
            <w:vAlign w:val="center"/>
          </w:tcPr>
          <w:p w14:paraId="77DCA805">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40</w:t>
            </w:r>
          </w:p>
        </w:tc>
        <w:tc>
          <w:tcPr>
            <w:tcW w:w="717" w:type="dxa"/>
            <w:tcBorders>
              <w:tl2br w:val="nil"/>
              <w:tr2bl w:val="nil"/>
            </w:tcBorders>
            <w:vAlign w:val="center"/>
          </w:tcPr>
          <w:p w14:paraId="418AACBC">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36</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vAlign w:val="center"/>
          </w:tcPr>
          <w:p w14:paraId="177BB662">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34</w:t>
            </w:r>
          </w:p>
        </w:tc>
      </w:tr>
      <w:tr w14:paraId="4BA99A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06F96C91">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振捣器</w:t>
            </w:r>
          </w:p>
        </w:tc>
        <w:tc>
          <w:tcPr>
            <w:tcW w:w="648" w:type="dxa"/>
            <w:tcBorders>
              <w:tl2br w:val="nil"/>
              <w:tr2bl w:val="nil"/>
            </w:tcBorders>
            <w:vAlign w:val="center"/>
          </w:tcPr>
          <w:p w14:paraId="4248A67E">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105</w:t>
            </w:r>
          </w:p>
        </w:tc>
        <w:tc>
          <w:tcPr>
            <w:tcW w:w="701" w:type="dxa"/>
            <w:tcBorders>
              <w:tl2br w:val="nil"/>
              <w:tr2bl w:val="nil"/>
            </w:tcBorders>
            <w:vAlign w:val="center"/>
          </w:tcPr>
          <w:p w14:paraId="429AB707">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83</w:t>
            </w:r>
          </w:p>
        </w:tc>
        <w:tc>
          <w:tcPr>
            <w:tcW w:w="700" w:type="dxa"/>
            <w:tcBorders>
              <w:tl2br w:val="nil"/>
              <w:tr2bl w:val="nil"/>
            </w:tcBorders>
            <w:vAlign w:val="center"/>
          </w:tcPr>
          <w:p w14:paraId="664A2224">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77</w:t>
            </w:r>
          </w:p>
        </w:tc>
        <w:tc>
          <w:tcPr>
            <w:tcW w:w="700" w:type="dxa"/>
            <w:tcBorders>
              <w:tl2br w:val="nil"/>
              <w:tr2bl w:val="nil"/>
            </w:tcBorders>
            <w:vAlign w:val="center"/>
          </w:tcPr>
          <w:p w14:paraId="24F817AC">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71</w:t>
            </w:r>
          </w:p>
        </w:tc>
        <w:tc>
          <w:tcPr>
            <w:tcW w:w="700" w:type="dxa"/>
            <w:tcBorders>
              <w:tl2br w:val="nil"/>
              <w:tr2bl w:val="nil"/>
            </w:tcBorders>
            <w:vAlign w:val="center"/>
          </w:tcPr>
          <w:p w14:paraId="7733653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649595CB">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61.</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3AE3E76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w:t>
            </w:r>
            <w:r>
              <w:rPr>
                <w:rFonts w:hint="eastAsia"/>
                <w:color w:val="000000" w:themeColor="text1"/>
                <w:kern w:val="0"/>
                <w:sz w:val="21"/>
                <w:szCs w:val="21"/>
                <w:highlight w:val="none"/>
                <w:lang w:val="en-US" w:eastAsia="zh-CN"/>
                <w14:textFill>
                  <w14:solidFill>
                    <w14:schemeClr w14:val="tx1"/>
                  </w14:solidFill>
                </w14:textFill>
              </w:rPr>
              <w:t>9</w:t>
            </w:r>
          </w:p>
        </w:tc>
        <w:tc>
          <w:tcPr>
            <w:tcW w:w="717" w:type="dxa"/>
            <w:tcBorders>
              <w:tl2br w:val="nil"/>
              <w:tr2bl w:val="nil"/>
            </w:tcBorders>
            <w:vAlign w:val="center"/>
          </w:tcPr>
          <w:p w14:paraId="11350AA7">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57</w:t>
            </w:r>
          </w:p>
        </w:tc>
        <w:tc>
          <w:tcPr>
            <w:tcW w:w="717" w:type="dxa"/>
            <w:tcBorders>
              <w:tl2br w:val="nil"/>
              <w:tr2bl w:val="nil"/>
            </w:tcBorders>
            <w:vAlign w:val="center"/>
          </w:tcPr>
          <w:p w14:paraId="68083244">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53</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vAlign w:val="center"/>
          </w:tcPr>
          <w:p w14:paraId="30C3516C">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51</w:t>
            </w:r>
          </w:p>
        </w:tc>
      </w:tr>
      <w:tr w14:paraId="16129C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56D632B3">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电锯</w:t>
            </w:r>
          </w:p>
        </w:tc>
        <w:tc>
          <w:tcPr>
            <w:tcW w:w="648" w:type="dxa"/>
            <w:tcBorders>
              <w:tl2br w:val="nil"/>
              <w:tr2bl w:val="nil"/>
            </w:tcBorders>
          </w:tcPr>
          <w:p w14:paraId="282192E4">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105</w:t>
            </w:r>
          </w:p>
        </w:tc>
        <w:tc>
          <w:tcPr>
            <w:tcW w:w="701" w:type="dxa"/>
            <w:tcBorders>
              <w:tl2br w:val="nil"/>
              <w:tr2bl w:val="nil"/>
            </w:tcBorders>
            <w:vAlign w:val="center"/>
          </w:tcPr>
          <w:p w14:paraId="0B6F974C">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83</w:t>
            </w:r>
          </w:p>
        </w:tc>
        <w:tc>
          <w:tcPr>
            <w:tcW w:w="700" w:type="dxa"/>
            <w:tcBorders>
              <w:tl2br w:val="nil"/>
              <w:tr2bl w:val="nil"/>
            </w:tcBorders>
            <w:vAlign w:val="center"/>
          </w:tcPr>
          <w:p w14:paraId="22D1B429">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77</w:t>
            </w:r>
          </w:p>
        </w:tc>
        <w:tc>
          <w:tcPr>
            <w:tcW w:w="700" w:type="dxa"/>
            <w:tcBorders>
              <w:tl2br w:val="nil"/>
              <w:tr2bl w:val="nil"/>
            </w:tcBorders>
            <w:vAlign w:val="center"/>
          </w:tcPr>
          <w:p w14:paraId="2B50DC7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71</w:t>
            </w:r>
          </w:p>
        </w:tc>
        <w:tc>
          <w:tcPr>
            <w:tcW w:w="700" w:type="dxa"/>
            <w:tcBorders>
              <w:tl2br w:val="nil"/>
              <w:tr2bl w:val="nil"/>
            </w:tcBorders>
            <w:vAlign w:val="center"/>
          </w:tcPr>
          <w:p w14:paraId="0D5D2968">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32817AB2">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61.</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037CC590">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w:t>
            </w:r>
            <w:r>
              <w:rPr>
                <w:rFonts w:hint="eastAsia"/>
                <w:color w:val="000000" w:themeColor="text1"/>
                <w:kern w:val="0"/>
                <w:sz w:val="21"/>
                <w:szCs w:val="21"/>
                <w:highlight w:val="none"/>
                <w:lang w:val="en-US" w:eastAsia="zh-CN"/>
                <w14:textFill>
                  <w14:solidFill>
                    <w14:schemeClr w14:val="tx1"/>
                  </w14:solidFill>
                </w14:textFill>
              </w:rPr>
              <w:t>9</w:t>
            </w:r>
          </w:p>
        </w:tc>
        <w:tc>
          <w:tcPr>
            <w:tcW w:w="717" w:type="dxa"/>
            <w:tcBorders>
              <w:tl2br w:val="nil"/>
              <w:tr2bl w:val="nil"/>
            </w:tcBorders>
            <w:vAlign w:val="center"/>
          </w:tcPr>
          <w:p w14:paraId="5923AD79">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57</w:t>
            </w:r>
          </w:p>
        </w:tc>
        <w:tc>
          <w:tcPr>
            <w:tcW w:w="717" w:type="dxa"/>
            <w:tcBorders>
              <w:tl2br w:val="nil"/>
              <w:tr2bl w:val="nil"/>
            </w:tcBorders>
            <w:vAlign w:val="center"/>
          </w:tcPr>
          <w:p w14:paraId="27500163">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53</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vAlign w:val="center"/>
          </w:tcPr>
          <w:p w14:paraId="4DF9082C">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51</w:t>
            </w:r>
          </w:p>
        </w:tc>
      </w:tr>
      <w:tr w14:paraId="4BA342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22ED0564">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电焊机</w:t>
            </w:r>
          </w:p>
        </w:tc>
        <w:tc>
          <w:tcPr>
            <w:tcW w:w="648" w:type="dxa"/>
            <w:tcBorders>
              <w:tl2br w:val="nil"/>
              <w:tr2bl w:val="nil"/>
            </w:tcBorders>
          </w:tcPr>
          <w:p w14:paraId="31CD78B2">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95</w:t>
            </w:r>
          </w:p>
        </w:tc>
        <w:tc>
          <w:tcPr>
            <w:tcW w:w="701" w:type="dxa"/>
            <w:tcBorders>
              <w:tl2br w:val="nil"/>
              <w:tr2bl w:val="nil"/>
            </w:tcBorders>
            <w:vAlign w:val="center"/>
          </w:tcPr>
          <w:p w14:paraId="0994481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73</w:t>
            </w:r>
          </w:p>
        </w:tc>
        <w:tc>
          <w:tcPr>
            <w:tcW w:w="700" w:type="dxa"/>
            <w:tcBorders>
              <w:tl2br w:val="nil"/>
              <w:tr2bl w:val="nil"/>
            </w:tcBorders>
            <w:vAlign w:val="center"/>
          </w:tcPr>
          <w:p w14:paraId="2268A84D">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67</w:t>
            </w:r>
          </w:p>
        </w:tc>
        <w:tc>
          <w:tcPr>
            <w:tcW w:w="700" w:type="dxa"/>
            <w:tcBorders>
              <w:tl2br w:val="nil"/>
              <w:tr2bl w:val="nil"/>
            </w:tcBorders>
            <w:vAlign w:val="center"/>
          </w:tcPr>
          <w:p w14:paraId="0712F90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61</w:t>
            </w:r>
          </w:p>
        </w:tc>
        <w:tc>
          <w:tcPr>
            <w:tcW w:w="700" w:type="dxa"/>
            <w:tcBorders>
              <w:tl2br w:val="nil"/>
              <w:tr2bl w:val="nil"/>
            </w:tcBorders>
            <w:vAlign w:val="center"/>
          </w:tcPr>
          <w:p w14:paraId="299520C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63A5C34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51.</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3DDC9554">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w:t>
            </w:r>
            <w:r>
              <w:rPr>
                <w:rFonts w:hint="eastAsia"/>
                <w:color w:val="000000" w:themeColor="text1"/>
                <w:kern w:val="0"/>
                <w:sz w:val="21"/>
                <w:szCs w:val="21"/>
                <w:highlight w:val="none"/>
                <w:lang w:val="en-US" w:eastAsia="zh-CN"/>
                <w14:textFill>
                  <w14:solidFill>
                    <w14:schemeClr w14:val="tx1"/>
                  </w14:solidFill>
                </w14:textFill>
              </w:rPr>
              <w:t>9</w:t>
            </w:r>
          </w:p>
        </w:tc>
        <w:tc>
          <w:tcPr>
            <w:tcW w:w="717" w:type="dxa"/>
            <w:tcBorders>
              <w:tl2br w:val="nil"/>
              <w:tr2bl w:val="nil"/>
            </w:tcBorders>
            <w:vAlign w:val="center"/>
          </w:tcPr>
          <w:p w14:paraId="1D711795">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47</w:t>
            </w:r>
          </w:p>
        </w:tc>
        <w:tc>
          <w:tcPr>
            <w:tcW w:w="717" w:type="dxa"/>
            <w:tcBorders>
              <w:tl2br w:val="nil"/>
              <w:tr2bl w:val="nil"/>
            </w:tcBorders>
            <w:vAlign w:val="center"/>
          </w:tcPr>
          <w:p w14:paraId="56322494">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43</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vAlign w:val="center"/>
          </w:tcPr>
          <w:p w14:paraId="0836C163">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41</w:t>
            </w:r>
          </w:p>
        </w:tc>
      </w:tr>
      <w:tr w14:paraId="76CA4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50905DC6">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空压机</w:t>
            </w:r>
          </w:p>
        </w:tc>
        <w:tc>
          <w:tcPr>
            <w:tcW w:w="648" w:type="dxa"/>
            <w:tcBorders>
              <w:tl2br w:val="nil"/>
              <w:tr2bl w:val="nil"/>
            </w:tcBorders>
          </w:tcPr>
          <w:p w14:paraId="1735B197">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85</w:t>
            </w:r>
          </w:p>
        </w:tc>
        <w:tc>
          <w:tcPr>
            <w:tcW w:w="701" w:type="dxa"/>
            <w:tcBorders>
              <w:tl2br w:val="nil"/>
              <w:tr2bl w:val="nil"/>
            </w:tcBorders>
            <w:vAlign w:val="center"/>
          </w:tcPr>
          <w:p w14:paraId="37B00D68">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63</w:t>
            </w:r>
          </w:p>
        </w:tc>
        <w:tc>
          <w:tcPr>
            <w:tcW w:w="700" w:type="dxa"/>
            <w:tcBorders>
              <w:tl2br w:val="nil"/>
              <w:tr2bl w:val="nil"/>
            </w:tcBorders>
            <w:vAlign w:val="center"/>
          </w:tcPr>
          <w:p w14:paraId="3AE64015">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57</w:t>
            </w:r>
          </w:p>
        </w:tc>
        <w:tc>
          <w:tcPr>
            <w:tcW w:w="700" w:type="dxa"/>
            <w:tcBorders>
              <w:tl2br w:val="nil"/>
              <w:tr2bl w:val="nil"/>
            </w:tcBorders>
            <w:vAlign w:val="center"/>
          </w:tcPr>
          <w:p w14:paraId="23A2BFD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51</w:t>
            </w:r>
          </w:p>
        </w:tc>
        <w:tc>
          <w:tcPr>
            <w:tcW w:w="700" w:type="dxa"/>
            <w:tcBorders>
              <w:tl2br w:val="nil"/>
              <w:tr2bl w:val="nil"/>
            </w:tcBorders>
            <w:vAlign w:val="center"/>
          </w:tcPr>
          <w:p w14:paraId="7566B059">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42CD65C5">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41.</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65357399">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3</w:t>
            </w:r>
            <w:r>
              <w:rPr>
                <w:rFonts w:hint="eastAsia"/>
                <w:color w:val="000000" w:themeColor="text1"/>
                <w:kern w:val="0"/>
                <w:sz w:val="21"/>
                <w:szCs w:val="21"/>
                <w:highlight w:val="none"/>
                <w:lang w:val="en-US" w:eastAsia="zh-CN"/>
                <w14:textFill>
                  <w14:solidFill>
                    <w14:schemeClr w14:val="tx1"/>
                  </w14:solidFill>
                </w14:textFill>
              </w:rPr>
              <w:t>9</w:t>
            </w:r>
          </w:p>
        </w:tc>
        <w:tc>
          <w:tcPr>
            <w:tcW w:w="717" w:type="dxa"/>
            <w:tcBorders>
              <w:tl2br w:val="nil"/>
              <w:tr2bl w:val="nil"/>
            </w:tcBorders>
            <w:vAlign w:val="center"/>
          </w:tcPr>
          <w:p w14:paraId="1CDAE582">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37</w:t>
            </w:r>
          </w:p>
        </w:tc>
        <w:tc>
          <w:tcPr>
            <w:tcW w:w="717" w:type="dxa"/>
            <w:tcBorders>
              <w:tl2br w:val="nil"/>
              <w:tr2bl w:val="nil"/>
            </w:tcBorders>
            <w:vAlign w:val="center"/>
          </w:tcPr>
          <w:p w14:paraId="7D33D9A1">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33</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vAlign w:val="center"/>
          </w:tcPr>
          <w:p w14:paraId="1B08982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31</w:t>
            </w:r>
          </w:p>
        </w:tc>
      </w:tr>
      <w:tr w14:paraId="0EC33C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6E1A1726">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电钻</w:t>
            </w:r>
          </w:p>
        </w:tc>
        <w:tc>
          <w:tcPr>
            <w:tcW w:w="648" w:type="dxa"/>
            <w:tcBorders>
              <w:tl2br w:val="nil"/>
              <w:tr2bl w:val="nil"/>
            </w:tcBorders>
          </w:tcPr>
          <w:p w14:paraId="747E0F4F">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105</w:t>
            </w:r>
          </w:p>
        </w:tc>
        <w:tc>
          <w:tcPr>
            <w:tcW w:w="701" w:type="dxa"/>
            <w:tcBorders>
              <w:tl2br w:val="nil"/>
              <w:tr2bl w:val="nil"/>
            </w:tcBorders>
            <w:vAlign w:val="center"/>
          </w:tcPr>
          <w:p w14:paraId="4FC5C35B">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83</w:t>
            </w:r>
          </w:p>
        </w:tc>
        <w:tc>
          <w:tcPr>
            <w:tcW w:w="700" w:type="dxa"/>
            <w:tcBorders>
              <w:tl2br w:val="nil"/>
              <w:tr2bl w:val="nil"/>
            </w:tcBorders>
            <w:vAlign w:val="center"/>
          </w:tcPr>
          <w:p w14:paraId="68D5D3D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77</w:t>
            </w:r>
          </w:p>
        </w:tc>
        <w:tc>
          <w:tcPr>
            <w:tcW w:w="700" w:type="dxa"/>
            <w:tcBorders>
              <w:tl2br w:val="nil"/>
              <w:tr2bl w:val="nil"/>
            </w:tcBorders>
            <w:vAlign w:val="center"/>
          </w:tcPr>
          <w:p w14:paraId="0E7893FE">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71</w:t>
            </w:r>
          </w:p>
        </w:tc>
        <w:tc>
          <w:tcPr>
            <w:tcW w:w="700" w:type="dxa"/>
            <w:tcBorders>
              <w:tl2br w:val="nil"/>
              <w:tr2bl w:val="nil"/>
            </w:tcBorders>
            <w:vAlign w:val="center"/>
          </w:tcPr>
          <w:p w14:paraId="71C1D1D4">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457A750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61.</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4E1C7FA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w:t>
            </w:r>
            <w:r>
              <w:rPr>
                <w:rFonts w:hint="eastAsia"/>
                <w:color w:val="000000" w:themeColor="text1"/>
                <w:kern w:val="0"/>
                <w:sz w:val="21"/>
                <w:szCs w:val="21"/>
                <w:highlight w:val="none"/>
                <w:lang w:val="en-US" w:eastAsia="zh-CN"/>
                <w14:textFill>
                  <w14:solidFill>
                    <w14:schemeClr w14:val="tx1"/>
                  </w14:solidFill>
                </w14:textFill>
              </w:rPr>
              <w:t>9</w:t>
            </w:r>
          </w:p>
        </w:tc>
        <w:tc>
          <w:tcPr>
            <w:tcW w:w="717" w:type="dxa"/>
            <w:tcBorders>
              <w:tl2br w:val="nil"/>
              <w:tr2bl w:val="nil"/>
            </w:tcBorders>
            <w:vAlign w:val="center"/>
          </w:tcPr>
          <w:p w14:paraId="391CC450">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57</w:t>
            </w:r>
          </w:p>
        </w:tc>
        <w:tc>
          <w:tcPr>
            <w:tcW w:w="717" w:type="dxa"/>
            <w:tcBorders>
              <w:tl2br w:val="nil"/>
              <w:tr2bl w:val="nil"/>
            </w:tcBorders>
            <w:vAlign w:val="center"/>
          </w:tcPr>
          <w:p w14:paraId="155ADA69">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53</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vAlign w:val="center"/>
          </w:tcPr>
          <w:p w14:paraId="49D007DB">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51</w:t>
            </w:r>
          </w:p>
        </w:tc>
      </w:tr>
      <w:tr w14:paraId="50F44E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423B5379">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电锤</w:t>
            </w:r>
          </w:p>
        </w:tc>
        <w:tc>
          <w:tcPr>
            <w:tcW w:w="648" w:type="dxa"/>
            <w:tcBorders>
              <w:tl2br w:val="nil"/>
              <w:tr2bl w:val="nil"/>
            </w:tcBorders>
          </w:tcPr>
          <w:p w14:paraId="5CADD991">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105</w:t>
            </w:r>
          </w:p>
        </w:tc>
        <w:tc>
          <w:tcPr>
            <w:tcW w:w="701" w:type="dxa"/>
            <w:tcBorders>
              <w:tl2br w:val="nil"/>
              <w:tr2bl w:val="nil"/>
            </w:tcBorders>
            <w:vAlign w:val="center"/>
          </w:tcPr>
          <w:p w14:paraId="712680F0">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83</w:t>
            </w:r>
          </w:p>
        </w:tc>
        <w:tc>
          <w:tcPr>
            <w:tcW w:w="700" w:type="dxa"/>
            <w:tcBorders>
              <w:tl2br w:val="nil"/>
              <w:tr2bl w:val="nil"/>
            </w:tcBorders>
            <w:vAlign w:val="center"/>
          </w:tcPr>
          <w:p w14:paraId="29A22107">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77</w:t>
            </w:r>
          </w:p>
        </w:tc>
        <w:tc>
          <w:tcPr>
            <w:tcW w:w="700" w:type="dxa"/>
            <w:tcBorders>
              <w:tl2br w:val="nil"/>
              <w:tr2bl w:val="nil"/>
            </w:tcBorders>
            <w:vAlign w:val="center"/>
          </w:tcPr>
          <w:p w14:paraId="0D3CBC17">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71</w:t>
            </w:r>
          </w:p>
        </w:tc>
        <w:tc>
          <w:tcPr>
            <w:tcW w:w="700" w:type="dxa"/>
            <w:tcBorders>
              <w:tl2br w:val="nil"/>
              <w:tr2bl w:val="nil"/>
            </w:tcBorders>
            <w:vAlign w:val="center"/>
          </w:tcPr>
          <w:p w14:paraId="111D08D9">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133D983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61.</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75F51C75">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w:t>
            </w:r>
            <w:r>
              <w:rPr>
                <w:rFonts w:hint="eastAsia"/>
                <w:color w:val="000000" w:themeColor="text1"/>
                <w:kern w:val="0"/>
                <w:sz w:val="21"/>
                <w:szCs w:val="21"/>
                <w:highlight w:val="none"/>
                <w:lang w:val="en-US" w:eastAsia="zh-CN"/>
                <w14:textFill>
                  <w14:solidFill>
                    <w14:schemeClr w14:val="tx1"/>
                  </w14:solidFill>
                </w14:textFill>
              </w:rPr>
              <w:t>9</w:t>
            </w:r>
          </w:p>
        </w:tc>
        <w:tc>
          <w:tcPr>
            <w:tcW w:w="717" w:type="dxa"/>
            <w:tcBorders>
              <w:tl2br w:val="nil"/>
              <w:tr2bl w:val="nil"/>
            </w:tcBorders>
            <w:vAlign w:val="center"/>
          </w:tcPr>
          <w:p w14:paraId="5F349CF3">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57</w:t>
            </w:r>
          </w:p>
        </w:tc>
        <w:tc>
          <w:tcPr>
            <w:tcW w:w="717" w:type="dxa"/>
            <w:tcBorders>
              <w:tl2br w:val="nil"/>
              <w:tr2bl w:val="nil"/>
            </w:tcBorders>
            <w:vAlign w:val="center"/>
          </w:tcPr>
          <w:p w14:paraId="491EAB5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53</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vAlign w:val="center"/>
          </w:tcPr>
          <w:p w14:paraId="0C58117D">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51</w:t>
            </w:r>
          </w:p>
        </w:tc>
      </w:tr>
      <w:tr w14:paraId="33B631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118FAA15">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手工钻</w:t>
            </w:r>
          </w:p>
        </w:tc>
        <w:tc>
          <w:tcPr>
            <w:tcW w:w="648" w:type="dxa"/>
            <w:tcBorders>
              <w:tl2br w:val="nil"/>
              <w:tr2bl w:val="nil"/>
            </w:tcBorders>
          </w:tcPr>
          <w:p w14:paraId="15CD8618">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105</w:t>
            </w:r>
          </w:p>
        </w:tc>
        <w:tc>
          <w:tcPr>
            <w:tcW w:w="701" w:type="dxa"/>
            <w:tcBorders>
              <w:tl2br w:val="nil"/>
              <w:tr2bl w:val="nil"/>
            </w:tcBorders>
            <w:vAlign w:val="center"/>
          </w:tcPr>
          <w:p w14:paraId="776F9CA1">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83</w:t>
            </w:r>
          </w:p>
        </w:tc>
        <w:tc>
          <w:tcPr>
            <w:tcW w:w="700" w:type="dxa"/>
            <w:tcBorders>
              <w:tl2br w:val="nil"/>
              <w:tr2bl w:val="nil"/>
            </w:tcBorders>
            <w:vAlign w:val="center"/>
          </w:tcPr>
          <w:p w14:paraId="48E924E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77</w:t>
            </w:r>
          </w:p>
        </w:tc>
        <w:tc>
          <w:tcPr>
            <w:tcW w:w="700" w:type="dxa"/>
            <w:tcBorders>
              <w:tl2br w:val="nil"/>
              <w:tr2bl w:val="nil"/>
            </w:tcBorders>
            <w:vAlign w:val="center"/>
          </w:tcPr>
          <w:p w14:paraId="3D155DA2">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71</w:t>
            </w:r>
          </w:p>
        </w:tc>
        <w:tc>
          <w:tcPr>
            <w:tcW w:w="700" w:type="dxa"/>
            <w:tcBorders>
              <w:tl2br w:val="nil"/>
              <w:tr2bl w:val="nil"/>
            </w:tcBorders>
            <w:vAlign w:val="center"/>
          </w:tcPr>
          <w:p w14:paraId="06DC5C82">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4D3C4B53">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61.</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3C57AD61">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w:t>
            </w:r>
            <w:r>
              <w:rPr>
                <w:rFonts w:hint="eastAsia"/>
                <w:color w:val="000000" w:themeColor="text1"/>
                <w:kern w:val="0"/>
                <w:sz w:val="21"/>
                <w:szCs w:val="21"/>
                <w:highlight w:val="none"/>
                <w:lang w:val="en-US" w:eastAsia="zh-CN"/>
                <w14:textFill>
                  <w14:solidFill>
                    <w14:schemeClr w14:val="tx1"/>
                  </w14:solidFill>
                </w14:textFill>
              </w:rPr>
              <w:t>9</w:t>
            </w:r>
          </w:p>
        </w:tc>
        <w:tc>
          <w:tcPr>
            <w:tcW w:w="717" w:type="dxa"/>
            <w:tcBorders>
              <w:tl2br w:val="nil"/>
              <w:tr2bl w:val="nil"/>
            </w:tcBorders>
            <w:vAlign w:val="center"/>
          </w:tcPr>
          <w:p w14:paraId="530C1975">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57</w:t>
            </w:r>
          </w:p>
        </w:tc>
        <w:tc>
          <w:tcPr>
            <w:tcW w:w="717" w:type="dxa"/>
            <w:tcBorders>
              <w:tl2br w:val="nil"/>
              <w:tr2bl w:val="nil"/>
            </w:tcBorders>
            <w:vAlign w:val="center"/>
          </w:tcPr>
          <w:p w14:paraId="6CA0E115">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53</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vAlign w:val="center"/>
          </w:tcPr>
          <w:p w14:paraId="285F296C">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51</w:t>
            </w:r>
          </w:p>
        </w:tc>
      </w:tr>
      <w:tr w14:paraId="526B32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2F2A80C9">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无齿锯</w:t>
            </w:r>
          </w:p>
        </w:tc>
        <w:tc>
          <w:tcPr>
            <w:tcW w:w="648" w:type="dxa"/>
            <w:tcBorders>
              <w:tl2br w:val="nil"/>
              <w:tr2bl w:val="nil"/>
            </w:tcBorders>
          </w:tcPr>
          <w:p w14:paraId="5D90066D">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105</w:t>
            </w:r>
          </w:p>
        </w:tc>
        <w:tc>
          <w:tcPr>
            <w:tcW w:w="701" w:type="dxa"/>
            <w:tcBorders>
              <w:tl2br w:val="nil"/>
              <w:tr2bl w:val="nil"/>
            </w:tcBorders>
            <w:vAlign w:val="center"/>
          </w:tcPr>
          <w:p w14:paraId="5B189414">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83</w:t>
            </w:r>
          </w:p>
        </w:tc>
        <w:tc>
          <w:tcPr>
            <w:tcW w:w="700" w:type="dxa"/>
            <w:tcBorders>
              <w:tl2br w:val="nil"/>
              <w:tr2bl w:val="nil"/>
            </w:tcBorders>
            <w:vAlign w:val="center"/>
          </w:tcPr>
          <w:p w14:paraId="4A029690">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77</w:t>
            </w:r>
          </w:p>
        </w:tc>
        <w:tc>
          <w:tcPr>
            <w:tcW w:w="700" w:type="dxa"/>
            <w:tcBorders>
              <w:tl2br w:val="nil"/>
              <w:tr2bl w:val="nil"/>
            </w:tcBorders>
            <w:vAlign w:val="center"/>
          </w:tcPr>
          <w:p w14:paraId="4AC5FF4D">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71</w:t>
            </w:r>
          </w:p>
        </w:tc>
        <w:tc>
          <w:tcPr>
            <w:tcW w:w="700" w:type="dxa"/>
            <w:tcBorders>
              <w:tl2br w:val="nil"/>
              <w:tr2bl w:val="nil"/>
            </w:tcBorders>
            <w:vAlign w:val="center"/>
          </w:tcPr>
          <w:p w14:paraId="331206A7">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1D0B727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61.</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vAlign w:val="center"/>
          </w:tcPr>
          <w:p w14:paraId="705612D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w:t>
            </w:r>
            <w:r>
              <w:rPr>
                <w:rFonts w:hint="eastAsia"/>
                <w:color w:val="000000" w:themeColor="text1"/>
                <w:kern w:val="0"/>
                <w:sz w:val="21"/>
                <w:szCs w:val="21"/>
                <w:highlight w:val="none"/>
                <w:lang w:val="en-US" w:eastAsia="zh-CN"/>
                <w14:textFill>
                  <w14:solidFill>
                    <w14:schemeClr w14:val="tx1"/>
                  </w14:solidFill>
                </w14:textFill>
              </w:rPr>
              <w:t>9</w:t>
            </w:r>
          </w:p>
        </w:tc>
        <w:tc>
          <w:tcPr>
            <w:tcW w:w="717" w:type="dxa"/>
            <w:tcBorders>
              <w:tl2br w:val="nil"/>
              <w:tr2bl w:val="nil"/>
            </w:tcBorders>
            <w:vAlign w:val="center"/>
          </w:tcPr>
          <w:p w14:paraId="5CAE611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57</w:t>
            </w:r>
          </w:p>
        </w:tc>
        <w:tc>
          <w:tcPr>
            <w:tcW w:w="717" w:type="dxa"/>
            <w:tcBorders>
              <w:tl2br w:val="nil"/>
              <w:tr2bl w:val="nil"/>
            </w:tcBorders>
            <w:vAlign w:val="center"/>
          </w:tcPr>
          <w:p w14:paraId="3952C77E">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53</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vAlign w:val="center"/>
          </w:tcPr>
          <w:p w14:paraId="6391D1D0">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51</w:t>
            </w:r>
          </w:p>
        </w:tc>
      </w:tr>
      <w:tr w14:paraId="64C42F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119FCED6">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多功能木工刨</w:t>
            </w:r>
          </w:p>
        </w:tc>
        <w:tc>
          <w:tcPr>
            <w:tcW w:w="648" w:type="dxa"/>
            <w:tcBorders>
              <w:tl2br w:val="nil"/>
              <w:tr2bl w:val="nil"/>
            </w:tcBorders>
          </w:tcPr>
          <w:p w14:paraId="4447AAFA">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100</w:t>
            </w:r>
          </w:p>
        </w:tc>
        <w:tc>
          <w:tcPr>
            <w:tcW w:w="701" w:type="dxa"/>
            <w:tcBorders>
              <w:tl2br w:val="nil"/>
              <w:tr2bl w:val="nil"/>
            </w:tcBorders>
          </w:tcPr>
          <w:p w14:paraId="71D7AF8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78</w:t>
            </w:r>
          </w:p>
        </w:tc>
        <w:tc>
          <w:tcPr>
            <w:tcW w:w="700" w:type="dxa"/>
            <w:tcBorders>
              <w:tl2br w:val="nil"/>
              <w:tr2bl w:val="nil"/>
            </w:tcBorders>
          </w:tcPr>
          <w:p w14:paraId="4413212E">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72</w:t>
            </w:r>
          </w:p>
        </w:tc>
        <w:tc>
          <w:tcPr>
            <w:tcW w:w="700" w:type="dxa"/>
            <w:tcBorders>
              <w:tl2br w:val="nil"/>
              <w:tr2bl w:val="nil"/>
            </w:tcBorders>
          </w:tcPr>
          <w:p w14:paraId="2E588764">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66</w:t>
            </w:r>
          </w:p>
        </w:tc>
        <w:tc>
          <w:tcPr>
            <w:tcW w:w="700" w:type="dxa"/>
            <w:tcBorders>
              <w:tl2br w:val="nil"/>
              <w:tr2bl w:val="nil"/>
            </w:tcBorders>
          </w:tcPr>
          <w:p w14:paraId="6B4B005C">
            <w:pPr>
              <w:spacing w:line="360" w:lineRule="exact"/>
              <w:ind w:firstLine="0" w:firstLineChars="0"/>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60</w:t>
            </w:r>
          </w:p>
        </w:tc>
        <w:tc>
          <w:tcPr>
            <w:tcW w:w="700" w:type="dxa"/>
            <w:tcBorders>
              <w:tl2br w:val="nil"/>
              <w:tr2bl w:val="nil"/>
            </w:tcBorders>
          </w:tcPr>
          <w:p w14:paraId="5A285156">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56.</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tcPr>
          <w:p w14:paraId="5CA52DD7">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w:t>
            </w:r>
            <w:r>
              <w:rPr>
                <w:rFonts w:hint="eastAsia"/>
                <w:color w:val="000000" w:themeColor="text1"/>
                <w:kern w:val="0"/>
                <w:sz w:val="21"/>
                <w:szCs w:val="21"/>
                <w:highlight w:val="none"/>
                <w:lang w:val="en-US" w:eastAsia="zh-CN"/>
                <w14:textFill>
                  <w14:solidFill>
                    <w14:schemeClr w14:val="tx1"/>
                  </w14:solidFill>
                </w14:textFill>
              </w:rPr>
              <w:t>4</w:t>
            </w:r>
          </w:p>
        </w:tc>
        <w:tc>
          <w:tcPr>
            <w:tcW w:w="717" w:type="dxa"/>
            <w:tcBorders>
              <w:tl2br w:val="nil"/>
              <w:tr2bl w:val="nil"/>
            </w:tcBorders>
          </w:tcPr>
          <w:p w14:paraId="39193DC8">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52</w:t>
            </w:r>
          </w:p>
        </w:tc>
        <w:tc>
          <w:tcPr>
            <w:tcW w:w="717" w:type="dxa"/>
            <w:tcBorders>
              <w:tl2br w:val="nil"/>
              <w:tr2bl w:val="nil"/>
            </w:tcBorders>
          </w:tcPr>
          <w:p w14:paraId="3CCEAD2C">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48</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tcPr>
          <w:p w14:paraId="3D8B80D9">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46</w:t>
            </w:r>
          </w:p>
        </w:tc>
      </w:tr>
      <w:tr w14:paraId="1F3FB5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4774B87B">
            <w:pPr>
              <w:spacing w:line="360" w:lineRule="exact"/>
              <w:ind w:firstLine="0" w:firstLineChars="0"/>
              <w:jc w:val="cente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w:t>角向磨光机</w:t>
            </w:r>
          </w:p>
        </w:tc>
        <w:tc>
          <w:tcPr>
            <w:tcW w:w="648" w:type="dxa"/>
            <w:tcBorders>
              <w:tl2br w:val="nil"/>
              <w:tr2bl w:val="nil"/>
            </w:tcBorders>
          </w:tcPr>
          <w:p w14:paraId="493CAED5">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115</w:t>
            </w:r>
          </w:p>
        </w:tc>
        <w:tc>
          <w:tcPr>
            <w:tcW w:w="701" w:type="dxa"/>
            <w:tcBorders>
              <w:tl2br w:val="nil"/>
              <w:tr2bl w:val="nil"/>
            </w:tcBorders>
          </w:tcPr>
          <w:p w14:paraId="2524197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93</w:t>
            </w:r>
          </w:p>
        </w:tc>
        <w:tc>
          <w:tcPr>
            <w:tcW w:w="700" w:type="dxa"/>
            <w:tcBorders>
              <w:tl2br w:val="nil"/>
              <w:tr2bl w:val="nil"/>
            </w:tcBorders>
          </w:tcPr>
          <w:p w14:paraId="5ECB3AD3">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87</w:t>
            </w:r>
          </w:p>
        </w:tc>
        <w:tc>
          <w:tcPr>
            <w:tcW w:w="700" w:type="dxa"/>
            <w:tcBorders>
              <w:tl2br w:val="nil"/>
              <w:tr2bl w:val="nil"/>
            </w:tcBorders>
          </w:tcPr>
          <w:p w14:paraId="3F0323FE">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81</w:t>
            </w:r>
          </w:p>
        </w:tc>
        <w:tc>
          <w:tcPr>
            <w:tcW w:w="700" w:type="dxa"/>
            <w:tcBorders>
              <w:tl2br w:val="nil"/>
              <w:tr2bl w:val="nil"/>
            </w:tcBorders>
          </w:tcPr>
          <w:p w14:paraId="7E160740">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tcPr>
          <w:p w14:paraId="23854054">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71.</w:t>
            </w:r>
            <w:r>
              <w:rPr>
                <w:rFonts w:hint="eastAsia"/>
                <w:color w:val="000000" w:themeColor="text1"/>
                <w:kern w:val="0"/>
                <w:sz w:val="21"/>
                <w:szCs w:val="21"/>
                <w:highlight w:val="none"/>
                <w:lang w:val="en-US" w:eastAsia="zh-CN"/>
                <w14:textFill>
                  <w14:solidFill>
                    <w14:schemeClr w14:val="tx1"/>
                  </w14:solidFill>
                </w14:textFill>
              </w:rPr>
              <w:t>5</w:t>
            </w:r>
          </w:p>
        </w:tc>
        <w:tc>
          <w:tcPr>
            <w:tcW w:w="700" w:type="dxa"/>
            <w:tcBorders>
              <w:tl2br w:val="nil"/>
              <w:tr2bl w:val="nil"/>
            </w:tcBorders>
          </w:tcPr>
          <w:p w14:paraId="617650BF">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w:t>
            </w:r>
            <w:r>
              <w:rPr>
                <w:rFonts w:hint="eastAsia"/>
                <w:color w:val="000000" w:themeColor="text1"/>
                <w:kern w:val="0"/>
                <w:sz w:val="21"/>
                <w:szCs w:val="21"/>
                <w:highlight w:val="none"/>
                <w:lang w:val="en-US" w:eastAsia="zh-CN"/>
                <w14:textFill>
                  <w14:solidFill>
                    <w14:schemeClr w14:val="tx1"/>
                  </w14:solidFill>
                </w14:textFill>
              </w:rPr>
              <w:t>9</w:t>
            </w:r>
          </w:p>
        </w:tc>
        <w:tc>
          <w:tcPr>
            <w:tcW w:w="717" w:type="dxa"/>
            <w:tcBorders>
              <w:tl2br w:val="nil"/>
              <w:tr2bl w:val="nil"/>
            </w:tcBorders>
          </w:tcPr>
          <w:p w14:paraId="6A010A20">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67</w:t>
            </w:r>
          </w:p>
        </w:tc>
        <w:tc>
          <w:tcPr>
            <w:tcW w:w="717" w:type="dxa"/>
            <w:tcBorders>
              <w:tl2br w:val="nil"/>
              <w:tr2bl w:val="nil"/>
            </w:tcBorders>
          </w:tcPr>
          <w:p w14:paraId="282C0677">
            <w:pPr>
              <w:spacing w:line="360" w:lineRule="exact"/>
              <w:ind w:firstLine="0" w:firstLineChars="0"/>
              <w:jc w:val="center"/>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63</w:t>
            </w:r>
            <w:r>
              <w:rPr>
                <w:rFonts w:hint="eastAsia"/>
                <w:color w:val="000000" w:themeColor="text1"/>
                <w:kern w:val="0"/>
                <w:sz w:val="21"/>
                <w:szCs w:val="21"/>
                <w:highlight w:val="none"/>
                <w:lang w:eastAsia="zh-CN"/>
                <w14:textFill>
                  <w14:solidFill>
                    <w14:schemeClr w14:val="tx1"/>
                  </w14:solidFill>
                </w14:textFill>
              </w:rPr>
              <w:t>.5</w:t>
            </w:r>
          </w:p>
        </w:tc>
        <w:tc>
          <w:tcPr>
            <w:tcW w:w="731" w:type="dxa"/>
            <w:tcBorders>
              <w:tl2br w:val="nil"/>
              <w:tr2bl w:val="nil"/>
            </w:tcBorders>
          </w:tcPr>
          <w:p w14:paraId="513C9E62">
            <w:pPr>
              <w:spacing w:line="360" w:lineRule="exact"/>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61</w:t>
            </w:r>
          </w:p>
        </w:tc>
      </w:tr>
    </w:tbl>
    <w:p w14:paraId="49A3D805">
      <w:pPr>
        <w:ind w:firstLine="480"/>
        <w:jc w:val="left"/>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由表5.1-</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可知，施工机械中以</w:t>
      </w:r>
      <w:r>
        <w:rPr>
          <w:rFonts w:hint="eastAsia"/>
          <w:color w:val="000000" w:themeColor="text1"/>
          <w:highlight w:val="none"/>
          <w14:textFill>
            <w14:solidFill>
              <w14:schemeClr w14:val="tx1"/>
            </w14:solidFill>
          </w14:textFill>
        </w:rPr>
        <w:t>振捣器、电锯、电钻等</w:t>
      </w:r>
      <w:r>
        <w:rPr>
          <w:color w:val="000000" w:themeColor="text1"/>
          <w:highlight w:val="none"/>
          <w14:textFill>
            <w14:solidFill>
              <w14:schemeClr w14:val="tx1"/>
            </w14:solidFill>
          </w14:textFill>
        </w:rPr>
        <w:t>噪声影响程度最大。各种机械噪声源强均在75dB</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以上，对靠近施工现场100m范围内的影响较大。由于在项目区周围2.0km范围内无居民区，所以工程施工对外环境的影响较小。</w:t>
      </w:r>
    </w:p>
    <w:p w14:paraId="7A796D9D">
      <w:pPr>
        <w:ind w:firstLine="480"/>
        <w:jc w:val="left"/>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另外，施工期运送土石方、原材料会导致往来运输车流量增加，交通噪声亦会随之突然增加，将对周边环境产生一定不利影响。</w:t>
      </w:r>
    </w:p>
    <w:p w14:paraId="217957B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施工噪声影响是短期的，施工结束后施工噪声自然消失。只要注意调整施工时间、合理安排施工场地等，可以将施工噪声的影响减至最低。</w:t>
      </w:r>
    </w:p>
    <w:p w14:paraId="751ED233">
      <w:pPr>
        <w:pStyle w:val="4"/>
        <w:rPr>
          <w:color w:val="000000" w:themeColor="text1"/>
          <w:highlight w:val="none"/>
          <w14:textFill>
            <w14:solidFill>
              <w14:schemeClr w14:val="tx1"/>
            </w14:solidFill>
          </w14:textFill>
        </w:rPr>
      </w:pPr>
      <w:bookmarkStart w:id="737" w:name="_Toc26544"/>
      <w:bookmarkStart w:id="738" w:name="_Toc17490"/>
      <w:bookmarkStart w:id="739" w:name="_Toc29422"/>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4施工期固体废物环境影响分析</w:t>
      </w:r>
      <w:bookmarkEnd w:id="737"/>
      <w:bookmarkEnd w:id="738"/>
      <w:bookmarkEnd w:id="739"/>
    </w:p>
    <w:p w14:paraId="2287E63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施工过程中产生的固废主要为地面建（构）筑物建设产生的建筑垃圾</w:t>
      </w:r>
      <w:r>
        <w:rPr>
          <w:rFonts w:hint="eastAsia"/>
          <w:color w:val="000000" w:themeColor="text1"/>
          <w:highlight w:val="none"/>
          <w14:textFill>
            <w14:solidFill>
              <w14:schemeClr w14:val="tx1"/>
            </w14:solidFill>
          </w14:textFill>
        </w:rPr>
        <w:t>及</w:t>
      </w:r>
      <w:r>
        <w:rPr>
          <w:color w:val="000000" w:themeColor="text1"/>
          <w:highlight w:val="none"/>
          <w14:textFill>
            <w14:solidFill>
              <w14:schemeClr w14:val="tx1"/>
            </w14:solidFill>
          </w14:textFill>
        </w:rPr>
        <w:t>施工人员产生的生活垃圾等。</w:t>
      </w:r>
    </w:p>
    <w:p w14:paraId="563D8554">
      <w:pPr>
        <w:pStyle w:val="28"/>
        <w:widowControl w:val="0"/>
        <w:overflowPunct w:val="0"/>
        <w:topLinePunct/>
        <w:spacing w:before="0" w:beforeAutospacing="0" w:after="0" w:afterAutospacing="0"/>
        <w:ind w:firstLine="48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建筑垃圾</w:t>
      </w:r>
      <w:r>
        <w:rPr>
          <w:color w:val="000000" w:themeColor="text1"/>
          <w:highlight w:val="none"/>
          <w14:textFill>
            <w14:solidFill>
              <w14:schemeClr w14:val="tx1"/>
            </w14:solidFill>
          </w14:textFill>
        </w:rPr>
        <w:t>包括施工中产生的</w:t>
      </w:r>
      <w:r>
        <w:rPr>
          <w:rFonts w:hint="eastAsia"/>
          <w:color w:val="000000" w:themeColor="text1"/>
          <w:highlight w:val="none"/>
          <w14:textFill>
            <w14:solidFill>
              <w14:schemeClr w14:val="tx1"/>
            </w14:solidFill>
          </w14:textFill>
        </w:rPr>
        <w:t>碎石、砂土等废弃土石方</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废钢筋、废钢材等废弃建筑材料。废弃土石方用于场地平整及地面硬化</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金属废料</w:t>
      </w:r>
      <w:r>
        <w:rPr>
          <w:rFonts w:hint="eastAsia"/>
          <w:color w:val="000000" w:themeColor="text1"/>
          <w:highlight w:val="none"/>
          <w:lang w:val="en-US" w:eastAsia="zh-CN"/>
          <w14:textFill>
            <w14:solidFill>
              <w14:schemeClr w14:val="tx1"/>
            </w14:solidFill>
          </w14:textFill>
        </w:rPr>
        <w:t>等</w:t>
      </w:r>
      <w:r>
        <w:rPr>
          <w:color w:val="000000" w:themeColor="text1"/>
          <w:highlight w:val="none"/>
          <w14:textFill>
            <w14:solidFill>
              <w14:schemeClr w14:val="tx1"/>
            </w14:solidFill>
          </w14:textFill>
        </w:rPr>
        <w:t>建筑垃圾由施工单位集中收集后运走，</w:t>
      </w:r>
      <w:r>
        <w:rPr>
          <w:rFonts w:hint="eastAsia"/>
          <w:color w:val="000000" w:themeColor="text1"/>
          <w:highlight w:val="none"/>
          <w14:textFill>
            <w14:solidFill>
              <w14:schemeClr w14:val="tx1"/>
            </w14:solidFill>
          </w14:textFill>
        </w:rPr>
        <w:t>综合利用</w:t>
      </w:r>
      <w:r>
        <w:rPr>
          <w:color w:val="000000" w:themeColor="text1"/>
          <w:highlight w:val="none"/>
          <w14:textFill>
            <w14:solidFill>
              <w14:schemeClr w14:val="tx1"/>
            </w14:solidFill>
          </w14:textFill>
        </w:rPr>
        <w:t>。采取上述措施后对项目周围环境影响较小。</w:t>
      </w:r>
    </w:p>
    <w:p w14:paraId="38A783C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生活垃圾包括残剩食物、废纸等。这些固废处置不当将会影响景观，污染土壤和水体，生活垃圾还会散发恶臭，因此要求设置生活垃圾收集池进行集中堆放，</w:t>
      </w:r>
      <w:r>
        <w:rPr>
          <w:rFonts w:hint="eastAsia"/>
          <w:color w:val="000000" w:themeColor="text1"/>
          <w:highlight w:val="none"/>
          <w14:textFill>
            <w14:solidFill>
              <w14:schemeClr w14:val="tx1"/>
            </w14:solidFill>
          </w14:textFill>
        </w:rPr>
        <w:t>与厂区生活垃圾一并处理，生活垃圾集中收集后</w:t>
      </w:r>
      <w:r>
        <w:rPr>
          <w:rFonts w:hint="eastAsia"/>
          <w:color w:val="000000" w:themeColor="text1"/>
          <w:highlight w:val="none"/>
          <w:lang w:val="en-US" w:eastAsia="zh-CN"/>
          <w14:textFill>
            <w14:solidFill>
              <w14:schemeClr w14:val="tx1"/>
            </w14:solidFill>
          </w14:textFill>
        </w:rPr>
        <w:t>和矿区生活垃圾一起运送至</w:t>
      </w:r>
      <w:r>
        <w:rPr>
          <w:rFonts w:hint="eastAsia"/>
          <w:color w:val="000000" w:themeColor="text1"/>
          <w:kern w:val="0"/>
          <w:highlight w:val="none"/>
          <w:lang w:val="en-US" w:eastAsia="zh-CN"/>
          <w14:textFill>
            <w14:solidFill>
              <w14:schemeClr w14:val="tx1"/>
            </w14:solidFill>
          </w14:textFill>
        </w:rPr>
        <w:t>伊州区雅满苏镇生活垃圾转运站</w:t>
      </w:r>
      <w:r>
        <w:rPr>
          <w:rFonts w:hint="eastAsia"/>
          <w:color w:val="000000" w:themeColor="text1"/>
          <w:highlight w:val="none"/>
          <w:lang w:val="en-US" w:eastAsia="zh-CN"/>
          <w14:textFill>
            <w14:solidFill>
              <w14:schemeClr w14:val="tx1"/>
            </w14:solidFill>
          </w14:textFill>
        </w:rPr>
        <w:t>处理</w:t>
      </w:r>
      <w:r>
        <w:rPr>
          <w:rFonts w:hint="eastAsia"/>
          <w:color w:val="000000" w:themeColor="text1"/>
          <w:highlight w:val="none"/>
          <w14:textFill>
            <w14:solidFill>
              <w14:schemeClr w14:val="tx1"/>
            </w14:solidFill>
          </w14:textFill>
        </w:rPr>
        <w:t>。</w:t>
      </w:r>
    </w:p>
    <w:p w14:paraId="083D55D2">
      <w:pPr>
        <w:overflowPunct w:val="0"/>
        <w:topLinePunct/>
        <w:ind w:firstLine="480"/>
        <w:rPr>
          <w:color w:val="000000" w:themeColor="text1"/>
          <w:highlight w:val="none"/>
          <w:lang w:bidi="ar"/>
          <w14:textFill>
            <w14:solidFill>
              <w14:schemeClr w14:val="tx1"/>
            </w14:solidFill>
          </w14:textFill>
        </w:rPr>
      </w:pPr>
      <w:r>
        <w:rPr>
          <w:color w:val="000000" w:themeColor="text1"/>
          <w:highlight w:val="none"/>
          <w14:textFill>
            <w14:solidFill>
              <w14:schemeClr w14:val="tx1"/>
            </w14:solidFill>
          </w14:textFill>
        </w:rPr>
        <w:t>采取上述措施后对项目周围环境影响较小。</w:t>
      </w:r>
    </w:p>
    <w:p w14:paraId="720A42D4">
      <w:pPr>
        <w:pStyle w:val="4"/>
        <w:rPr>
          <w:color w:val="000000" w:themeColor="text1"/>
          <w:highlight w:val="none"/>
          <w14:textFill>
            <w14:solidFill>
              <w14:schemeClr w14:val="tx1"/>
            </w14:solidFill>
          </w14:textFill>
        </w:rPr>
      </w:pPr>
      <w:bookmarkStart w:id="740" w:name="_Toc22620"/>
      <w:bookmarkStart w:id="741" w:name="_Toc5048"/>
      <w:bookmarkStart w:id="742" w:name="_Toc12329"/>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5施工期生态环境影响分析</w:t>
      </w:r>
      <w:bookmarkEnd w:id="740"/>
      <w:bookmarkEnd w:id="741"/>
      <w:bookmarkEnd w:id="742"/>
    </w:p>
    <w:p w14:paraId="5D9385DB">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5.1.5.1土地利用影响分析</w:t>
      </w:r>
    </w:p>
    <w:p w14:paraId="793730A8">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项目土地资源的占用分为临时性占地和永久性占地两种类型。永久性占地一经征用，其土地利用类型将发生根本性的改变，例如由旱地、林地、灌草地、</w:t>
      </w:r>
      <w:r>
        <w:rPr>
          <w:rFonts w:hint="eastAsia"/>
          <w:color w:val="000000" w:themeColor="text1"/>
          <w:highlight w:val="none"/>
          <w:lang w:eastAsia="zh-CN"/>
          <w14:textFill>
            <w14:solidFill>
              <w14:schemeClr w14:val="tx1"/>
            </w14:solidFill>
          </w14:textFill>
        </w:rPr>
        <w:t>其他</w:t>
      </w:r>
      <w:r>
        <w:rPr>
          <w:color w:val="000000" w:themeColor="text1"/>
          <w:highlight w:val="none"/>
          <w14:textFill>
            <w14:solidFill>
              <w14:schemeClr w14:val="tx1"/>
            </w14:solidFill>
          </w14:textFill>
        </w:rPr>
        <w:t>草地等改变为建设用地，并贯穿于整个施工期和运营期，对当地土地利用结构和功能有一定影响；临时用地则由附属工程和临时工程所占用，在工程施工完毕后按照《土地复垦条例》的规定，进行土地复垦整治，将逐渐恢复原有土地使用功能。</w:t>
      </w:r>
    </w:p>
    <w:p w14:paraId="57ADF41E">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本项目占地情况如下：</w:t>
      </w:r>
    </w:p>
    <w:p w14:paraId="2F05CBF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（1）永久性占地</w:t>
      </w:r>
    </w:p>
    <w:p w14:paraId="3F517BE2">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本项目为改扩建项目，本项目新增永久占地为</w:t>
      </w:r>
      <w:r>
        <w:rPr>
          <w:rFonts w:hint="eastAsia"/>
          <w:color w:val="000000" w:themeColor="text1"/>
          <w:highlight w:val="none"/>
          <w:lang w:val="en-US" w:eastAsia="zh-CN"/>
          <w14:textFill>
            <w14:solidFill>
              <w14:schemeClr w14:val="tx1"/>
            </w14:solidFill>
          </w14:textFill>
        </w:rPr>
        <w:t>新建</w:t>
      </w:r>
      <w:r>
        <w:rPr>
          <w:color w:val="000000" w:themeColor="text1"/>
          <w:highlight w:val="none"/>
          <w14:textFill>
            <w14:solidFill>
              <w14:schemeClr w14:val="tx1"/>
            </w14:solidFill>
          </w14:textFill>
        </w:rPr>
        <w:t>尾矿库</w:t>
      </w:r>
      <w:r>
        <w:rPr>
          <w:rFonts w:hint="eastAsia"/>
          <w:color w:val="000000" w:themeColor="text1"/>
          <w:highlight w:val="none"/>
          <w:lang w:val="en-US" w:eastAsia="zh-CN"/>
          <w14:textFill>
            <w14:solidFill>
              <w14:schemeClr w14:val="tx1"/>
            </w14:solidFill>
          </w14:textFill>
        </w:rPr>
        <w:t>和联络道路占地</w:t>
      </w:r>
      <w:r>
        <w:rPr>
          <w:color w:val="000000" w:themeColor="text1"/>
          <w:highlight w:val="none"/>
          <w14:textFill>
            <w14:solidFill>
              <w14:schemeClr w14:val="tx1"/>
            </w14:solidFill>
          </w14:textFill>
        </w:rPr>
        <w:t>，占地类型主要为</w:t>
      </w:r>
      <w:r>
        <w:rPr>
          <w:rFonts w:hint="eastAsia"/>
          <w:color w:val="000000" w:themeColor="text1"/>
          <w:highlight w:val="none"/>
          <w14:textFill>
            <w14:solidFill>
              <w14:schemeClr w14:val="tx1"/>
            </w14:solidFill>
          </w14:textFill>
        </w:rPr>
        <w:t>戈壁和裸岩石砾地</w:t>
      </w:r>
      <w:r>
        <w:rPr>
          <w:color w:val="000000" w:themeColor="text1"/>
          <w:highlight w:val="none"/>
          <w14:textFill>
            <w14:solidFill>
              <w14:schemeClr w14:val="tx1"/>
            </w14:solidFill>
          </w14:textFill>
        </w:rPr>
        <w:t>。新增占地面积</w:t>
      </w:r>
      <w:r>
        <w:rPr>
          <w:rFonts w:hint="eastAsia"/>
          <w:color w:val="000000" w:themeColor="text1"/>
          <w:highlight w:val="none"/>
          <w:lang w:val="en-US" w:eastAsia="zh-CN"/>
          <w14:textFill>
            <w14:solidFill>
              <w14:schemeClr w14:val="tx1"/>
            </w14:solidFill>
          </w14:textFill>
        </w:rPr>
        <w:t>42.96</w:t>
      </w:r>
      <w:r>
        <w:rPr>
          <w:color w:val="000000" w:themeColor="text1"/>
          <w:highlight w:val="none"/>
          <w14:textFill>
            <w14:solidFill>
              <w14:schemeClr w14:val="tx1"/>
            </w14:solidFill>
          </w14:textFill>
        </w:rPr>
        <w:t>hm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p>
    <w:p w14:paraId="7446A6C9">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color w:val="000000" w:themeColor="text1"/>
          <w:highlight w:val="none"/>
          <w14:textFill>
            <w14:solidFill>
              <w14:schemeClr w14:val="tx1"/>
            </w14:solidFill>
          </w14:textFill>
        </w:rPr>
        <w:t>对项目区土地的破坏方式共分为</w:t>
      </w:r>
      <w:r>
        <w:rPr>
          <w:rFonts w:hint="eastAsia"/>
          <w:color w:val="000000" w:themeColor="text1"/>
          <w:highlight w:val="none"/>
          <w14:textFill>
            <w14:solidFill>
              <w14:schemeClr w14:val="tx1"/>
            </w14:solidFill>
          </w14:textFill>
        </w:rPr>
        <w:t>两</w:t>
      </w:r>
      <w:r>
        <w:rPr>
          <w:color w:val="000000" w:themeColor="text1"/>
          <w:highlight w:val="none"/>
          <w14:textFill>
            <w14:solidFill>
              <w14:schemeClr w14:val="tx1"/>
            </w14:solidFill>
          </w14:textFill>
        </w:rPr>
        <w:t>种，分别为：</w:t>
      </w: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土地压占：本项目建设区域内主要为</w:t>
      </w:r>
      <w:r>
        <w:rPr>
          <w:rFonts w:hint="eastAsia"/>
          <w:color w:val="000000" w:themeColor="text1"/>
          <w:highlight w:val="none"/>
          <w14:textFill>
            <w14:solidFill>
              <w14:schemeClr w14:val="tx1"/>
            </w14:solidFill>
          </w14:textFill>
        </w:rPr>
        <w:t>尾矿库</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土地污染：</w:t>
      </w:r>
      <w:r>
        <w:rPr>
          <w:rFonts w:hint="eastAsia"/>
          <w:color w:val="000000" w:themeColor="text1"/>
          <w:highlight w:val="none"/>
          <w14:textFill>
            <w14:solidFill>
              <w14:schemeClr w14:val="tx1"/>
            </w14:solidFill>
          </w14:textFill>
        </w:rPr>
        <w:t>尾矿库</w:t>
      </w:r>
      <w:r>
        <w:rPr>
          <w:color w:val="000000" w:themeColor="text1"/>
          <w:highlight w:val="none"/>
          <w14:textFill>
            <w14:solidFill>
              <w14:schemeClr w14:val="tx1"/>
            </w14:solidFill>
          </w14:textFill>
        </w:rPr>
        <w:t>、联络道路等在生产与利用中对土地的扰动与破坏。这</w:t>
      </w:r>
      <w:r>
        <w:rPr>
          <w:rFonts w:hint="eastAsia"/>
          <w:color w:val="000000" w:themeColor="text1"/>
          <w:highlight w:val="none"/>
          <w14:textFill>
            <w14:solidFill>
              <w14:schemeClr w14:val="tx1"/>
            </w14:solidFill>
          </w14:textFill>
        </w:rPr>
        <w:t>两</w:t>
      </w:r>
      <w:r>
        <w:rPr>
          <w:color w:val="000000" w:themeColor="text1"/>
          <w:highlight w:val="none"/>
          <w14:textFill>
            <w14:solidFill>
              <w14:schemeClr w14:val="tx1"/>
            </w14:solidFill>
          </w14:textFill>
        </w:rPr>
        <w:t>种土地破坏方式都会造成占地区域内土地利用功能的改变，将原有的</w:t>
      </w:r>
      <w:r>
        <w:rPr>
          <w:rFonts w:hint="eastAsia"/>
          <w:color w:val="000000" w:themeColor="text1"/>
          <w:sz w:val="24"/>
          <w:szCs w:val="24"/>
          <w:highlight w:val="none"/>
          <w14:textFill>
            <w14:solidFill>
              <w14:schemeClr w14:val="tx1"/>
            </w14:solidFill>
          </w14:textFill>
        </w:rPr>
        <w:t>戈壁和裸岩石砾地</w:t>
      </w:r>
      <w:r>
        <w:rPr>
          <w:color w:val="000000" w:themeColor="text1"/>
          <w:highlight w:val="none"/>
          <w14:textFill>
            <w14:solidFill>
              <w14:schemeClr w14:val="tx1"/>
            </w14:solidFill>
          </w14:textFill>
        </w:rPr>
        <w:t>变为工矿用地。</w:t>
      </w:r>
    </w:p>
    <w:p w14:paraId="2396929E">
      <w:pPr>
        <w:overflowPunct w:val="0"/>
        <w:topLinePunct/>
        <w:ind w:firstLine="480"/>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项目所在工程区内大部分面积</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几乎</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无植被覆盖，只零星生长有少量杂草，更无国家及地方重点保护的</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珍稀</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植物物种，施工不会造成区域生态环境质量发生明显的质变。工程区可通过人工重建植被与减少破坏面积来降低生态服务价值的减少量。</w:t>
      </w:r>
    </w:p>
    <w:p w14:paraId="0A601825">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（2）临时性占地</w:t>
      </w:r>
    </w:p>
    <w:p w14:paraId="0B249508">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临时性占地是工程施工过程中施工人员活动，施工机械碾轧、施工材料堆放、施工料场开挖、施工临时设施建设、施工场地平整所占用的场地，其影响主要表现在两个方面：一是植被未恢复之前地表失去保护层；二是留下的临时设施既不利用又不拆除，影响景观的恢复。在这两方面中影响较大也是重点防患的是第二方面，临时占地的影响性质是暂时性的，在施工过程结束后采取一定的措施和随着时间的推移，破坏的土地能够得以恢复，属可逆影响。但野蛮施工对生态环境所造成的破坏，则往往需要很长时间才能恢复。另外，工程项目的施工还会对土壤理化性质带来一定的影响，但影响范围不大。</w:t>
      </w:r>
    </w:p>
    <w:p w14:paraId="60C138D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因此，施工期应对原料堆放、机械设备及运输车辆的行走路线做好规划工作，充分利用规划场地，尽量减少临时占地数量，要求将对生态的负效应减少到最低的程度。</w:t>
      </w:r>
    </w:p>
    <w:p w14:paraId="11833958">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5.1.5.2土壤影响分析</w:t>
      </w:r>
    </w:p>
    <w:p w14:paraId="1C3FDB99">
      <w:pPr>
        <w:overflowPunct w:val="0"/>
        <w:topLinePunct/>
        <w:adjustRightIn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1、土壤理化性质</w:t>
      </w:r>
    </w:p>
    <w:p w14:paraId="430F113F">
      <w:pPr>
        <w:overflowPunct w:val="0"/>
        <w:topLinePunct/>
        <w:adjustRightIn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施工过程中，土石方开挖、堆放、回填及材料堆放、人工</w:t>
      </w:r>
      <w:r>
        <w:rPr>
          <w:rFonts w:hint="eastAsia"/>
          <w:color w:val="000000" w:themeColor="text1"/>
          <w:highlight w:val="none"/>
          <w:lang w:eastAsia="zh-CN"/>
          <w14:textFill>
            <w14:solidFill>
              <w14:schemeClr w14:val="tx1"/>
            </w14:solidFill>
          </w14:textFill>
        </w:rPr>
        <w:t>踩踏</w:t>
      </w:r>
      <w:r>
        <w:rPr>
          <w:color w:val="000000" w:themeColor="text1"/>
          <w:highlight w:val="none"/>
          <w14:textFill>
            <w14:solidFill>
              <w14:schemeClr w14:val="tx1"/>
            </w14:solidFill>
          </w14:textFill>
        </w:rPr>
        <w:t>、机械设备碾压等活动对土壤理化性质影响较大。</w:t>
      </w:r>
    </w:p>
    <w:p w14:paraId="291C31C7">
      <w:pPr>
        <w:overflowPunct w:val="0"/>
        <w:topLinePunct/>
        <w:adjustRightIn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（1）扰乱土壤表层，破坏土壤结构</w:t>
      </w:r>
    </w:p>
    <w:p w14:paraId="34C839FA">
      <w:pPr>
        <w:overflowPunct w:val="0"/>
        <w:topLinePunct/>
        <w:adjustRightIn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表层肥力集中、腐殖质含量高、水分相对优越，深度15～25cm，表层土层松软，团粒结构发达。地表开挖必定扰乱和破坏土壤表层，除开挖处受到直接的破坏外，挖出土方的堆放将直接占压开挖处附近的土地，破坏土壤表层及其结构。由于表层的团粒结构是经过较长的历史时期形成的，一旦遭到破坏，短期内难以恢复。因此，施工过程中，对土壤表层的影响较严重。</w:t>
      </w:r>
    </w:p>
    <w:p w14:paraId="6126C79F">
      <w:pPr>
        <w:overflowPunct w:val="0"/>
        <w:topLinePunct/>
        <w:adjustRightIn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（2）混合土壤层次，改变土体构型</w:t>
      </w:r>
    </w:p>
    <w:p w14:paraId="761485AE">
      <w:pPr>
        <w:overflowPunct w:val="0"/>
        <w:topLinePunct/>
        <w:adjustRightIn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施工期的土石方开挖与回填，使原土壤层次混合，原土体构型破坏。土体构型的破坏，将改变土体中物质和能量的运动变化规律，使表层通气透水性变差，使亚表层保水、保肥性能降低。</w:t>
      </w:r>
    </w:p>
    <w:p w14:paraId="3E9995DC">
      <w:pPr>
        <w:overflowPunct w:val="0"/>
        <w:topLinePunct/>
        <w:adjustRightIn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（3）影响土壤紧实度</w:t>
      </w:r>
    </w:p>
    <w:p w14:paraId="1AE45249">
      <w:pPr>
        <w:overflowPunct w:val="0"/>
        <w:topLinePunct/>
        <w:adjustRightIn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施工机械碾压，尤其在坡度较大的地段，将大大改变土壤的紧实程度，与原有的上松下紧结构相比，极不利于土壤的通气、透水作用，甚至导致压实地段的地表寸草不生，形成局部人工荒漠化现象。</w:t>
      </w:r>
    </w:p>
    <w:p w14:paraId="31E4C3D4">
      <w:pPr>
        <w:overflowPunct w:val="0"/>
        <w:topLinePunct/>
        <w:adjustRightIn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2、土壤肥力影响</w:t>
      </w:r>
    </w:p>
    <w:p w14:paraId="7DFA2411">
      <w:pPr>
        <w:overflowPunct w:val="0"/>
        <w:topLinePunct/>
        <w:adjustRightIn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中的有机质、氮、磷、钾等养分含量，均表现为表土层远高于心土层；施工期土石方的开挖与回填，将扰动甚至打乱原土体构型，使土壤肥力状况受到较大的影响。据资料统计，即使在实行分层堆放、分层回填措施下，土壤的有机质也将下降42.6</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～46.5%左右，氮下降27</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～50.6%，磷下降33.3</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～46.0%，钾下降26.3</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32.5%，这表明即使对表层土实行分层堆放和分层覆土，工程开挖对土壤养分仍具有明显的影响。因此在土石方开挖、回填过程中，必须严格对表层土实行分层堆放和分层回填，尽量减小因工程开挖施工对土壤养分的影响。</w:t>
      </w:r>
    </w:p>
    <w:p w14:paraId="72DC645A">
      <w:pPr>
        <w:overflowPunct w:val="0"/>
        <w:topLinePunct/>
        <w:adjustRightIn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3、土壤污染影响</w:t>
      </w:r>
    </w:p>
    <w:p w14:paraId="534D0024">
      <w:pPr>
        <w:overflowPunct w:val="0"/>
        <w:topLinePunct/>
        <w:adjustRightIn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施工过程中将产生施工垃圾、生活垃圾等废物。这些固体垃圾含有难分解的物质，如不妥善管理，回填入土，将影响土壤质量。另外施工过程中，各种设备的燃油滴漏也可能对施工区域土壤造成一定的影响。</w:t>
      </w:r>
    </w:p>
    <w:p w14:paraId="1A64F801">
      <w:pPr>
        <w:overflowPunct w:val="0"/>
        <w:topLinePunct/>
        <w:adjustRightIn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随着施工结束，通过采取一定的措施，土壤质量将逐渐得到恢复。正常营运期间对土壤的影响较小，主要是清管排放的残渣、污水可能对土壤造成一定的影响。因此，在清管时要做好回收工作，将其对土壤环境的影响降至最低程度。此外，类比调查表明：</w:t>
      </w:r>
    </w:p>
    <w:p w14:paraId="200F6379">
      <w:pPr>
        <w:overflowPunct w:val="0"/>
        <w:topLinePunct/>
        <w:adjustRightIn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项目营运期间，地表土壤温度比相邻地段高1~3℃，蒸发量加大，土壤水分减少，冬季土表积雪提前融化，将可能形成一条明显的沟带。</w:t>
      </w:r>
    </w:p>
    <w:p w14:paraId="41925672">
      <w:pPr>
        <w:overflowPunct w:val="0"/>
        <w:topLinePunct/>
        <w:adjustRightIn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总之，项目施工改变了土壤结构和土壤养分状况，但通过采取一定的措施，土壤质量将会逐渐得到恢复。</w:t>
      </w:r>
    </w:p>
    <w:p w14:paraId="6FEB1F87">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5.1.5.3植被影响分析</w:t>
      </w:r>
    </w:p>
    <w:p w14:paraId="2F605550">
      <w:pPr>
        <w:rPr>
          <w:rFonts w:hint="eastAsia"/>
          <w:b w:val="0"/>
          <w:bCs/>
          <w:color w:val="000000" w:themeColor="text1"/>
          <w:highlight w:val="none"/>
          <w:lang w:val="en-US" w:eastAsia="zh-CN"/>
          <w14:textFill>
            <w14:solidFill>
              <w14:schemeClr w14:val="tx1"/>
            </w14:solidFill>
          </w14:textFill>
        </w:rPr>
      </w:pPr>
      <w:r>
        <w:rPr>
          <w:rFonts w:hint="eastAsia"/>
          <w:b w:val="0"/>
          <w:bCs/>
          <w:color w:val="000000" w:themeColor="text1"/>
          <w:highlight w:val="none"/>
          <w14:textFill>
            <w14:solidFill>
              <w14:schemeClr w14:val="tx1"/>
            </w14:solidFill>
          </w14:textFill>
        </w:rPr>
        <w:t>施工扬尘</w:t>
      </w:r>
      <w:r>
        <w:rPr>
          <w:rFonts w:hint="eastAsia"/>
          <w:b w:val="0"/>
          <w:bCs/>
          <w:color w:val="000000" w:themeColor="text1"/>
          <w:highlight w:val="none"/>
          <w:lang w:val="en-US" w:eastAsia="zh-CN"/>
          <w14:textFill>
            <w14:solidFill>
              <w14:schemeClr w14:val="tx1"/>
            </w14:solidFill>
          </w14:textFill>
        </w:rPr>
        <w:t>一般情况下</w:t>
      </w:r>
      <w:r>
        <w:rPr>
          <w:rFonts w:hint="eastAsia"/>
          <w:b w:val="0"/>
          <w:bCs/>
          <w:color w:val="000000" w:themeColor="text1"/>
          <w:highlight w:val="none"/>
          <w14:textFill>
            <w14:solidFill>
              <w14:schemeClr w14:val="tx1"/>
            </w14:solidFill>
          </w14:textFill>
        </w:rPr>
        <w:t>会使周边树木叶片气孔堵塞，影响植物正常的光合作用和蒸腾作用，减少产量和生长量。</w:t>
      </w:r>
      <w:r>
        <w:rPr>
          <w:rFonts w:hint="eastAsia"/>
          <w:b w:val="0"/>
          <w:bCs/>
          <w:color w:val="000000" w:themeColor="text1"/>
          <w:highlight w:val="none"/>
          <w:lang w:val="en-US" w:eastAsia="zh-CN"/>
          <w14:textFill>
            <w14:solidFill>
              <w14:schemeClr w14:val="tx1"/>
            </w14:solidFill>
          </w14:textFill>
        </w:rPr>
        <w:t>同时施工期对地表的扰动，会对植被造成一定的破坏，遇雨容易引起水土流失。但项目所在区域内由于自然环境恶劣，</w:t>
      </w:r>
      <w:r>
        <w:rPr>
          <w:rFonts w:hint="eastAsia"/>
          <w:b w:val="0"/>
          <w:bCs/>
          <w:color w:val="000000" w:themeColor="text1"/>
          <w:sz w:val="24"/>
          <w:szCs w:val="24"/>
          <w:highlight w:val="none"/>
          <w14:textFill>
            <w14:solidFill>
              <w14:schemeClr w14:val="tx1"/>
            </w14:solidFill>
          </w14:textFill>
        </w:rPr>
        <w:t>群落总盖度不到1%，绝大部分地段基本无植被生长</w:t>
      </w:r>
      <w:r>
        <w:rPr>
          <w:rFonts w:hint="eastAsia"/>
          <w:b w:val="0"/>
          <w:bCs/>
          <w:color w:val="000000" w:themeColor="text1"/>
          <w:sz w:val="24"/>
          <w:szCs w:val="24"/>
          <w:highlight w:val="none"/>
          <w:lang w:eastAsia="zh-CN"/>
          <w14:textFill>
            <w14:solidFill>
              <w14:schemeClr w14:val="tx1"/>
            </w14:solidFill>
          </w14:textFill>
        </w:rPr>
        <w:t>，</w:t>
      </w:r>
      <w:r>
        <w:rPr>
          <w:rFonts w:hint="eastAsia"/>
          <w:b w:val="0"/>
          <w:bCs/>
          <w:color w:val="000000" w:themeColor="text1"/>
          <w:highlight w:val="none"/>
          <w:lang w:val="en-US" w:eastAsia="zh-CN"/>
          <w14:textFill>
            <w14:solidFill>
              <w14:schemeClr w14:val="tx1"/>
            </w14:solidFill>
          </w14:textFill>
        </w:rPr>
        <w:t>临时占地对植被的影响是暂时的，施工完成后其影响会逐渐减少，预计在1～2年后即可恢复。</w:t>
      </w:r>
    </w:p>
    <w:p w14:paraId="7461D7B8">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施工期应做好水土保持工作，项目竣工后做好相应的土地平整、地表恢复，植被恢复工作。</w:t>
      </w:r>
    </w:p>
    <w:p w14:paraId="2F7C7D7D">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5.1.5.4</w:t>
      </w:r>
      <w:r>
        <w:rPr>
          <w:color w:val="000000" w:themeColor="text1"/>
          <w:highlight w:val="none"/>
          <w14:textFill>
            <w14:solidFill>
              <w14:schemeClr w14:val="tx1"/>
            </w14:solidFill>
          </w14:textFill>
        </w:rPr>
        <w:t>野生动物影响分析</w:t>
      </w:r>
    </w:p>
    <w:p w14:paraId="7505837A">
      <w:pPr>
        <w:overflowPunct w:val="0"/>
        <w:topLinePunct/>
        <w:adjustRightIn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lang w:eastAsia="zh-CN"/>
          <w14:textFill>
            <w14:solidFill>
              <w14:schemeClr w14:val="tx1"/>
            </w14:solidFill>
          </w14:textFill>
        </w:rPr>
        <w:t>本项目</w:t>
      </w:r>
      <w:r>
        <w:rPr>
          <w:color w:val="000000" w:themeColor="text1"/>
          <w:highlight w:val="none"/>
          <w14:textFill>
            <w14:solidFill>
              <w14:schemeClr w14:val="tx1"/>
            </w14:solidFill>
          </w14:textFill>
        </w:rPr>
        <w:t>的特点，各种施工机械的噪声及施工人员的活动干扰，都将使原来栖息在工程区附近的各种野生动物受到惊吓而迁移别处</w:t>
      </w:r>
      <w:r>
        <w:rPr>
          <w:rFonts w:hint="eastAsia"/>
          <w:color w:val="000000" w:themeColor="text1"/>
          <w:highlight w:val="none"/>
          <w:lang w:eastAsia="zh-CN"/>
          <w14:textFill>
            <w14:solidFill>
              <w14:schemeClr w14:val="tx1"/>
            </w14:solidFill>
          </w14:textFill>
        </w:rPr>
        <w:t>安身</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施工过程中应采取一定的措施减小噪声的排放，对施工人员进行保护野生动物的宣传教育。施工期结束后施工人员撤离，对</w:t>
      </w:r>
      <w:r>
        <w:rPr>
          <w:rFonts w:hint="eastAsia"/>
          <w:color w:val="000000" w:themeColor="text1"/>
          <w:highlight w:val="none"/>
          <w:lang w:eastAsia="zh-CN"/>
          <w14:textFill>
            <w14:solidFill>
              <w14:schemeClr w14:val="tx1"/>
            </w14:solidFill>
          </w14:textFill>
        </w:rPr>
        <w:t>野生动物的</w:t>
      </w:r>
      <w:r>
        <w:rPr>
          <w:rFonts w:hint="eastAsia"/>
          <w:color w:val="000000" w:themeColor="text1"/>
          <w:highlight w:val="none"/>
          <w14:textFill>
            <w14:solidFill>
              <w14:schemeClr w14:val="tx1"/>
            </w14:solidFill>
          </w14:textFill>
        </w:rPr>
        <w:t>扰动会就此消失，</w:t>
      </w:r>
      <w:r>
        <w:rPr>
          <w:color w:val="000000" w:themeColor="text1"/>
          <w:highlight w:val="none"/>
          <w14:textFill>
            <w14:solidFill>
              <w14:schemeClr w14:val="tx1"/>
            </w14:solidFill>
          </w14:textFill>
        </w:rPr>
        <w:t>因此对于野生动物的栖息地来说不会产生大的影响，不会导致野生动物因丧失栖息地而灭绝。</w:t>
      </w:r>
    </w:p>
    <w:p w14:paraId="2F03852D">
      <w:pPr>
        <w:pStyle w:val="5"/>
        <w:pageBreakBefore w:val="0"/>
        <w:kinsoku/>
        <w:wordWrap/>
        <w:autoSpaceDE/>
        <w:autoSpaceDN/>
        <w:bidi w:val="0"/>
        <w:spacing w:line="480" w:lineRule="exact"/>
        <w:ind w:firstLine="482"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5.1.5.5</w:t>
      </w:r>
      <w:r>
        <w:rPr>
          <w:color w:val="000000" w:themeColor="text1"/>
          <w:highlight w:val="none"/>
          <w14:textFill>
            <w14:solidFill>
              <w14:schemeClr w14:val="tx1"/>
            </w14:solidFill>
          </w14:textFill>
        </w:rPr>
        <w:t>水土流失影响分析</w:t>
      </w:r>
    </w:p>
    <w:p w14:paraId="74E96FAC">
      <w:pPr>
        <w:pageBreakBefore w:val="0"/>
        <w:kinsoku/>
        <w:wordWrap/>
        <w:overflowPunct w:val="0"/>
        <w:topLinePunct/>
        <w:autoSpaceDE/>
        <w:autoSpaceDN/>
        <w:bidi w:val="0"/>
        <w:spacing w:line="480" w:lineRule="exact"/>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建设过程中，由于施工人员践踏、机械作业等，将对地表植被及土壤结构造成破坏，形成一定面积的裸地，遇到雨天气将会造成水土流失，开挖的土石方将占用一定的土地，对占地范围产生扰动、植被破坏，开挖土石方堆存易发生水土流失。工程建设新增水土流失产生于以下方面：</w:t>
      </w:r>
    </w:p>
    <w:p w14:paraId="0FA0F1A8">
      <w:pPr>
        <w:pageBreakBefore w:val="0"/>
        <w:kinsoku/>
        <w:wordWrap/>
        <w:overflowPunct w:val="0"/>
        <w:topLinePunct/>
        <w:autoSpaceDE/>
        <w:autoSpaceDN/>
        <w:bidi w:val="0"/>
        <w:spacing w:line="480" w:lineRule="exact"/>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①本项目实施期间，由于场地开拓及平整地基土层的填挖、施工人员临时生活区、施工道路的布置等，均有可能造成原生地表植被的破坏，引发和加剧水土流失。</w:t>
      </w:r>
    </w:p>
    <w:p w14:paraId="26E1EC2D">
      <w:pPr>
        <w:pageBreakBefore w:val="0"/>
        <w:kinsoku/>
        <w:wordWrap/>
        <w:overflowPunct w:val="0"/>
        <w:topLinePunct/>
        <w:autoSpaceDE/>
        <w:autoSpaceDN/>
        <w:bidi w:val="0"/>
        <w:spacing w:line="480" w:lineRule="exact"/>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②弃渣堆放被风蚀的可能性较大，若堆放或保护措施不当，将会在大风作用下产生水土流失。</w:t>
      </w:r>
    </w:p>
    <w:p w14:paraId="005EE320">
      <w:pPr>
        <w:pageBreakBefore w:val="0"/>
        <w:kinsoku/>
        <w:wordWrap/>
        <w:overflowPunct w:val="0"/>
        <w:topLinePunct/>
        <w:autoSpaceDE/>
        <w:autoSpaceDN/>
        <w:bidi w:val="0"/>
        <w:spacing w:line="480" w:lineRule="exact"/>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从本项目建设性质来看，项目及其配套设施建设将扰动原地貌，改变地形地貌，破坏植被，工程建设对拟建项目占地范围内的土地产生扰动，项目占地面积较小，影响范围也有限，对项目区周边水土流失的影响不大</w:t>
      </w:r>
      <w:r>
        <w:rPr>
          <w:rFonts w:hint="eastAsia"/>
          <w:color w:val="000000" w:themeColor="text1"/>
          <w:highlight w:val="none"/>
          <w14:textFill>
            <w14:solidFill>
              <w14:schemeClr w14:val="tx1"/>
            </w14:solidFill>
          </w14:textFill>
        </w:rPr>
        <w:t>。</w:t>
      </w:r>
    </w:p>
    <w:p w14:paraId="6CF4F3A9">
      <w:pPr>
        <w:pStyle w:val="5"/>
        <w:pageBreakBefore w:val="0"/>
        <w:kinsoku/>
        <w:wordWrap/>
        <w:autoSpaceDE/>
        <w:autoSpaceDN/>
        <w:bidi w:val="0"/>
        <w:spacing w:line="480" w:lineRule="exact"/>
        <w:ind w:firstLine="482"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5.1.5.6景观生态影响分析</w:t>
      </w:r>
    </w:p>
    <w:p w14:paraId="4FCE87FA">
      <w:pPr>
        <w:keepNext w:val="0"/>
        <w:keepLines w:val="0"/>
        <w:pageBreakBefore w:val="0"/>
        <w:kinsoku/>
        <w:wordWrap/>
        <w:overflowPunct/>
        <w:topLinePunct w:val="0"/>
        <w:autoSpaceDE/>
        <w:autoSpaceDN/>
        <w:bidi w:val="0"/>
        <w:adjustRightInd w:val="0"/>
        <w:snapToGrid w:val="0"/>
        <w:spacing w:line="480" w:lineRule="exact"/>
        <w:ind w:firstLine="482"/>
        <w:textAlignment w:val="auto"/>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本项目在施工期内将增加周围地区的扬尘量，给人空气污浊的感觉，尘土覆盖，影响区域美感。但施工期的景观影响时间相对短暂，并且主要是视觉上的影响。</w:t>
      </w:r>
    </w:p>
    <w:p w14:paraId="19E1CD68">
      <w:pPr>
        <w:pStyle w:val="5"/>
        <w:pageBreakBefore w:val="0"/>
        <w:kinsoku/>
        <w:wordWrap/>
        <w:autoSpaceDE/>
        <w:autoSpaceDN/>
        <w:bidi w:val="0"/>
        <w:spacing w:line="480" w:lineRule="exact"/>
        <w:ind w:firstLine="482"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5.1.5.7</w:t>
      </w:r>
      <w:r>
        <w:rPr>
          <w:rFonts w:hint="default" w:ascii="Times New Roman" w:hAnsi="Times New Roman" w:eastAsia="宋体" w:cs="Times New Roman"/>
          <w:color w:val="000000" w:themeColor="text1"/>
          <w:highlight w:val="none"/>
          <w14:textFill>
            <w14:solidFill>
              <w14:schemeClr w14:val="tx1"/>
            </w14:solidFill>
          </w14:textFill>
        </w:rPr>
        <w:t>对沙化土地的影响</w:t>
      </w:r>
    </w:p>
    <w:p w14:paraId="01C8546F">
      <w:pPr>
        <w:pStyle w:val="130"/>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本项目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为改扩建项目</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改造车间和新建干排车间工程均位于现有选矿厂内，新建尾矿库工程和联络道路位于选矿厂南侧。项目区域</w:t>
      </w:r>
      <w:r>
        <w:rPr>
          <w:rFonts w:hint="default" w:ascii="Times New Roman" w:hAnsi="Times New Roman" w:eastAsia="宋体" w:cs="Times New Roman"/>
          <w:color w:val="000000" w:themeColor="text1"/>
          <w:highlight w:val="none"/>
          <w14:textFill>
            <w14:solidFill>
              <w14:schemeClr w14:val="tx1"/>
            </w14:solidFill>
          </w14:textFill>
        </w:rPr>
        <w:t>为已开发区域，施工期</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生产设施</w:t>
      </w:r>
      <w:r>
        <w:rPr>
          <w:rFonts w:hint="default" w:ascii="Times New Roman" w:hAnsi="Times New Roman" w:eastAsia="宋体" w:cs="Times New Roman"/>
          <w:color w:val="000000" w:themeColor="text1"/>
          <w:highlight w:val="none"/>
          <w14:textFill>
            <w14:solidFill>
              <w14:schemeClr w14:val="tx1"/>
            </w14:solidFill>
          </w14:textFill>
        </w:rPr>
        <w:t>的建设过程中将会破坏项目占地范围内的土壤表层稳定砾幕和地表荒漠植被，项目所在区域具有多风、降水量偏低等气候特征，地表稳定结皮被破坏后，在大风天气条件下，项目施工会使占地范围内的土地就地起沙，局部形成沙化土地。</w:t>
      </w:r>
    </w:p>
    <w:p w14:paraId="1D67B980">
      <w:pPr>
        <w:pStyle w:val="131"/>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但是由于项目占地范围较小，施工结束后对永久占地进行地面硬化，以减少风蚀量，对临时占地范围内场地进行平整和清理，尽量利用场区施工时产生的表层弃土对临时占地进行覆盖，采用自然恢复的方式对区域植被进行恢复，临时占地内植被在未来3～5年时间内通过自然降水及温度等因素得以恢复。综上所述，</w:t>
      </w:r>
      <w:r>
        <w:rPr>
          <w:rFonts w:hint="default" w:ascii="Times New Roman" w:hAnsi="Times New Roman" w:eastAsia="宋体" w:cs="Times New Roman"/>
          <w:color w:val="000000" w:themeColor="text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highlight w:val="none"/>
          <w14:textFill>
            <w14:solidFill>
              <w14:schemeClr w14:val="tx1"/>
            </w14:solidFill>
          </w14:textFill>
        </w:rPr>
        <w:t>对项目所在区域土地沙化影响不大</w:t>
      </w:r>
      <w:r>
        <w:rPr>
          <w:rFonts w:hint="default" w:ascii="Times New Roman" w:hAnsi="Times New Roman" w:eastAsia="宋体" w:cs="Times New Roman"/>
          <w:color w:val="000000" w:themeColor="text1"/>
          <w:spacing w:val="0"/>
          <w:highlight w:val="none"/>
          <w14:textFill>
            <w14:solidFill>
              <w14:schemeClr w14:val="tx1"/>
            </w14:solidFill>
          </w14:textFill>
        </w:rPr>
        <w:t>。</w:t>
      </w:r>
    </w:p>
    <w:p w14:paraId="1C197D1A">
      <w:pPr>
        <w:pStyle w:val="5"/>
        <w:pageBreakBefore w:val="0"/>
        <w:kinsoku/>
        <w:wordWrap/>
        <w:autoSpaceDE/>
        <w:autoSpaceDN/>
        <w:bidi w:val="0"/>
        <w:spacing w:line="480" w:lineRule="exact"/>
        <w:ind w:firstLine="482" w:firstLineChars="200"/>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5.1.5.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highlight w:val="none"/>
          <w14:textFill>
            <w14:solidFill>
              <w14:schemeClr w14:val="tx1"/>
            </w14:solidFill>
          </w14:textFill>
        </w:rPr>
        <w:t>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戈壁砾幕</w:t>
      </w:r>
      <w:r>
        <w:rPr>
          <w:rFonts w:hint="default" w:ascii="Times New Roman" w:hAnsi="Times New Roman" w:eastAsia="宋体" w:cs="Times New Roman"/>
          <w:color w:val="000000" w:themeColor="text1"/>
          <w:highlight w:val="none"/>
          <w14:textFill>
            <w14:solidFill>
              <w14:schemeClr w14:val="tx1"/>
            </w14:solidFill>
          </w14:textFill>
        </w:rPr>
        <w:t>的影响</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分析</w:t>
      </w:r>
    </w:p>
    <w:p w14:paraId="78C5155D">
      <w:pPr>
        <w:pStyle w:val="131"/>
        <w:keepNext w:val="0"/>
        <w:keepLines w:val="0"/>
        <w:pageBreakBefore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地处戈壁荒滩，地表覆盖的第四系土壤以棕漠土为主，通体粗骨质结构，表层形成的砾幕层有防止风蚀的作用。区域内干旱少雨、风蚀严重、植被稀少，因此保护砾幕层对于保护土壤资源，增加地表覆盖，减少风沙物质来源，防治风蚀有重要意义。</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施工期扰动表土，将对评价区地表砾幕层产生破坏，砾幕层对地表的防护功能也随之将遗失殆尽，导致风力侵蚀加剧，加速土壤沙化。因此要严格控制施工扰动范围，减少人为扰动。同时，应及时对扰动区域周边进行生态整治，如设置防护带或边坡，划定施工区域进行有效隔离，加固砾幕层结构，促进地表结皮，合理利用水资源，通过人工引导和自然条件共同恢复砾幕层的风沙防治功能。</w:t>
      </w:r>
    </w:p>
    <w:p w14:paraId="301BCB30">
      <w:pPr>
        <w:pStyle w:val="3"/>
        <w:rPr>
          <w:color w:val="000000" w:themeColor="text1"/>
          <w:highlight w:val="none"/>
          <w14:textFill>
            <w14:solidFill>
              <w14:schemeClr w14:val="tx1"/>
            </w14:solidFill>
          </w14:textFill>
        </w:rPr>
      </w:pPr>
      <w:bookmarkStart w:id="743" w:name="_Toc24275"/>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2运营期环境影响预测与评价</w:t>
      </w:r>
      <w:bookmarkEnd w:id="725"/>
      <w:bookmarkEnd w:id="726"/>
      <w:bookmarkEnd w:id="727"/>
      <w:bookmarkEnd w:id="728"/>
      <w:bookmarkEnd w:id="729"/>
      <w:bookmarkEnd w:id="730"/>
      <w:bookmarkEnd w:id="743"/>
    </w:p>
    <w:p w14:paraId="6B27C5E4">
      <w:pPr>
        <w:pStyle w:val="4"/>
        <w:rPr>
          <w:color w:val="000000" w:themeColor="text1"/>
          <w:highlight w:val="none"/>
          <w14:textFill>
            <w14:solidFill>
              <w14:schemeClr w14:val="tx1"/>
            </w14:solidFill>
          </w14:textFill>
        </w:rPr>
      </w:pPr>
      <w:bookmarkStart w:id="744" w:name="_Toc21874"/>
      <w:bookmarkStart w:id="745" w:name="_Toc15983"/>
      <w:bookmarkStart w:id="746" w:name="_Toc1930"/>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2.1运营期大气环境影响分析与评价</w:t>
      </w:r>
      <w:bookmarkEnd w:id="744"/>
      <w:bookmarkEnd w:id="745"/>
      <w:bookmarkEnd w:id="746"/>
    </w:p>
    <w:p w14:paraId="54C4D752">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bookmarkStart w:id="747" w:name="_Toc29792"/>
      <w:bookmarkStart w:id="748" w:name="_Toc23305"/>
      <w:bookmarkStart w:id="749" w:name="_Toc3260"/>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5.2.1.1大气污染物排放量核算</w:t>
      </w:r>
    </w:p>
    <w:p w14:paraId="4275060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大气环境影响评价等级为二级，根据《环境影响评价技术导则大气环境》（HJ2.2-2018），二级评价项目可不进行进一步预测与评价，只对污染物排放量进行核算。</w:t>
      </w:r>
      <w:r>
        <w:rPr>
          <w:rFonts w:hint="eastAsia"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大气污染物排放量核算情况如下：</w:t>
      </w:r>
    </w:p>
    <w:p w14:paraId="4592124C">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（1）有组织排放量核算</w:t>
      </w:r>
    </w:p>
    <w:p w14:paraId="679D394C">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highlight w:val="none"/>
          <w:lang w:bidi="ar"/>
          <w14:textFill>
            <w14:solidFill>
              <w14:schemeClr w14:val="tx1"/>
            </w14:solidFill>
          </w14:textFill>
        </w:rPr>
      </w:pPr>
      <w:r>
        <w:rPr>
          <w:color w:val="000000" w:themeColor="text1"/>
          <w:highlight w:val="none"/>
          <w:lang w:bidi="ar"/>
          <w14:textFill>
            <w14:solidFill>
              <w14:schemeClr w14:val="tx1"/>
            </w14:solidFill>
          </w14:textFill>
        </w:rPr>
        <w:t>本项目有组织大气污染物排放量核算情况如下：</w:t>
      </w:r>
    </w:p>
    <w:p w14:paraId="4121B516">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highlight w:val="none"/>
          <w:lang w:bidi="ar"/>
          <w14:textFill>
            <w14:solidFill>
              <w14:schemeClr w14:val="tx1"/>
            </w14:solidFill>
          </w14:textFill>
        </w:rPr>
      </w:pPr>
    </w:p>
    <w:p w14:paraId="70E00AAD">
      <w:pPr>
        <w:ind w:firstLine="0" w:firstLineChars="0"/>
        <w:jc w:val="center"/>
        <w:rPr>
          <w:b/>
          <w:color w:val="000000" w:themeColor="text1"/>
          <w:highlight w:val="none"/>
          <w:lang w:bidi="ar"/>
          <w14:textFill>
            <w14:solidFill>
              <w14:schemeClr w14:val="tx1"/>
            </w14:solidFill>
          </w14:textFill>
        </w:rPr>
      </w:pPr>
      <w:r>
        <w:rPr>
          <w:b/>
          <w:color w:val="000000" w:themeColor="text1"/>
          <w:highlight w:val="none"/>
          <w:lang w:bidi="ar"/>
          <w14:textFill>
            <w14:solidFill>
              <w14:schemeClr w14:val="tx1"/>
            </w14:solidFill>
          </w14:textFill>
        </w:rPr>
        <w:t>表5.2-</w:t>
      </w:r>
      <w:r>
        <w:rPr>
          <w:rFonts w:hint="eastAsia"/>
          <w:b/>
          <w:color w:val="000000" w:themeColor="text1"/>
          <w:highlight w:val="none"/>
          <w:lang w:val="en-US" w:eastAsia="zh-CN" w:bidi="ar"/>
          <w14:textFill>
            <w14:solidFill>
              <w14:schemeClr w14:val="tx1"/>
            </w14:solidFill>
          </w14:textFill>
        </w:rPr>
        <w:t>1</w:t>
      </w:r>
      <w:r>
        <w:rPr>
          <w:b/>
          <w:color w:val="000000" w:themeColor="text1"/>
          <w:highlight w:val="none"/>
          <w:lang w:bidi="ar"/>
          <w14:textFill>
            <w14:solidFill>
              <w14:schemeClr w14:val="tx1"/>
            </w14:solidFill>
          </w14:textFill>
        </w:rPr>
        <w:t xml:space="preserve">    本项目大气污染物有组织排放量核算一览表</w:t>
      </w:r>
    </w:p>
    <w:tbl>
      <w:tblPr>
        <w:tblStyle w:val="32"/>
        <w:tblW w:w="833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21"/>
        <w:gridCol w:w="2520"/>
        <w:gridCol w:w="884"/>
        <w:gridCol w:w="1418"/>
        <w:gridCol w:w="1417"/>
        <w:gridCol w:w="1373"/>
      </w:tblGrid>
      <w:tr w14:paraId="7AB245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721" w:type="dxa"/>
            <w:vAlign w:val="center"/>
          </w:tcPr>
          <w:p w14:paraId="325C3F48">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2520" w:type="dxa"/>
            <w:vAlign w:val="center"/>
          </w:tcPr>
          <w:p w14:paraId="7438B900">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排放源</w:t>
            </w:r>
          </w:p>
        </w:tc>
        <w:tc>
          <w:tcPr>
            <w:tcW w:w="884" w:type="dxa"/>
            <w:vAlign w:val="center"/>
          </w:tcPr>
          <w:p w14:paraId="50F0BA75">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w:t>
            </w:r>
          </w:p>
        </w:tc>
        <w:tc>
          <w:tcPr>
            <w:tcW w:w="1418" w:type="dxa"/>
            <w:vAlign w:val="center"/>
          </w:tcPr>
          <w:p w14:paraId="33710726">
            <w:pPr>
              <w:kinsoku w:val="0"/>
              <w:overflowPunct w:val="0"/>
              <w:autoSpaceDE w:val="0"/>
              <w:autoSpaceDN w:val="0"/>
              <w:adjustRightInd w:val="0"/>
              <w:snapToGrid w:val="0"/>
              <w:spacing w:line="360" w:lineRule="exact"/>
              <w:ind w:firstLine="0" w:firstLineChars="0"/>
              <w:jc w:val="center"/>
              <w:rPr>
                <w:b/>
                <w:bCs/>
                <w:color w:val="000000" w:themeColor="text1"/>
                <w:sz w:val="21"/>
                <w:szCs w:val="21"/>
                <w:highlight w:val="none"/>
                <w:lang w:bidi="ar"/>
                <w14:textFill>
                  <w14:solidFill>
                    <w14:schemeClr w14:val="tx1"/>
                  </w14:solidFill>
                </w14:textFill>
              </w:rPr>
            </w:pPr>
            <w:r>
              <w:rPr>
                <w:b/>
                <w:bCs/>
                <w:color w:val="000000" w:themeColor="text1"/>
                <w:sz w:val="21"/>
                <w:szCs w:val="21"/>
                <w:highlight w:val="none"/>
                <w:lang w:bidi="ar"/>
                <w14:textFill>
                  <w14:solidFill>
                    <w14:schemeClr w14:val="tx1"/>
                  </w14:solidFill>
                </w14:textFill>
              </w:rPr>
              <w:t>核算排放浓度</w:t>
            </w:r>
          </w:p>
          <w:p w14:paraId="6F2E9A2A">
            <w:pPr>
              <w:kinsoku w:val="0"/>
              <w:overflowPunct w:val="0"/>
              <w:autoSpaceDE w:val="0"/>
              <w:autoSpaceDN w:val="0"/>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lang w:bidi="ar"/>
                <w14:textFill>
                  <w14:solidFill>
                    <w14:schemeClr w14:val="tx1"/>
                  </w14:solidFill>
                </w14:textFill>
              </w:rPr>
              <w:t>（mg/m</w:t>
            </w:r>
            <w:r>
              <w:rPr>
                <w:b/>
                <w:bCs/>
                <w:color w:val="000000" w:themeColor="text1"/>
                <w:sz w:val="21"/>
                <w:szCs w:val="21"/>
                <w:highlight w:val="none"/>
                <w:vertAlign w:val="superscript"/>
                <w:lang w:bidi="ar"/>
                <w14:textFill>
                  <w14:solidFill>
                    <w14:schemeClr w14:val="tx1"/>
                  </w14:solidFill>
                </w14:textFill>
              </w:rPr>
              <w:t>3</w:t>
            </w:r>
            <w:r>
              <w:rPr>
                <w:b/>
                <w:bCs/>
                <w:color w:val="000000" w:themeColor="text1"/>
                <w:sz w:val="21"/>
                <w:szCs w:val="21"/>
                <w:highlight w:val="none"/>
                <w:lang w:bidi="ar"/>
                <w14:textFill>
                  <w14:solidFill>
                    <w14:schemeClr w14:val="tx1"/>
                  </w14:solidFill>
                </w14:textFill>
              </w:rPr>
              <w:t>）</w:t>
            </w:r>
          </w:p>
        </w:tc>
        <w:tc>
          <w:tcPr>
            <w:tcW w:w="1417" w:type="dxa"/>
            <w:vAlign w:val="center"/>
          </w:tcPr>
          <w:p w14:paraId="3486C121">
            <w:pPr>
              <w:kinsoku w:val="0"/>
              <w:overflowPunct w:val="0"/>
              <w:autoSpaceDE w:val="0"/>
              <w:autoSpaceDN w:val="0"/>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lang w:bidi="ar"/>
                <w14:textFill>
                  <w14:solidFill>
                    <w14:schemeClr w14:val="tx1"/>
                  </w14:solidFill>
                </w14:textFill>
              </w:rPr>
              <w:t>核算排放速率（kg/h）</w:t>
            </w:r>
          </w:p>
        </w:tc>
        <w:tc>
          <w:tcPr>
            <w:tcW w:w="1373" w:type="dxa"/>
            <w:vAlign w:val="center"/>
          </w:tcPr>
          <w:p w14:paraId="6B6D74FD">
            <w:pPr>
              <w:kinsoku w:val="0"/>
              <w:overflowPunct w:val="0"/>
              <w:autoSpaceDE w:val="0"/>
              <w:autoSpaceDN w:val="0"/>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核算年排放量</w:t>
            </w:r>
          </w:p>
          <w:p w14:paraId="679199C4">
            <w:pPr>
              <w:kinsoku w:val="0"/>
              <w:overflowPunct w:val="0"/>
              <w:autoSpaceDE w:val="0"/>
              <w:autoSpaceDN w:val="0"/>
              <w:adjustRightInd w:val="0"/>
              <w:snapToGri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（t/a）</w:t>
            </w:r>
          </w:p>
        </w:tc>
      </w:tr>
      <w:tr w14:paraId="145CE4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tblHeader/>
          <w:jc w:val="center"/>
        </w:trPr>
        <w:tc>
          <w:tcPr>
            <w:tcW w:w="8333" w:type="dxa"/>
            <w:gridSpan w:val="6"/>
            <w:vAlign w:val="center"/>
          </w:tcPr>
          <w:p w14:paraId="040B0F15">
            <w:pPr>
              <w:spacing w:line="360" w:lineRule="exact"/>
              <w:ind w:firstLine="0" w:firstLineChars="0"/>
              <w:jc w:val="center"/>
              <w:rPr>
                <w:b/>
                <w:bCs/>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主要排放口</w:t>
            </w:r>
          </w:p>
        </w:tc>
      </w:tr>
      <w:tr w14:paraId="178D1F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721" w:type="dxa"/>
            <w:vAlign w:val="center"/>
          </w:tcPr>
          <w:p w14:paraId="34463763">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DA00</w:t>
            </w:r>
            <w:r>
              <w:rPr>
                <w:color w:val="000000" w:themeColor="text1"/>
                <w:sz w:val="21"/>
                <w:szCs w:val="21"/>
                <w:highlight w:val="none"/>
                <w14:textFill>
                  <w14:solidFill>
                    <w14:schemeClr w14:val="tx1"/>
                  </w14:solidFill>
                </w14:textFill>
              </w:rPr>
              <w:t>1</w:t>
            </w:r>
          </w:p>
        </w:tc>
        <w:tc>
          <w:tcPr>
            <w:tcW w:w="2520" w:type="dxa"/>
            <w:vAlign w:val="center"/>
          </w:tcPr>
          <w:p w14:paraId="6E9E2CCF">
            <w:pPr>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破碎筛分干选工序</w:t>
            </w:r>
            <w:r>
              <w:rPr>
                <w:rFonts w:hint="eastAsia"/>
                <w:color w:val="000000" w:themeColor="text1"/>
                <w:sz w:val="21"/>
                <w:szCs w:val="21"/>
                <w:highlight w:val="none"/>
                <w14:textFill>
                  <w14:solidFill>
                    <w14:schemeClr w14:val="tx1"/>
                  </w14:solidFill>
                </w14:textFill>
              </w:rPr>
              <w:t>排气筒</w:t>
            </w:r>
          </w:p>
        </w:tc>
        <w:tc>
          <w:tcPr>
            <w:tcW w:w="884" w:type="dxa"/>
            <w:vAlign w:val="center"/>
          </w:tcPr>
          <w:p w14:paraId="6E6C8AD2">
            <w:pPr>
              <w:spacing w:line="360" w:lineRule="exact"/>
              <w:ind w:firstLine="0" w:firstLineChars="0"/>
              <w:jc w:val="center"/>
              <w:rPr>
                <w:color w:val="000000" w:themeColor="text1"/>
                <w:sz w:val="21"/>
                <w:szCs w:val="22"/>
                <w:highlight w:val="none"/>
                <w14:textFill>
                  <w14:solidFill>
                    <w14:schemeClr w14:val="tx1"/>
                  </w14:solidFill>
                </w14:textFill>
              </w:rPr>
            </w:pPr>
            <w:r>
              <w:rPr>
                <w:color w:val="000000" w:themeColor="text1"/>
                <w:sz w:val="21"/>
                <w:szCs w:val="21"/>
                <w:highlight w:val="none"/>
                <w14:textFill>
                  <w14:solidFill>
                    <w14:schemeClr w14:val="tx1"/>
                  </w14:solidFill>
                </w14:textFill>
              </w:rPr>
              <w:t>颗粒物</w:t>
            </w:r>
          </w:p>
        </w:tc>
        <w:tc>
          <w:tcPr>
            <w:tcW w:w="1418" w:type="dxa"/>
            <w:vAlign w:val="center"/>
          </w:tcPr>
          <w:p w14:paraId="58704D61">
            <w:pPr>
              <w:spacing w:line="360" w:lineRule="exact"/>
              <w:ind w:firstLine="0" w:firstLineChars="0"/>
              <w:jc w:val="center"/>
              <w:rPr>
                <w:rFonts w:hint="default" w:eastAsia="宋体"/>
                <w:color w:val="000000" w:themeColor="text1"/>
                <w:sz w:val="21"/>
                <w:szCs w:val="22"/>
                <w:highlight w:val="none"/>
                <w:lang w:val="en-US" w:eastAsia="zh-CN"/>
                <w14:textFill>
                  <w14:solidFill>
                    <w14:schemeClr w14:val="tx1"/>
                  </w14:solidFill>
                </w14:textFill>
              </w:rPr>
            </w:pPr>
            <w:r>
              <w:rPr>
                <w:rFonts w:hint="eastAsia"/>
                <w:color w:val="000000" w:themeColor="text1"/>
                <w:sz w:val="21"/>
                <w:szCs w:val="22"/>
                <w:highlight w:val="none"/>
                <w:lang w:val="en-US" w:eastAsia="zh-CN"/>
                <w14:textFill>
                  <w14:solidFill>
                    <w14:schemeClr w14:val="tx1"/>
                  </w14:solidFill>
                </w14:textFill>
              </w:rPr>
              <w:t>2.01</w:t>
            </w:r>
          </w:p>
        </w:tc>
        <w:tc>
          <w:tcPr>
            <w:tcW w:w="1417" w:type="dxa"/>
            <w:vAlign w:val="center"/>
          </w:tcPr>
          <w:p w14:paraId="5054A4A2">
            <w:pPr>
              <w:spacing w:line="360" w:lineRule="exact"/>
              <w:ind w:firstLine="0" w:firstLineChars="0"/>
              <w:jc w:val="center"/>
              <w:rPr>
                <w:rFonts w:hint="default" w:eastAsia="宋体"/>
                <w:color w:val="000000" w:themeColor="text1"/>
                <w:sz w:val="21"/>
                <w:szCs w:val="22"/>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16</w:t>
            </w:r>
          </w:p>
        </w:tc>
        <w:tc>
          <w:tcPr>
            <w:tcW w:w="1373" w:type="dxa"/>
            <w:vAlign w:val="center"/>
          </w:tcPr>
          <w:p w14:paraId="0EF7FF0D">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1.16</w:t>
            </w:r>
          </w:p>
        </w:tc>
      </w:tr>
      <w:tr w14:paraId="26E3DD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721" w:type="dxa"/>
            <w:vAlign w:val="center"/>
          </w:tcPr>
          <w:p w14:paraId="60051D1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DA00</w:t>
            </w:r>
            <w:r>
              <w:rPr>
                <w:color w:val="000000" w:themeColor="text1"/>
                <w:sz w:val="21"/>
                <w:szCs w:val="21"/>
                <w:highlight w:val="none"/>
                <w14:textFill>
                  <w14:solidFill>
                    <w14:schemeClr w14:val="tx1"/>
                  </w14:solidFill>
                </w14:textFill>
              </w:rPr>
              <w:t>2</w:t>
            </w:r>
          </w:p>
        </w:tc>
        <w:tc>
          <w:tcPr>
            <w:tcW w:w="2520" w:type="dxa"/>
            <w:vAlign w:val="center"/>
          </w:tcPr>
          <w:p w14:paraId="135CFAE4">
            <w:pPr>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高压</w:t>
            </w:r>
            <w:r>
              <w:rPr>
                <w:rFonts w:hint="eastAsia"/>
                <w:color w:val="000000" w:themeColor="text1"/>
                <w:sz w:val="21"/>
                <w:szCs w:val="21"/>
                <w:highlight w:val="none"/>
                <w14:textFill>
                  <w14:solidFill>
                    <w14:schemeClr w14:val="tx1"/>
                  </w14:solidFill>
                </w14:textFill>
              </w:rPr>
              <w:t>辊磨</w:t>
            </w:r>
            <w:r>
              <w:rPr>
                <w:rFonts w:hint="eastAsia"/>
                <w:color w:val="000000" w:themeColor="text1"/>
                <w:sz w:val="21"/>
                <w:szCs w:val="21"/>
                <w:highlight w:val="none"/>
                <w:lang w:eastAsia="zh-CN"/>
                <w14:textFill>
                  <w14:solidFill>
                    <w14:schemeClr w14:val="tx1"/>
                  </w14:solidFill>
                </w14:textFill>
              </w:rPr>
              <w:t>工序</w:t>
            </w:r>
            <w:r>
              <w:rPr>
                <w:rFonts w:hint="eastAsia"/>
                <w:color w:val="000000" w:themeColor="text1"/>
                <w:sz w:val="21"/>
                <w:szCs w:val="21"/>
                <w:highlight w:val="none"/>
                <w14:textFill>
                  <w14:solidFill>
                    <w14:schemeClr w14:val="tx1"/>
                  </w14:solidFill>
                </w14:textFill>
              </w:rPr>
              <w:t>排气筒</w:t>
            </w:r>
          </w:p>
        </w:tc>
        <w:tc>
          <w:tcPr>
            <w:tcW w:w="884" w:type="dxa"/>
            <w:vAlign w:val="center"/>
          </w:tcPr>
          <w:p w14:paraId="5F7CB9D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颗粒物</w:t>
            </w:r>
          </w:p>
        </w:tc>
        <w:tc>
          <w:tcPr>
            <w:tcW w:w="1418" w:type="dxa"/>
            <w:vAlign w:val="center"/>
          </w:tcPr>
          <w:p w14:paraId="38B8D0E6">
            <w:pPr>
              <w:spacing w:line="360" w:lineRule="exact"/>
              <w:ind w:firstLine="0" w:firstLineChars="0"/>
              <w:jc w:val="center"/>
              <w:rPr>
                <w:rFonts w:hint="default" w:eastAsia="宋体"/>
                <w:color w:val="000000" w:themeColor="text1"/>
                <w:sz w:val="21"/>
                <w:szCs w:val="22"/>
                <w:highlight w:val="none"/>
                <w:lang w:val="en-US" w:eastAsia="zh-CN"/>
                <w14:textFill>
                  <w14:solidFill>
                    <w14:schemeClr w14:val="tx1"/>
                  </w14:solidFill>
                </w14:textFill>
              </w:rPr>
            </w:pPr>
            <w:r>
              <w:rPr>
                <w:rFonts w:hint="eastAsia"/>
                <w:color w:val="000000" w:themeColor="text1"/>
                <w:sz w:val="21"/>
                <w:szCs w:val="22"/>
                <w:highlight w:val="none"/>
                <w:lang w:val="en-US" w:eastAsia="zh-CN"/>
                <w14:textFill>
                  <w14:solidFill>
                    <w14:schemeClr w14:val="tx1"/>
                  </w14:solidFill>
                </w14:textFill>
              </w:rPr>
              <w:t>0.47</w:t>
            </w:r>
          </w:p>
        </w:tc>
        <w:tc>
          <w:tcPr>
            <w:tcW w:w="1417" w:type="dxa"/>
            <w:vAlign w:val="center"/>
          </w:tcPr>
          <w:p w14:paraId="7A7E431F">
            <w:pPr>
              <w:spacing w:line="360" w:lineRule="exact"/>
              <w:ind w:firstLine="0" w:firstLineChars="0"/>
              <w:jc w:val="center"/>
              <w:rPr>
                <w:rFonts w:hint="default" w:eastAsia="宋体"/>
                <w:color w:val="000000" w:themeColor="text1"/>
                <w:sz w:val="21"/>
                <w:szCs w:val="22"/>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w:t>
            </w:r>
          </w:p>
        </w:tc>
        <w:tc>
          <w:tcPr>
            <w:tcW w:w="1373" w:type="dxa"/>
            <w:vAlign w:val="center"/>
          </w:tcPr>
          <w:p w14:paraId="38841C85">
            <w:pPr>
              <w:spacing w:line="360" w:lineRule="exact"/>
              <w:ind w:firstLine="0" w:firstLineChars="0"/>
              <w:jc w:val="center"/>
              <w:rPr>
                <w:rFonts w:hint="default" w:eastAsia="宋体"/>
                <w:color w:val="000000" w:themeColor="text1"/>
                <w:sz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r>
      <w:tr w14:paraId="7C5999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721" w:type="dxa"/>
            <w:vAlign w:val="center"/>
          </w:tcPr>
          <w:p w14:paraId="0480CFC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DA00</w:t>
            </w:r>
            <w:r>
              <w:rPr>
                <w:rFonts w:hint="eastAsia"/>
                <w:color w:val="000000" w:themeColor="text1"/>
                <w:sz w:val="21"/>
                <w:szCs w:val="21"/>
                <w:highlight w:val="none"/>
                <w14:textFill>
                  <w14:solidFill>
                    <w14:schemeClr w14:val="tx1"/>
                  </w14:solidFill>
                </w14:textFill>
              </w:rPr>
              <w:t>3</w:t>
            </w:r>
          </w:p>
        </w:tc>
        <w:tc>
          <w:tcPr>
            <w:tcW w:w="2520" w:type="dxa"/>
            <w:vAlign w:val="center"/>
          </w:tcPr>
          <w:p w14:paraId="49054845">
            <w:pPr>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磨矿</w:t>
            </w:r>
            <w:r>
              <w:rPr>
                <w:rFonts w:hint="eastAsia"/>
                <w:color w:val="000000" w:themeColor="text1"/>
                <w:sz w:val="21"/>
                <w:szCs w:val="21"/>
                <w:highlight w:val="none"/>
                <w:lang w:eastAsia="zh-CN"/>
                <w14:textFill>
                  <w14:solidFill>
                    <w14:schemeClr w14:val="tx1"/>
                  </w14:solidFill>
                </w14:textFill>
              </w:rPr>
              <w:t>工序</w:t>
            </w:r>
            <w:r>
              <w:rPr>
                <w:rFonts w:hint="eastAsia"/>
                <w:color w:val="000000" w:themeColor="text1"/>
                <w:sz w:val="21"/>
                <w:szCs w:val="21"/>
                <w:highlight w:val="none"/>
                <w14:textFill>
                  <w14:solidFill>
                    <w14:schemeClr w14:val="tx1"/>
                  </w14:solidFill>
                </w14:textFill>
              </w:rPr>
              <w:t>排气筒</w:t>
            </w:r>
          </w:p>
        </w:tc>
        <w:tc>
          <w:tcPr>
            <w:tcW w:w="884" w:type="dxa"/>
            <w:vAlign w:val="center"/>
          </w:tcPr>
          <w:p w14:paraId="07FA7F01">
            <w:pPr>
              <w:spacing w:line="360" w:lineRule="exact"/>
              <w:ind w:firstLine="0" w:firstLineChars="0"/>
              <w:jc w:val="center"/>
              <w:rPr>
                <w:color w:val="000000" w:themeColor="text1"/>
                <w:sz w:val="21"/>
                <w:szCs w:val="22"/>
                <w:highlight w:val="none"/>
                <w14:textFill>
                  <w14:solidFill>
                    <w14:schemeClr w14:val="tx1"/>
                  </w14:solidFill>
                </w14:textFill>
              </w:rPr>
            </w:pPr>
            <w:r>
              <w:rPr>
                <w:color w:val="000000" w:themeColor="text1"/>
                <w:sz w:val="21"/>
                <w:highlight w:val="none"/>
                <w14:textFill>
                  <w14:solidFill>
                    <w14:schemeClr w14:val="tx1"/>
                  </w14:solidFill>
                </w14:textFill>
              </w:rPr>
              <w:t>颗粒物</w:t>
            </w:r>
          </w:p>
        </w:tc>
        <w:tc>
          <w:tcPr>
            <w:tcW w:w="1418" w:type="dxa"/>
            <w:vAlign w:val="center"/>
          </w:tcPr>
          <w:p w14:paraId="60A4050C">
            <w:pPr>
              <w:spacing w:line="360" w:lineRule="exact"/>
              <w:ind w:firstLine="0" w:firstLineChars="0"/>
              <w:jc w:val="center"/>
              <w:rPr>
                <w:rFonts w:hint="default" w:eastAsia="宋体"/>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0.51</w:t>
            </w:r>
          </w:p>
        </w:tc>
        <w:tc>
          <w:tcPr>
            <w:tcW w:w="1417" w:type="dxa"/>
            <w:vAlign w:val="center"/>
          </w:tcPr>
          <w:p w14:paraId="527808AF">
            <w:pPr>
              <w:adjustRightInd w:val="0"/>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w:t>
            </w:r>
          </w:p>
        </w:tc>
        <w:tc>
          <w:tcPr>
            <w:tcW w:w="1373" w:type="dxa"/>
            <w:vAlign w:val="center"/>
          </w:tcPr>
          <w:p w14:paraId="1AEF42D0">
            <w:pPr>
              <w:spacing w:line="360" w:lineRule="exact"/>
              <w:ind w:firstLine="0" w:firstLineChars="0"/>
              <w:jc w:val="center"/>
              <w:rPr>
                <w:rFonts w:hint="default" w:eastAsia="宋体"/>
                <w:color w:val="000000" w:themeColor="text1"/>
                <w:sz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w:t>
            </w:r>
          </w:p>
        </w:tc>
      </w:tr>
      <w:tr w14:paraId="1BEB9F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3241" w:type="dxa"/>
            <w:gridSpan w:val="2"/>
            <w:vAlign w:val="center"/>
          </w:tcPr>
          <w:p w14:paraId="109EEA8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有组织排放总计</w:t>
            </w:r>
          </w:p>
        </w:tc>
        <w:tc>
          <w:tcPr>
            <w:tcW w:w="3719" w:type="dxa"/>
            <w:gridSpan w:val="3"/>
            <w:vAlign w:val="center"/>
          </w:tcPr>
          <w:p w14:paraId="7C24FFD2">
            <w:pPr>
              <w:spacing w:line="360" w:lineRule="exact"/>
              <w:ind w:firstLine="0" w:firstLineChars="0"/>
              <w:jc w:val="center"/>
              <w:rPr>
                <w:color w:val="000000" w:themeColor="text1"/>
                <w:sz w:val="21"/>
                <w:szCs w:val="22"/>
                <w:highlight w:val="none"/>
                <w14:textFill>
                  <w14:solidFill>
                    <w14:schemeClr w14:val="tx1"/>
                  </w14:solidFill>
                </w14:textFill>
              </w:rPr>
            </w:pPr>
            <w:r>
              <w:rPr>
                <w:color w:val="000000" w:themeColor="text1"/>
                <w:sz w:val="21"/>
                <w:highlight w:val="none"/>
                <w14:textFill>
                  <w14:solidFill>
                    <w14:schemeClr w14:val="tx1"/>
                  </w14:solidFill>
                </w14:textFill>
              </w:rPr>
              <w:t>颗粒物</w:t>
            </w:r>
          </w:p>
        </w:tc>
        <w:tc>
          <w:tcPr>
            <w:tcW w:w="1373" w:type="dxa"/>
            <w:vAlign w:val="center"/>
          </w:tcPr>
          <w:p w14:paraId="31710964">
            <w:pPr>
              <w:spacing w:line="360" w:lineRule="exact"/>
              <w:ind w:firstLine="0" w:firstLineChars="0"/>
              <w:contextualSpacing/>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1.23</w:t>
            </w:r>
          </w:p>
        </w:tc>
      </w:tr>
    </w:tbl>
    <w:p w14:paraId="1B175322">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（2）无组织排放量核算</w:t>
      </w:r>
    </w:p>
    <w:p w14:paraId="540CC4ED">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无</w:t>
      </w:r>
      <w:r>
        <w:rPr>
          <w:color w:val="000000" w:themeColor="text1"/>
          <w:highlight w:val="none"/>
          <w14:textFill>
            <w14:solidFill>
              <w14:schemeClr w14:val="tx1"/>
            </w14:solidFill>
          </w14:textFill>
        </w:rPr>
        <w:t>组织大气污染物排放量核算情况如下：</w:t>
      </w:r>
    </w:p>
    <w:p w14:paraId="2180E23D">
      <w:pPr>
        <w:ind w:firstLine="0" w:firstLineChars="0"/>
        <w:jc w:val="center"/>
        <w:rPr>
          <w:b/>
          <w:color w:val="000000" w:themeColor="text1"/>
          <w:highlight w:val="none"/>
          <w:lang w:bidi="ar"/>
          <w14:textFill>
            <w14:solidFill>
              <w14:schemeClr w14:val="tx1"/>
            </w14:solidFill>
          </w14:textFill>
        </w:rPr>
      </w:pPr>
      <w:r>
        <w:rPr>
          <w:b/>
          <w:color w:val="000000" w:themeColor="text1"/>
          <w:highlight w:val="none"/>
          <w:lang w:bidi="ar"/>
          <w14:textFill>
            <w14:solidFill>
              <w14:schemeClr w14:val="tx1"/>
            </w14:solidFill>
          </w14:textFill>
        </w:rPr>
        <w:t>表5.2-</w:t>
      </w:r>
      <w:r>
        <w:rPr>
          <w:rFonts w:hint="eastAsia"/>
          <w:b/>
          <w:color w:val="000000" w:themeColor="text1"/>
          <w:highlight w:val="none"/>
          <w:lang w:val="en-US" w:eastAsia="zh-CN" w:bidi="ar"/>
          <w14:textFill>
            <w14:solidFill>
              <w14:schemeClr w14:val="tx1"/>
            </w14:solidFill>
          </w14:textFill>
        </w:rPr>
        <w:t>2</w:t>
      </w:r>
      <w:r>
        <w:rPr>
          <w:b/>
          <w:color w:val="000000" w:themeColor="text1"/>
          <w:highlight w:val="none"/>
          <w:lang w:bidi="ar"/>
          <w14:textFill>
            <w14:solidFill>
              <w14:schemeClr w14:val="tx1"/>
            </w14:solidFill>
          </w14:textFill>
        </w:rPr>
        <w:t xml:space="preserve">    本项目大气污染物无组织排放量核算一览表</w:t>
      </w:r>
    </w:p>
    <w:tbl>
      <w:tblPr>
        <w:tblStyle w:val="32"/>
        <w:tblW w:w="84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1841"/>
        <w:gridCol w:w="868"/>
        <w:gridCol w:w="2076"/>
        <w:gridCol w:w="1896"/>
        <w:gridCol w:w="910"/>
        <w:gridCol w:w="838"/>
      </w:tblGrid>
      <w:tr w14:paraId="466192F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tblHeader/>
          <w:jc w:val="center"/>
        </w:trPr>
        <w:tc>
          <w:tcPr>
            <w:tcW w:w="1841" w:type="dxa"/>
            <w:vMerge w:val="restart"/>
            <w:tcMar>
              <w:left w:w="0" w:type="dxa"/>
              <w:right w:w="0" w:type="dxa"/>
            </w:tcMar>
            <w:vAlign w:val="center"/>
          </w:tcPr>
          <w:p w14:paraId="79B892CE">
            <w:pPr>
              <w:pStyle w:val="28"/>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ascii="Times New Roman" w:hAnsi="Times New Roman" w:cs="Times New Roman"/>
                <w:b/>
                <w:bCs/>
                <w:color w:val="000000" w:themeColor="text1"/>
                <w:sz w:val="21"/>
                <w:szCs w:val="21"/>
                <w:highlight w:val="none"/>
                <w:lang w:bidi="ar"/>
                <w14:textFill>
                  <w14:solidFill>
                    <w14:schemeClr w14:val="tx1"/>
                  </w14:solidFill>
                </w14:textFill>
              </w:rPr>
            </w:pPr>
            <w:r>
              <w:rPr>
                <w:rFonts w:ascii="Times New Roman" w:hAnsi="Times New Roman" w:cs="Times New Roman"/>
                <w:b/>
                <w:bCs/>
                <w:color w:val="000000" w:themeColor="text1"/>
                <w:sz w:val="21"/>
                <w:szCs w:val="21"/>
                <w:highlight w:val="none"/>
                <w:lang w:bidi="ar"/>
                <w14:textFill>
                  <w14:solidFill>
                    <w14:schemeClr w14:val="tx1"/>
                  </w14:solidFill>
                </w14:textFill>
              </w:rPr>
              <w:t>产污环节</w:t>
            </w:r>
          </w:p>
        </w:tc>
        <w:tc>
          <w:tcPr>
            <w:tcW w:w="868" w:type="dxa"/>
            <w:vMerge w:val="restart"/>
            <w:vAlign w:val="center"/>
          </w:tcPr>
          <w:p w14:paraId="61B35CDD">
            <w:pPr>
              <w:pStyle w:val="28"/>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lang w:bidi="ar"/>
                <w14:textFill>
                  <w14:solidFill>
                    <w14:schemeClr w14:val="tx1"/>
                  </w14:solidFill>
                </w14:textFill>
              </w:rPr>
              <w:t>污染物</w:t>
            </w:r>
          </w:p>
        </w:tc>
        <w:tc>
          <w:tcPr>
            <w:tcW w:w="2076" w:type="dxa"/>
            <w:vMerge w:val="restart"/>
            <w:vAlign w:val="center"/>
          </w:tcPr>
          <w:p w14:paraId="719C20DB">
            <w:pPr>
              <w:pStyle w:val="28"/>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ascii="Times New Roman" w:hAnsi="Times New Roman" w:cs="Times New Roman"/>
                <w:b/>
                <w:bCs/>
                <w:color w:val="000000" w:themeColor="text1"/>
                <w:sz w:val="21"/>
                <w:szCs w:val="21"/>
                <w:highlight w:val="none"/>
                <w:lang w:bidi="ar"/>
                <w14:textFill>
                  <w14:solidFill>
                    <w14:schemeClr w14:val="tx1"/>
                  </w14:solidFill>
                </w14:textFill>
              </w:rPr>
            </w:pPr>
            <w:r>
              <w:rPr>
                <w:rFonts w:ascii="Times New Roman" w:hAnsi="Times New Roman" w:cs="Times New Roman"/>
                <w:b/>
                <w:bCs/>
                <w:color w:val="000000" w:themeColor="text1"/>
                <w:sz w:val="21"/>
                <w:szCs w:val="21"/>
                <w:highlight w:val="none"/>
                <w:lang w:bidi="ar"/>
                <w14:textFill>
                  <w14:solidFill>
                    <w14:schemeClr w14:val="tx1"/>
                  </w14:solidFill>
                </w14:textFill>
              </w:rPr>
              <w:t>主要防治措施</w:t>
            </w:r>
          </w:p>
        </w:tc>
        <w:tc>
          <w:tcPr>
            <w:tcW w:w="2806" w:type="dxa"/>
            <w:gridSpan w:val="2"/>
            <w:vAlign w:val="center"/>
          </w:tcPr>
          <w:p w14:paraId="7C198738">
            <w:pPr>
              <w:pStyle w:val="28"/>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国家或地方污染物排放标准</w:t>
            </w:r>
          </w:p>
        </w:tc>
        <w:tc>
          <w:tcPr>
            <w:tcW w:w="838" w:type="dxa"/>
            <w:vMerge w:val="restart"/>
            <w:vAlign w:val="center"/>
          </w:tcPr>
          <w:p w14:paraId="3E8AEB38">
            <w:pPr>
              <w:pStyle w:val="28"/>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年排放量（t/a）</w:t>
            </w:r>
          </w:p>
        </w:tc>
      </w:tr>
      <w:tr w14:paraId="7E12191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tblHeader/>
          <w:jc w:val="center"/>
        </w:trPr>
        <w:tc>
          <w:tcPr>
            <w:tcW w:w="1841" w:type="dxa"/>
            <w:vMerge w:val="continue"/>
            <w:tcMar>
              <w:left w:w="0" w:type="dxa"/>
              <w:right w:w="0" w:type="dxa"/>
            </w:tcMar>
            <w:vAlign w:val="center"/>
          </w:tcPr>
          <w:p w14:paraId="63B1717E">
            <w:pPr>
              <w:pStyle w:val="28"/>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ascii="Times New Roman" w:hAnsi="Times New Roman" w:cs="Times New Roman"/>
                <w:b/>
                <w:bCs/>
                <w:color w:val="000000" w:themeColor="text1"/>
                <w:sz w:val="21"/>
                <w:szCs w:val="21"/>
                <w:highlight w:val="none"/>
                <w14:textFill>
                  <w14:solidFill>
                    <w14:schemeClr w14:val="tx1"/>
                  </w14:solidFill>
                </w14:textFill>
              </w:rPr>
            </w:pPr>
          </w:p>
        </w:tc>
        <w:tc>
          <w:tcPr>
            <w:tcW w:w="868" w:type="dxa"/>
            <w:vMerge w:val="continue"/>
            <w:vAlign w:val="center"/>
          </w:tcPr>
          <w:p w14:paraId="11F76BE8">
            <w:pPr>
              <w:pStyle w:val="28"/>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ascii="Times New Roman" w:hAnsi="Times New Roman" w:cs="Times New Roman"/>
                <w:b/>
                <w:bCs/>
                <w:color w:val="000000" w:themeColor="text1"/>
                <w:sz w:val="21"/>
                <w:szCs w:val="21"/>
                <w:highlight w:val="none"/>
                <w14:textFill>
                  <w14:solidFill>
                    <w14:schemeClr w14:val="tx1"/>
                  </w14:solidFill>
                </w14:textFill>
              </w:rPr>
            </w:pPr>
          </w:p>
        </w:tc>
        <w:tc>
          <w:tcPr>
            <w:tcW w:w="2076" w:type="dxa"/>
            <w:vMerge w:val="continue"/>
            <w:vAlign w:val="center"/>
          </w:tcPr>
          <w:p w14:paraId="15A65E2B">
            <w:pPr>
              <w:pStyle w:val="28"/>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ascii="Times New Roman" w:hAnsi="Times New Roman" w:cs="Times New Roman"/>
                <w:b/>
                <w:bCs/>
                <w:color w:val="000000" w:themeColor="text1"/>
                <w:sz w:val="21"/>
                <w:szCs w:val="21"/>
                <w:highlight w:val="none"/>
                <w14:textFill>
                  <w14:solidFill>
                    <w14:schemeClr w14:val="tx1"/>
                  </w14:solidFill>
                </w14:textFill>
              </w:rPr>
            </w:pPr>
          </w:p>
        </w:tc>
        <w:tc>
          <w:tcPr>
            <w:tcW w:w="1896" w:type="dxa"/>
            <w:vAlign w:val="center"/>
          </w:tcPr>
          <w:p w14:paraId="17ACECA1">
            <w:pPr>
              <w:pStyle w:val="28"/>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标准名称</w:t>
            </w:r>
          </w:p>
        </w:tc>
        <w:tc>
          <w:tcPr>
            <w:tcW w:w="910" w:type="dxa"/>
            <w:vAlign w:val="center"/>
          </w:tcPr>
          <w:p w14:paraId="7FE6ABE3">
            <w:pPr>
              <w:pStyle w:val="28"/>
              <w:widowControl w:val="0"/>
              <w:kinsoku w:val="0"/>
              <w:overflowPunct w:val="0"/>
              <w:autoSpaceDE w:val="0"/>
              <w:autoSpaceDN w:val="0"/>
              <w:adjustRightInd w:val="0"/>
              <w:snapToGrid w:val="0"/>
              <w:spacing w:before="0" w:beforeAutospacing="0" w:after="0" w:afterAutospacing="0" w:line="360" w:lineRule="exact"/>
              <w:ind w:left="-120" w:leftChars="-50" w:right="-120" w:rightChars="-50" w:firstLine="0" w:firstLineChars="0"/>
              <w:jc w:val="center"/>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浓度限值（mg/m</w:t>
            </w:r>
            <w:r>
              <w:rPr>
                <w:rFonts w:ascii="Times New Roman" w:hAnsi="Times New Roman" w:cs="Times New Roman"/>
                <w:b/>
                <w:bCs/>
                <w:color w:val="000000" w:themeColor="text1"/>
                <w:sz w:val="21"/>
                <w:szCs w:val="21"/>
                <w:highlight w:val="none"/>
                <w:vertAlign w:val="superscript"/>
                <w14:textFill>
                  <w14:solidFill>
                    <w14:schemeClr w14:val="tx1"/>
                  </w14:solidFill>
                </w14:textFill>
              </w:rPr>
              <w:t>3</w:t>
            </w:r>
            <w:r>
              <w:rPr>
                <w:rFonts w:ascii="Times New Roman" w:hAnsi="Times New Roman" w:cs="Times New Roman"/>
                <w:b/>
                <w:bCs/>
                <w:color w:val="000000" w:themeColor="text1"/>
                <w:sz w:val="21"/>
                <w:szCs w:val="21"/>
                <w:highlight w:val="none"/>
                <w14:textFill>
                  <w14:solidFill>
                    <w14:schemeClr w14:val="tx1"/>
                  </w14:solidFill>
                </w14:textFill>
              </w:rPr>
              <w:t>）</w:t>
            </w:r>
          </w:p>
        </w:tc>
        <w:tc>
          <w:tcPr>
            <w:tcW w:w="838" w:type="dxa"/>
            <w:vMerge w:val="continue"/>
            <w:vAlign w:val="center"/>
          </w:tcPr>
          <w:p w14:paraId="4BEBF480">
            <w:pPr>
              <w:pStyle w:val="28"/>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p>
        </w:tc>
      </w:tr>
      <w:tr w14:paraId="361B4C80">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841" w:type="dxa"/>
            <w:tcMar>
              <w:left w:w="0" w:type="dxa"/>
              <w:right w:w="0" w:type="dxa"/>
            </w:tcMar>
            <w:vAlign w:val="center"/>
          </w:tcPr>
          <w:p w14:paraId="3E0A0D4D">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破碎筛分干选</w:t>
            </w:r>
            <w:r>
              <w:rPr>
                <w:rFonts w:hint="eastAsia"/>
                <w:color w:val="000000" w:themeColor="text1"/>
                <w:sz w:val="21"/>
                <w:szCs w:val="21"/>
                <w:highlight w:val="none"/>
                <w14:textFill>
                  <w14:solidFill>
                    <w14:schemeClr w14:val="tx1"/>
                  </w14:solidFill>
                </w14:textFill>
              </w:rPr>
              <w:t>车间</w:t>
            </w:r>
          </w:p>
        </w:tc>
        <w:tc>
          <w:tcPr>
            <w:tcW w:w="868" w:type="dxa"/>
            <w:vAlign w:val="center"/>
          </w:tcPr>
          <w:p w14:paraId="0E629192">
            <w:pPr>
              <w:pStyle w:val="122"/>
              <w:spacing w:line="360" w:lineRule="exact"/>
              <w:ind w:firstLine="0" w:firstLineChars="0"/>
              <w:rPr>
                <w:rFonts w:ascii="Times New Roman" w:hAnsi="Times New Roman"/>
                <w:color w:val="000000" w:themeColor="text1"/>
                <w:sz w:val="21"/>
                <w:highlight w:val="none"/>
                <w14:textFill>
                  <w14:solidFill>
                    <w14:schemeClr w14:val="tx1"/>
                  </w14:solidFill>
                </w14:textFill>
              </w:rPr>
            </w:pPr>
            <w:r>
              <w:rPr>
                <w:rFonts w:ascii="Times New Roman" w:hAnsi="Times New Roman"/>
                <w:color w:val="000000" w:themeColor="text1"/>
                <w:sz w:val="21"/>
                <w:highlight w:val="none"/>
                <w14:textFill>
                  <w14:solidFill>
                    <w14:schemeClr w14:val="tx1"/>
                  </w14:solidFill>
                </w14:textFill>
              </w:rPr>
              <w:t>TSP</w:t>
            </w:r>
          </w:p>
        </w:tc>
        <w:tc>
          <w:tcPr>
            <w:tcW w:w="2076" w:type="dxa"/>
            <w:vAlign w:val="center"/>
          </w:tcPr>
          <w:p w14:paraId="11ADD58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全封闭，洒水抑尘</w:t>
            </w:r>
          </w:p>
        </w:tc>
        <w:tc>
          <w:tcPr>
            <w:tcW w:w="1896" w:type="dxa"/>
            <w:vMerge w:val="restart"/>
            <w:vAlign w:val="center"/>
          </w:tcPr>
          <w:p w14:paraId="190FB41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《铁矿采选工业污染物排放标准》</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GB28661-2012</w:t>
            </w:r>
            <w:r>
              <w:rPr>
                <w:rFonts w:hint="eastAsia"/>
                <w:color w:val="000000" w:themeColor="text1"/>
                <w:sz w:val="21"/>
                <w:szCs w:val="21"/>
                <w:highlight w:val="none"/>
                <w14:textFill>
                  <w14:solidFill>
                    <w14:schemeClr w14:val="tx1"/>
                  </w14:solidFill>
                </w14:textFill>
              </w:rPr>
              <w:t>）</w:t>
            </w:r>
          </w:p>
        </w:tc>
        <w:tc>
          <w:tcPr>
            <w:tcW w:w="910" w:type="dxa"/>
            <w:vMerge w:val="restart"/>
            <w:vAlign w:val="center"/>
          </w:tcPr>
          <w:p w14:paraId="186204B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c>
          <w:tcPr>
            <w:tcW w:w="838" w:type="dxa"/>
            <w:vAlign w:val="center"/>
          </w:tcPr>
          <w:p w14:paraId="2D58C5B3">
            <w:pPr>
              <w:spacing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1.29</w:t>
            </w:r>
          </w:p>
        </w:tc>
      </w:tr>
      <w:tr w14:paraId="5711971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841" w:type="dxa"/>
            <w:tcMar>
              <w:left w:w="0" w:type="dxa"/>
              <w:right w:w="0" w:type="dxa"/>
            </w:tcMar>
            <w:vAlign w:val="center"/>
          </w:tcPr>
          <w:p w14:paraId="3C2B68A0">
            <w:pPr>
              <w:spacing w:line="360" w:lineRule="exact"/>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高压辊磨车间</w:t>
            </w:r>
          </w:p>
        </w:tc>
        <w:tc>
          <w:tcPr>
            <w:tcW w:w="868" w:type="dxa"/>
            <w:vAlign w:val="center"/>
          </w:tcPr>
          <w:p w14:paraId="0399CC5D">
            <w:pPr>
              <w:pStyle w:val="122"/>
              <w:spacing w:line="360" w:lineRule="exact"/>
              <w:ind w:firstLine="0" w:firstLineChars="0"/>
              <w:rPr>
                <w:rFonts w:ascii="Times New Roman" w:hAnsi="Times New Roman"/>
                <w:color w:val="000000" w:themeColor="text1"/>
                <w:sz w:val="21"/>
                <w:highlight w:val="none"/>
                <w14:textFill>
                  <w14:solidFill>
                    <w14:schemeClr w14:val="tx1"/>
                  </w14:solidFill>
                </w14:textFill>
              </w:rPr>
            </w:pPr>
            <w:r>
              <w:rPr>
                <w:rFonts w:ascii="Times New Roman" w:hAnsi="Times New Roman"/>
                <w:color w:val="000000" w:themeColor="text1"/>
                <w:sz w:val="21"/>
                <w:highlight w:val="none"/>
                <w14:textFill>
                  <w14:solidFill>
                    <w14:schemeClr w14:val="tx1"/>
                  </w14:solidFill>
                </w14:textFill>
              </w:rPr>
              <w:t>TSP</w:t>
            </w:r>
          </w:p>
        </w:tc>
        <w:tc>
          <w:tcPr>
            <w:tcW w:w="2076" w:type="dxa"/>
            <w:vAlign w:val="center"/>
          </w:tcPr>
          <w:p w14:paraId="625EE0E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全封闭，洒水抑尘</w:t>
            </w:r>
          </w:p>
        </w:tc>
        <w:tc>
          <w:tcPr>
            <w:tcW w:w="1896" w:type="dxa"/>
            <w:vMerge w:val="continue"/>
            <w:vAlign w:val="center"/>
          </w:tcPr>
          <w:p w14:paraId="70D8E1DC">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10" w:type="dxa"/>
            <w:vMerge w:val="continue"/>
            <w:vAlign w:val="center"/>
          </w:tcPr>
          <w:p w14:paraId="5F6306E7">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38" w:type="dxa"/>
            <w:vAlign w:val="center"/>
          </w:tcPr>
          <w:p w14:paraId="01EB67EB">
            <w:pPr>
              <w:spacing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w:t>
            </w:r>
          </w:p>
        </w:tc>
      </w:tr>
      <w:tr w14:paraId="40E70D1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841" w:type="dxa"/>
            <w:tcMar>
              <w:left w:w="0" w:type="dxa"/>
              <w:right w:w="0" w:type="dxa"/>
            </w:tcMar>
            <w:vAlign w:val="center"/>
          </w:tcPr>
          <w:p w14:paraId="5A4191B6">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磨前仓、部分转运点</w:t>
            </w:r>
          </w:p>
        </w:tc>
        <w:tc>
          <w:tcPr>
            <w:tcW w:w="868" w:type="dxa"/>
            <w:vAlign w:val="center"/>
          </w:tcPr>
          <w:p w14:paraId="6369CAFA">
            <w:pPr>
              <w:pStyle w:val="122"/>
              <w:spacing w:line="360" w:lineRule="exact"/>
              <w:ind w:firstLine="0" w:firstLineChars="0"/>
              <w:rPr>
                <w:rFonts w:ascii="Times New Roman" w:hAnsi="Times New Roman"/>
                <w:color w:val="000000" w:themeColor="text1"/>
                <w:sz w:val="21"/>
                <w:highlight w:val="none"/>
                <w14:textFill>
                  <w14:solidFill>
                    <w14:schemeClr w14:val="tx1"/>
                  </w14:solidFill>
                </w14:textFill>
              </w:rPr>
            </w:pPr>
            <w:r>
              <w:rPr>
                <w:rFonts w:ascii="Times New Roman" w:hAnsi="Times New Roman"/>
                <w:color w:val="000000" w:themeColor="text1"/>
                <w:sz w:val="21"/>
                <w:highlight w:val="none"/>
                <w14:textFill>
                  <w14:solidFill>
                    <w14:schemeClr w14:val="tx1"/>
                  </w14:solidFill>
                </w14:textFill>
              </w:rPr>
              <w:t>TSP</w:t>
            </w:r>
          </w:p>
        </w:tc>
        <w:tc>
          <w:tcPr>
            <w:tcW w:w="2076" w:type="dxa"/>
            <w:vAlign w:val="center"/>
          </w:tcPr>
          <w:p w14:paraId="64940E5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全封闭，洒水抑尘</w:t>
            </w:r>
          </w:p>
        </w:tc>
        <w:tc>
          <w:tcPr>
            <w:tcW w:w="1896" w:type="dxa"/>
            <w:vMerge w:val="continue"/>
            <w:vAlign w:val="center"/>
          </w:tcPr>
          <w:p w14:paraId="194CB79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10" w:type="dxa"/>
            <w:vMerge w:val="continue"/>
            <w:vAlign w:val="center"/>
          </w:tcPr>
          <w:p w14:paraId="626B897D">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38" w:type="dxa"/>
            <w:vAlign w:val="center"/>
          </w:tcPr>
          <w:p w14:paraId="33F01F99">
            <w:pPr>
              <w:spacing w:line="360" w:lineRule="exact"/>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w:t>
            </w:r>
          </w:p>
        </w:tc>
      </w:tr>
      <w:tr w14:paraId="24E3CF9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841" w:type="dxa"/>
            <w:tcMar>
              <w:left w:w="0" w:type="dxa"/>
              <w:right w:w="0" w:type="dxa"/>
            </w:tcMar>
            <w:vAlign w:val="center"/>
          </w:tcPr>
          <w:p w14:paraId="1CE1E54A">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原矿仓</w:t>
            </w:r>
          </w:p>
        </w:tc>
        <w:tc>
          <w:tcPr>
            <w:tcW w:w="868" w:type="dxa"/>
            <w:vAlign w:val="center"/>
          </w:tcPr>
          <w:p w14:paraId="7577EDDB">
            <w:pPr>
              <w:pStyle w:val="122"/>
              <w:spacing w:line="360" w:lineRule="exact"/>
              <w:ind w:firstLine="0" w:firstLineChars="0"/>
              <w:rPr>
                <w:rFonts w:ascii="Times New Roman" w:hAnsi="Times New Roman"/>
                <w:color w:val="000000" w:themeColor="text1"/>
                <w:sz w:val="21"/>
                <w:highlight w:val="none"/>
                <w14:textFill>
                  <w14:solidFill>
                    <w14:schemeClr w14:val="tx1"/>
                  </w14:solidFill>
                </w14:textFill>
              </w:rPr>
            </w:pPr>
            <w:r>
              <w:rPr>
                <w:rFonts w:ascii="Times New Roman" w:hAnsi="Times New Roman"/>
                <w:color w:val="000000" w:themeColor="text1"/>
                <w:sz w:val="21"/>
                <w:highlight w:val="none"/>
                <w14:textFill>
                  <w14:solidFill>
                    <w14:schemeClr w14:val="tx1"/>
                  </w14:solidFill>
                </w14:textFill>
              </w:rPr>
              <w:t>TSP</w:t>
            </w:r>
          </w:p>
        </w:tc>
        <w:tc>
          <w:tcPr>
            <w:tcW w:w="2076" w:type="dxa"/>
            <w:vAlign w:val="center"/>
          </w:tcPr>
          <w:p w14:paraId="592FF9E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全封闭，洒水抑尘</w:t>
            </w:r>
          </w:p>
        </w:tc>
        <w:tc>
          <w:tcPr>
            <w:tcW w:w="1896" w:type="dxa"/>
            <w:vMerge w:val="continue"/>
            <w:vAlign w:val="center"/>
          </w:tcPr>
          <w:p w14:paraId="6673CA8D">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10" w:type="dxa"/>
            <w:vMerge w:val="continue"/>
            <w:vAlign w:val="center"/>
          </w:tcPr>
          <w:p w14:paraId="7430845C">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38" w:type="dxa"/>
            <w:vAlign w:val="center"/>
          </w:tcPr>
          <w:p w14:paraId="21F60D1A">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0.31</w:t>
            </w:r>
          </w:p>
        </w:tc>
      </w:tr>
      <w:tr w14:paraId="15A75005">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841" w:type="dxa"/>
            <w:tcMar>
              <w:left w:w="0" w:type="dxa"/>
              <w:right w:w="0" w:type="dxa"/>
            </w:tcMar>
            <w:vAlign w:val="center"/>
          </w:tcPr>
          <w:p w14:paraId="66A055D8">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精矿库</w:t>
            </w:r>
          </w:p>
        </w:tc>
        <w:tc>
          <w:tcPr>
            <w:tcW w:w="868" w:type="dxa"/>
            <w:vAlign w:val="center"/>
          </w:tcPr>
          <w:p w14:paraId="53FD7165">
            <w:pPr>
              <w:pStyle w:val="122"/>
              <w:spacing w:line="360" w:lineRule="exact"/>
              <w:ind w:firstLine="0" w:firstLineChars="0"/>
              <w:rPr>
                <w:rFonts w:ascii="Times New Roman" w:hAnsi="Times New Roman"/>
                <w:color w:val="000000" w:themeColor="text1"/>
                <w:sz w:val="21"/>
                <w:highlight w:val="none"/>
                <w14:textFill>
                  <w14:solidFill>
                    <w14:schemeClr w14:val="tx1"/>
                  </w14:solidFill>
                </w14:textFill>
              </w:rPr>
            </w:pPr>
            <w:r>
              <w:rPr>
                <w:rFonts w:ascii="Times New Roman" w:hAnsi="Times New Roman"/>
                <w:color w:val="000000" w:themeColor="text1"/>
                <w:sz w:val="21"/>
                <w:highlight w:val="none"/>
                <w14:textFill>
                  <w14:solidFill>
                    <w14:schemeClr w14:val="tx1"/>
                  </w14:solidFill>
                </w14:textFill>
              </w:rPr>
              <w:t>TSP</w:t>
            </w:r>
          </w:p>
        </w:tc>
        <w:tc>
          <w:tcPr>
            <w:tcW w:w="2076" w:type="dxa"/>
            <w:vAlign w:val="center"/>
          </w:tcPr>
          <w:p w14:paraId="79F3C6E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全封闭，洒水抑尘</w:t>
            </w:r>
          </w:p>
        </w:tc>
        <w:tc>
          <w:tcPr>
            <w:tcW w:w="1896" w:type="dxa"/>
            <w:vMerge w:val="continue"/>
            <w:vAlign w:val="center"/>
          </w:tcPr>
          <w:p w14:paraId="0B46E4A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10" w:type="dxa"/>
            <w:vMerge w:val="continue"/>
            <w:vAlign w:val="center"/>
          </w:tcPr>
          <w:p w14:paraId="48A3D61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38" w:type="dxa"/>
            <w:vAlign w:val="center"/>
          </w:tcPr>
          <w:p w14:paraId="1DF130C1">
            <w:pPr>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0.39</w:t>
            </w:r>
          </w:p>
        </w:tc>
      </w:tr>
      <w:tr w14:paraId="1911D00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841" w:type="dxa"/>
            <w:tcMar>
              <w:left w:w="0" w:type="dxa"/>
              <w:right w:w="0" w:type="dxa"/>
            </w:tcMar>
            <w:vAlign w:val="center"/>
          </w:tcPr>
          <w:p w14:paraId="13A6A01B">
            <w:pPr>
              <w:spacing w:line="360" w:lineRule="exact"/>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尾矿库</w:t>
            </w:r>
          </w:p>
        </w:tc>
        <w:tc>
          <w:tcPr>
            <w:tcW w:w="868" w:type="dxa"/>
            <w:vAlign w:val="center"/>
          </w:tcPr>
          <w:p w14:paraId="690A18E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TSP</w:t>
            </w:r>
          </w:p>
        </w:tc>
        <w:tc>
          <w:tcPr>
            <w:tcW w:w="2076" w:type="dxa"/>
            <w:vAlign w:val="center"/>
          </w:tcPr>
          <w:p w14:paraId="4E99AC7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洒水抑尘</w:t>
            </w:r>
          </w:p>
        </w:tc>
        <w:tc>
          <w:tcPr>
            <w:tcW w:w="1896" w:type="dxa"/>
            <w:vMerge w:val="continue"/>
            <w:vAlign w:val="center"/>
          </w:tcPr>
          <w:p w14:paraId="293EC89A">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10" w:type="dxa"/>
            <w:vMerge w:val="continue"/>
            <w:vAlign w:val="center"/>
          </w:tcPr>
          <w:p w14:paraId="769EE16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38" w:type="dxa"/>
            <w:vAlign w:val="center"/>
          </w:tcPr>
          <w:p w14:paraId="4DDCA208">
            <w:pPr>
              <w:spacing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0.18</w:t>
            </w:r>
          </w:p>
        </w:tc>
      </w:tr>
      <w:tr w14:paraId="552A8F83">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841" w:type="dxa"/>
            <w:tcMar>
              <w:left w:w="0" w:type="dxa"/>
              <w:right w:w="0" w:type="dxa"/>
            </w:tcMar>
            <w:vAlign w:val="center"/>
          </w:tcPr>
          <w:p w14:paraId="1456BDF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道路扬尘</w:t>
            </w:r>
          </w:p>
        </w:tc>
        <w:tc>
          <w:tcPr>
            <w:tcW w:w="868" w:type="dxa"/>
            <w:vAlign w:val="center"/>
          </w:tcPr>
          <w:p w14:paraId="14F6BAD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TSP</w:t>
            </w:r>
          </w:p>
        </w:tc>
        <w:tc>
          <w:tcPr>
            <w:tcW w:w="2076" w:type="dxa"/>
            <w:vAlign w:val="center"/>
          </w:tcPr>
          <w:p w14:paraId="36A175F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洒水抑尘、铺设砾石</w:t>
            </w:r>
          </w:p>
        </w:tc>
        <w:tc>
          <w:tcPr>
            <w:tcW w:w="1896" w:type="dxa"/>
            <w:vMerge w:val="continue"/>
            <w:vAlign w:val="center"/>
          </w:tcPr>
          <w:p w14:paraId="2D8EC4B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10" w:type="dxa"/>
            <w:vMerge w:val="continue"/>
            <w:vAlign w:val="center"/>
          </w:tcPr>
          <w:p w14:paraId="6F61872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38" w:type="dxa"/>
            <w:vAlign w:val="center"/>
          </w:tcPr>
          <w:p w14:paraId="331FA6D7">
            <w:pPr>
              <w:spacing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5.16</w:t>
            </w:r>
          </w:p>
        </w:tc>
      </w:tr>
      <w:tr w14:paraId="5B36E6A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841" w:type="dxa"/>
            <w:vMerge w:val="restart"/>
            <w:tcMar>
              <w:left w:w="0" w:type="dxa"/>
              <w:right w:w="0" w:type="dxa"/>
            </w:tcMar>
            <w:vAlign w:val="center"/>
          </w:tcPr>
          <w:p w14:paraId="11DDF69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汽车尾气</w:t>
            </w:r>
          </w:p>
        </w:tc>
        <w:tc>
          <w:tcPr>
            <w:tcW w:w="868" w:type="dxa"/>
            <w:vAlign w:val="center"/>
          </w:tcPr>
          <w:p w14:paraId="660911D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w:t>
            </w:r>
          </w:p>
        </w:tc>
        <w:tc>
          <w:tcPr>
            <w:tcW w:w="2076" w:type="dxa"/>
            <w:vMerge w:val="restart"/>
            <w:vAlign w:val="center"/>
          </w:tcPr>
          <w:p w14:paraId="00F52B97">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896" w:type="dxa"/>
            <w:vMerge w:val="restart"/>
            <w:vAlign w:val="center"/>
          </w:tcPr>
          <w:p w14:paraId="7C3BA87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910" w:type="dxa"/>
            <w:vMerge w:val="restart"/>
            <w:vAlign w:val="center"/>
          </w:tcPr>
          <w:p w14:paraId="656B80F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838" w:type="dxa"/>
            <w:vAlign w:val="center"/>
          </w:tcPr>
          <w:p w14:paraId="49CEDC92">
            <w:pPr>
              <w:spacing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2.15</w:t>
            </w:r>
          </w:p>
        </w:tc>
      </w:tr>
      <w:tr w14:paraId="08CB111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841" w:type="dxa"/>
            <w:vMerge w:val="continue"/>
            <w:tcMar>
              <w:left w:w="0" w:type="dxa"/>
              <w:right w:w="0" w:type="dxa"/>
            </w:tcMar>
            <w:vAlign w:val="center"/>
          </w:tcPr>
          <w:p w14:paraId="07B35FA1">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68" w:type="dxa"/>
            <w:vAlign w:val="center"/>
          </w:tcPr>
          <w:p w14:paraId="115D71A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n</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m</w:t>
            </w:r>
          </w:p>
        </w:tc>
        <w:tc>
          <w:tcPr>
            <w:tcW w:w="2076" w:type="dxa"/>
            <w:vMerge w:val="continue"/>
            <w:vAlign w:val="center"/>
          </w:tcPr>
          <w:p w14:paraId="157DC3E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896" w:type="dxa"/>
            <w:vMerge w:val="continue"/>
            <w:vAlign w:val="center"/>
          </w:tcPr>
          <w:p w14:paraId="1A62A5D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10" w:type="dxa"/>
            <w:vMerge w:val="continue"/>
            <w:vAlign w:val="center"/>
          </w:tcPr>
          <w:p w14:paraId="1E8675A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38" w:type="dxa"/>
            <w:vAlign w:val="center"/>
          </w:tcPr>
          <w:p w14:paraId="3433C895">
            <w:pPr>
              <w:spacing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0.34</w:t>
            </w:r>
          </w:p>
        </w:tc>
      </w:tr>
      <w:tr w14:paraId="334DDFC0">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841" w:type="dxa"/>
            <w:vMerge w:val="continue"/>
            <w:tcMar>
              <w:left w:w="0" w:type="dxa"/>
              <w:right w:w="0" w:type="dxa"/>
            </w:tcMar>
            <w:vAlign w:val="center"/>
          </w:tcPr>
          <w:p w14:paraId="42266153">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68" w:type="dxa"/>
            <w:vAlign w:val="center"/>
          </w:tcPr>
          <w:p w14:paraId="010C482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NOx</w:t>
            </w:r>
          </w:p>
        </w:tc>
        <w:tc>
          <w:tcPr>
            <w:tcW w:w="2076" w:type="dxa"/>
            <w:vMerge w:val="continue"/>
            <w:vAlign w:val="center"/>
          </w:tcPr>
          <w:p w14:paraId="1CE0DD1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896" w:type="dxa"/>
            <w:vMerge w:val="continue"/>
            <w:vAlign w:val="center"/>
          </w:tcPr>
          <w:p w14:paraId="00ADCFAA">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10" w:type="dxa"/>
            <w:vMerge w:val="continue"/>
            <w:vAlign w:val="center"/>
          </w:tcPr>
          <w:p w14:paraId="2999869D">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38" w:type="dxa"/>
            <w:vAlign w:val="center"/>
          </w:tcPr>
          <w:p w14:paraId="7333D7FC">
            <w:pPr>
              <w:spacing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0.07</w:t>
            </w:r>
          </w:p>
        </w:tc>
      </w:tr>
      <w:tr w14:paraId="1D447B15">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8429" w:type="dxa"/>
            <w:gridSpan w:val="6"/>
            <w:tcMar>
              <w:left w:w="0" w:type="dxa"/>
              <w:right w:w="0" w:type="dxa"/>
            </w:tcMar>
            <w:vAlign w:val="center"/>
          </w:tcPr>
          <w:p w14:paraId="644366E7">
            <w:pPr>
              <w:spacing w:line="360" w:lineRule="exact"/>
              <w:ind w:firstLine="0" w:firstLineChars="0"/>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无组织排放总计</w:t>
            </w:r>
          </w:p>
        </w:tc>
      </w:tr>
      <w:tr w14:paraId="1528B26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2709" w:type="dxa"/>
            <w:gridSpan w:val="2"/>
            <w:vMerge w:val="restart"/>
            <w:tcMar>
              <w:left w:w="0" w:type="dxa"/>
              <w:right w:w="0" w:type="dxa"/>
            </w:tcMar>
            <w:vAlign w:val="center"/>
          </w:tcPr>
          <w:p w14:paraId="75EBA189">
            <w:pPr>
              <w:spacing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无组织排放总计</w:t>
            </w:r>
          </w:p>
        </w:tc>
        <w:tc>
          <w:tcPr>
            <w:tcW w:w="2076" w:type="dxa"/>
            <w:vAlign w:val="center"/>
          </w:tcPr>
          <w:p w14:paraId="4E0E17A1">
            <w:pPr>
              <w:pStyle w:val="122"/>
              <w:spacing w:line="360" w:lineRule="exact"/>
              <w:ind w:firstLine="0" w:firstLineChars="0"/>
              <w:rPr>
                <w:rFonts w:ascii="Times New Roman" w:hAnsi="Times New Roman"/>
                <w:color w:val="000000" w:themeColor="text1"/>
                <w:sz w:val="21"/>
                <w:highlight w:val="none"/>
                <w14:textFill>
                  <w14:solidFill>
                    <w14:schemeClr w14:val="tx1"/>
                  </w14:solidFill>
                </w14:textFill>
              </w:rPr>
            </w:pPr>
            <w:r>
              <w:rPr>
                <w:rFonts w:ascii="Times New Roman" w:hAnsi="Times New Roman"/>
                <w:color w:val="000000" w:themeColor="text1"/>
                <w:sz w:val="21"/>
                <w:highlight w:val="none"/>
                <w14:textFill>
                  <w14:solidFill>
                    <w14:schemeClr w14:val="tx1"/>
                  </w14:solidFill>
                </w14:textFill>
              </w:rPr>
              <w:t>TSP</w:t>
            </w:r>
          </w:p>
        </w:tc>
        <w:tc>
          <w:tcPr>
            <w:tcW w:w="3644" w:type="dxa"/>
            <w:gridSpan w:val="3"/>
            <w:vAlign w:val="center"/>
          </w:tcPr>
          <w:p w14:paraId="1BC76055">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6.71</w:t>
            </w:r>
          </w:p>
        </w:tc>
      </w:tr>
      <w:tr w14:paraId="5BA25F2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2709" w:type="dxa"/>
            <w:gridSpan w:val="2"/>
            <w:vMerge w:val="continue"/>
            <w:tcMar>
              <w:left w:w="0" w:type="dxa"/>
              <w:right w:w="0" w:type="dxa"/>
            </w:tcMar>
            <w:vAlign w:val="center"/>
          </w:tcPr>
          <w:p w14:paraId="749F4AE6">
            <w:pPr>
              <w:spacing w:line="360" w:lineRule="exact"/>
              <w:ind w:firstLine="0" w:firstLineChars="0"/>
              <w:jc w:val="center"/>
              <w:rPr>
                <w:color w:val="000000" w:themeColor="text1"/>
                <w:spacing w:val="-1"/>
                <w:sz w:val="21"/>
                <w:szCs w:val="21"/>
                <w:highlight w:val="none"/>
                <w14:textFill>
                  <w14:solidFill>
                    <w14:schemeClr w14:val="tx1"/>
                  </w14:solidFill>
                </w14:textFill>
              </w:rPr>
            </w:pPr>
          </w:p>
        </w:tc>
        <w:tc>
          <w:tcPr>
            <w:tcW w:w="2076" w:type="dxa"/>
            <w:vAlign w:val="center"/>
          </w:tcPr>
          <w:p w14:paraId="2904014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w:t>
            </w:r>
          </w:p>
        </w:tc>
        <w:tc>
          <w:tcPr>
            <w:tcW w:w="3644" w:type="dxa"/>
            <w:gridSpan w:val="3"/>
            <w:vAlign w:val="center"/>
          </w:tcPr>
          <w:p w14:paraId="4808BE72">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2.15</w:t>
            </w:r>
          </w:p>
        </w:tc>
      </w:tr>
      <w:tr w14:paraId="07C61B0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2709" w:type="dxa"/>
            <w:gridSpan w:val="2"/>
            <w:vMerge w:val="continue"/>
            <w:tcMar>
              <w:left w:w="0" w:type="dxa"/>
              <w:right w:w="0" w:type="dxa"/>
            </w:tcMar>
            <w:vAlign w:val="center"/>
          </w:tcPr>
          <w:p w14:paraId="704FD21C">
            <w:pPr>
              <w:spacing w:line="360" w:lineRule="exact"/>
              <w:ind w:firstLine="0" w:firstLineChars="0"/>
              <w:jc w:val="center"/>
              <w:rPr>
                <w:color w:val="000000" w:themeColor="text1"/>
                <w:spacing w:val="-1"/>
                <w:sz w:val="21"/>
                <w:szCs w:val="21"/>
                <w:highlight w:val="none"/>
                <w14:textFill>
                  <w14:solidFill>
                    <w14:schemeClr w14:val="tx1"/>
                  </w14:solidFill>
                </w14:textFill>
              </w:rPr>
            </w:pPr>
          </w:p>
        </w:tc>
        <w:tc>
          <w:tcPr>
            <w:tcW w:w="2076" w:type="dxa"/>
            <w:vAlign w:val="center"/>
          </w:tcPr>
          <w:p w14:paraId="373EE26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n</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m</w:t>
            </w:r>
          </w:p>
        </w:tc>
        <w:tc>
          <w:tcPr>
            <w:tcW w:w="3644" w:type="dxa"/>
            <w:gridSpan w:val="3"/>
            <w:vAlign w:val="center"/>
          </w:tcPr>
          <w:p w14:paraId="1A2D61AF">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0.34</w:t>
            </w:r>
          </w:p>
        </w:tc>
      </w:tr>
      <w:tr w14:paraId="2236D92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2709" w:type="dxa"/>
            <w:gridSpan w:val="2"/>
            <w:vMerge w:val="continue"/>
            <w:tcMar>
              <w:left w:w="0" w:type="dxa"/>
              <w:right w:w="0" w:type="dxa"/>
            </w:tcMar>
            <w:vAlign w:val="center"/>
          </w:tcPr>
          <w:p w14:paraId="081AA38D">
            <w:pPr>
              <w:spacing w:line="360" w:lineRule="exact"/>
              <w:ind w:firstLine="0" w:firstLineChars="0"/>
              <w:jc w:val="center"/>
              <w:rPr>
                <w:color w:val="000000" w:themeColor="text1"/>
                <w:spacing w:val="-1"/>
                <w:sz w:val="21"/>
                <w:szCs w:val="21"/>
                <w:highlight w:val="none"/>
                <w14:textFill>
                  <w14:solidFill>
                    <w14:schemeClr w14:val="tx1"/>
                  </w14:solidFill>
                </w14:textFill>
              </w:rPr>
            </w:pPr>
          </w:p>
        </w:tc>
        <w:tc>
          <w:tcPr>
            <w:tcW w:w="2076" w:type="dxa"/>
            <w:vAlign w:val="center"/>
          </w:tcPr>
          <w:p w14:paraId="737AECD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NOx</w:t>
            </w:r>
          </w:p>
        </w:tc>
        <w:tc>
          <w:tcPr>
            <w:tcW w:w="3644" w:type="dxa"/>
            <w:gridSpan w:val="3"/>
            <w:vAlign w:val="center"/>
          </w:tcPr>
          <w:p w14:paraId="46173FA3">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0.07</w:t>
            </w:r>
          </w:p>
        </w:tc>
      </w:tr>
    </w:tbl>
    <w:p w14:paraId="57E545C6">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（3）大气污染物年排放量核算表</w:t>
      </w:r>
    </w:p>
    <w:p w14:paraId="7DADBF1A">
      <w:pPr>
        <w:ind w:firstLine="48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本项目大气污染物年排放量核算情况如下：</w:t>
      </w:r>
    </w:p>
    <w:p w14:paraId="0DA7DDEB">
      <w:pPr>
        <w:ind w:firstLine="0" w:firstLineChars="0"/>
        <w:jc w:val="center"/>
        <w:rPr>
          <w:b/>
          <w:color w:val="000000" w:themeColor="text1"/>
          <w:highlight w:val="none"/>
          <w:lang w:bidi="ar"/>
          <w14:textFill>
            <w14:solidFill>
              <w14:schemeClr w14:val="tx1"/>
            </w14:solidFill>
          </w14:textFill>
        </w:rPr>
      </w:pPr>
      <w:r>
        <w:rPr>
          <w:b/>
          <w:color w:val="000000" w:themeColor="text1"/>
          <w:highlight w:val="none"/>
          <w:lang w:bidi="ar"/>
          <w14:textFill>
            <w14:solidFill>
              <w14:schemeClr w14:val="tx1"/>
            </w14:solidFill>
          </w14:textFill>
        </w:rPr>
        <w:t>表5.2-</w:t>
      </w:r>
      <w:r>
        <w:rPr>
          <w:rFonts w:hint="eastAsia"/>
          <w:b/>
          <w:color w:val="000000" w:themeColor="text1"/>
          <w:highlight w:val="none"/>
          <w:lang w:val="en-US" w:eastAsia="zh-CN" w:bidi="ar"/>
          <w14:textFill>
            <w14:solidFill>
              <w14:schemeClr w14:val="tx1"/>
            </w14:solidFill>
          </w14:textFill>
        </w:rPr>
        <w:t>3</w:t>
      </w:r>
      <w:r>
        <w:rPr>
          <w:b/>
          <w:color w:val="000000" w:themeColor="text1"/>
          <w:highlight w:val="none"/>
          <w:lang w:bidi="ar"/>
          <w14:textFill>
            <w14:solidFill>
              <w14:schemeClr w14:val="tx1"/>
            </w14:solidFill>
          </w14:textFill>
        </w:rPr>
        <w:t xml:space="preserve">    本项目大气污染物排放量核算一览表</w:t>
      </w:r>
    </w:p>
    <w:tbl>
      <w:tblPr>
        <w:tblStyle w:val="32"/>
        <w:tblW w:w="84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1580"/>
        <w:gridCol w:w="3285"/>
        <w:gridCol w:w="3556"/>
      </w:tblGrid>
      <w:tr w14:paraId="56108180">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tblHeader/>
          <w:jc w:val="center"/>
        </w:trPr>
        <w:tc>
          <w:tcPr>
            <w:tcW w:w="1580" w:type="dxa"/>
            <w:tcMar>
              <w:left w:w="0" w:type="dxa"/>
              <w:right w:w="0" w:type="dxa"/>
            </w:tcMar>
            <w:vAlign w:val="center"/>
          </w:tcPr>
          <w:p w14:paraId="34C7C50B">
            <w:pPr>
              <w:pStyle w:val="28"/>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ascii="Times New Roman" w:hAnsi="Times New Roman" w:cs="Times New Roman"/>
                <w:b/>
                <w:color w:val="000000" w:themeColor="text1"/>
                <w:spacing w:val="-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lang w:bidi="ar"/>
                <w14:textFill>
                  <w14:solidFill>
                    <w14:schemeClr w14:val="tx1"/>
                  </w14:solidFill>
                </w14:textFill>
              </w:rPr>
              <w:t>序号</w:t>
            </w:r>
          </w:p>
        </w:tc>
        <w:tc>
          <w:tcPr>
            <w:tcW w:w="3285" w:type="dxa"/>
            <w:vAlign w:val="center"/>
          </w:tcPr>
          <w:p w14:paraId="4AED46E7">
            <w:pPr>
              <w:pStyle w:val="10"/>
              <w:widowControl w:val="0"/>
              <w:spacing w:after="0" w:line="360" w:lineRule="exact"/>
              <w:ind w:firstLine="0" w:firstLineChars="0"/>
              <w:jc w:val="center"/>
              <w:rPr>
                <w:rFonts w:ascii="Times New Roman" w:hAnsi="Times New Roman" w:cs="Times New Roman"/>
                <w:b/>
                <w:color w:val="000000" w:themeColor="text1"/>
                <w:kern w:val="2"/>
                <w:sz w:val="21"/>
                <w:szCs w:val="21"/>
                <w:highlight w:val="none"/>
                <w:lang w:bidi="zh-CN"/>
                <w14:textFill>
                  <w14:solidFill>
                    <w14:schemeClr w14:val="tx1"/>
                  </w14:solidFill>
                </w14:textFill>
              </w:rPr>
            </w:pPr>
            <w:r>
              <w:rPr>
                <w:rFonts w:ascii="Times New Roman" w:hAnsi="Times New Roman" w:cs="Times New Roman"/>
                <w:b/>
                <w:bCs/>
                <w:color w:val="000000" w:themeColor="text1"/>
                <w:sz w:val="21"/>
                <w:szCs w:val="21"/>
                <w:highlight w:val="none"/>
                <w:lang w:bidi="ar"/>
                <w14:textFill>
                  <w14:solidFill>
                    <w14:schemeClr w14:val="tx1"/>
                  </w14:solidFill>
                </w14:textFill>
              </w:rPr>
              <w:t>污染物</w:t>
            </w:r>
          </w:p>
        </w:tc>
        <w:tc>
          <w:tcPr>
            <w:tcW w:w="3556" w:type="dxa"/>
            <w:vAlign w:val="center"/>
          </w:tcPr>
          <w:p w14:paraId="14731275">
            <w:pPr>
              <w:spacing w:line="360" w:lineRule="exact"/>
              <w:ind w:firstLine="0" w:firstLineChars="0"/>
              <w:contextualSpacing/>
              <w:jc w:val="center"/>
              <w:rPr>
                <w:b/>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年排放量（t/a）</w:t>
            </w:r>
          </w:p>
        </w:tc>
      </w:tr>
      <w:tr w14:paraId="6BAE33E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580" w:type="dxa"/>
            <w:tcMar>
              <w:left w:w="0" w:type="dxa"/>
              <w:right w:w="0" w:type="dxa"/>
            </w:tcMar>
            <w:vAlign w:val="center"/>
          </w:tcPr>
          <w:p w14:paraId="6114C2A8">
            <w:pPr>
              <w:pStyle w:val="28"/>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ascii="Times New Roman" w:hAnsi="Times New Roman" w:cs="Times New Roman"/>
                <w:color w:val="000000" w:themeColor="text1"/>
                <w:spacing w:val="-1"/>
                <w:sz w:val="21"/>
                <w:szCs w:val="21"/>
                <w:highlight w:val="none"/>
                <w14:textFill>
                  <w14:solidFill>
                    <w14:schemeClr w14:val="tx1"/>
                  </w14:solidFill>
                </w14:textFill>
              </w:rPr>
            </w:pPr>
            <w:r>
              <w:rPr>
                <w:rFonts w:ascii="Times New Roman" w:hAnsi="Times New Roman" w:cs="Times New Roman"/>
                <w:color w:val="000000" w:themeColor="text1"/>
                <w:spacing w:val="-1"/>
                <w:sz w:val="21"/>
                <w:szCs w:val="21"/>
                <w:highlight w:val="none"/>
                <w14:textFill>
                  <w14:solidFill>
                    <w14:schemeClr w14:val="tx1"/>
                  </w14:solidFill>
                </w14:textFill>
              </w:rPr>
              <w:t>1</w:t>
            </w:r>
          </w:p>
        </w:tc>
        <w:tc>
          <w:tcPr>
            <w:tcW w:w="3285" w:type="dxa"/>
            <w:vAlign w:val="center"/>
          </w:tcPr>
          <w:p w14:paraId="0918BA28">
            <w:pPr>
              <w:pStyle w:val="10"/>
              <w:widowControl w:val="0"/>
              <w:spacing w:after="0" w:line="360" w:lineRule="exact"/>
              <w:ind w:firstLine="0" w:firstLineChars="0"/>
              <w:jc w:val="center"/>
              <w:rPr>
                <w:rFonts w:ascii="Times New Roman" w:hAnsi="Times New Roman" w:cs="Times New Roman"/>
                <w:color w:val="000000" w:themeColor="text1"/>
                <w:kern w:val="2"/>
                <w:sz w:val="21"/>
                <w:szCs w:val="21"/>
                <w:highlight w:val="none"/>
                <w:lang w:bidi="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bidi="zh-CN"/>
                <w14:textFill>
                  <w14:solidFill>
                    <w14:schemeClr w14:val="tx1"/>
                  </w14:solidFill>
                </w14:textFill>
              </w:rPr>
              <w:t>颗粒物</w:t>
            </w:r>
          </w:p>
        </w:tc>
        <w:tc>
          <w:tcPr>
            <w:tcW w:w="3556" w:type="dxa"/>
            <w:vAlign w:val="center"/>
          </w:tcPr>
          <w:p w14:paraId="75A003BE">
            <w:pPr>
              <w:spacing w:line="360" w:lineRule="exact"/>
              <w:ind w:firstLine="0" w:firstLineChars="0"/>
              <w:contextualSpacing/>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7.94</w:t>
            </w:r>
          </w:p>
        </w:tc>
      </w:tr>
      <w:tr w14:paraId="1257FBF9">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580" w:type="dxa"/>
            <w:tcMar>
              <w:left w:w="0" w:type="dxa"/>
              <w:right w:w="0" w:type="dxa"/>
            </w:tcMar>
            <w:vAlign w:val="center"/>
          </w:tcPr>
          <w:p w14:paraId="1C8755FB">
            <w:pPr>
              <w:pStyle w:val="28"/>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eastAsia"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highlight w:val="none"/>
                <w:lang w:val="en-US" w:eastAsia="zh-CN"/>
                <w14:textFill>
                  <w14:solidFill>
                    <w14:schemeClr w14:val="tx1"/>
                  </w14:solidFill>
                </w14:textFill>
              </w:rPr>
              <w:t>2</w:t>
            </w:r>
          </w:p>
        </w:tc>
        <w:tc>
          <w:tcPr>
            <w:tcW w:w="3285" w:type="dxa"/>
            <w:vAlign w:val="center"/>
          </w:tcPr>
          <w:p w14:paraId="489D3FA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w:t>
            </w:r>
          </w:p>
        </w:tc>
        <w:tc>
          <w:tcPr>
            <w:tcW w:w="3556" w:type="dxa"/>
            <w:vAlign w:val="center"/>
          </w:tcPr>
          <w:p w14:paraId="7BFF6D43">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2.15</w:t>
            </w:r>
          </w:p>
        </w:tc>
      </w:tr>
      <w:tr w14:paraId="2776DFE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580" w:type="dxa"/>
            <w:tcMar>
              <w:left w:w="0" w:type="dxa"/>
              <w:right w:w="0" w:type="dxa"/>
            </w:tcMar>
            <w:vAlign w:val="center"/>
          </w:tcPr>
          <w:p w14:paraId="489423C0">
            <w:pPr>
              <w:pStyle w:val="28"/>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highlight w:val="none"/>
                <w:lang w:val="en-US" w:eastAsia="zh-CN"/>
                <w14:textFill>
                  <w14:solidFill>
                    <w14:schemeClr w14:val="tx1"/>
                  </w14:solidFill>
                </w14:textFill>
              </w:rPr>
              <w:t>3</w:t>
            </w:r>
          </w:p>
        </w:tc>
        <w:tc>
          <w:tcPr>
            <w:tcW w:w="3285" w:type="dxa"/>
            <w:vAlign w:val="center"/>
          </w:tcPr>
          <w:p w14:paraId="48D90AE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n</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m</w:t>
            </w:r>
          </w:p>
        </w:tc>
        <w:tc>
          <w:tcPr>
            <w:tcW w:w="3556" w:type="dxa"/>
            <w:vAlign w:val="center"/>
          </w:tcPr>
          <w:p w14:paraId="790EE578">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0.34</w:t>
            </w:r>
          </w:p>
        </w:tc>
      </w:tr>
      <w:tr w14:paraId="7F12391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580" w:type="dxa"/>
            <w:tcMar>
              <w:left w:w="0" w:type="dxa"/>
              <w:right w:w="0" w:type="dxa"/>
            </w:tcMar>
            <w:vAlign w:val="center"/>
          </w:tcPr>
          <w:p w14:paraId="34430CA4">
            <w:pPr>
              <w:pStyle w:val="28"/>
              <w:widowControl w:val="0"/>
              <w:kinsoku w:val="0"/>
              <w:overflowPunct w:val="0"/>
              <w:autoSpaceDE w:val="0"/>
              <w:autoSpaceDN w:val="0"/>
              <w:adjustRightInd w:val="0"/>
              <w:snapToGrid w:val="0"/>
              <w:spacing w:before="0" w:beforeAutospacing="0" w:after="0" w:afterAutospacing="0" w:line="360" w:lineRule="exact"/>
              <w:ind w:firstLine="0" w:firstLineChars="0"/>
              <w:jc w:val="cente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1"/>
                <w:sz w:val="21"/>
                <w:szCs w:val="21"/>
                <w:highlight w:val="none"/>
                <w:lang w:val="en-US" w:eastAsia="zh-CN"/>
                <w14:textFill>
                  <w14:solidFill>
                    <w14:schemeClr w14:val="tx1"/>
                  </w14:solidFill>
                </w14:textFill>
              </w:rPr>
              <w:t>4</w:t>
            </w:r>
          </w:p>
        </w:tc>
        <w:tc>
          <w:tcPr>
            <w:tcW w:w="3285" w:type="dxa"/>
            <w:vAlign w:val="center"/>
          </w:tcPr>
          <w:p w14:paraId="1D183CD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NOx</w:t>
            </w:r>
          </w:p>
        </w:tc>
        <w:tc>
          <w:tcPr>
            <w:tcW w:w="3556" w:type="dxa"/>
            <w:vAlign w:val="center"/>
          </w:tcPr>
          <w:p w14:paraId="53611F96">
            <w:pPr>
              <w:spacing w:line="360" w:lineRule="exact"/>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0.07</w:t>
            </w:r>
          </w:p>
        </w:tc>
      </w:tr>
    </w:tbl>
    <w:p w14:paraId="2923C609">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5.2.1.2环境空气影响预测与评价</w:t>
      </w:r>
    </w:p>
    <w:p w14:paraId="1149E106">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有组织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废气影响分析</w:t>
      </w:r>
    </w:p>
    <w:p w14:paraId="19BEBBBD">
      <w:pPr>
        <w:keepNext w:val="0"/>
        <w:keepLines w:val="0"/>
        <w:pageBreakBefore w:val="0"/>
        <w:widowControl w:val="0"/>
        <w:kinsoku/>
        <w:wordWrap/>
        <w:overflowPunct w:val="0"/>
        <w:topLinePunct/>
        <w:autoSpaceDE/>
        <w:autoSpaceDN/>
        <w:bidi w:val="0"/>
        <w:adjustRightInd/>
        <w:snapToGrid/>
        <w:ind w:firstLine="480"/>
        <w:textAlignment w:val="auto"/>
        <w:rPr>
          <w:rFonts w:eastAsia="宋体"/>
          <w:color w:val="000000" w:themeColor="text1"/>
          <w:kern w:val="0"/>
          <w:sz w:val="24"/>
          <w:highlight w:val="none"/>
          <w14:textFill>
            <w14:solidFill>
              <w14:schemeClr w14:val="tx1"/>
            </w14:solidFill>
          </w14:textFill>
        </w:rPr>
      </w:pPr>
      <w:r>
        <w:rPr>
          <w:rFonts w:hint="eastAsia" w:eastAsia="宋体"/>
          <w:color w:val="000000" w:themeColor="text1"/>
          <w:sz w:val="24"/>
          <w:highlight w:val="none"/>
          <w14:textFill>
            <w14:solidFill>
              <w14:schemeClr w14:val="tx1"/>
            </w14:solidFill>
          </w14:textFill>
        </w:rPr>
        <w:t>本项目有组织废气</w:t>
      </w:r>
      <w:r>
        <w:rPr>
          <w:rFonts w:hint="eastAsia" w:eastAsia="宋体"/>
          <w:color w:val="000000" w:themeColor="text1"/>
          <w:sz w:val="24"/>
          <w:highlight w:val="none"/>
          <w:lang w:val="en-US" w:eastAsia="zh-CN"/>
          <w14:textFill>
            <w14:solidFill>
              <w14:schemeClr w14:val="tx1"/>
            </w14:solidFill>
          </w14:textFill>
        </w:rPr>
        <w:t>主要为</w:t>
      </w:r>
      <w:r>
        <w:rPr>
          <w:rFonts w:hint="eastAsia" w:eastAsia="宋体"/>
          <w:color w:val="000000" w:themeColor="text1"/>
          <w:sz w:val="24"/>
          <w:highlight w:val="none"/>
          <w:lang w:eastAsia="zh-CN"/>
          <w14:textFill>
            <w14:solidFill>
              <w14:schemeClr w14:val="tx1"/>
            </w14:solidFill>
          </w14:textFill>
        </w:rPr>
        <w:t>破碎筛分</w:t>
      </w:r>
      <w:r>
        <w:rPr>
          <w:rFonts w:hint="eastAsia" w:eastAsia="宋体"/>
          <w:color w:val="000000" w:themeColor="text1"/>
          <w:kern w:val="0"/>
          <w:sz w:val="24"/>
          <w:highlight w:val="none"/>
          <w:lang w:val="en-US" w:eastAsia="zh-CN"/>
          <w14:textFill>
            <w14:solidFill>
              <w14:schemeClr w14:val="tx1"/>
            </w14:solidFill>
          </w14:textFill>
        </w:rPr>
        <w:t>干选</w:t>
      </w:r>
      <w:r>
        <w:rPr>
          <w:rFonts w:hint="eastAsia" w:eastAsia="宋体"/>
          <w:color w:val="000000" w:themeColor="text1"/>
          <w:sz w:val="24"/>
          <w:highlight w:val="none"/>
          <w:lang w:eastAsia="zh-CN"/>
          <w14:textFill>
            <w14:solidFill>
              <w14:schemeClr w14:val="tx1"/>
            </w14:solidFill>
          </w14:textFill>
        </w:rPr>
        <w:t>、高压</w:t>
      </w:r>
      <w:r>
        <w:rPr>
          <w:rFonts w:hint="eastAsia" w:eastAsia="宋体"/>
          <w:color w:val="000000" w:themeColor="text1"/>
          <w:kern w:val="0"/>
          <w:sz w:val="24"/>
          <w:highlight w:val="none"/>
          <w14:textFill>
            <w14:solidFill>
              <w14:schemeClr w14:val="tx1"/>
            </w14:solidFill>
          </w14:textFill>
        </w:rPr>
        <w:t>辊磨</w:t>
      </w:r>
      <w:r>
        <w:rPr>
          <w:rFonts w:hint="eastAsia" w:eastAsia="宋体"/>
          <w:color w:val="000000" w:themeColor="text1"/>
          <w:kern w:val="0"/>
          <w:sz w:val="24"/>
          <w:highlight w:val="none"/>
          <w:lang w:eastAsia="zh-CN"/>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磁选</w:t>
      </w:r>
      <w:r>
        <w:rPr>
          <w:rFonts w:eastAsia="宋体"/>
          <w:color w:val="000000" w:themeColor="text1"/>
          <w:kern w:val="0"/>
          <w:sz w:val="24"/>
          <w:highlight w:val="none"/>
          <w14:textFill>
            <w14:solidFill>
              <w14:schemeClr w14:val="tx1"/>
            </w14:solidFill>
          </w14:textFill>
        </w:rPr>
        <w:t>过程中</w:t>
      </w:r>
      <w:r>
        <w:rPr>
          <w:rFonts w:hint="eastAsia" w:eastAsia="宋体"/>
          <w:color w:val="000000" w:themeColor="text1"/>
          <w:kern w:val="0"/>
          <w:sz w:val="24"/>
          <w:highlight w:val="none"/>
          <w:lang w:eastAsia="zh-CN"/>
          <w14:textFill>
            <w14:solidFill>
              <w14:schemeClr w14:val="tx1"/>
            </w14:solidFill>
          </w14:textFill>
        </w:rPr>
        <w:t>产生的粉尘</w:t>
      </w:r>
      <w:r>
        <w:rPr>
          <w:rFonts w:hint="eastAsia" w:eastAsia="宋体"/>
          <w:color w:val="000000" w:themeColor="text1"/>
          <w:kern w:val="0"/>
          <w:sz w:val="24"/>
          <w:highlight w:val="none"/>
          <w14:textFill>
            <w14:solidFill>
              <w14:schemeClr w14:val="tx1"/>
            </w14:solidFill>
          </w14:textFill>
        </w:rPr>
        <w:t>。</w:t>
      </w:r>
    </w:p>
    <w:p w14:paraId="4028E838">
      <w:pPr>
        <w:keepNext w:val="0"/>
        <w:keepLines w:val="0"/>
        <w:pageBreakBefore w:val="0"/>
        <w:widowControl w:val="0"/>
        <w:kinsoku/>
        <w:wordWrap/>
        <w:overflowPunct w:val="0"/>
        <w:topLinePunct/>
        <w:autoSpaceDE/>
        <w:autoSpaceDN/>
        <w:bidi w:val="0"/>
        <w:adjustRightInd/>
        <w:snapToGrid/>
        <w:ind w:firstLine="480"/>
        <w:textAlignment w:val="auto"/>
        <w:rPr>
          <w:rFonts w:hint="eastAsia" w:eastAsia="宋体"/>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w:t>
      </w:r>
      <w:r>
        <w:rPr>
          <w:rFonts w:hint="eastAsia" w:eastAsia="宋体" w:cs="Times New Roman"/>
          <w:color w:val="000000" w:themeColor="text1"/>
          <w:kern w:val="0"/>
          <w:sz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矿石经粗碎-中碎-筛分</w:t>
      </w:r>
      <w:r>
        <w:rPr>
          <w:rFonts w:hint="eastAsia" w:eastAsia="宋体" w:cs="Times New Roman"/>
          <w:color w:val="000000" w:themeColor="text1"/>
          <w:kern w:val="0"/>
          <w:sz w:val="24"/>
          <w:highlight w:val="none"/>
          <w:lang w:val="en-US" w:eastAsia="zh-CN"/>
          <w14:textFill>
            <w14:solidFill>
              <w14:schemeClr w14:val="tx1"/>
            </w14:solidFill>
          </w14:textFill>
        </w:rPr>
        <w:t>-干选</w:t>
      </w:r>
      <w:r>
        <w:rPr>
          <w:rFonts w:hint="eastAsia" w:cs="Times New Roman"/>
          <w:color w:val="000000" w:themeColor="text1"/>
          <w:kern w:val="0"/>
          <w:sz w:val="24"/>
          <w:highlight w:val="none"/>
          <w:lang w:val="en-US" w:eastAsia="zh-CN"/>
          <w14:textFill>
            <w14:solidFill>
              <w14:schemeClr w14:val="tx1"/>
            </w14:solidFill>
          </w14:textFill>
        </w:rPr>
        <w:t>-</w:t>
      </w:r>
      <w:r>
        <w:rPr>
          <w:rFonts w:hint="eastAsia" w:eastAsia="宋体"/>
          <w:color w:val="000000" w:themeColor="text1"/>
          <w:sz w:val="24"/>
          <w:highlight w:val="none"/>
          <w:lang w:eastAsia="zh-CN"/>
          <w14:textFill>
            <w14:solidFill>
              <w14:schemeClr w14:val="tx1"/>
            </w14:solidFill>
          </w14:textFill>
        </w:rPr>
        <w:t>高压</w:t>
      </w:r>
      <w:r>
        <w:rPr>
          <w:rFonts w:hint="eastAsia" w:eastAsia="宋体"/>
          <w:color w:val="000000" w:themeColor="text1"/>
          <w:kern w:val="0"/>
          <w:sz w:val="24"/>
          <w:highlight w:val="none"/>
          <w14:textFill>
            <w14:solidFill>
              <w14:schemeClr w14:val="tx1"/>
            </w14:solidFill>
          </w14:textFill>
        </w:rPr>
        <w:t>辊磨</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系统进行加工后</w:t>
      </w:r>
      <w:r>
        <w:rPr>
          <w:rFonts w:hint="eastAsia" w:eastAsia="宋体" w:cs="Times New Roman"/>
          <w:color w:val="000000" w:themeColor="text1"/>
          <w:kern w:val="0"/>
          <w:sz w:val="24"/>
          <w:highlight w:val="none"/>
          <w:lang w:val="en-US" w:eastAsia="zh-CN"/>
          <w14:textFill>
            <w14:solidFill>
              <w14:schemeClr w14:val="tx1"/>
            </w14:solidFill>
          </w14:textFill>
        </w:rPr>
        <w:t>再进入高压辊磨机进行超细碎</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处理，</w:t>
      </w:r>
      <w:r>
        <w:rPr>
          <w:rFonts w:hint="eastAsia"/>
          <w:color w:val="000000" w:themeColor="text1"/>
          <w:szCs w:val="20"/>
          <w:highlight w:val="none"/>
          <w:lang w:val="en-US" w:eastAsia="zh-CN"/>
          <w14:textFill>
            <w14:solidFill>
              <w14:schemeClr w14:val="tx1"/>
            </w14:solidFill>
          </w14:textFill>
        </w:rPr>
        <w:t>各产尘点粉尘分别</w:t>
      </w:r>
      <w:r>
        <w:rPr>
          <w:rFonts w:hint="eastAsia"/>
          <w:color w:val="000000" w:themeColor="text1"/>
          <w:kern w:val="0"/>
          <w:szCs w:val="20"/>
          <w:highlight w:val="none"/>
          <w:lang w:val="en-US" w:eastAsia="zh-CN"/>
          <w14:textFill>
            <w14:solidFill>
              <w14:schemeClr w14:val="tx1"/>
            </w14:solidFill>
          </w14:textFill>
        </w:rPr>
        <w:t>经</w:t>
      </w:r>
      <w:r>
        <w:rPr>
          <w:rFonts w:eastAsiaTheme="minorEastAsia"/>
          <w:color w:val="000000" w:themeColor="text1"/>
          <w:highlight w:val="none"/>
          <w14:textFill>
            <w14:solidFill>
              <w14:schemeClr w14:val="tx1"/>
            </w14:solidFill>
          </w14:textFill>
        </w:rPr>
        <w:t>集气罩</w:t>
      </w:r>
      <w:r>
        <w:rPr>
          <w:rFonts w:hint="eastAsia" w:eastAsiaTheme="minorEastAsia"/>
          <w:color w:val="000000" w:themeColor="text1"/>
          <w:highlight w:val="none"/>
          <w:lang w:val="en-US" w:eastAsia="zh-CN"/>
          <w14:textFill>
            <w14:solidFill>
              <w14:schemeClr w14:val="tx1"/>
            </w14:solidFill>
          </w14:textFill>
        </w:rPr>
        <w:t>收集，</w:t>
      </w:r>
      <w:r>
        <w:rPr>
          <w:rFonts w:eastAsia="宋体"/>
          <w:color w:val="000000" w:themeColor="text1"/>
          <w:kern w:val="0"/>
          <w:sz w:val="24"/>
          <w:szCs w:val="20"/>
          <w:highlight w:val="none"/>
          <w14:textFill>
            <w14:solidFill>
              <w14:schemeClr w14:val="tx1"/>
            </w14:solidFill>
          </w14:textFill>
        </w:rPr>
        <w:t>采用</w:t>
      </w:r>
      <w:r>
        <w:rPr>
          <w:rFonts w:hint="eastAsia" w:eastAsia="宋体"/>
          <w:color w:val="000000" w:themeColor="text1"/>
          <w:sz w:val="24"/>
          <w:highlight w:val="none"/>
          <w14:textFill>
            <w14:solidFill>
              <w14:schemeClr w14:val="tx1"/>
            </w14:solidFill>
          </w14:textFill>
        </w:rPr>
        <w:t>布袋</w:t>
      </w:r>
      <w:r>
        <w:rPr>
          <w:rFonts w:eastAsia="宋体"/>
          <w:color w:val="000000" w:themeColor="text1"/>
          <w:kern w:val="0"/>
          <w:sz w:val="24"/>
          <w:szCs w:val="20"/>
          <w:highlight w:val="none"/>
          <w14:textFill>
            <w14:solidFill>
              <w14:schemeClr w14:val="tx1"/>
            </w14:solidFill>
          </w14:textFill>
        </w:rPr>
        <w:t>除尘器</w:t>
      </w:r>
      <w:r>
        <w:rPr>
          <w:rFonts w:hint="eastAsia" w:eastAsia="宋体"/>
          <w:color w:val="000000" w:themeColor="text1"/>
          <w:kern w:val="0"/>
          <w:sz w:val="24"/>
          <w:szCs w:val="20"/>
          <w:highlight w:val="none"/>
          <w14:textFill>
            <w14:solidFill>
              <w14:schemeClr w14:val="tx1"/>
            </w14:solidFill>
          </w14:textFill>
        </w:rPr>
        <w:t>（除尘效率99.</w:t>
      </w:r>
      <w:r>
        <w:rPr>
          <w:rFonts w:hint="eastAsia" w:eastAsia="宋体"/>
          <w:color w:val="000000" w:themeColor="text1"/>
          <w:kern w:val="0"/>
          <w:sz w:val="24"/>
          <w:szCs w:val="20"/>
          <w:highlight w:val="none"/>
          <w:lang w:val="en-US" w:eastAsia="zh-CN"/>
          <w14:textFill>
            <w14:solidFill>
              <w14:schemeClr w14:val="tx1"/>
            </w14:solidFill>
          </w14:textFill>
        </w:rPr>
        <w:t>9</w:t>
      </w:r>
      <w:r>
        <w:rPr>
          <w:rFonts w:hint="eastAsia" w:eastAsia="宋体"/>
          <w:color w:val="000000" w:themeColor="text1"/>
          <w:kern w:val="0"/>
          <w:sz w:val="24"/>
          <w:szCs w:val="20"/>
          <w:highlight w:val="none"/>
          <w14:textFill>
            <w14:solidFill>
              <w14:schemeClr w14:val="tx1"/>
            </w14:solidFill>
          </w14:textFill>
        </w:rPr>
        <w:t>%）</w:t>
      </w:r>
      <w:r>
        <w:rPr>
          <w:rFonts w:hint="eastAsia" w:eastAsia="宋体"/>
          <w:color w:val="000000" w:themeColor="text1"/>
          <w:sz w:val="24"/>
          <w:highlight w:val="none"/>
          <w14:textFill>
            <w14:solidFill>
              <w14:schemeClr w14:val="tx1"/>
            </w14:solidFill>
          </w14:textFill>
        </w:rPr>
        <w:t>除尘</w:t>
      </w:r>
      <w:r>
        <w:rPr>
          <w:rFonts w:hint="eastAsia" w:eastAsia="宋体"/>
          <w:color w:val="000000" w:themeColor="text1"/>
          <w:sz w:val="24"/>
          <w:highlight w:val="none"/>
          <w:lang w:val="en-US" w:eastAsia="zh-CN"/>
          <w14:textFill>
            <w14:solidFill>
              <w14:schemeClr w14:val="tx1"/>
            </w14:solidFill>
          </w14:textFill>
        </w:rPr>
        <w:t>后通过15m高排气筒排放</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磁选过程</w:t>
      </w:r>
      <w:r>
        <w:rPr>
          <w:rFonts w:hint="eastAsia"/>
          <w:color w:val="000000" w:themeColor="text1"/>
          <w:szCs w:val="20"/>
          <w:highlight w:val="none"/>
          <w:lang w:val="en-US" w:eastAsia="zh-CN"/>
          <w14:textFill>
            <w14:solidFill>
              <w14:schemeClr w14:val="tx1"/>
            </w14:solidFill>
          </w14:textFill>
        </w:rPr>
        <w:t>各产尘点粉尘分别</w:t>
      </w:r>
      <w:r>
        <w:rPr>
          <w:color w:val="000000" w:themeColor="text1"/>
          <w:kern w:val="0"/>
          <w:szCs w:val="20"/>
          <w:highlight w:val="none"/>
          <w14:textFill>
            <w14:solidFill>
              <w14:schemeClr w14:val="tx1"/>
            </w14:solidFill>
          </w14:textFill>
        </w:rPr>
        <w:t>采用</w:t>
      </w:r>
      <w:r>
        <w:rPr>
          <w:rFonts w:eastAsiaTheme="minorEastAsia"/>
          <w:color w:val="000000" w:themeColor="text1"/>
          <w:highlight w:val="none"/>
          <w14:textFill>
            <w14:solidFill>
              <w14:schemeClr w14:val="tx1"/>
            </w14:solidFill>
          </w14:textFill>
        </w:rPr>
        <w:t>集气罩</w:t>
      </w:r>
      <w:r>
        <w:rPr>
          <w:rFonts w:hint="eastAsia" w:eastAsiaTheme="minorEastAsia"/>
          <w:color w:val="000000" w:themeColor="text1"/>
          <w:highlight w:val="none"/>
          <w:lang w:val="en-US" w:eastAsia="zh-CN"/>
          <w14:textFill>
            <w14:solidFill>
              <w14:schemeClr w14:val="tx1"/>
            </w14:solidFill>
          </w14:textFill>
        </w:rPr>
        <w:t>收集，</w:t>
      </w:r>
      <w:r>
        <w:rPr>
          <w:rFonts w:eastAsia="宋体"/>
          <w:color w:val="000000" w:themeColor="text1"/>
          <w:kern w:val="0"/>
          <w:sz w:val="24"/>
          <w:szCs w:val="20"/>
          <w:highlight w:val="none"/>
          <w14:textFill>
            <w14:solidFill>
              <w14:schemeClr w14:val="tx1"/>
            </w14:solidFill>
          </w14:textFill>
        </w:rPr>
        <w:t>采用</w:t>
      </w:r>
      <w:r>
        <w:rPr>
          <w:rFonts w:hint="eastAsia" w:eastAsia="宋体"/>
          <w:color w:val="000000" w:themeColor="text1"/>
          <w:sz w:val="24"/>
          <w:highlight w:val="none"/>
          <w14:textFill>
            <w14:solidFill>
              <w14:schemeClr w14:val="tx1"/>
            </w14:solidFill>
          </w14:textFill>
        </w:rPr>
        <w:t>布袋</w:t>
      </w:r>
      <w:r>
        <w:rPr>
          <w:rFonts w:eastAsia="宋体"/>
          <w:color w:val="000000" w:themeColor="text1"/>
          <w:kern w:val="0"/>
          <w:sz w:val="24"/>
          <w:szCs w:val="20"/>
          <w:highlight w:val="none"/>
          <w14:textFill>
            <w14:solidFill>
              <w14:schemeClr w14:val="tx1"/>
            </w14:solidFill>
          </w14:textFill>
        </w:rPr>
        <w:t>除尘器</w:t>
      </w:r>
      <w:r>
        <w:rPr>
          <w:rFonts w:hint="eastAsia" w:eastAsia="宋体"/>
          <w:color w:val="000000" w:themeColor="text1"/>
          <w:kern w:val="0"/>
          <w:sz w:val="24"/>
          <w:szCs w:val="20"/>
          <w:highlight w:val="none"/>
          <w14:textFill>
            <w14:solidFill>
              <w14:schemeClr w14:val="tx1"/>
            </w14:solidFill>
          </w14:textFill>
        </w:rPr>
        <w:t>（除尘效率99.</w:t>
      </w:r>
      <w:r>
        <w:rPr>
          <w:rFonts w:hint="eastAsia" w:eastAsia="宋体"/>
          <w:color w:val="000000" w:themeColor="text1"/>
          <w:kern w:val="0"/>
          <w:sz w:val="24"/>
          <w:szCs w:val="20"/>
          <w:highlight w:val="none"/>
          <w:lang w:val="en-US" w:eastAsia="zh-CN"/>
          <w14:textFill>
            <w14:solidFill>
              <w14:schemeClr w14:val="tx1"/>
            </w14:solidFill>
          </w14:textFill>
        </w:rPr>
        <w:t>9</w:t>
      </w:r>
      <w:r>
        <w:rPr>
          <w:rFonts w:hint="eastAsia" w:eastAsia="宋体"/>
          <w:color w:val="000000" w:themeColor="text1"/>
          <w:kern w:val="0"/>
          <w:sz w:val="24"/>
          <w:szCs w:val="20"/>
          <w:highlight w:val="none"/>
          <w14:textFill>
            <w14:solidFill>
              <w14:schemeClr w14:val="tx1"/>
            </w14:solidFill>
          </w14:textFill>
        </w:rPr>
        <w:t>%）</w:t>
      </w:r>
      <w:r>
        <w:rPr>
          <w:rFonts w:hint="eastAsia" w:eastAsia="宋体"/>
          <w:color w:val="000000" w:themeColor="text1"/>
          <w:sz w:val="24"/>
          <w:highlight w:val="none"/>
          <w14:textFill>
            <w14:solidFill>
              <w14:schemeClr w14:val="tx1"/>
            </w14:solidFill>
          </w14:textFill>
        </w:rPr>
        <w:t>除尘</w:t>
      </w:r>
      <w:r>
        <w:rPr>
          <w:rFonts w:hint="eastAsia" w:eastAsia="宋体"/>
          <w:color w:val="000000" w:themeColor="text1"/>
          <w:sz w:val="24"/>
          <w:highlight w:val="none"/>
          <w:lang w:val="en-US" w:eastAsia="zh-CN"/>
          <w14:textFill>
            <w14:solidFill>
              <w14:schemeClr w14:val="tx1"/>
            </w14:solidFill>
          </w14:textFill>
        </w:rPr>
        <w:t>后通过15m高排气筒排放</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采取上述措施处理后，</w:t>
      </w:r>
      <w:r>
        <w:rPr>
          <w:color w:val="000000" w:themeColor="text1"/>
          <w:kern w:val="0"/>
          <w:highlight w:val="none"/>
          <w14:textFill>
            <w14:solidFill>
              <w14:schemeClr w14:val="tx1"/>
            </w14:solidFill>
          </w14:textFill>
        </w:rPr>
        <w:t>粉尘排放浓度</w:t>
      </w:r>
      <w:r>
        <w:rPr>
          <w:rFonts w:hint="eastAsia"/>
          <w:color w:val="000000" w:themeColor="text1"/>
          <w:kern w:val="0"/>
          <w:highlight w:val="none"/>
          <w:lang w:val="en-US" w:eastAsia="zh-CN"/>
          <w14:textFill>
            <w14:solidFill>
              <w14:schemeClr w14:val="tx1"/>
            </w14:solidFill>
          </w14:textFill>
        </w:rPr>
        <w:t>均</w:t>
      </w:r>
      <w:r>
        <w:rPr>
          <w:rFonts w:hint="eastAsia"/>
          <w:color w:val="000000" w:themeColor="text1"/>
          <w:kern w:val="0"/>
          <w:szCs w:val="20"/>
          <w:highlight w:val="none"/>
          <w14:textFill>
            <w14:solidFill>
              <w14:schemeClr w14:val="tx1"/>
            </w14:solidFill>
          </w14:textFill>
        </w:rPr>
        <w:t>符合</w:t>
      </w:r>
      <w:r>
        <w:rPr>
          <w:color w:val="000000" w:themeColor="text1"/>
          <w:kern w:val="0"/>
          <w:szCs w:val="20"/>
          <w:highlight w:val="none"/>
          <w14:textFill>
            <w14:solidFill>
              <w14:schemeClr w14:val="tx1"/>
            </w14:solidFill>
          </w14:textFill>
        </w:rPr>
        <w:t>《铁矿采选工业污染物排放标准》（GB28661-2012）中的</w:t>
      </w:r>
      <w:r>
        <w:rPr>
          <w:rFonts w:hint="eastAsia"/>
          <w:color w:val="000000" w:themeColor="text1"/>
          <w:kern w:val="0"/>
          <w:szCs w:val="20"/>
          <w:highlight w:val="none"/>
          <w:lang w:eastAsia="zh-CN"/>
          <w14:textFill>
            <w14:solidFill>
              <w14:schemeClr w14:val="tx1"/>
            </w14:solidFill>
          </w14:textFill>
        </w:rPr>
        <w:t>浓度</w:t>
      </w:r>
      <w:r>
        <w:rPr>
          <w:color w:val="000000" w:themeColor="text1"/>
          <w:kern w:val="0"/>
          <w:szCs w:val="20"/>
          <w:highlight w:val="none"/>
          <w14:textFill>
            <w14:solidFill>
              <w14:schemeClr w14:val="tx1"/>
            </w14:solidFill>
          </w14:textFill>
        </w:rPr>
        <w:t>要求</w:t>
      </w:r>
      <w:r>
        <w:rPr>
          <w:rFonts w:hint="eastAsia"/>
          <w:color w:val="000000" w:themeColor="text1"/>
          <w:kern w:val="0"/>
          <w:szCs w:val="20"/>
          <w:highlight w:val="none"/>
          <w:lang w:eastAsia="zh-CN"/>
          <w14:textFill>
            <w14:solidFill>
              <w14:schemeClr w14:val="tx1"/>
            </w14:solidFill>
          </w14:textFill>
        </w:rPr>
        <w:t>。</w:t>
      </w:r>
    </w:p>
    <w:p w14:paraId="05BC4FED">
      <w:pPr>
        <w:keepNext w:val="0"/>
        <w:keepLines w:val="0"/>
        <w:pageBreakBefore w:val="0"/>
        <w:widowControl w:val="0"/>
        <w:kinsoku/>
        <w:wordWrap/>
        <w:overflowPunct w:val="0"/>
        <w:topLinePunct/>
        <w:autoSpaceDE/>
        <w:autoSpaceDN/>
        <w:bidi w:val="0"/>
        <w:adjustRightInd/>
        <w:snapToGrid/>
        <w:spacing w:line="480" w:lineRule="exact"/>
        <w:ind w:firstLine="480" w:firstLineChars="200"/>
        <w:textAlignment w:val="auto"/>
        <w:outlineLvl w:val="9"/>
        <w:rPr>
          <w:rFonts w:hint="default"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从</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估算</w:t>
      </w:r>
      <w:r>
        <w:rPr>
          <w:rFonts w:hint="default" w:ascii="Times New Roman" w:hAnsi="Times New Roman" w:eastAsia="宋体" w:cs="Times New Roman"/>
          <w:color w:val="000000" w:themeColor="text1"/>
          <w:sz w:val="24"/>
          <w:highlight w:val="none"/>
          <w14:textFill>
            <w14:solidFill>
              <w14:schemeClr w14:val="tx1"/>
            </w14:solidFill>
          </w14:textFill>
        </w:rPr>
        <w:t>结果</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表2.6-4</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可以看出，破碎筛分干选工序有组织粉尘排放最大落地浓度出现在下风向</w:t>
      </w:r>
      <w:r>
        <w:rPr>
          <w:rFonts w:hint="eastAsia" w:cs="Times New Roman"/>
          <w:color w:val="000000" w:themeColor="text1"/>
          <w:sz w:val="24"/>
          <w:highlight w:val="none"/>
          <w:lang w:val="en-US" w:eastAsia="zh-CN"/>
          <w14:textFill>
            <w14:solidFill>
              <w14:schemeClr w14:val="tx1"/>
            </w14:solidFill>
          </w14:textFill>
        </w:rPr>
        <w:t>29</w:t>
      </w:r>
      <w:r>
        <w:rPr>
          <w:rFonts w:hint="eastAsia" w:eastAsia="宋体" w:cs="Times New Roman"/>
          <w:color w:val="000000" w:themeColor="text1"/>
          <w:sz w:val="24"/>
          <w:highlight w:val="none"/>
          <w:lang w:val="en-US" w:eastAsia="zh-CN"/>
          <w14:textFill>
            <w14:solidFill>
              <w14:schemeClr w14:val="tx1"/>
            </w14:solidFill>
          </w14:textFill>
        </w:rPr>
        <w:t>m处，其浓度值为0.0</w:t>
      </w:r>
      <w:r>
        <w:rPr>
          <w:rFonts w:hint="eastAsia" w:cs="Times New Roman"/>
          <w:color w:val="000000" w:themeColor="text1"/>
          <w:sz w:val="24"/>
          <w:highlight w:val="none"/>
          <w:lang w:val="en-US" w:eastAsia="zh-CN"/>
          <w14:textFill>
            <w14:solidFill>
              <w14:schemeClr w14:val="tx1"/>
            </w14:solidFill>
          </w14:textFill>
        </w:rPr>
        <w:t>005</w:t>
      </w:r>
      <w:r>
        <w:rPr>
          <w:rFonts w:hint="eastAsia" w:eastAsia="宋体" w:cs="Times New Roman"/>
          <w:color w:val="000000" w:themeColor="text1"/>
          <w:sz w:val="24"/>
          <w:highlight w:val="none"/>
          <w:lang w:val="en-US" w:eastAsia="zh-CN"/>
          <w14:textFill>
            <w14:solidFill>
              <w14:schemeClr w14:val="tx1"/>
            </w14:solidFill>
          </w14:textFill>
        </w:rPr>
        <w:t>mg/m</w:t>
      </w:r>
      <w:r>
        <w:rPr>
          <w:rFonts w:hint="eastAsia" w:eastAsia="宋体" w:cs="Times New Roman"/>
          <w:color w:val="000000" w:themeColor="text1"/>
          <w:sz w:val="24"/>
          <w:highlight w:val="none"/>
          <w:vertAlign w:val="superscript"/>
          <w:lang w:val="en-US" w:eastAsia="zh-CN"/>
          <w14:textFill>
            <w14:solidFill>
              <w14:schemeClr w14:val="tx1"/>
            </w14:solidFill>
          </w14:textFill>
        </w:rPr>
        <w:t>3</w:t>
      </w:r>
      <w:r>
        <w:rPr>
          <w:rFonts w:hint="eastAsia" w:eastAsia="宋体" w:cs="Times New Roman"/>
          <w:color w:val="000000" w:themeColor="text1"/>
          <w:sz w:val="24"/>
          <w:highlight w:val="none"/>
          <w:lang w:val="en-US" w:eastAsia="zh-CN"/>
          <w14:textFill>
            <w14:solidFill>
              <w14:schemeClr w14:val="tx1"/>
            </w14:solidFill>
          </w14:textFill>
        </w:rPr>
        <w:t>，占标率为</w:t>
      </w:r>
      <w:r>
        <w:rPr>
          <w:rFonts w:hint="eastAsia" w:cs="Times New Roman"/>
          <w:color w:val="000000" w:themeColor="text1"/>
          <w:sz w:val="24"/>
          <w:highlight w:val="none"/>
          <w:lang w:val="en-US" w:eastAsia="zh-CN"/>
          <w14:textFill>
            <w14:solidFill>
              <w14:schemeClr w14:val="tx1"/>
            </w14:solidFill>
          </w14:textFill>
        </w:rPr>
        <w:t>0.14</w:t>
      </w:r>
      <w:r>
        <w:rPr>
          <w:rFonts w:hint="eastAsia"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磁选</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工序</w:t>
      </w:r>
      <w:r>
        <w:rPr>
          <w:rFonts w:hint="default" w:ascii="Times New Roman" w:hAnsi="Times New Roman" w:eastAsia="宋体" w:cs="Times New Roman"/>
          <w:color w:val="000000" w:themeColor="text1"/>
          <w:sz w:val="24"/>
          <w:highlight w:val="none"/>
          <w14:textFill>
            <w14:solidFill>
              <w14:schemeClr w14:val="tx1"/>
            </w14:solidFill>
          </w14:textFill>
        </w:rPr>
        <w:t>有组织粉尘排放最大落地浓度出现在下风向</w:t>
      </w:r>
      <w:r>
        <w:rPr>
          <w:rFonts w:hint="eastAsia" w:cs="Times New Roman"/>
          <w:color w:val="000000" w:themeColor="text1"/>
          <w:sz w:val="24"/>
          <w:highlight w:val="none"/>
          <w:lang w:val="en-US" w:eastAsia="zh-CN"/>
          <w14:textFill>
            <w14:solidFill>
              <w14:schemeClr w14:val="tx1"/>
            </w14:solidFill>
          </w14:textFill>
        </w:rPr>
        <w:t>31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m处，</w:t>
      </w:r>
      <w:r>
        <w:rPr>
          <w:rFonts w:hint="eastAsia" w:eastAsia="宋体" w:cs="Times New Roman"/>
          <w:color w:val="000000" w:themeColor="text1"/>
          <w:sz w:val="24"/>
          <w:highlight w:val="none"/>
          <w:lang w:val="en-US" w:eastAsia="zh-CN"/>
          <w14:textFill>
            <w14:solidFill>
              <w14:schemeClr w14:val="tx1"/>
            </w14:solidFill>
          </w14:textFill>
        </w:rPr>
        <w:t>其浓度值为0.00</w:t>
      </w:r>
      <w:r>
        <w:rPr>
          <w:rFonts w:hint="eastAsia" w:cs="Times New Roman"/>
          <w:color w:val="000000" w:themeColor="text1"/>
          <w:sz w:val="24"/>
          <w:highlight w:val="none"/>
          <w:lang w:val="en-US" w:eastAsia="zh-CN"/>
          <w14:textFill>
            <w14:solidFill>
              <w14:schemeClr w14:val="tx1"/>
            </w14:solidFill>
          </w14:textFill>
        </w:rPr>
        <w:t>11</w:t>
      </w:r>
      <w:r>
        <w:rPr>
          <w:rFonts w:hint="eastAsia" w:eastAsia="宋体" w:cs="Times New Roman"/>
          <w:color w:val="000000" w:themeColor="text1"/>
          <w:sz w:val="24"/>
          <w:highlight w:val="none"/>
          <w:lang w:val="en-US" w:eastAsia="zh-CN"/>
          <w14:textFill>
            <w14:solidFill>
              <w14:schemeClr w14:val="tx1"/>
            </w14:solidFill>
          </w14:textFill>
        </w:rPr>
        <w:t>mg/m</w:t>
      </w:r>
      <w:r>
        <w:rPr>
          <w:rFonts w:hint="eastAsia" w:eastAsia="宋体" w:cs="Times New Roman"/>
          <w:color w:val="000000" w:themeColor="text1"/>
          <w:sz w:val="24"/>
          <w:highlight w:val="none"/>
          <w:vertAlign w:val="superscript"/>
          <w:lang w:val="en-US" w:eastAsia="zh-CN"/>
          <w14:textFill>
            <w14:solidFill>
              <w14:schemeClr w14:val="tx1"/>
            </w14:solidFill>
          </w14:textFill>
        </w:rPr>
        <w:t>3</w:t>
      </w:r>
      <w:r>
        <w:rPr>
          <w:rFonts w:hint="eastAsia" w:eastAsia="宋体" w:cs="Times New Roman"/>
          <w:color w:val="000000" w:themeColor="text1"/>
          <w:sz w:val="24"/>
          <w:highlight w:val="none"/>
          <w:lang w:val="en-US" w:eastAsia="zh-CN"/>
          <w14:textFill>
            <w14:solidFill>
              <w14:schemeClr w14:val="tx1"/>
            </w14:solidFill>
          </w14:textFill>
        </w:rPr>
        <w:t>，占标率为0.</w:t>
      </w:r>
      <w:r>
        <w:rPr>
          <w:rFonts w:hint="eastAsia" w:cs="Times New Roman"/>
          <w:color w:val="000000" w:themeColor="text1"/>
          <w:sz w:val="24"/>
          <w:highlight w:val="none"/>
          <w:lang w:val="en-US" w:eastAsia="zh-CN"/>
          <w14:textFill>
            <w14:solidFill>
              <w14:schemeClr w14:val="tx1"/>
            </w14:solidFill>
          </w14:textFill>
        </w:rPr>
        <w:t>31</w:t>
      </w:r>
      <w:r>
        <w:rPr>
          <w:rFonts w:hint="eastAsia"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有组织粉尘</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最大落地浓度占标率均</w:t>
      </w:r>
      <w:r>
        <w:rPr>
          <w:rFonts w:hint="eastAsia" w:eastAsia="宋体" w:cs="Times New Roman"/>
          <w:color w:val="000000" w:themeColor="text1"/>
          <w:sz w:val="24"/>
          <w:highlight w:val="none"/>
          <w:lang w:val="en-US" w:eastAsia="zh-CN"/>
          <w14:textFill>
            <w14:solidFill>
              <w14:schemeClr w14:val="tx1"/>
            </w14:solidFill>
          </w14:textFill>
        </w:rPr>
        <w:t>小于</w:t>
      </w:r>
      <w:r>
        <w:rPr>
          <w:rFonts w:hint="default" w:ascii="Times New Roman" w:hAnsi="Times New Roman" w:eastAsia="宋体" w:cs="Times New Roman"/>
          <w:color w:val="000000" w:themeColor="text1"/>
          <w:sz w:val="24"/>
          <w:highlight w:val="none"/>
          <w14:textFill>
            <w14:solidFill>
              <w14:schemeClr w14:val="tx1"/>
            </w14:solidFill>
          </w14:textFill>
        </w:rPr>
        <w:t>10%</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最大落地浓度满足《环境空气质量标准》（GB3095-20</w:t>
      </w:r>
      <w:r>
        <w:rPr>
          <w:rFonts w:hint="eastAsia" w:eastAsia="宋体" w:cs="Times New Roman"/>
          <w:color w:val="000000" w:themeColor="text1"/>
          <w:sz w:val="24"/>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eastAsia="宋体" w:cs="Times New Roman"/>
          <w:color w:val="000000" w:themeColor="text1"/>
          <w:sz w:val="24"/>
          <w:highlight w:val="none"/>
          <w:lang w:val="en-US" w:eastAsia="zh-CN"/>
          <w14:textFill>
            <w14:solidFill>
              <w14:schemeClr w14:val="tx1"/>
            </w14:solidFill>
          </w14:textFill>
        </w:rPr>
        <w:t>过渡阶段二级浓度限值要求。</w:t>
      </w:r>
    </w:p>
    <w:p w14:paraId="3B1566BB">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eastAsia"/>
          <w:color w:val="000000" w:themeColor="text1"/>
          <w:kern w:val="0"/>
          <w:highlight w:val="none"/>
          <w14:textFill>
            <w14:solidFill>
              <w14:schemeClr w14:val="tx1"/>
            </w14:solidFill>
          </w14:textFill>
        </w:rPr>
      </w:pPr>
      <w:r>
        <w:rPr>
          <w:rFonts w:hint="eastAsia"/>
          <w:color w:val="000000" w:themeColor="text1"/>
          <w:kern w:val="0"/>
          <w:szCs w:val="20"/>
          <w:highlight w:val="none"/>
          <w:lang w:val="en-US" w:eastAsia="zh-CN"/>
          <w14:textFill>
            <w14:solidFill>
              <w14:schemeClr w14:val="tx1"/>
            </w14:solidFill>
          </w14:textFill>
        </w:rPr>
        <w:t>综上，本项目有组织粉尘排放对周边环境影响较小，环境影响可接受。</w:t>
      </w:r>
    </w:p>
    <w:p w14:paraId="76724C32">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（2）无组织废气影响分析</w:t>
      </w:r>
    </w:p>
    <w:p w14:paraId="456BE933">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运输扬尘分析</w:t>
      </w:r>
    </w:p>
    <w:p w14:paraId="29E8EC96">
      <w:pP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服务期主要运输扬尘产生于矿石外运，本环评要求在运输道路路面定期洒水降尘，保证路面适当湿度、可有效减轻运输扬尘的产生，减少对周边环境的影响。</w:t>
      </w:r>
    </w:p>
    <w:p w14:paraId="7B94B160">
      <w:pP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②破碎筛分干选车间、磁选车间、原矿仓、精矿库无组织废气影响分析</w:t>
      </w:r>
    </w:p>
    <w:p w14:paraId="6B75F0C6">
      <w:pP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项目运营期破碎筛分干选车间、磁选车间、原矿仓、精矿库点</w:t>
      </w:r>
      <w:r>
        <w:rPr>
          <w:rFonts w:hint="eastAsia"/>
          <w:color w:val="000000" w:themeColor="text1"/>
          <w:highlight w:val="none"/>
          <w14:textFill>
            <w14:solidFill>
              <w14:schemeClr w14:val="tx1"/>
            </w14:solidFill>
          </w14:textFill>
        </w:rPr>
        <w:t>会产生</w:t>
      </w:r>
      <w:r>
        <w:rPr>
          <w:rFonts w:hint="eastAsia"/>
          <w:color w:val="000000" w:themeColor="text1"/>
          <w:highlight w:val="none"/>
          <w:lang w:val="en-US" w:eastAsia="zh-CN"/>
          <w14:textFill>
            <w14:solidFill>
              <w14:schemeClr w14:val="tx1"/>
            </w14:solidFill>
          </w14:textFill>
        </w:rPr>
        <w:t>无组织排放粉尘，根据</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估算模式</w:t>
      </w:r>
      <w:r>
        <w:rPr>
          <w:rFonts w:hint="eastAsia" w:cs="Times New Roman"/>
          <w:b w:val="0"/>
          <w:bCs w:val="0"/>
          <w:color w:val="000000" w:themeColor="text1"/>
          <w:sz w:val="24"/>
          <w:szCs w:val="24"/>
          <w:highlight w:val="none"/>
          <w:lang w:val="en-US" w:eastAsia="zh-CN"/>
          <w14:textFill>
            <w14:solidFill>
              <w14:schemeClr w14:val="tx1"/>
            </w14:solidFill>
          </w14:textFill>
        </w:rPr>
        <w:t>结果</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可知，无组织排放下风向</w:t>
      </w:r>
      <w:r>
        <w:rPr>
          <w:rFonts w:hint="eastAsia" w:cs="Times New Roman"/>
          <w:b w:val="0"/>
          <w:bCs w:val="0"/>
          <w:color w:val="000000" w:themeColor="text1"/>
          <w:sz w:val="24"/>
          <w:szCs w:val="24"/>
          <w:highlight w:val="none"/>
          <w:lang w:val="en-US" w:eastAsia="zh-CN"/>
          <w14:textFill>
            <w14:solidFill>
              <w14:schemeClr w14:val="tx1"/>
            </w14:solidFill>
          </w14:textFill>
        </w:rPr>
        <w:t>TSP</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最大落地浓度</w:t>
      </w:r>
      <w:r>
        <w:rPr>
          <w:rFonts w:hint="eastAsia" w:cs="Times New Roman"/>
          <w:b w:val="0"/>
          <w:bCs w:val="0"/>
          <w:color w:val="000000" w:themeColor="text1"/>
          <w:sz w:val="24"/>
          <w:szCs w:val="24"/>
          <w:highlight w:val="none"/>
          <w:lang w:val="en-US" w:eastAsia="zh-CN"/>
          <w14:textFill>
            <w14:solidFill>
              <w14:schemeClr w14:val="tx1"/>
            </w14:solidFill>
          </w14:textFill>
        </w:rPr>
        <w:t>分别出现在43m、18m、10m、101m，占标率分别为1.12%、4.63%、6.50%、0.86%，均</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小于1</w:t>
      </w:r>
      <w:r>
        <w:rPr>
          <w:rFonts w:hint="eastAsia" w:cs="Times New Roman"/>
          <w:b w:val="0"/>
          <w:bCs w:val="0"/>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%，满足《环境空气质量标准》（GB3095-2026）二级浓度限值要求</w:t>
      </w:r>
      <w:r>
        <w:rPr>
          <w:rFonts w:hint="eastAsia" w:cs="Times New Roman"/>
          <w:b w:val="0"/>
          <w:bCs w:val="0"/>
          <w:color w:val="000000" w:themeColor="text1"/>
          <w:sz w:val="24"/>
          <w:szCs w:val="24"/>
          <w:highlight w:val="none"/>
          <w:lang w:val="en-US" w:eastAsia="zh-CN"/>
          <w14:textFill>
            <w14:solidFill>
              <w14:schemeClr w14:val="tx1"/>
            </w14:solidFill>
          </w14:textFill>
        </w:rPr>
        <w:t>，</w:t>
      </w:r>
      <w:r>
        <w:rPr>
          <w:rFonts w:hint="eastAsia"/>
          <w:color w:val="000000" w:themeColor="text1"/>
          <w:kern w:val="0"/>
          <w:szCs w:val="20"/>
          <w:highlight w:val="none"/>
          <w:lang w:val="en-US" w:eastAsia="zh-CN"/>
          <w14:textFill>
            <w14:solidFill>
              <w14:schemeClr w14:val="tx1"/>
            </w14:solidFill>
          </w14:textFill>
        </w:rPr>
        <w:t>环境影响可接受。</w:t>
      </w:r>
    </w:p>
    <w:p w14:paraId="01B20779">
      <w:pPr>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③</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尾矿库</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扬尘分析</w:t>
      </w:r>
    </w:p>
    <w:p w14:paraId="7EB81EC8">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项目运营期尾矿库的干坡面会产生扬尘，由于尾矿含有一定的水分，</w:t>
      </w:r>
      <w:r>
        <w:rPr>
          <w:rFonts w:hint="eastAsia"/>
          <w:color w:val="000000" w:themeColor="text1"/>
          <w:highlight w:val="none"/>
          <w:lang w:eastAsia="zh-CN"/>
          <w14:textFill>
            <w14:solidFill>
              <w14:schemeClr w14:val="tx1"/>
            </w14:solidFill>
          </w14:textFill>
        </w:rPr>
        <w:t>再辅助洒水降尘，</w:t>
      </w:r>
      <w:r>
        <w:rPr>
          <w:rFonts w:hint="eastAsia"/>
          <w:color w:val="000000" w:themeColor="text1"/>
          <w:highlight w:val="none"/>
          <w:lang w:val="en-US" w:eastAsia="zh-CN"/>
          <w14:textFill>
            <w14:solidFill>
              <w14:schemeClr w14:val="tx1"/>
            </w14:solidFill>
          </w14:textFill>
        </w:rPr>
        <w:t>可</w:t>
      </w:r>
      <w:r>
        <w:rPr>
          <w:rFonts w:hint="eastAsia"/>
          <w:color w:val="000000" w:themeColor="text1"/>
          <w:highlight w:val="none"/>
          <w14:textFill>
            <w14:solidFill>
              <w14:schemeClr w14:val="tx1"/>
            </w14:solidFill>
          </w14:textFill>
        </w:rPr>
        <w:t>有效防止尾矿起尘。</w:t>
      </w:r>
    </w:p>
    <w:p w14:paraId="5F76EABE">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根据估算模式可知，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尾矿库</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扬尘</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无组织排放下风向</w:t>
      </w:r>
      <w:r>
        <w:rPr>
          <w:rFonts w:hint="eastAsia" w:cs="Times New Roman"/>
          <w:b w:val="0"/>
          <w:bCs w:val="0"/>
          <w:color w:val="000000" w:themeColor="text1"/>
          <w:sz w:val="24"/>
          <w:szCs w:val="24"/>
          <w:highlight w:val="none"/>
          <w:lang w:val="en-US" w:eastAsia="zh-CN"/>
          <w14:textFill>
            <w14:solidFill>
              <w14:schemeClr w14:val="tx1"/>
            </w14:solidFill>
          </w14:textFill>
        </w:rPr>
        <w:t>TSP</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最大落地浓度出现在下风向</w:t>
      </w:r>
      <w:r>
        <w:rPr>
          <w:rFonts w:hint="eastAsia" w:cs="Times New Roman"/>
          <w:b w:val="0"/>
          <w:bCs w:val="0"/>
          <w:color w:val="000000" w:themeColor="text1"/>
          <w:sz w:val="24"/>
          <w:szCs w:val="24"/>
          <w:highlight w:val="none"/>
          <w:lang w:val="en-US" w:eastAsia="zh-CN"/>
          <w14:textFill>
            <w14:solidFill>
              <w14:schemeClr w14:val="tx1"/>
            </w14:solidFill>
          </w14:textFill>
        </w:rPr>
        <w:t>1345</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m处，占标率为</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0.</w:t>
      </w:r>
      <w:r>
        <w:rPr>
          <w:rFonts w:hint="eastAsia" w:cs="Times New Roman"/>
          <w:b w:val="0"/>
          <w:bCs w:val="0"/>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%，小于1%，满足《环境空气质量标准》（GB3095-2026）二级浓度限值要求</w:t>
      </w:r>
      <w:r>
        <w:rPr>
          <w:rFonts w:hint="eastAsia" w:cs="Times New Roman"/>
          <w:b w:val="0"/>
          <w:bCs w:val="0"/>
          <w:color w:val="000000" w:themeColor="text1"/>
          <w:sz w:val="24"/>
          <w:szCs w:val="24"/>
          <w:highlight w:val="none"/>
          <w:lang w:val="en-US" w:eastAsia="zh-CN"/>
          <w14:textFill>
            <w14:solidFill>
              <w14:schemeClr w14:val="tx1"/>
            </w14:solidFill>
          </w14:textFill>
        </w:rPr>
        <w:t>，</w:t>
      </w:r>
      <w:r>
        <w:rPr>
          <w:rFonts w:hint="eastAsia"/>
          <w:color w:val="000000" w:themeColor="text1"/>
          <w:kern w:val="0"/>
          <w:szCs w:val="20"/>
          <w:highlight w:val="none"/>
          <w:lang w:val="en-US" w:eastAsia="zh-CN"/>
          <w14:textFill>
            <w14:solidFill>
              <w14:schemeClr w14:val="tx1"/>
            </w14:solidFill>
          </w14:textFill>
        </w:rPr>
        <w:t>环境影响可接受。</w:t>
      </w:r>
    </w:p>
    <w:p w14:paraId="51CDA8BC">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）大气环境防护距离</w:t>
      </w:r>
    </w:p>
    <w:p w14:paraId="22FCCFA8">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根据《环境影响评价技术导则-大气环境》（HJ2.2-2018）要求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67114ECA">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由</w:t>
      </w:r>
      <w:r>
        <w:rPr>
          <w:rFonts w:hint="eastAsia" w:ascii="Times New Roman" w:hAnsi="Times New Roman" w:cs="Times New Roman"/>
          <w:color w:val="000000" w:themeColor="text1"/>
          <w:sz w:val="24"/>
          <w:highlight w:val="none"/>
          <w:lang w:val="en-US" w:eastAsia="zh-CN"/>
          <w14:textFill>
            <w14:solidFill>
              <w14:schemeClr w14:val="tx1"/>
            </w14:solidFill>
          </w14:textFill>
        </w:rPr>
        <w:t>估算</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结果可知，在正常排放情况下项目大气污染因子TSP厂界贡献浓度无超标点，故项目无需设置大气环境防护距离。</w:t>
      </w:r>
    </w:p>
    <w:p w14:paraId="5CD77BAC">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5.2.1.3大气环境影响评价结论</w:t>
      </w:r>
    </w:p>
    <w:p w14:paraId="7430AFD2">
      <w:pPr>
        <w:pStyle w:val="54"/>
        <w:keepNext w:val="0"/>
        <w:keepLines w:val="0"/>
        <w:pageBreakBefore w:val="0"/>
        <w:widowControl/>
        <w:kinsoku/>
        <w:wordWrap/>
        <w:overflowPunct/>
        <w:topLinePunct w:val="0"/>
        <w:autoSpaceDE/>
        <w:autoSpaceDN/>
        <w:bidi w:val="0"/>
        <w:adjustRightInd w:val="0"/>
        <w:snapToGrid w:val="0"/>
        <w:spacing w:after="0"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根据估算模式可知，</w:t>
      </w:r>
      <w:r>
        <w:rPr>
          <w:rFonts w:hint="eastAsia"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大气污染物厂界贡献浓度无超标点，因此不设置大气环境防护距离。本项目在落实环评提出的大气污染物控制措施后，对周边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大气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环境影响较小。</w:t>
      </w:r>
    </w:p>
    <w:p w14:paraId="3C11FD4C">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5.2.1.4大气环境影响评价自查表</w:t>
      </w:r>
    </w:p>
    <w:p w14:paraId="1E9840CF">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大气环境影响评价自查表见表5.2-</w:t>
      </w: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69CAF50C">
      <w:pPr>
        <w:pStyle w:val="132"/>
        <w:spacing w:line="480" w:lineRule="exact"/>
        <w:ind w:left="0" w:leftChars="0"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表5.2-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建设项目大气环境影响评价自查表</w:t>
      </w:r>
    </w:p>
    <w:tbl>
      <w:tblPr>
        <w:tblStyle w:val="32"/>
        <w:tblW w:w="832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74"/>
        <w:gridCol w:w="1455"/>
        <w:gridCol w:w="921"/>
        <w:gridCol w:w="353"/>
        <w:gridCol w:w="264"/>
        <w:gridCol w:w="731"/>
        <w:gridCol w:w="528"/>
        <w:gridCol w:w="1000"/>
        <w:gridCol w:w="212"/>
        <w:gridCol w:w="577"/>
        <w:gridCol w:w="135"/>
        <w:gridCol w:w="304"/>
        <w:gridCol w:w="287"/>
        <w:gridCol w:w="262"/>
        <w:gridCol w:w="525"/>
      </w:tblGrid>
      <w:tr w14:paraId="7EAF21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2229" w:type="dxa"/>
            <w:gridSpan w:val="2"/>
            <w:tcBorders>
              <w:tl2br w:val="nil"/>
              <w:tr2bl w:val="nil"/>
            </w:tcBorders>
            <w:vAlign w:val="center"/>
          </w:tcPr>
          <w:p w14:paraId="7F774716">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工作内容</w:t>
            </w:r>
          </w:p>
        </w:tc>
        <w:tc>
          <w:tcPr>
            <w:tcW w:w="6099" w:type="dxa"/>
            <w:gridSpan w:val="13"/>
            <w:tcBorders>
              <w:tl2br w:val="nil"/>
              <w:tr2bl w:val="nil"/>
            </w:tcBorders>
            <w:vAlign w:val="center"/>
          </w:tcPr>
          <w:p w14:paraId="2211ED48">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自查项目</w:t>
            </w:r>
          </w:p>
        </w:tc>
      </w:tr>
      <w:tr w14:paraId="0DC30E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restart"/>
            <w:tcBorders>
              <w:tl2br w:val="nil"/>
              <w:tr2bl w:val="nil"/>
            </w:tcBorders>
            <w:vAlign w:val="center"/>
          </w:tcPr>
          <w:p w14:paraId="378CC019">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评价等级与范围</w:t>
            </w:r>
          </w:p>
        </w:tc>
        <w:tc>
          <w:tcPr>
            <w:tcW w:w="1455" w:type="dxa"/>
            <w:tcBorders>
              <w:tl2br w:val="nil"/>
              <w:tr2bl w:val="nil"/>
            </w:tcBorders>
            <w:vAlign w:val="center"/>
          </w:tcPr>
          <w:p w14:paraId="1476CB5C">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评价等级</w:t>
            </w:r>
          </w:p>
        </w:tc>
        <w:tc>
          <w:tcPr>
            <w:tcW w:w="2269" w:type="dxa"/>
            <w:gridSpan w:val="4"/>
            <w:tcBorders>
              <w:tl2br w:val="nil"/>
              <w:tr2bl w:val="nil"/>
            </w:tcBorders>
            <w:vAlign w:val="center"/>
          </w:tcPr>
          <w:p w14:paraId="4E0B8469">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p>
        </w:tc>
        <w:tc>
          <w:tcPr>
            <w:tcW w:w="2756" w:type="dxa"/>
            <w:gridSpan w:val="6"/>
            <w:tcBorders>
              <w:tl2br w:val="nil"/>
              <w:tr2bl w:val="nil"/>
            </w:tcBorders>
            <w:vAlign w:val="center"/>
          </w:tcPr>
          <w:p w14:paraId="4B8C4C98">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r>
              <w:rPr>
                <w:rFonts w:hint="eastAsia" w:cs="Times New Roman"/>
                <w:color w:val="000000" w:themeColor="text1"/>
                <w:sz w:val="21"/>
                <w:szCs w:val="21"/>
                <w:highlight w:val="none"/>
                <w:lang w:eastAsia="zh-CN"/>
                <w14:textFill>
                  <w14:solidFill>
                    <w14:schemeClr w14:val="tx1"/>
                  </w14:solidFill>
                </w14:textFill>
              </w:rPr>
              <w:t>☑</w:t>
            </w:r>
          </w:p>
        </w:tc>
        <w:tc>
          <w:tcPr>
            <w:tcW w:w="1074" w:type="dxa"/>
            <w:gridSpan w:val="3"/>
            <w:tcBorders>
              <w:tl2br w:val="nil"/>
              <w:tr2bl w:val="nil"/>
            </w:tcBorders>
            <w:vAlign w:val="center"/>
          </w:tcPr>
          <w:p w14:paraId="5E50EBA9">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p>
        </w:tc>
      </w:tr>
      <w:tr w14:paraId="192EA5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641DEAA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726C3640">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评价范围</w:t>
            </w:r>
          </w:p>
        </w:tc>
        <w:tc>
          <w:tcPr>
            <w:tcW w:w="2269" w:type="dxa"/>
            <w:gridSpan w:val="4"/>
            <w:tcBorders>
              <w:tl2br w:val="nil"/>
              <w:tr2bl w:val="nil"/>
            </w:tcBorders>
            <w:vAlign w:val="center"/>
          </w:tcPr>
          <w:p w14:paraId="01BD476B">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边长=50km□</w:t>
            </w:r>
          </w:p>
        </w:tc>
        <w:tc>
          <w:tcPr>
            <w:tcW w:w="2756" w:type="dxa"/>
            <w:gridSpan w:val="6"/>
            <w:tcBorders>
              <w:tl2br w:val="nil"/>
              <w:tr2bl w:val="nil"/>
            </w:tcBorders>
            <w:vAlign w:val="center"/>
          </w:tcPr>
          <w:p w14:paraId="245F852C">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边长5～50km□</w:t>
            </w:r>
          </w:p>
        </w:tc>
        <w:tc>
          <w:tcPr>
            <w:tcW w:w="1074" w:type="dxa"/>
            <w:gridSpan w:val="3"/>
            <w:tcBorders>
              <w:tl2br w:val="nil"/>
              <w:tr2bl w:val="nil"/>
            </w:tcBorders>
            <w:vAlign w:val="center"/>
          </w:tcPr>
          <w:p w14:paraId="33E3761B">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边长=5km</w:t>
            </w:r>
            <w:r>
              <w:rPr>
                <w:rFonts w:hint="eastAsia" w:cs="Times New Roman"/>
                <w:color w:val="000000" w:themeColor="text1"/>
                <w:sz w:val="21"/>
                <w:szCs w:val="21"/>
                <w:highlight w:val="none"/>
                <w:lang w:eastAsia="zh-CN"/>
                <w14:textFill>
                  <w14:solidFill>
                    <w14:schemeClr w14:val="tx1"/>
                  </w14:solidFill>
                </w14:textFill>
              </w:rPr>
              <w:t>☑</w:t>
            </w:r>
          </w:p>
        </w:tc>
      </w:tr>
      <w:tr w14:paraId="5CB4CB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restart"/>
            <w:tcBorders>
              <w:tl2br w:val="nil"/>
              <w:tr2bl w:val="nil"/>
            </w:tcBorders>
            <w:vAlign w:val="center"/>
          </w:tcPr>
          <w:p w14:paraId="05FD2F18">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评价因子</w:t>
            </w:r>
          </w:p>
        </w:tc>
        <w:tc>
          <w:tcPr>
            <w:tcW w:w="1455" w:type="dxa"/>
            <w:tcBorders>
              <w:tl2br w:val="nil"/>
              <w:tr2bl w:val="nil"/>
            </w:tcBorders>
            <w:vAlign w:val="center"/>
          </w:tcPr>
          <w:p w14:paraId="4404CBE6">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+NO</w:t>
            </w:r>
            <w:r>
              <w:rPr>
                <w:rFonts w:hint="default" w:ascii="Times New Roman" w:hAnsi="Times New Roman" w:eastAsia="宋体" w:cs="Times New Roman"/>
                <w:i/>
                <w:color w:val="000000" w:themeColor="text1"/>
                <w:sz w:val="21"/>
                <w:szCs w:val="21"/>
                <w:highlight w:val="none"/>
                <w14:textFill>
                  <w14:solidFill>
                    <w14:schemeClr w14:val="tx1"/>
                  </w14:solidFill>
                </w14:textFill>
              </w:rPr>
              <w:t>x</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排放量</w:t>
            </w:r>
          </w:p>
        </w:tc>
        <w:tc>
          <w:tcPr>
            <w:tcW w:w="2269" w:type="dxa"/>
            <w:gridSpan w:val="4"/>
            <w:tcBorders>
              <w:tl2br w:val="nil"/>
              <w:tr2bl w:val="nil"/>
            </w:tcBorders>
            <w:vAlign w:val="center"/>
          </w:tcPr>
          <w:p w14:paraId="1DC15B4A">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2000t/a</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756" w:type="dxa"/>
            <w:gridSpan w:val="6"/>
            <w:tcBorders>
              <w:tl2br w:val="nil"/>
              <w:tr2bl w:val="nil"/>
            </w:tcBorders>
            <w:vAlign w:val="center"/>
          </w:tcPr>
          <w:p w14:paraId="6B8FEB3D">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2000t/a□</w:t>
            </w:r>
          </w:p>
        </w:tc>
        <w:tc>
          <w:tcPr>
            <w:tcW w:w="1074" w:type="dxa"/>
            <w:gridSpan w:val="3"/>
            <w:tcBorders>
              <w:tl2br w:val="nil"/>
              <w:tr2bl w:val="nil"/>
            </w:tcBorders>
            <w:vAlign w:val="center"/>
          </w:tcPr>
          <w:p w14:paraId="4DD15FF9">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＜500t/a</w:t>
            </w:r>
            <w:r>
              <w:rPr>
                <w:rFonts w:hint="eastAsia" w:cs="Times New Roman"/>
                <w:color w:val="000000" w:themeColor="text1"/>
                <w:sz w:val="21"/>
                <w:szCs w:val="21"/>
                <w:highlight w:val="none"/>
                <w:lang w:eastAsia="zh-CN"/>
                <w14:textFill>
                  <w14:solidFill>
                    <w14:schemeClr w14:val="tx1"/>
                  </w14:solidFill>
                </w14:textFill>
              </w:rPr>
              <w:t>☑</w:t>
            </w:r>
          </w:p>
        </w:tc>
      </w:tr>
      <w:tr w14:paraId="28309F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78ADF72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5756E895">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评价因子</w:t>
            </w:r>
          </w:p>
        </w:tc>
        <w:tc>
          <w:tcPr>
            <w:tcW w:w="4009" w:type="dxa"/>
            <w:gridSpan w:val="7"/>
            <w:tcBorders>
              <w:tl2br w:val="nil"/>
              <w:tr2bl w:val="nil"/>
            </w:tcBorders>
            <w:vAlign w:val="center"/>
          </w:tcPr>
          <w:p w14:paraId="1EA114A7">
            <w:pPr>
              <w:pStyle w:val="45"/>
              <w:keepNext w:val="0"/>
              <w:keepLines w:val="0"/>
              <w:pageBreakBefore w:val="0"/>
              <w:widowControl w:val="0"/>
              <w:suppressLineNumbers w:val="0"/>
              <w:tabs>
                <w:tab w:val="left" w:pos="3078"/>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基本污染物</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、CO、O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48B81946">
            <w:pPr>
              <w:pStyle w:val="45"/>
              <w:keepNext w:val="0"/>
              <w:keepLines w:val="0"/>
              <w:pageBreakBefore w:val="0"/>
              <w:widowControl w:val="0"/>
              <w:suppressLineNumbers w:val="0"/>
              <w:tabs>
                <w:tab w:val="left" w:pos="3078"/>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其他污染物</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TSP</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090" w:type="dxa"/>
            <w:gridSpan w:val="6"/>
            <w:tcBorders>
              <w:tl2br w:val="nil"/>
              <w:tr2bl w:val="nil"/>
            </w:tcBorders>
            <w:vAlign w:val="center"/>
          </w:tcPr>
          <w:p w14:paraId="10CCF932">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包括二次PM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w:t>
            </w:r>
          </w:p>
          <w:p w14:paraId="3EB3F172">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不包括二次PM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eastAsia" w:cs="Times New Roman"/>
                <w:color w:val="000000" w:themeColor="text1"/>
                <w:sz w:val="21"/>
                <w:szCs w:val="21"/>
                <w:highlight w:val="none"/>
                <w:lang w:eastAsia="zh-CN"/>
                <w14:textFill>
                  <w14:solidFill>
                    <w14:schemeClr w14:val="tx1"/>
                  </w14:solidFill>
                </w14:textFill>
              </w:rPr>
              <w:t>☑</w:t>
            </w:r>
          </w:p>
        </w:tc>
      </w:tr>
      <w:tr w14:paraId="70D2BC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tcBorders>
              <w:tl2br w:val="nil"/>
              <w:tr2bl w:val="nil"/>
            </w:tcBorders>
            <w:vAlign w:val="center"/>
          </w:tcPr>
          <w:p w14:paraId="5E8ACCB7">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评价标准</w:t>
            </w:r>
          </w:p>
        </w:tc>
        <w:tc>
          <w:tcPr>
            <w:tcW w:w="1455" w:type="dxa"/>
            <w:tcBorders>
              <w:tl2br w:val="nil"/>
              <w:tr2bl w:val="nil"/>
            </w:tcBorders>
            <w:vAlign w:val="center"/>
          </w:tcPr>
          <w:p w14:paraId="62E64A44">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评价标准</w:t>
            </w:r>
          </w:p>
        </w:tc>
        <w:tc>
          <w:tcPr>
            <w:tcW w:w="2269" w:type="dxa"/>
            <w:gridSpan w:val="4"/>
            <w:tcBorders>
              <w:tl2br w:val="nil"/>
              <w:tr2bl w:val="nil"/>
            </w:tcBorders>
            <w:vAlign w:val="center"/>
          </w:tcPr>
          <w:p w14:paraId="3373D050">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国家标准</w:t>
            </w:r>
            <w:r>
              <w:rPr>
                <w:rFonts w:hint="eastAsia" w:cs="Times New Roman"/>
                <w:color w:val="000000" w:themeColor="text1"/>
                <w:sz w:val="21"/>
                <w:szCs w:val="21"/>
                <w:highlight w:val="none"/>
                <w:lang w:eastAsia="zh-CN"/>
                <w14:textFill>
                  <w14:solidFill>
                    <w14:schemeClr w14:val="tx1"/>
                  </w14:solidFill>
                </w14:textFill>
              </w:rPr>
              <w:t>☑</w:t>
            </w:r>
          </w:p>
        </w:tc>
        <w:tc>
          <w:tcPr>
            <w:tcW w:w="1740" w:type="dxa"/>
            <w:gridSpan w:val="3"/>
            <w:tcBorders>
              <w:tl2br w:val="nil"/>
              <w:tr2bl w:val="nil"/>
            </w:tcBorders>
            <w:vAlign w:val="center"/>
          </w:tcPr>
          <w:p w14:paraId="28D459DF">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地方标准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016" w:type="dxa"/>
            <w:gridSpan w:val="3"/>
            <w:tcBorders>
              <w:tl2br w:val="nil"/>
              <w:tr2bl w:val="nil"/>
            </w:tcBorders>
            <w:vAlign w:val="center"/>
          </w:tcPr>
          <w:p w14:paraId="1B8889AC">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附录D</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074" w:type="dxa"/>
            <w:gridSpan w:val="3"/>
            <w:tcBorders>
              <w:tl2br w:val="nil"/>
              <w:tr2bl w:val="nil"/>
            </w:tcBorders>
            <w:vAlign w:val="center"/>
          </w:tcPr>
          <w:p w14:paraId="166AE70B">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其他标准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59D291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restart"/>
            <w:tcBorders>
              <w:tl2br w:val="nil"/>
              <w:tr2bl w:val="nil"/>
            </w:tcBorders>
            <w:vAlign w:val="center"/>
          </w:tcPr>
          <w:p w14:paraId="66B98048">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现状评价</w:t>
            </w:r>
          </w:p>
        </w:tc>
        <w:tc>
          <w:tcPr>
            <w:tcW w:w="1455" w:type="dxa"/>
            <w:tcBorders>
              <w:tl2br w:val="nil"/>
              <w:tr2bl w:val="nil"/>
            </w:tcBorders>
            <w:vAlign w:val="center"/>
          </w:tcPr>
          <w:p w14:paraId="1C6C48E8">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环境功能区</w:t>
            </w:r>
          </w:p>
        </w:tc>
        <w:tc>
          <w:tcPr>
            <w:tcW w:w="2269" w:type="dxa"/>
            <w:gridSpan w:val="4"/>
            <w:tcBorders>
              <w:tl2br w:val="nil"/>
              <w:tr2bl w:val="nil"/>
            </w:tcBorders>
            <w:vAlign w:val="center"/>
          </w:tcPr>
          <w:p w14:paraId="0A3752F1">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一类区□</w:t>
            </w:r>
          </w:p>
        </w:tc>
        <w:tc>
          <w:tcPr>
            <w:tcW w:w="2756" w:type="dxa"/>
            <w:gridSpan w:val="6"/>
            <w:tcBorders>
              <w:tl2br w:val="nil"/>
              <w:tr2bl w:val="nil"/>
            </w:tcBorders>
            <w:vAlign w:val="center"/>
          </w:tcPr>
          <w:p w14:paraId="150CB919">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二类区</w:t>
            </w:r>
            <w:r>
              <w:rPr>
                <w:rFonts w:hint="eastAsia" w:cs="Times New Roman"/>
                <w:color w:val="000000" w:themeColor="text1"/>
                <w:sz w:val="21"/>
                <w:szCs w:val="21"/>
                <w:highlight w:val="none"/>
                <w:lang w:eastAsia="zh-CN"/>
                <w14:textFill>
                  <w14:solidFill>
                    <w14:schemeClr w14:val="tx1"/>
                  </w14:solidFill>
                </w14:textFill>
              </w:rPr>
              <w:t>☑</w:t>
            </w:r>
          </w:p>
        </w:tc>
        <w:tc>
          <w:tcPr>
            <w:tcW w:w="1074" w:type="dxa"/>
            <w:gridSpan w:val="3"/>
            <w:tcBorders>
              <w:tl2br w:val="nil"/>
              <w:tr2bl w:val="nil"/>
            </w:tcBorders>
            <w:vAlign w:val="center"/>
          </w:tcPr>
          <w:p w14:paraId="23CDC291">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一类区和二类区□</w:t>
            </w:r>
          </w:p>
        </w:tc>
      </w:tr>
      <w:tr w14:paraId="134C86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75B1FCC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7D602890">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评价基准年</w:t>
            </w:r>
          </w:p>
        </w:tc>
        <w:tc>
          <w:tcPr>
            <w:tcW w:w="6099" w:type="dxa"/>
            <w:gridSpan w:val="13"/>
            <w:tcBorders>
              <w:tl2br w:val="nil"/>
              <w:tr2bl w:val="nil"/>
            </w:tcBorders>
            <w:vAlign w:val="center"/>
          </w:tcPr>
          <w:p w14:paraId="70DD4FB2">
            <w:pPr>
              <w:pStyle w:val="45"/>
              <w:keepNext w:val="0"/>
              <w:keepLines w:val="0"/>
              <w:pageBreakBefore w:val="0"/>
              <w:widowControl w:val="0"/>
              <w:suppressLineNumbers w:val="0"/>
              <w:tabs>
                <w:tab w:val="left" w:pos="658"/>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w:t>
            </w:r>
            <w:r>
              <w:rPr>
                <w:rFonts w:hint="eastAsia"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）年</w:t>
            </w:r>
          </w:p>
        </w:tc>
      </w:tr>
      <w:tr w14:paraId="49EF81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1E8BE6A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43597EC2">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环境空气质量现状调查数据来源</w:t>
            </w:r>
          </w:p>
        </w:tc>
        <w:tc>
          <w:tcPr>
            <w:tcW w:w="2269" w:type="dxa"/>
            <w:gridSpan w:val="4"/>
            <w:tcBorders>
              <w:tl2br w:val="nil"/>
              <w:tr2bl w:val="nil"/>
            </w:tcBorders>
            <w:vAlign w:val="center"/>
          </w:tcPr>
          <w:p w14:paraId="3B11E5D9">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长期例行监测数据□</w:t>
            </w:r>
          </w:p>
        </w:tc>
        <w:tc>
          <w:tcPr>
            <w:tcW w:w="2756" w:type="dxa"/>
            <w:gridSpan w:val="6"/>
            <w:tcBorders>
              <w:tl2br w:val="nil"/>
              <w:tr2bl w:val="nil"/>
            </w:tcBorders>
            <w:vAlign w:val="center"/>
          </w:tcPr>
          <w:p w14:paraId="61216D42">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主管部门发布的数据</w:t>
            </w:r>
            <w:r>
              <w:rPr>
                <w:rFonts w:hint="eastAsia" w:cs="Times New Roman"/>
                <w:color w:val="000000" w:themeColor="text1"/>
                <w:sz w:val="21"/>
                <w:szCs w:val="21"/>
                <w:highlight w:val="none"/>
                <w:lang w:eastAsia="zh-CN"/>
                <w14:textFill>
                  <w14:solidFill>
                    <w14:schemeClr w14:val="tx1"/>
                  </w14:solidFill>
                </w14:textFill>
              </w:rPr>
              <w:t>☑</w:t>
            </w:r>
          </w:p>
        </w:tc>
        <w:tc>
          <w:tcPr>
            <w:tcW w:w="1074" w:type="dxa"/>
            <w:gridSpan w:val="3"/>
            <w:tcBorders>
              <w:tl2br w:val="nil"/>
              <w:tr2bl w:val="nil"/>
            </w:tcBorders>
            <w:vAlign w:val="center"/>
          </w:tcPr>
          <w:p w14:paraId="2885776B">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现状补充监测</w:t>
            </w:r>
            <w:r>
              <w:rPr>
                <w:rFonts w:hint="eastAsia" w:cs="Times New Roman"/>
                <w:color w:val="000000" w:themeColor="text1"/>
                <w:sz w:val="21"/>
                <w:szCs w:val="21"/>
                <w:highlight w:val="none"/>
                <w:lang w:eastAsia="zh-CN"/>
                <w14:textFill>
                  <w14:solidFill>
                    <w14:schemeClr w14:val="tx1"/>
                  </w14:solidFill>
                </w14:textFill>
              </w:rPr>
              <w:t>☑</w:t>
            </w:r>
          </w:p>
        </w:tc>
      </w:tr>
      <w:tr w14:paraId="6E0CED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294EF90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4F32453D">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现状评价</w:t>
            </w:r>
          </w:p>
        </w:tc>
        <w:tc>
          <w:tcPr>
            <w:tcW w:w="4009" w:type="dxa"/>
            <w:gridSpan w:val="7"/>
            <w:tcBorders>
              <w:tl2br w:val="nil"/>
              <w:tr2bl w:val="nil"/>
            </w:tcBorders>
            <w:vAlign w:val="center"/>
          </w:tcPr>
          <w:p w14:paraId="7CC23062">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达标区□</w:t>
            </w:r>
          </w:p>
        </w:tc>
        <w:tc>
          <w:tcPr>
            <w:tcW w:w="2090" w:type="dxa"/>
            <w:gridSpan w:val="6"/>
            <w:tcBorders>
              <w:tl2br w:val="nil"/>
              <w:tr2bl w:val="nil"/>
            </w:tcBorders>
            <w:vAlign w:val="center"/>
          </w:tcPr>
          <w:p w14:paraId="506C9AAE">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不达标区</w:t>
            </w:r>
            <w:r>
              <w:rPr>
                <w:rFonts w:hint="eastAsia" w:cs="Times New Roman"/>
                <w:color w:val="000000" w:themeColor="text1"/>
                <w:sz w:val="21"/>
                <w:szCs w:val="21"/>
                <w:highlight w:val="none"/>
                <w:lang w:eastAsia="zh-CN"/>
                <w14:textFill>
                  <w14:solidFill>
                    <w14:schemeClr w14:val="tx1"/>
                  </w14:solidFill>
                </w14:textFill>
              </w:rPr>
              <w:t>☑</w:t>
            </w:r>
          </w:p>
        </w:tc>
      </w:tr>
      <w:tr w14:paraId="5EB070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tcBorders>
              <w:tl2br w:val="nil"/>
              <w:tr2bl w:val="nil"/>
            </w:tcBorders>
            <w:vAlign w:val="center"/>
          </w:tcPr>
          <w:p w14:paraId="12865DDC">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污染源调查</w:t>
            </w:r>
          </w:p>
        </w:tc>
        <w:tc>
          <w:tcPr>
            <w:tcW w:w="1455" w:type="dxa"/>
            <w:tcBorders>
              <w:tl2br w:val="nil"/>
              <w:tr2bl w:val="nil"/>
            </w:tcBorders>
            <w:vAlign w:val="center"/>
          </w:tcPr>
          <w:p w14:paraId="60345F0A">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调查内容</w:t>
            </w:r>
          </w:p>
        </w:tc>
        <w:tc>
          <w:tcPr>
            <w:tcW w:w="2269" w:type="dxa"/>
            <w:gridSpan w:val="4"/>
            <w:tcBorders>
              <w:tl2br w:val="nil"/>
              <w:tr2bl w:val="nil"/>
            </w:tcBorders>
            <w:vAlign w:val="center"/>
          </w:tcPr>
          <w:p w14:paraId="34B167D5">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正常排放源</w:t>
            </w:r>
            <w:r>
              <w:rPr>
                <w:rFonts w:hint="eastAsia" w:cs="Times New Roman"/>
                <w:color w:val="000000" w:themeColor="text1"/>
                <w:sz w:val="21"/>
                <w:szCs w:val="21"/>
                <w:highlight w:val="none"/>
                <w:lang w:eastAsia="zh-CN"/>
                <w14:textFill>
                  <w14:solidFill>
                    <w14:schemeClr w14:val="tx1"/>
                  </w14:solidFill>
                </w14:textFill>
              </w:rPr>
              <w:t>☑</w:t>
            </w:r>
          </w:p>
          <w:p w14:paraId="0CEBE835">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非正常排放源</w:t>
            </w:r>
            <w:r>
              <w:rPr>
                <w:rFonts w:hint="eastAsia" w:cs="Times New Roman"/>
                <w:color w:val="000000" w:themeColor="text1"/>
                <w:sz w:val="21"/>
                <w:szCs w:val="21"/>
                <w:highlight w:val="none"/>
                <w:lang w:eastAsia="zh-CN"/>
                <w14:textFill>
                  <w14:solidFill>
                    <w14:schemeClr w14:val="tx1"/>
                  </w14:solidFill>
                </w14:textFill>
              </w:rPr>
              <w:t>☑</w:t>
            </w:r>
          </w:p>
          <w:p w14:paraId="797478C4">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现有污染源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740" w:type="dxa"/>
            <w:gridSpan w:val="3"/>
            <w:tcBorders>
              <w:tl2br w:val="nil"/>
              <w:tr2bl w:val="nil"/>
            </w:tcBorders>
            <w:vAlign w:val="center"/>
          </w:tcPr>
          <w:p w14:paraId="0725E426">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拟替代的污染源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303" w:type="dxa"/>
            <w:gridSpan w:val="4"/>
            <w:tcBorders>
              <w:tl2br w:val="nil"/>
              <w:tr2bl w:val="nil"/>
            </w:tcBorders>
            <w:vAlign w:val="center"/>
          </w:tcPr>
          <w:p w14:paraId="207F2EE8">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其他在建、拟建项目污染源□</w:t>
            </w:r>
          </w:p>
        </w:tc>
        <w:tc>
          <w:tcPr>
            <w:tcW w:w="787" w:type="dxa"/>
            <w:gridSpan w:val="2"/>
            <w:tcBorders>
              <w:tl2br w:val="nil"/>
              <w:tr2bl w:val="nil"/>
            </w:tcBorders>
            <w:vAlign w:val="center"/>
          </w:tcPr>
          <w:p w14:paraId="3CB73C15">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区域污染源□</w:t>
            </w:r>
          </w:p>
        </w:tc>
      </w:tr>
      <w:tr w14:paraId="7A51D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restart"/>
            <w:tcBorders>
              <w:tl2br w:val="nil"/>
              <w:tr2bl w:val="nil"/>
            </w:tcBorders>
            <w:vAlign w:val="center"/>
          </w:tcPr>
          <w:p w14:paraId="0D731716">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大气环境影响预测与评价</w:t>
            </w:r>
          </w:p>
        </w:tc>
        <w:tc>
          <w:tcPr>
            <w:tcW w:w="1455" w:type="dxa"/>
            <w:tcBorders>
              <w:tl2br w:val="nil"/>
              <w:tr2bl w:val="nil"/>
            </w:tcBorders>
            <w:vAlign w:val="center"/>
          </w:tcPr>
          <w:p w14:paraId="092E2067">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预测模型</w:t>
            </w:r>
          </w:p>
        </w:tc>
        <w:tc>
          <w:tcPr>
            <w:tcW w:w="921" w:type="dxa"/>
            <w:tcBorders>
              <w:tl2br w:val="nil"/>
              <w:tr2bl w:val="nil"/>
            </w:tcBorders>
            <w:vAlign w:val="center"/>
          </w:tcPr>
          <w:p w14:paraId="2E0AE099">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AERMOD</w:t>
            </w:r>
          </w:p>
          <w:p w14:paraId="11B32667">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617" w:type="dxa"/>
            <w:gridSpan w:val="2"/>
            <w:tcBorders>
              <w:tl2br w:val="nil"/>
              <w:tr2bl w:val="nil"/>
            </w:tcBorders>
            <w:vAlign w:val="center"/>
          </w:tcPr>
          <w:p w14:paraId="3516A93A">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ADMS</w:t>
            </w:r>
          </w:p>
          <w:p w14:paraId="79507746">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259" w:type="dxa"/>
            <w:gridSpan w:val="2"/>
            <w:tcBorders>
              <w:tl2br w:val="nil"/>
              <w:tr2bl w:val="nil"/>
            </w:tcBorders>
            <w:vAlign w:val="center"/>
          </w:tcPr>
          <w:p w14:paraId="358EEAB3">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AUSTAL2000</w:t>
            </w:r>
          </w:p>
          <w:p w14:paraId="188B7790">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212" w:type="dxa"/>
            <w:gridSpan w:val="2"/>
            <w:tcBorders>
              <w:tl2br w:val="nil"/>
              <w:tr2bl w:val="nil"/>
            </w:tcBorders>
            <w:vAlign w:val="center"/>
          </w:tcPr>
          <w:p w14:paraId="2DCCD181">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EDMS/AEDT</w:t>
            </w:r>
          </w:p>
          <w:p w14:paraId="1C9A5454">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016" w:type="dxa"/>
            <w:gridSpan w:val="3"/>
            <w:tcBorders>
              <w:tl2br w:val="nil"/>
              <w:tr2bl w:val="nil"/>
            </w:tcBorders>
            <w:vAlign w:val="center"/>
          </w:tcPr>
          <w:p w14:paraId="1A3D39E0">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CALPUFF</w:t>
            </w:r>
          </w:p>
          <w:p w14:paraId="38D338E4">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49" w:type="dxa"/>
            <w:gridSpan w:val="2"/>
            <w:tcBorders>
              <w:tl2br w:val="nil"/>
              <w:tr2bl w:val="nil"/>
            </w:tcBorders>
            <w:vAlign w:val="center"/>
          </w:tcPr>
          <w:p w14:paraId="46C0D4C4">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网格模型</w:t>
            </w:r>
          </w:p>
          <w:p w14:paraId="003C086A">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25" w:type="dxa"/>
            <w:tcBorders>
              <w:tl2br w:val="nil"/>
              <w:tr2bl w:val="nil"/>
            </w:tcBorders>
            <w:vAlign w:val="center"/>
          </w:tcPr>
          <w:p w14:paraId="0A33DD96">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p>
          <w:p w14:paraId="5417934A">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w:t>
            </w:r>
          </w:p>
        </w:tc>
      </w:tr>
      <w:tr w14:paraId="6154DF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5DE19B2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7754ED19">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预测范围</w:t>
            </w:r>
          </w:p>
        </w:tc>
        <w:tc>
          <w:tcPr>
            <w:tcW w:w="1538" w:type="dxa"/>
            <w:gridSpan w:val="3"/>
            <w:tcBorders>
              <w:tl2br w:val="nil"/>
              <w:tr2bl w:val="nil"/>
            </w:tcBorders>
            <w:vAlign w:val="center"/>
          </w:tcPr>
          <w:p w14:paraId="40AA652A">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 50km□</w:t>
            </w:r>
          </w:p>
        </w:tc>
        <w:tc>
          <w:tcPr>
            <w:tcW w:w="3048" w:type="dxa"/>
            <w:gridSpan w:val="5"/>
            <w:tcBorders>
              <w:tl2br w:val="nil"/>
              <w:tr2bl w:val="nil"/>
            </w:tcBorders>
            <w:vAlign w:val="center"/>
          </w:tcPr>
          <w:p w14:paraId="0C56D13B">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 5～50km □</w:t>
            </w:r>
          </w:p>
        </w:tc>
        <w:tc>
          <w:tcPr>
            <w:tcW w:w="1513" w:type="dxa"/>
            <w:gridSpan w:val="5"/>
            <w:tcBorders>
              <w:tl2br w:val="nil"/>
              <w:tr2bl w:val="nil"/>
            </w:tcBorders>
            <w:vAlign w:val="center"/>
          </w:tcPr>
          <w:p w14:paraId="31CA49E0">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边长 = 5 km </w:t>
            </w:r>
            <w:r>
              <w:rPr>
                <w:rFonts w:hint="eastAsia" w:cs="Times New Roman"/>
                <w:color w:val="000000" w:themeColor="text1"/>
                <w:sz w:val="21"/>
                <w:szCs w:val="21"/>
                <w:highlight w:val="none"/>
                <w:lang w:eastAsia="zh-CN"/>
                <w14:textFill>
                  <w14:solidFill>
                    <w14:schemeClr w14:val="tx1"/>
                  </w14:solidFill>
                </w14:textFill>
              </w:rPr>
              <w:t>☑</w:t>
            </w:r>
          </w:p>
        </w:tc>
      </w:tr>
      <w:tr w14:paraId="5ABF96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0C08DED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0ACB1999">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预测因子</w:t>
            </w:r>
          </w:p>
        </w:tc>
        <w:tc>
          <w:tcPr>
            <w:tcW w:w="3797" w:type="dxa"/>
            <w:gridSpan w:val="6"/>
            <w:tcBorders>
              <w:tl2br w:val="nil"/>
              <w:tr2bl w:val="nil"/>
            </w:tcBorders>
            <w:vAlign w:val="center"/>
          </w:tcPr>
          <w:p w14:paraId="2FE9089C">
            <w:pPr>
              <w:pStyle w:val="45"/>
              <w:keepNext w:val="0"/>
              <w:keepLines w:val="0"/>
              <w:pageBreakBefore w:val="0"/>
              <w:widowControl w:val="0"/>
              <w:suppressLineNumbers w:val="0"/>
              <w:tabs>
                <w:tab w:val="left" w:pos="2989"/>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预测因子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PM</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TSP</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302" w:type="dxa"/>
            <w:gridSpan w:val="7"/>
            <w:tcBorders>
              <w:tl2br w:val="nil"/>
              <w:tr2bl w:val="nil"/>
            </w:tcBorders>
            <w:vAlign w:val="center"/>
          </w:tcPr>
          <w:p w14:paraId="0C41437C">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包括二次 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w:t>
            </w:r>
          </w:p>
          <w:p w14:paraId="7C7F95C7">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不包括二次 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eastAsia="zh-CN"/>
                <w14:textFill>
                  <w14:solidFill>
                    <w14:schemeClr w14:val="tx1"/>
                  </w14:solidFill>
                </w14:textFill>
              </w:rPr>
              <w:t>☑</w:t>
            </w:r>
          </w:p>
        </w:tc>
      </w:tr>
      <w:tr w14:paraId="30F906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7E35690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623756E1">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正常排放短期浓度</w:t>
            </w:r>
          </w:p>
          <w:p w14:paraId="501F6E9B">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贡献值</w:t>
            </w:r>
          </w:p>
        </w:tc>
        <w:tc>
          <w:tcPr>
            <w:tcW w:w="3797" w:type="dxa"/>
            <w:gridSpan w:val="6"/>
            <w:tcBorders>
              <w:tl2br w:val="nil"/>
              <w:tr2bl w:val="nil"/>
            </w:tcBorders>
            <w:vAlign w:val="center"/>
          </w:tcPr>
          <w:p w14:paraId="1E197AD9">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position w:val="-5"/>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最大占标率≤100%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302" w:type="dxa"/>
            <w:gridSpan w:val="7"/>
            <w:tcBorders>
              <w:tl2br w:val="nil"/>
              <w:tr2bl w:val="nil"/>
            </w:tcBorders>
            <w:vAlign w:val="center"/>
          </w:tcPr>
          <w:p w14:paraId="7B55EA6E">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position w:val="-5"/>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最大占标率＞100% □</w:t>
            </w:r>
          </w:p>
        </w:tc>
      </w:tr>
      <w:tr w14:paraId="60A821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140E79C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vMerge w:val="restart"/>
            <w:tcBorders>
              <w:tl2br w:val="nil"/>
              <w:tr2bl w:val="nil"/>
            </w:tcBorders>
            <w:vAlign w:val="center"/>
          </w:tcPr>
          <w:p w14:paraId="558576AB">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正常排放年均浓度贡献值</w:t>
            </w:r>
          </w:p>
        </w:tc>
        <w:tc>
          <w:tcPr>
            <w:tcW w:w="921" w:type="dxa"/>
            <w:tcBorders>
              <w:tl2br w:val="nil"/>
              <w:tr2bl w:val="nil"/>
            </w:tcBorders>
            <w:vAlign w:val="center"/>
          </w:tcPr>
          <w:p w14:paraId="63B00495">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一类区</w:t>
            </w:r>
          </w:p>
        </w:tc>
        <w:tc>
          <w:tcPr>
            <w:tcW w:w="2876" w:type="dxa"/>
            <w:gridSpan w:val="5"/>
            <w:tcBorders>
              <w:tl2br w:val="nil"/>
              <w:tr2bl w:val="nil"/>
            </w:tcBorders>
            <w:vAlign w:val="center"/>
          </w:tcPr>
          <w:p w14:paraId="2590532F">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position w:val="-5"/>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最大占标率≤10%□</w:t>
            </w:r>
          </w:p>
        </w:tc>
        <w:tc>
          <w:tcPr>
            <w:tcW w:w="2302" w:type="dxa"/>
            <w:gridSpan w:val="7"/>
            <w:tcBorders>
              <w:tl2br w:val="nil"/>
              <w:tr2bl w:val="nil"/>
            </w:tcBorders>
            <w:vAlign w:val="center"/>
          </w:tcPr>
          <w:p w14:paraId="0BB22B4B">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position w:val="-5"/>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最大标率＞10% □</w:t>
            </w:r>
          </w:p>
        </w:tc>
      </w:tr>
      <w:tr w14:paraId="3FB0A2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7BA7274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vMerge w:val="continue"/>
            <w:tcBorders>
              <w:tl2br w:val="nil"/>
              <w:tr2bl w:val="nil"/>
            </w:tcBorders>
            <w:vAlign w:val="center"/>
          </w:tcPr>
          <w:p w14:paraId="435B797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1" w:type="dxa"/>
            <w:tcBorders>
              <w:tl2br w:val="nil"/>
              <w:tr2bl w:val="nil"/>
            </w:tcBorders>
            <w:vAlign w:val="center"/>
          </w:tcPr>
          <w:p w14:paraId="7E1F208A">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二类区</w:t>
            </w:r>
          </w:p>
        </w:tc>
        <w:tc>
          <w:tcPr>
            <w:tcW w:w="2876" w:type="dxa"/>
            <w:gridSpan w:val="5"/>
            <w:tcBorders>
              <w:tl2br w:val="nil"/>
              <w:tr2bl w:val="nil"/>
            </w:tcBorders>
            <w:vAlign w:val="center"/>
          </w:tcPr>
          <w:p w14:paraId="711D0A41">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position w:val="-5"/>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最大占标率≤30%□</w:t>
            </w:r>
          </w:p>
        </w:tc>
        <w:tc>
          <w:tcPr>
            <w:tcW w:w="2302" w:type="dxa"/>
            <w:gridSpan w:val="7"/>
            <w:tcBorders>
              <w:tl2br w:val="nil"/>
              <w:tr2bl w:val="nil"/>
            </w:tcBorders>
            <w:vAlign w:val="center"/>
          </w:tcPr>
          <w:p w14:paraId="7972AD80">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position w:val="-5"/>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最大标率＞30% □</w:t>
            </w:r>
          </w:p>
        </w:tc>
      </w:tr>
      <w:tr w14:paraId="02E2B3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3E7F9FF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42F5679C">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非正常排放1h浓度贡献值</w:t>
            </w:r>
          </w:p>
        </w:tc>
        <w:tc>
          <w:tcPr>
            <w:tcW w:w="1274" w:type="dxa"/>
            <w:gridSpan w:val="2"/>
            <w:tcBorders>
              <w:tl2br w:val="nil"/>
              <w:tr2bl w:val="nil"/>
            </w:tcBorders>
            <w:vAlign w:val="center"/>
          </w:tcPr>
          <w:p w14:paraId="2ACECC39">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非正常持续时长（</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2523" w:type="dxa"/>
            <w:gridSpan w:val="4"/>
            <w:tcBorders>
              <w:tl2br w:val="nil"/>
              <w:tr2bl w:val="nil"/>
            </w:tcBorders>
            <w:vAlign w:val="center"/>
          </w:tcPr>
          <w:p w14:paraId="031B30FD">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position w:val="-5"/>
                <w:sz w:val="21"/>
                <w:szCs w:val="21"/>
                <w:highlight w:val="none"/>
                <w14:textFill>
                  <w14:solidFill>
                    <w14:schemeClr w14:val="tx1"/>
                  </w14:solidFill>
                </w14:textFill>
              </w:rPr>
              <w:t>非正常</w:t>
            </w:r>
            <w:r>
              <w:rPr>
                <w:rFonts w:hint="default" w:ascii="Times New Roman" w:hAnsi="Times New Roman" w:eastAsia="宋体" w:cs="Times New Roman"/>
                <w:color w:val="000000" w:themeColor="text1"/>
                <w:sz w:val="21"/>
                <w:szCs w:val="21"/>
                <w:highlight w:val="none"/>
                <w14:textFill>
                  <w14:solidFill>
                    <w14:schemeClr w14:val="tx1"/>
                  </w14:solidFill>
                </w14:textFill>
              </w:rPr>
              <w:t>占标率≤100%□</w:t>
            </w:r>
          </w:p>
        </w:tc>
        <w:tc>
          <w:tcPr>
            <w:tcW w:w="2302" w:type="dxa"/>
            <w:gridSpan w:val="7"/>
            <w:tcBorders>
              <w:tl2br w:val="nil"/>
              <w:tr2bl w:val="nil"/>
            </w:tcBorders>
            <w:vAlign w:val="center"/>
          </w:tcPr>
          <w:p w14:paraId="2C7AF2FE">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position w:val="-5"/>
                <w:sz w:val="21"/>
                <w:szCs w:val="21"/>
                <w:highlight w:val="none"/>
                <w14:textFill>
                  <w14:solidFill>
                    <w14:schemeClr w14:val="tx1"/>
                  </w14:solidFill>
                </w14:textFill>
              </w:rPr>
              <w:t>非正常</w:t>
            </w:r>
            <w:r>
              <w:rPr>
                <w:rFonts w:hint="default" w:ascii="Times New Roman" w:hAnsi="Times New Roman" w:eastAsia="宋体" w:cs="Times New Roman"/>
                <w:color w:val="000000" w:themeColor="text1"/>
                <w:sz w:val="21"/>
                <w:szCs w:val="21"/>
                <w:highlight w:val="none"/>
                <w14:textFill>
                  <w14:solidFill>
                    <w14:schemeClr w14:val="tx1"/>
                  </w14:solidFill>
                </w14:textFill>
              </w:rPr>
              <w:t>占标率＞100%□</w:t>
            </w:r>
          </w:p>
        </w:tc>
      </w:tr>
      <w:tr w14:paraId="4DEC6B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2D580EA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23066687">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保证率日平均浓度和年平均浓度叠加值</w:t>
            </w:r>
          </w:p>
        </w:tc>
        <w:tc>
          <w:tcPr>
            <w:tcW w:w="2797" w:type="dxa"/>
            <w:gridSpan w:val="5"/>
            <w:tcBorders>
              <w:tl2br w:val="nil"/>
              <w:tr2bl w:val="nil"/>
            </w:tcBorders>
            <w:vAlign w:val="center"/>
          </w:tcPr>
          <w:p w14:paraId="5E5FE8CE">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position w:val="-5"/>
                <w:sz w:val="21"/>
                <w:szCs w:val="21"/>
                <w:highlight w:val="none"/>
                <w14:textFill>
                  <w14:solidFill>
                    <w14:schemeClr w14:val="tx1"/>
                  </w14:solidFill>
                </w14:textFill>
              </w:rPr>
              <w:t>叠加</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达标 </w:t>
            </w: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p>
        </w:tc>
        <w:tc>
          <w:tcPr>
            <w:tcW w:w="3302" w:type="dxa"/>
            <w:gridSpan w:val="8"/>
            <w:tcBorders>
              <w:tl2br w:val="nil"/>
              <w:tr2bl w:val="nil"/>
            </w:tcBorders>
            <w:vAlign w:val="center"/>
          </w:tcPr>
          <w:p w14:paraId="4BFDDBF9">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position w:val="-5"/>
                <w:sz w:val="21"/>
                <w:szCs w:val="21"/>
                <w:highlight w:val="none"/>
                <w14:textFill>
                  <w14:solidFill>
                    <w14:schemeClr w14:val="tx1"/>
                  </w14:solidFill>
                </w14:textFill>
              </w:rPr>
              <w:t>叠加</w:t>
            </w:r>
            <w:r>
              <w:rPr>
                <w:rFonts w:hint="default" w:ascii="Times New Roman" w:hAnsi="Times New Roman" w:eastAsia="宋体" w:cs="Times New Roman"/>
                <w:color w:val="000000" w:themeColor="text1"/>
                <w:sz w:val="21"/>
                <w:szCs w:val="21"/>
                <w:highlight w:val="none"/>
                <w14:textFill>
                  <w14:solidFill>
                    <w14:schemeClr w14:val="tx1"/>
                  </w14:solidFill>
                </w14:textFill>
              </w:rPr>
              <w:t>不达标 □</w:t>
            </w:r>
          </w:p>
        </w:tc>
      </w:tr>
      <w:tr w14:paraId="1DF51D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727339A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06A84BAB">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区域环境质量的整体变化情况</w:t>
            </w:r>
          </w:p>
        </w:tc>
        <w:tc>
          <w:tcPr>
            <w:tcW w:w="2797" w:type="dxa"/>
            <w:gridSpan w:val="5"/>
            <w:tcBorders>
              <w:tl2br w:val="nil"/>
              <w:tr2bl w:val="nil"/>
            </w:tcBorders>
            <w:vAlign w:val="center"/>
          </w:tcPr>
          <w:p w14:paraId="2D2592BC">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color w:val="000000" w:themeColor="text1"/>
                <w:sz w:val="21"/>
                <w:szCs w:val="21"/>
                <w:highlight w:val="none"/>
                <w14:textFill>
                  <w14:solidFill>
                    <w14:schemeClr w14:val="tx1"/>
                  </w14:solidFill>
                </w14:textFill>
              </w:rPr>
              <w:t>k</w:t>
            </w:r>
            <w:r>
              <w:rPr>
                <w:rFonts w:hint="default" w:ascii="Times New Roman" w:hAnsi="Times New Roman" w:eastAsia="宋体" w:cs="Times New Roman"/>
                <w:color w:val="000000" w:themeColor="text1"/>
                <w:sz w:val="21"/>
                <w:szCs w:val="21"/>
                <w:highlight w:val="none"/>
                <w14:textFill>
                  <w14:solidFill>
                    <w14:schemeClr w14:val="tx1"/>
                  </w14:solidFill>
                </w14:textFill>
              </w:rPr>
              <w:t>≤-20% □</w:t>
            </w:r>
          </w:p>
        </w:tc>
        <w:tc>
          <w:tcPr>
            <w:tcW w:w="3302" w:type="dxa"/>
            <w:gridSpan w:val="8"/>
            <w:tcBorders>
              <w:tl2br w:val="nil"/>
              <w:tr2bl w:val="nil"/>
            </w:tcBorders>
            <w:vAlign w:val="center"/>
          </w:tcPr>
          <w:p w14:paraId="25A255D8">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color w:val="000000" w:themeColor="text1"/>
                <w:sz w:val="21"/>
                <w:szCs w:val="21"/>
                <w:highlight w:val="none"/>
                <w14:textFill>
                  <w14:solidFill>
                    <w14:schemeClr w14:val="tx1"/>
                  </w14:solidFill>
                </w14:textFill>
              </w:rPr>
              <w:t>k</w:t>
            </w:r>
            <w:r>
              <w:rPr>
                <w:rFonts w:hint="default" w:ascii="Times New Roman" w:hAnsi="Times New Roman" w:eastAsia="宋体" w:cs="Times New Roman"/>
                <w:color w:val="000000" w:themeColor="text1"/>
                <w:sz w:val="21"/>
                <w:szCs w:val="21"/>
                <w:highlight w:val="none"/>
                <w14:textFill>
                  <w14:solidFill>
                    <w14:schemeClr w14:val="tx1"/>
                  </w14:solidFill>
                </w14:textFill>
              </w:rPr>
              <w:t>＞-20% □</w:t>
            </w:r>
          </w:p>
        </w:tc>
      </w:tr>
      <w:tr w14:paraId="1E1DAA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restart"/>
            <w:tcBorders>
              <w:tl2br w:val="nil"/>
              <w:tr2bl w:val="nil"/>
            </w:tcBorders>
            <w:vAlign w:val="center"/>
          </w:tcPr>
          <w:p w14:paraId="2B25BA14">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环境监测计划</w:t>
            </w:r>
          </w:p>
        </w:tc>
        <w:tc>
          <w:tcPr>
            <w:tcW w:w="1455" w:type="dxa"/>
            <w:tcBorders>
              <w:tl2br w:val="nil"/>
              <w:tr2bl w:val="nil"/>
            </w:tcBorders>
            <w:vAlign w:val="center"/>
          </w:tcPr>
          <w:p w14:paraId="0A85D93E">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污染源监测</w:t>
            </w:r>
          </w:p>
        </w:tc>
        <w:tc>
          <w:tcPr>
            <w:tcW w:w="2797" w:type="dxa"/>
            <w:gridSpan w:val="5"/>
            <w:tcBorders>
              <w:tl2br w:val="nil"/>
              <w:tr2bl w:val="nil"/>
            </w:tcBorders>
            <w:vAlign w:val="center"/>
          </w:tcPr>
          <w:p w14:paraId="6B975AB7">
            <w:pPr>
              <w:pStyle w:val="45"/>
              <w:keepNext w:val="0"/>
              <w:keepLines w:val="0"/>
              <w:pageBreakBefore w:val="0"/>
              <w:widowControl w:val="0"/>
              <w:suppressLineNumbers w:val="0"/>
              <w:tabs>
                <w:tab w:val="left" w:pos="2466"/>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监测因子</w:t>
            </w:r>
            <w:r>
              <w:rPr>
                <w:rFonts w:hint="default" w:ascii="Times New Roman" w:hAnsi="Times New Roman" w:eastAsia="宋体" w:cs="Times New Roman"/>
                <w:color w:val="000000" w:themeColor="text1"/>
                <w:spacing w:val="-92"/>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PM</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TSP</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515" w:type="dxa"/>
            <w:gridSpan w:val="6"/>
            <w:tcBorders>
              <w:tl2br w:val="nil"/>
              <w:tr2bl w:val="nil"/>
            </w:tcBorders>
            <w:vAlign w:val="center"/>
          </w:tcPr>
          <w:p w14:paraId="3638AF3F">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有组织废气监测</w:t>
            </w:r>
            <w:r>
              <w:rPr>
                <w:rFonts w:hint="eastAsia" w:cs="Times New Roman"/>
                <w:color w:val="000000" w:themeColor="text1"/>
                <w:sz w:val="21"/>
                <w:szCs w:val="21"/>
                <w:highlight w:val="none"/>
                <w:lang w:eastAsia="zh-CN"/>
                <w14:textFill>
                  <w14:solidFill>
                    <w14:schemeClr w14:val="tx1"/>
                  </w14:solidFill>
                </w14:textFill>
              </w:rPr>
              <w:t>☑</w:t>
            </w:r>
          </w:p>
          <w:p w14:paraId="61C5707A">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无组织废气监测</w:t>
            </w:r>
            <w:r>
              <w:rPr>
                <w:rFonts w:hint="eastAsia" w:cs="Times New Roman"/>
                <w:color w:val="000000" w:themeColor="text1"/>
                <w:sz w:val="21"/>
                <w:szCs w:val="21"/>
                <w:highlight w:val="none"/>
                <w:lang w:eastAsia="zh-CN"/>
                <w14:textFill>
                  <w14:solidFill>
                    <w14:schemeClr w14:val="tx1"/>
                  </w14:solidFill>
                </w14:textFill>
              </w:rPr>
              <w:t>☑</w:t>
            </w:r>
          </w:p>
        </w:tc>
        <w:tc>
          <w:tcPr>
            <w:tcW w:w="787" w:type="dxa"/>
            <w:gridSpan w:val="2"/>
            <w:tcBorders>
              <w:tl2br w:val="nil"/>
              <w:tr2bl w:val="nil"/>
            </w:tcBorders>
            <w:vAlign w:val="center"/>
          </w:tcPr>
          <w:p w14:paraId="6D64F416">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无监测□</w:t>
            </w:r>
          </w:p>
        </w:tc>
      </w:tr>
      <w:tr w14:paraId="04C92F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5D9885C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5B739FA8">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环境质量监测</w:t>
            </w:r>
          </w:p>
        </w:tc>
        <w:tc>
          <w:tcPr>
            <w:tcW w:w="2797" w:type="dxa"/>
            <w:gridSpan w:val="5"/>
            <w:tcBorders>
              <w:tl2br w:val="nil"/>
              <w:tr2bl w:val="nil"/>
            </w:tcBorders>
            <w:vAlign w:val="center"/>
          </w:tcPr>
          <w:p w14:paraId="155DE83F">
            <w:pPr>
              <w:pStyle w:val="45"/>
              <w:keepNext w:val="0"/>
              <w:keepLines w:val="0"/>
              <w:pageBreakBefore w:val="0"/>
              <w:widowControl w:val="0"/>
              <w:suppressLineNumbers w:val="0"/>
              <w:tabs>
                <w:tab w:val="left" w:pos="2466"/>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监测因子</w:t>
            </w:r>
            <w:r>
              <w:rPr>
                <w:rFonts w:hint="default" w:ascii="Times New Roman" w:hAnsi="Times New Roman" w:eastAsia="宋体" w:cs="Times New Roman"/>
                <w:color w:val="000000" w:themeColor="text1"/>
                <w:spacing w:val="-92"/>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515" w:type="dxa"/>
            <w:gridSpan w:val="6"/>
            <w:tcBorders>
              <w:tl2br w:val="nil"/>
              <w:tr2bl w:val="nil"/>
            </w:tcBorders>
            <w:vAlign w:val="center"/>
          </w:tcPr>
          <w:p w14:paraId="0D446023">
            <w:pPr>
              <w:pStyle w:val="45"/>
              <w:keepNext w:val="0"/>
              <w:keepLines w:val="0"/>
              <w:pageBreakBefore w:val="0"/>
              <w:widowControl w:val="0"/>
              <w:suppressLineNumbers w:val="0"/>
              <w:tabs>
                <w:tab w:val="left" w:pos="1928"/>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监测点位数（</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87" w:type="dxa"/>
            <w:gridSpan w:val="2"/>
            <w:tcBorders>
              <w:tl2br w:val="nil"/>
              <w:tr2bl w:val="nil"/>
            </w:tcBorders>
            <w:vAlign w:val="center"/>
          </w:tcPr>
          <w:p w14:paraId="6A4EE634">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无监测</w:t>
            </w:r>
            <w:r>
              <w:rPr>
                <w:rFonts w:hint="eastAsia" w:cs="Times New Roman"/>
                <w:color w:val="000000" w:themeColor="text1"/>
                <w:sz w:val="21"/>
                <w:szCs w:val="21"/>
                <w:highlight w:val="none"/>
                <w:lang w:eastAsia="zh-CN"/>
                <w14:textFill>
                  <w14:solidFill>
                    <w14:schemeClr w14:val="tx1"/>
                  </w14:solidFill>
                </w14:textFill>
              </w:rPr>
              <w:t>☑</w:t>
            </w:r>
          </w:p>
        </w:tc>
      </w:tr>
      <w:tr w14:paraId="236B89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restart"/>
            <w:tcBorders>
              <w:tl2br w:val="nil"/>
              <w:tr2bl w:val="nil"/>
            </w:tcBorders>
            <w:vAlign w:val="center"/>
          </w:tcPr>
          <w:p w14:paraId="1CA1D36C">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评价结论</w:t>
            </w:r>
          </w:p>
        </w:tc>
        <w:tc>
          <w:tcPr>
            <w:tcW w:w="1455" w:type="dxa"/>
            <w:tcBorders>
              <w:tl2br w:val="nil"/>
              <w:tr2bl w:val="nil"/>
            </w:tcBorders>
            <w:vAlign w:val="center"/>
          </w:tcPr>
          <w:p w14:paraId="2397253D">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环境影响</w:t>
            </w:r>
          </w:p>
        </w:tc>
        <w:tc>
          <w:tcPr>
            <w:tcW w:w="6099" w:type="dxa"/>
            <w:gridSpan w:val="13"/>
            <w:tcBorders>
              <w:tl2br w:val="nil"/>
              <w:tr2bl w:val="nil"/>
            </w:tcBorders>
            <w:vAlign w:val="center"/>
          </w:tcPr>
          <w:p w14:paraId="327B5CE5">
            <w:pPr>
              <w:pStyle w:val="45"/>
              <w:keepNext w:val="0"/>
              <w:keepLines w:val="0"/>
              <w:pageBreakBefore w:val="0"/>
              <w:widowControl w:val="0"/>
              <w:suppressLineNumbers w:val="0"/>
              <w:tabs>
                <w:tab w:val="left" w:pos="3582"/>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可以接受</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ab/>
            </w:r>
            <w:r>
              <w:rPr>
                <w:rFonts w:hint="default" w:ascii="Times New Roman" w:hAnsi="Times New Roman" w:eastAsia="宋体" w:cs="Times New Roman"/>
                <w:color w:val="000000" w:themeColor="text1"/>
                <w:sz w:val="21"/>
                <w:szCs w:val="21"/>
                <w:highlight w:val="none"/>
                <w14:textFill>
                  <w14:solidFill>
                    <w14:schemeClr w14:val="tx1"/>
                  </w14:solidFill>
                </w14:textFill>
              </w:rPr>
              <w:t>不可以</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接</w:t>
            </w:r>
            <w:r>
              <w:rPr>
                <w:rFonts w:hint="default" w:ascii="Times New Roman" w:hAnsi="Times New Roman" w:eastAsia="宋体" w:cs="Times New Roman"/>
                <w:color w:val="000000" w:themeColor="text1"/>
                <w:sz w:val="21"/>
                <w:szCs w:val="21"/>
                <w:highlight w:val="none"/>
                <w14:textFill>
                  <w14:solidFill>
                    <w14:schemeClr w14:val="tx1"/>
                  </w14:solidFill>
                </w14:textFill>
              </w:rPr>
              <w:t>受□</w:t>
            </w:r>
          </w:p>
        </w:tc>
      </w:tr>
      <w:tr w14:paraId="058380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0AE0C2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1C5E728B">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大气环境防护距离</w:t>
            </w:r>
          </w:p>
        </w:tc>
        <w:tc>
          <w:tcPr>
            <w:tcW w:w="6099" w:type="dxa"/>
            <w:gridSpan w:val="13"/>
            <w:tcBorders>
              <w:tl2br w:val="nil"/>
              <w:tr2bl w:val="nil"/>
            </w:tcBorders>
            <w:vAlign w:val="center"/>
          </w:tcPr>
          <w:p w14:paraId="1AE6DF12">
            <w:pPr>
              <w:pStyle w:val="45"/>
              <w:keepNext w:val="0"/>
              <w:keepLines w:val="0"/>
              <w:pageBreakBefore w:val="0"/>
              <w:widowControl w:val="0"/>
              <w:suppressLineNumbers w:val="0"/>
              <w:tabs>
                <w:tab w:val="left" w:pos="2840"/>
                <w:tab w:val="left" w:pos="4367"/>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距（）厂界最远（）m</w:t>
            </w:r>
          </w:p>
        </w:tc>
      </w:tr>
      <w:tr w14:paraId="37C7FF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4" w:type="dxa"/>
            <w:vMerge w:val="continue"/>
            <w:tcBorders>
              <w:tl2br w:val="nil"/>
              <w:tr2bl w:val="nil"/>
            </w:tcBorders>
            <w:vAlign w:val="center"/>
          </w:tcPr>
          <w:p w14:paraId="435B98B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5" w:type="dxa"/>
            <w:tcBorders>
              <w:tl2br w:val="nil"/>
              <w:tr2bl w:val="nil"/>
            </w:tcBorders>
            <w:vAlign w:val="center"/>
          </w:tcPr>
          <w:p w14:paraId="2D2F4B56">
            <w:pPr>
              <w:pStyle w:val="45"/>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污染源年排放量</w:t>
            </w:r>
          </w:p>
        </w:tc>
        <w:tc>
          <w:tcPr>
            <w:tcW w:w="1274" w:type="dxa"/>
            <w:gridSpan w:val="2"/>
            <w:tcBorders>
              <w:tl2br w:val="nil"/>
              <w:tr2bl w:val="nil"/>
            </w:tcBorders>
            <w:vAlign w:val="center"/>
          </w:tcPr>
          <w:p w14:paraId="2311C1DE">
            <w:pPr>
              <w:pStyle w:val="45"/>
              <w:keepNext w:val="0"/>
              <w:keepLines w:val="0"/>
              <w:pageBreakBefore w:val="0"/>
              <w:widowControl w:val="0"/>
              <w:suppressLineNumbers w:val="0"/>
              <w:tabs>
                <w:tab w:val="left" w:pos="1129"/>
              </w:tabs>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eastAsia" w:ascii="Times New Roman" w:hAnsi="Times New Roman" w:eastAsia="宋体" w:cs="Times New Roman"/>
                <w:color w:val="000000" w:themeColor="text1"/>
                <w:position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w:t>
            </w:r>
            <w:r>
              <w:rPr>
                <w:rFonts w:hint="eastAsia" w:ascii="Times New Roman" w:hAnsi="Times New Roman" w:cs="Times New Roman"/>
                <w:color w:val="000000" w:themeColor="text1"/>
                <w:position w:val="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）t/a</w:t>
            </w:r>
          </w:p>
        </w:tc>
        <w:tc>
          <w:tcPr>
            <w:tcW w:w="1523" w:type="dxa"/>
            <w:gridSpan w:val="3"/>
            <w:tcBorders>
              <w:tl2br w:val="nil"/>
              <w:tr2bl w:val="nil"/>
            </w:tcBorders>
            <w:vAlign w:val="center"/>
          </w:tcPr>
          <w:p w14:paraId="4C353784">
            <w:pPr>
              <w:pStyle w:val="45"/>
              <w:keepNext w:val="0"/>
              <w:keepLines w:val="0"/>
              <w:pageBreakBefore w:val="0"/>
              <w:widowControl w:val="0"/>
              <w:suppressLineNumbers w:val="0"/>
              <w:tabs>
                <w:tab w:val="left" w:pos="1181"/>
              </w:tabs>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14:textFill>
                  <w14:solidFill>
                    <w14:schemeClr w14:val="tx1"/>
                  </w14:solidFill>
                </w14:textFill>
              </w:rPr>
              <w:t>x</w:t>
            </w:r>
            <w:r>
              <w:rPr>
                <w:rFonts w:hint="eastAsia" w:ascii="Times New Roman" w:hAnsi="Times New Roman" w:eastAsia="宋体" w:cs="Times New Roman"/>
                <w:color w:val="000000" w:themeColor="text1"/>
                <w:position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w:t>
            </w:r>
            <w:r>
              <w:rPr>
                <w:rFonts w:hint="eastAsia" w:ascii="Times New Roman" w:hAnsi="Times New Roman" w:cs="Times New Roman"/>
                <w:color w:val="000000" w:themeColor="text1"/>
                <w:position w:val="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）t/a</w:t>
            </w:r>
          </w:p>
        </w:tc>
        <w:tc>
          <w:tcPr>
            <w:tcW w:w="1924" w:type="dxa"/>
            <w:gridSpan w:val="4"/>
            <w:tcBorders>
              <w:tl2br w:val="nil"/>
              <w:tr2bl w:val="nil"/>
            </w:tcBorders>
            <w:vAlign w:val="center"/>
          </w:tcPr>
          <w:p w14:paraId="520DED66">
            <w:pPr>
              <w:pStyle w:val="45"/>
              <w:keepNext w:val="0"/>
              <w:keepLines w:val="0"/>
              <w:pageBreakBefore w:val="0"/>
              <w:widowControl w:val="0"/>
              <w:suppressLineNumbers w:val="0"/>
              <w:tabs>
                <w:tab w:val="left" w:pos="1081"/>
              </w:tabs>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9.31</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378" w:type="dxa"/>
            <w:gridSpan w:val="4"/>
            <w:tcBorders>
              <w:tl2br w:val="nil"/>
              <w:tr2bl w:val="nil"/>
            </w:tcBorders>
            <w:vAlign w:val="center"/>
          </w:tcPr>
          <w:p w14:paraId="52AAC8F9">
            <w:pPr>
              <w:pStyle w:val="45"/>
              <w:keepNext w:val="0"/>
              <w:keepLines w:val="0"/>
              <w:pageBreakBefore w:val="0"/>
              <w:widowControl w:val="0"/>
              <w:suppressLineNumbers w:val="0"/>
              <w:tabs>
                <w:tab w:val="left" w:pos="1039"/>
              </w:tabs>
              <w:kinsoku/>
              <w:wordWrap/>
              <w:overflowPunct/>
              <w:topLinePunct w:val="0"/>
              <w:autoSpaceDE w:val="0"/>
              <w:autoSpaceDN w:val="0"/>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VOC</w:t>
            </w:r>
            <w:r>
              <w:rPr>
                <w:rFonts w:hint="default" w:ascii="Times New Roman" w:hAnsi="Times New Roman" w:eastAsia="宋体" w:cs="Times New Roman"/>
                <w:color w:val="000000" w:themeColor="text1"/>
                <w:sz w:val="21"/>
                <w:szCs w:val="21"/>
                <w:highlight w:val="none"/>
                <w14:textFill>
                  <w14:solidFill>
                    <w14:schemeClr w14:val="tx1"/>
                  </w14:solidFill>
                </w14:textFill>
              </w:rPr>
              <w:t>s</w:t>
            </w:r>
            <w:r>
              <w:rPr>
                <w:rFonts w:hint="eastAsia" w:ascii="Times New Roman" w:hAnsi="Times New Roman" w:eastAsia="宋体" w:cs="Times New Roman"/>
                <w:color w:val="000000" w:themeColor="text1"/>
                <w:position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w:t>
            </w:r>
            <w:r>
              <w:rPr>
                <w:rFonts w:hint="eastAsia" w:ascii="Times New Roman" w:hAnsi="Times New Roman" w:cs="Times New Roman"/>
                <w:color w:val="000000" w:themeColor="text1"/>
                <w:position w:val="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position w:val="1"/>
                <w:sz w:val="21"/>
                <w:szCs w:val="21"/>
                <w:highlight w:val="none"/>
                <w14:textFill>
                  <w14:solidFill>
                    <w14:schemeClr w14:val="tx1"/>
                  </w14:solidFill>
                </w14:textFill>
              </w:rPr>
              <w:t>）t/a</w:t>
            </w:r>
          </w:p>
        </w:tc>
      </w:tr>
      <w:tr w14:paraId="61F62B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28" w:type="dxa"/>
            <w:gridSpan w:val="15"/>
            <w:tcBorders>
              <w:tl2br w:val="nil"/>
              <w:tr2bl w:val="nil"/>
            </w:tcBorders>
            <w:vAlign w:val="center"/>
          </w:tcPr>
          <w:p w14:paraId="79651E6E">
            <w:pPr>
              <w:pStyle w:val="45"/>
              <w:keepNext w:val="0"/>
              <w:keepLines w:val="0"/>
              <w:pageBreakBefore w:val="0"/>
              <w:widowControl w:val="0"/>
              <w:suppressLineNumbers w:val="0"/>
              <w:tabs>
                <w:tab w:val="left" w:pos="3439"/>
              </w:tabs>
              <w:kinsoku/>
              <w:wordWrap/>
              <w:overflowPunct/>
              <w:topLinePunct w:val="0"/>
              <w:autoSpaceDE w:val="0"/>
              <w:autoSpaceDN w:val="0"/>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为勾选项，填</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为内容填写项</w:t>
            </w:r>
          </w:p>
        </w:tc>
      </w:tr>
      <w:bookmarkEnd w:id="747"/>
      <w:bookmarkEnd w:id="748"/>
      <w:bookmarkEnd w:id="749"/>
    </w:tbl>
    <w:p w14:paraId="1E26BA54">
      <w:pPr>
        <w:pStyle w:val="4"/>
        <w:rPr>
          <w:color w:val="000000" w:themeColor="text1"/>
          <w:highlight w:val="none"/>
          <w14:textFill>
            <w14:solidFill>
              <w14:schemeClr w14:val="tx1"/>
            </w14:solidFill>
          </w14:textFill>
        </w:rPr>
      </w:pPr>
      <w:bookmarkStart w:id="750" w:name="_Toc22124"/>
      <w:bookmarkStart w:id="751" w:name="_Toc20422"/>
      <w:bookmarkStart w:id="752" w:name="_Toc26249"/>
      <w:bookmarkStart w:id="753" w:name="_Toc25091"/>
      <w:bookmarkStart w:id="754" w:name="_Toc10714"/>
      <w:bookmarkStart w:id="755" w:name="_Toc7806"/>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2.2运营期地表水环境影响分析与评价</w:t>
      </w:r>
    </w:p>
    <w:p w14:paraId="6739A585">
      <w:pPr>
        <w:pStyle w:val="5"/>
        <w:ind w:firstLine="482" w:firstLineChars="200"/>
        <w:rPr>
          <w:rFonts w:hint="eastAsia"/>
          <w:color w:val="000000" w:themeColor="text1"/>
          <w:highlight w:val="none"/>
          <w:lang w:val="en-US" w:eastAsia="zh-CN"/>
          <w14:textFill>
            <w14:solidFill>
              <w14:schemeClr w14:val="tx1"/>
            </w14:solidFill>
          </w14:textFill>
        </w:rPr>
      </w:pPr>
      <w:bookmarkStart w:id="756" w:name="_Toc30684"/>
      <w:r>
        <w:rPr>
          <w:rFonts w:hint="eastAsia"/>
          <w:color w:val="000000" w:themeColor="text1"/>
          <w:highlight w:val="none"/>
          <w:lang w:val="en-US" w:eastAsia="zh-CN"/>
          <w14:textFill>
            <w14:solidFill>
              <w14:schemeClr w14:val="tx1"/>
            </w14:solidFill>
          </w14:textFill>
        </w:rPr>
        <w:t>5.2.2.1工程排水对地表水环境的影响</w:t>
      </w:r>
    </w:p>
    <w:p w14:paraId="0A08E416">
      <w:pPr>
        <w:keepNext w:val="0"/>
        <w:keepLines w:val="0"/>
        <w:pageBreakBefore w:val="0"/>
        <w:kinsoku/>
        <w:wordWrap/>
        <w:overflowPunct w:val="0"/>
        <w:topLinePunct/>
        <w:autoSpaceDE/>
        <w:autoSpaceDN/>
        <w:bidi w:val="0"/>
        <w:adjustRightInd/>
        <w:snapToGrid/>
        <w:ind w:firstLine="48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1</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正常</w:t>
      </w:r>
      <w:r>
        <w:rPr>
          <w:rFonts w:hint="eastAsia" w:ascii="Times New Roman" w:hAnsi="Times New Roman" w:eastAsia="宋体"/>
          <w:color w:val="000000" w:themeColor="text1"/>
          <w:highlight w:val="none"/>
          <w:lang w:val="en-US" w:eastAsia="zh-CN"/>
          <w14:textFill>
            <w14:solidFill>
              <w14:schemeClr w14:val="tx1"/>
            </w14:solidFill>
          </w14:textFill>
        </w:rPr>
        <w:t>工况废水</w:t>
      </w:r>
    </w:p>
    <w:p w14:paraId="4E34C87F">
      <w:pPr>
        <w:keepNext w:val="0"/>
        <w:keepLines w:val="0"/>
        <w:pageBreakBefore w:val="0"/>
        <w:kinsoku/>
        <w:wordWrap/>
        <w:overflowPunct w:val="0"/>
        <w:topLinePunct/>
        <w:autoSpaceDE/>
        <w:autoSpaceDN/>
        <w:bidi w:val="0"/>
        <w:adjustRightInd/>
        <w:snapToGrid/>
        <w:ind w:firstLine="48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本项目运营期选矿废水产生于选矿过程中，选矿废水</w:t>
      </w:r>
      <w:r>
        <w:rPr>
          <w:rFonts w:hint="eastAsia"/>
          <w:color w:val="000000" w:themeColor="text1"/>
          <w:highlight w:val="none"/>
          <w:lang w:val="en-US" w:eastAsia="zh-CN"/>
          <w14:textFill>
            <w14:solidFill>
              <w14:schemeClr w14:val="tx1"/>
            </w14:solidFill>
          </w14:textFill>
        </w:rPr>
        <w:t>产生量</w:t>
      </w:r>
      <w:r>
        <w:rPr>
          <w:rFonts w:hint="eastAsia"/>
          <w:color w:val="000000" w:themeColor="text1"/>
          <w:highlight w:val="none"/>
          <w:lang w:val="zh-CN"/>
          <w14:textFill>
            <w14:solidFill>
              <w14:schemeClr w14:val="tx1"/>
            </w14:solidFill>
          </w14:textFill>
        </w:rPr>
        <w:t>4371.4</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131.14万m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olor w:val="000000" w:themeColor="text1"/>
          <w:kern w:val="0"/>
          <w:highlight w:val="none"/>
          <w14:textFill>
            <w14:solidFill>
              <w14:schemeClr w14:val="tx1"/>
            </w14:solidFill>
          </w14:textFill>
        </w:rPr>
        <w:t>主要污染因子为</w:t>
      </w:r>
      <w:r>
        <w:rPr>
          <w:rFonts w:ascii="Times New Roman" w:hAnsi="Times New Roman" w:eastAsia="宋体"/>
          <w:color w:val="000000" w:themeColor="text1"/>
          <w:kern w:val="0"/>
          <w:highlight w:val="none"/>
          <w14:textFill>
            <w14:solidFill>
              <w14:schemeClr w14:val="tx1"/>
            </w14:solidFill>
          </w14:textFill>
        </w:rPr>
        <w:t>pH</w:t>
      </w:r>
      <w:r>
        <w:rPr>
          <w:rFonts w:hint="eastAsia" w:ascii="Times New Roman" w:hAnsi="Times New Roman" w:eastAsia="宋体"/>
          <w:color w:val="000000" w:themeColor="text1"/>
          <w:kern w:val="0"/>
          <w:highlight w:val="none"/>
          <w14:textFill>
            <w14:solidFill>
              <w14:schemeClr w14:val="tx1"/>
            </w14:solidFill>
          </w14:textFill>
        </w:rPr>
        <w:t>、</w:t>
      </w:r>
      <w:r>
        <w:rPr>
          <w:rFonts w:ascii="Times New Roman" w:hAnsi="Times New Roman" w:eastAsia="宋体"/>
          <w:color w:val="000000" w:themeColor="text1"/>
          <w:kern w:val="0"/>
          <w:highlight w:val="none"/>
          <w14:textFill>
            <w14:solidFill>
              <w14:schemeClr w14:val="tx1"/>
            </w14:solidFill>
          </w14:textFill>
        </w:rPr>
        <w:t>COD</w:t>
      </w:r>
      <w:r>
        <w:rPr>
          <w:rFonts w:hint="eastAsia" w:ascii="Times New Roman" w:hAnsi="Times New Roman" w:eastAsia="宋体"/>
          <w:color w:val="000000" w:themeColor="text1"/>
          <w:kern w:val="0"/>
          <w:highlight w:val="none"/>
          <w14:textFill>
            <w14:solidFill>
              <w14:schemeClr w14:val="tx1"/>
            </w14:solidFill>
          </w14:textFill>
        </w:rPr>
        <w:t>、</w:t>
      </w:r>
      <w:r>
        <w:rPr>
          <w:rFonts w:ascii="Times New Roman" w:hAnsi="Times New Roman" w:eastAsia="宋体"/>
          <w:color w:val="000000" w:themeColor="text1"/>
          <w:kern w:val="0"/>
          <w:highlight w:val="none"/>
          <w14:textFill>
            <w14:solidFill>
              <w14:schemeClr w14:val="tx1"/>
            </w14:solidFill>
          </w14:textFill>
        </w:rPr>
        <w:t>SS</w:t>
      </w:r>
      <w:r>
        <w:rPr>
          <w:rFonts w:hint="eastAsia" w:ascii="Times New Roman" w:hAnsi="Times New Roman" w:eastAsia="宋体"/>
          <w:color w:val="000000" w:themeColor="text1"/>
          <w:kern w:val="0"/>
          <w:highlight w:val="none"/>
          <w14:textFill>
            <w14:solidFill>
              <w14:schemeClr w14:val="tx1"/>
            </w14:solidFill>
          </w14:textFill>
        </w:rPr>
        <w:t>及少量金属等</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COD产生浓度约150mg/L，产生量196.71t/a；SS产生浓度约1000mg/L，产生量1311.4t/a</w:t>
      </w:r>
      <w:r>
        <w:rPr>
          <w:rFonts w:hint="eastAsia" w:ascii="Times New Roman" w:hAnsi="Times New Roman" w:eastAsia="宋体"/>
          <w:color w:val="000000" w:themeColor="text1"/>
          <w:highlight w:val="none"/>
          <w14:textFill>
            <w14:solidFill>
              <w14:schemeClr w14:val="tx1"/>
            </w14:solidFill>
          </w14:textFill>
        </w:rPr>
        <w:t>。选矿废水部分被铁精粉带走，精矿过滤水、尾矿浓缩压滤溢流水返回生产工序循环利用，尾矿库设有回水系统，使用水泵将库内澄清水通过管道泵送至选矿厂生产回水池</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2座容积为1000m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的高位回水池</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，供选矿循环使用，实现生产废水“闭路循环”，不外排。</w:t>
      </w:r>
      <w:r>
        <w:rPr>
          <w:rFonts w:hint="eastAsia"/>
          <w:color w:val="000000" w:themeColor="text1"/>
          <w:highlight w:val="none"/>
          <w:lang w:val="en-US" w:eastAsia="zh-CN"/>
          <w14:textFill>
            <w14:solidFill>
              <w14:schemeClr w14:val="tx1"/>
            </w14:solidFill>
          </w14:textFill>
        </w:rPr>
        <w:t>回水池可容纳至少1800m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库内澄清后的选矿废水，满足9.8h回水供水需求，符合《尾矿设施设计规范》（GB50863-2013）中“尾矿库回水水池的容积，对于中、小型选矿厂不宜少于4h～6h回水供水量”的设计要求，回水池容积设计合理可行。</w:t>
      </w:r>
    </w:p>
    <w:p w14:paraId="60DBD6DB">
      <w:pPr>
        <w:pStyle w:val="10"/>
        <w:keepNext w:val="0"/>
        <w:keepLines w:val="0"/>
        <w:pageBreakBefore w:val="0"/>
        <w:kinsoku/>
        <w:wordWrap/>
        <w:autoSpaceDE/>
        <w:autoSpaceDN/>
        <w:bidi w:val="0"/>
        <w:adjustRightInd/>
        <w:snapToGrid/>
        <w:spacing w:after="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生活污水主要为洗浴、食堂、卫生间以及洗衣等产生的，属于一般性生活污水，主要污染物为</w:t>
      </w:r>
      <w:r>
        <w:rPr>
          <w:rFonts w:ascii="Times New Roman" w:hAnsi="Times New Roman" w:eastAsia="宋体"/>
          <w:color w:val="000000" w:themeColor="text1"/>
          <w:highlight w:val="none"/>
          <w14:textFill>
            <w14:solidFill>
              <w14:schemeClr w14:val="tx1"/>
            </w14:solidFill>
          </w14:textFill>
        </w:rPr>
        <w:t>SS</w:t>
      </w:r>
      <w:r>
        <w:rPr>
          <w:rFonts w:hint="eastAsia" w:ascii="Times New Roman" w:hAnsi="Times New Roman" w:eastAsia="宋体"/>
          <w:color w:val="000000" w:themeColor="text1"/>
          <w:highlight w:val="none"/>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BOD</w:t>
      </w:r>
      <w:r>
        <w:rPr>
          <w:rFonts w:ascii="Times New Roman" w:hAnsi="Times New Roman" w:eastAsia="宋体"/>
          <w:color w:val="000000" w:themeColor="text1"/>
          <w:highlight w:val="none"/>
          <w:vertAlign w:val="subscript"/>
          <w14:textFill>
            <w14:solidFill>
              <w14:schemeClr w14:val="tx1"/>
            </w14:solidFill>
          </w14:textFill>
        </w:rPr>
        <w:t>5</w:t>
      </w:r>
      <w:r>
        <w:rPr>
          <w:rFonts w:hint="eastAsia" w:ascii="Times New Roman" w:hAnsi="Times New Roman" w:eastAsia="宋体"/>
          <w:color w:val="000000" w:themeColor="text1"/>
          <w:highlight w:val="none"/>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COD</w:t>
      </w:r>
      <w:r>
        <w:rPr>
          <w:rFonts w:hint="eastAsia" w:ascii="Times New Roman" w:hAnsi="Times New Roman" w:eastAsia="宋体"/>
          <w:color w:val="000000" w:themeColor="text1"/>
          <w:highlight w:val="none"/>
          <w14:textFill>
            <w14:solidFill>
              <w14:schemeClr w14:val="tx1"/>
            </w14:solidFill>
          </w14:textFill>
        </w:rPr>
        <w:t>、氨氮及动植物油等，本项目生活污水排入新建的地埋式一体化污水处理设施处理。处理达到《农村生活污水处理排放标准》（DB65 4275-2019）表2规定的A级排放限值以及《城市污水再生利用 城市杂用水水质》（GB/T18920-2020）中的城市绿化、道路清扫、消防、建筑施工限值后</w:t>
      </w:r>
      <w:r>
        <w:rPr>
          <w:rFonts w:hint="eastAsia" w:ascii="Times New Roman" w:hAnsi="Times New Roman"/>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灌溉期用于绿化，非灌溉期</w:t>
      </w:r>
      <w:r>
        <w:rPr>
          <w:color w:val="000000" w:themeColor="text1"/>
          <w:highlight w:val="none"/>
          <w14:textFill>
            <w14:solidFill>
              <w14:schemeClr w14:val="tx1"/>
            </w14:solidFill>
          </w14:textFill>
        </w:rPr>
        <w:t>全部通过管路输入选矿生产工序循环使用，</w:t>
      </w:r>
      <w:r>
        <w:rPr>
          <w:rFonts w:hint="eastAsia"/>
          <w:color w:val="000000" w:themeColor="text1"/>
          <w:highlight w:val="none"/>
          <w:lang w:val="en-US" w:eastAsia="zh-CN"/>
          <w14:textFill>
            <w14:solidFill>
              <w14:schemeClr w14:val="tx1"/>
            </w14:solidFill>
          </w14:textFill>
        </w:rPr>
        <w:t>不外排</w:t>
      </w:r>
      <w:r>
        <w:rPr>
          <w:rFonts w:hint="eastAsia"/>
          <w:color w:val="000000" w:themeColor="text1"/>
          <w:highlight w:val="none"/>
          <w14:textFill>
            <w14:solidFill>
              <w14:schemeClr w14:val="tx1"/>
            </w14:solidFill>
          </w14:textFill>
        </w:rPr>
        <w:t>。</w:t>
      </w:r>
    </w:p>
    <w:p w14:paraId="52BFAE28">
      <w:pPr>
        <w:keepNext w:val="0"/>
        <w:keepLines w:val="0"/>
        <w:pageBreakBefore w:val="0"/>
        <w:kinsoku/>
        <w:wordWrap/>
        <w:overflowPunct w:val="0"/>
        <w:topLinePunct/>
        <w:autoSpaceDE/>
        <w:autoSpaceDN/>
        <w:bidi w:val="0"/>
        <w:adjustRightInd/>
        <w:snapToGrid/>
        <w:ind w:firstLine="48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由于矿区及附近地区地表水体不发育、无天然地表水体，且本项目产生的生产废水、生活污水均妥善处理，不外排，因此，本项目产生的生产废水、生活污水对项目区周边地表水环境基本无影响。</w:t>
      </w:r>
    </w:p>
    <w:p w14:paraId="2C3E574D">
      <w:pPr>
        <w:pStyle w:val="10"/>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（2）非正常工况废水</w:t>
      </w:r>
    </w:p>
    <w:p w14:paraId="181438A3">
      <w:pPr>
        <w:pStyle w:val="10"/>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color w:val="000000" w:themeColor="text1"/>
          <w:highlight w:val="none"/>
          <w:lang w:val="en-US" w:eastAsia="zh-CN"/>
          <w14:textFill>
            <w14:solidFill>
              <w14:schemeClr w14:val="tx1"/>
            </w14:solidFill>
          </w14:textFill>
        </w:rPr>
        <w:t>非正常工况下，选矿水溢出，立即停止生产，溢出水排入车间排水沟，最终由车间回水泵排入选矿车间外800m</w:t>
      </w:r>
      <w:r>
        <w:rPr>
          <w:rFonts w:hint="default" w:ascii="Times New Roman" w:hAnsi="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olor w:val="000000" w:themeColor="text1"/>
          <w:highlight w:val="none"/>
          <w:lang w:val="en-US" w:eastAsia="zh-CN"/>
          <w14:textFill>
            <w14:solidFill>
              <w14:schemeClr w14:val="tx1"/>
            </w14:solidFill>
          </w14:textFill>
        </w:rPr>
        <w:t>防渗事故池，保证不外排。</w:t>
      </w:r>
      <w:r>
        <w:rPr>
          <w:rFonts w:hint="eastAsia" w:ascii="Times New Roman" w:hAnsi="Times New Roman" w:eastAsia="宋体" w:cs="宋体"/>
          <w:color w:val="000000" w:themeColor="text1"/>
          <w:highlight w:val="none"/>
          <w:lang w:val="en-US" w:eastAsia="zh-CN"/>
          <w14:textFill>
            <w14:solidFill>
              <w14:schemeClr w14:val="tx1"/>
            </w14:solidFill>
          </w14:textFill>
        </w:rPr>
        <w:t>本项目选矿厂正常工况下日选矿废水约4371.4m</w:t>
      </w:r>
      <w:r>
        <w:rPr>
          <w:rFonts w:hint="eastAsia" w:ascii="Times New Roman" w:hAnsi="Times New Roman" w:eastAsia="宋体" w:cs="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highlight w:val="none"/>
          <w:lang w:val="en-US" w:eastAsia="zh-CN"/>
          <w14:textFill>
            <w14:solidFill>
              <w14:schemeClr w14:val="tx1"/>
            </w14:solidFill>
          </w14:textFill>
        </w:rPr>
        <w:t>/d，若尾矿输送管道泄漏时间按20min计，则20min的尾矿排放量为60.71m</w:t>
      </w:r>
      <w:r>
        <w:rPr>
          <w:rFonts w:hint="eastAsia" w:ascii="Times New Roman" w:hAnsi="Times New Roman" w:eastAsia="宋体" w:cs="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highlight w:val="none"/>
          <w:lang w:val="en-US" w:eastAsia="zh-CN"/>
          <w14:textFill>
            <w14:solidFill>
              <w14:schemeClr w14:val="tx1"/>
            </w14:solidFill>
          </w14:textFill>
        </w:rPr>
        <w:t>，本项目</w:t>
      </w:r>
      <w:r>
        <w:rPr>
          <w:rFonts w:hint="eastAsia" w:ascii="Times New Roman" w:hAnsi="Times New Roman" w:eastAsia="宋体" w:cs="宋体"/>
          <w:color w:val="000000" w:themeColor="text1"/>
          <w:highlight w:val="none"/>
          <w:lang w:val="en-GB" w:eastAsia="zh-CN"/>
          <w14:textFill>
            <w14:solidFill>
              <w14:schemeClr w14:val="tx1"/>
            </w14:solidFill>
          </w14:textFill>
        </w:rPr>
        <w:t>在选矿车间外设置1座</w:t>
      </w:r>
      <w:r>
        <w:rPr>
          <w:rFonts w:hint="eastAsia" w:ascii="Times New Roman" w:hAnsi="Times New Roman" w:eastAsia="宋体" w:cs="宋体"/>
          <w:color w:val="000000" w:themeColor="text1"/>
          <w:highlight w:val="none"/>
          <w:lang w:val="en-US" w:eastAsia="zh-CN"/>
          <w14:textFill>
            <w14:solidFill>
              <w14:schemeClr w14:val="tx1"/>
            </w14:solidFill>
          </w14:textFill>
        </w:rPr>
        <w:t>800</w:t>
      </w:r>
      <w:r>
        <w:rPr>
          <w:rFonts w:hint="eastAsia" w:ascii="Times New Roman" w:hAnsi="Times New Roman" w:eastAsia="宋体" w:cs="宋体"/>
          <w:color w:val="000000" w:themeColor="text1"/>
          <w:highlight w:val="none"/>
          <w:lang w:val="en-GB" w:eastAsia="zh-CN"/>
          <w14:textFill>
            <w14:solidFill>
              <w14:schemeClr w14:val="tx1"/>
            </w14:solidFill>
          </w14:textFill>
        </w:rPr>
        <w:t>m</w:t>
      </w:r>
      <w:r>
        <w:rPr>
          <w:rFonts w:hint="eastAsia" w:ascii="Times New Roman" w:hAnsi="Times New Roman" w:eastAsia="宋体" w:cs="宋体"/>
          <w:color w:val="000000" w:themeColor="text1"/>
          <w:highlight w:val="none"/>
          <w:vertAlign w:val="superscript"/>
          <w:lang w:val="en-GB" w:eastAsia="zh-CN"/>
          <w14:textFill>
            <w14:solidFill>
              <w14:schemeClr w14:val="tx1"/>
            </w14:solidFill>
          </w14:textFill>
        </w:rPr>
        <w:t>3</w:t>
      </w:r>
      <w:r>
        <w:rPr>
          <w:rFonts w:hint="eastAsia" w:ascii="Times New Roman" w:hAnsi="Times New Roman" w:eastAsia="宋体" w:cs="宋体"/>
          <w:color w:val="000000" w:themeColor="text1"/>
          <w:highlight w:val="none"/>
          <w:lang w:val="en-GB" w:eastAsia="zh-CN"/>
          <w14:textFill>
            <w14:solidFill>
              <w14:schemeClr w14:val="tx1"/>
            </w14:solidFill>
          </w14:textFill>
        </w:rPr>
        <w:t>的事故池</w:t>
      </w:r>
      <w:r>
        <w:rPr>
          <w:rFonts w:hint="eastAsia" w:ascii="Times New Roman" w:hAnsi="Times New Roman" w:eastAsia="宋体" w:cs="宋体"/>
          <w:color w:val="000000" w:themeColor="text1"/>
          <w:highlight w:val="none"/>
          <w:lang w:val="en-US" w:eastAsia="zh-CN"/>
          <w14:textFill>
            <w14:solidFill>
              <w14:schemeClr w14:val="tx1"/>
            </w14:solidFill>
          </w14:textFill>
        </w:rPr>
        <w:t>，事故池容积足以承纳规范要求的10~20min的正常矿浆量，防止事故状态下尾矿浆外排，该事故池容积设计合理。一旦发生尾矿水的跑冒事故，立即通知选矿厂启动应急预案，停止尾矿输送</w:t>
      </w:r>
      <w:r>
        <w:rPr>
          <w:rFonts w:hint="eastAsia" w:ascii="Times New Roman" w:hAnsi="Times New Roman" w:cs="宋体"/>
          <w:color w:val="000000" w:themeColor="text1"/>
          <w:highlight w:val="none"/>
          <w:lang w:val="en-US" w:eastAsia="zh-CN"/>
          <w14:textFill>
            <w14:solidFill>
              <w14:schemeClr w14:val="tx1"/>
            </w14:solidFill>
          </w14:textFill>
        </w:rPr>
        <w:t>，事</w:t>
      </w:r>
      <w:r>
        <w:rPr>
          <w:rFonts w:hint="eastAsia" w:ascii="Times New Roman" w:hAnsi="Times New Roman" w:eastAsia="宋体" w:cs="宋体"/>
          <w:color w:val="000000" w:themeColor="text1"/>
          <w:highlight w:val="none"/>
          <w:lang w:val="en-US" w:eastAsia="zh-CN"/>
          <w14:textFill>
            <w14:solidFill>
              <w14:schemeClr w14:val="tx1"/>
            </w14:solidFill>
          </w14:textFill>
        </w:rPr>
        <w:t>故溢出的尾矿量很少，企业及时组织清理转运，溢流尾矿对事故区域的环境影响可控。待故障排除后，再将尾矿浆送至尾矿输送系统排入尾矿库。</w:t>
      </w:r>
    </w:p>
    <w:p w14:paraId="7B525C11">
      <w:pPr>
        <w:pStyle w:val="10"/>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olor w:val="000000" w:themeColor="text1"/>
          <w:highlight w:val="none"/>
          <w:lang w:val="en-US" w:eastAsia="zh-CN"/>
          <w14:textFill>
            <w14:solidFill>
              <w14:schemeClr w14:val="tx1"/>
            </w14:solidFill>
          </w14:textFill>
        </w:rPr>
      </w:pPr>
      <w:r>
        <w:rPr>
          <w:rFonts w:hint="default" w:ascii="Times New Roman" w:hAnsi="Times New Roman"/>
          <w:color w:val="000000" w:themeColor="text1"/>
          <w:highlight w:val="none"/>
          <w:lang w:val="en-US" w:eastAsia="zh-CN"/>
          <w14:textFill>
            <w14:solidFill>
              <w14:schemeClr w14:val="tx1"/>
            </w14:solidFill>
          </w14:textFill>
        </w:rPr>
        <w:t>若库区发生洪水，洪水沿冲沟流至尾矿库以西和南方向，在尾矿库设有防洪、</w:t>
      </w:r>
      <w:r>
        <w:rPr>
          <w:rFonts w:hint="eastAsia" w:ascii="Times New Roman" w:hAnsi="Times New Roman"/>
          <w:color w:val="000000" w:themeColor="text1"/>
          <w:highlight w:val="none"/>
          <w:lang w:val="en-US" w:eastAsia="zh-CN"/>
          <w14:textFill>
            <w14:solidFill>
              <w14:schemeClr w14:val="tx1"/>
            </w14:solidFill>
          </w14:textFill>
        </w:rPr>
        <w:t>下游设集水池</w:t>
      </w:r>
      <w:r>
        <w:rPr>
          <w:rFonts w:hint="default" w:ascii="Times New Roman" w:hAnsi="Times New Roman"/>
          <w:color w:val="000000" w:themeColor="text1"/>
          <w:highlight w:val="none"/>
          <w:lang w:val="en-US" w:eastAsia="zh-CN"/>
          <w14:textFill>
            <w14:solidFill>
              <w14:schemeClr w14:val="tx1"/>
            </w14:solidFill>
          </w14:textFill>
        </w:rPr>
        <w:t>的前提下，</w:t>
      </w:r>
      <w:r>
        <w:rPr>
          <w:rFonts w:hint="eastAsia" w:ascii="Times New Roman" w:hAnsi="Times New Roman"/>
          <w:color w:val="000000" w:themeColor="text1"/>
          <w:highlight w:val="none"/>
          <w:lang w:val="en-US" w:eastAsia="zh-CN"/>
          <w14:textFill>
            <w14:solidFill>
              <w14:schemeClr w14:val="tx1"/>
            </w14:solidFill>
          </w14:textFill>
        </w:rPr>
        <w:t>非正常工况废水、洪水</w:t>
      </w:r>
      <w:r>
        <w:rPr>
          <w:rFonts w:hint="eastAsia" w:ascii="Times New Roman" w:hAnsi="Times New Roman" w:eastAsia="宋体"/>
          <w:color w:val="000000" w:themeColor="text1"/>
          <w:highlight w:val="none"/>
          <w:lang w:val="en-US" w:eastAsia="zh-CN"/>
          <w14:textFill>
            <w14:solidFill>
              <w14:schemeClr w14:val="tx1"/>
            </w14:solidFill>
          </w14:textFill>
        </w:rPr>
        <w:t>对项目区周边地表水环境基本无影响。</w:t>
      </w:r>
    </w:p>
    <w:bookmarkEnd w:id="756"/>
    <w:p w14:paraId="2523369C">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5.2.2.2</w:t>
      </w:r>
      <w:r>
        <w:rPr>
          <w:rFonts w:hint="eastAsia"/>
          <w:color w:val="000000" w:themeColor="text1"/>
          <w:highlight w:val="none"/>
          <w14:textFill>
            <w14:solidFill>
              <w14:schemeClr w14:val="tx1"/>
            </w14:solidFill>
          </w14:textFill>
        </w:rPr>
        <w:t>地表水环境影响评价自查表</w:t>
      </w:r>
    </w:p>
    <w:p w14:paraId="08A61F9E">
      <w:pPr>
        <w:overflowPunct w:val="0"/>
        <w:topLinePunct/>
        <w:ind w:firstLine="480"/>
        <w:rPr>
          <w:rFonts w:ascii="Times New Roman" w:hAnsi="Times New Roman" w:eastAsia="宋体"/>
          <w:bCs/>
          <w:color w:val="000000" w:themeColor="text1"/>
          <w:highlight w:val="none"/>
          <w14:textFill>
            <w14:solidFill>
              <w14:schemeClr w14:val="tx1"/>
            </w14:solidFill>
          </w14:textFill>
        </w:rPr>
      </w:pPr>
      <w:r>
        <w:rPr>
          <w:rFonts w:hint="eastAsia" w:ascii="Times New Roman" w:hAnsi="Times New Roman" w:eastAsia="宋体"/>
          <w:bCs/>
          <w:color w:val="000000" w:themeColor="text1"/>
          <w:highlight w:val="none"/>
          <w14:textFill>
            <w14:solidFill>
              <w14:schemeClr w14:val="tx1"/>
            </w14:solidFill>
          </w14:textFill>
        </w:rPr>
        <w:t>地表水环境影响评价自查表见下表。</w:t>
      </w:r>
    </w:p>
    <w:p w14:paraId="0957B975">
      <w:pPr>
        <w:ind w:firstLine="0" w:firstLineChars="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表5.2-</w:t>
      </w:r>
      <w:r>
        <w:rPr>
          <w:rFonts w:hint="eastAsia"/>
          <w:b/>
          <w:bCs/>
          <w:color w:val="000000" w:themeColor="text1"/>
          <w:highlight w:val="none"/>
          <w:lang w:val="en-US" w:eastAsia="zh-CN"/>
          <w14:textFill>
            <w14:solidFill>
              <w14:schemeClr w14:val="tx1"/>
            </w14:solidFill>
          </w14:textFill>
        </w:rPr>
        <w:t>5</w:t>
      </w:r>
      <w:r>
        <w:rPr>
          <w:b/>
          <w:bCs/>
          <w:color w:val="000000" w:themeColor="text1"/>
          <w:highlight w:val="none"/>
          <w14:textFill>
            <w14:solidFill>
              <w14:schemeClr w14:val="tx1"/>
            </w14:solidFill>
          </w14:textFill>
        </w:rPr>
        <w:t xml:space="preserve">    地表水环境影响</w:t>
      </w:r>
      <w:r>
        <w:rPr>
          <w:rFonts w:hint="eastAsia"/>
          <w:b/>
          <w:bCs/>
          <w:color w:val="000000" w:themeColor="text1"/>
          <w:highlight w:val="none"/>
          <w14:textFill>
            <w14:solidFill>
              <w14:schemeClr w14:val="tx1"/>
            </w14:solidFill>
          </w14:textFill>
        </w:rPr>
        <w:t>评价自查表</w:t>
      </w:r>
    </w:p>
    <w:tbl>
      <w:tblPr>
        <w:tblStyle w:val="32"/>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240"/>
        <w:gridCol w:w="1836"/>
        <w:gridCol w:w="312"/>
        <w:gridCol w:w="53"/>
        <w:gridCol w:w="468"/>
        <w:gridCol w:w="417"/>
        <w:gridCol w:w="683"/>
        <w:gridCol w:w="566"/>
        <w:gridCol w:w="182"/>
        <w:gridCol w:w="234"/>
        <w:gridCol w:w="834"/>
        <w:gridCol w:w="1249"/>
      </w:tblGrid>
      <w:tr w14:paraId="6FA96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688" w:type="dxa"/>
            <w:gridSpan w:val="2"/>
            <w:vAlign w:val="center"/>
          </w:tcPr>
          <w:p w14:paraId="7AC07E64">
            <w:pPr>
              <w:spacing w:line="360" w:lineRule="exact"/>
              <w:ind w:firstLine="0" w:firstLineChars="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工作内容</w:t>
            </w:r>
          </w:p>
        </w:tc>
        <w:tc>
          <w:tcPr>
            <w:tcW w:w="6834" w:type="dxa"/>
            <w:gridSpan w:val="11"/>
            <w:vAlign w:val="center"/>
          </w:tcPr>
          <w:p w14:paraId="62146B4C">
            <w:pPr>
              <w:spacing w:line="360" w:lineRule="exact"/>
              <w:ind w:firstLine="0" w:firstLineChars="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自查项目</w:t>
            </w:r>
          </w:p>
        </w:tc>
      </w:tr>
      <w:tr w14:paraId="1155E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restart"/>
            <w:vAlign w:val="center"/>
          </w:tcPr>
          <w:p w14:paraId="5B8D18A6">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影响识别</w:t>
            </w:r>
          </w:p>
        </w:tc>
        <w:tc>
          <w:tcPr>
            <w:tcW w:w="1240" w:type="dxa"/>
            <w:vAlign w:val="center"/>
          </w:tcPr>
          <w:p w14:paraId="4CF8210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影响类型</w:t>
            </w:r>
          </w:p>
        </w:tc>
        <w:tc>
          <w:tcPr>
            <w:tcW w:w="6834" w:type="dxa"/>
            <w:gridSpan w:val="11"/>
            <w:vAlign w:val="center"/>
          </w:tcPr>
          <w:p w14:paraId="6A39965B">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水污染影响型</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52"/>
            </w:r>
            <w:r>
              <w:rPr>
                <w:rFonts w:hint="eastAsia" w:ascii="Times New Roman" w:hAnsi="Times New Roman" w:eastAsia="宋体"/>
                <w:color w:val="000000" w:themeColor="text1"/>
                <w:sz w:val="21"/>
                <w:szCs w:val="21"/>
                <w:highlight w:val="none"/>
                <w14:textFill>
                  <w14:solidFill>
                    <w14:schemeClr w14:val="tx1"/>
                  </w14:solidFill>
                </w14:textFill>
              </w:rPr>
              <w:t>；水文要素影响型□</w:t>
            </w:r>
          </w:p>
        </w:tc>
      </w:tr>
      <w:tr w14:paraId="09BBC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70D43A27">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41DB0C6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水环境保护目标</w:t>
            </w:r>
          </w:p>
        </w:tc>
        <w:tc>
          <w:tcPr>
            <w:tcW w:w="6834" w:type="dxa"/>
            <w:gridSpan w:val="11"/>
            <w:vAlign w:val="center"/>
          </w:tcPr>
          <w:p w14:paraId="4A294863">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饮用水水源保护区□；饮用水取水口□；涉水的自然保护区□；重要湿地□；</w:t>
            </w:r>
          </w:p>
          <w:p w14:paraId="3B42D754">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重点保护与珍稀水生生物的栖息地□；重要水生生物的自然产卵场及索饵场、越冬场和洄游通道、天然渔场等渔业水体□；涉水的风景名胜区□；其他□</w:t>
            </w:r>
          </w:p>
        </w:tc>
      </w:tr>
      <w:tr w14:paraId="34403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1DE98059">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restart"/>
            <w:vAlign w:val="center"/>
          </w:tcPr>
          <w:p w14:paraId="0939A88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影响途径</w:t>
            </w:r>
          </w:p>
        </w:tc>
        <w:tc>
          <w:tcPr>
            <w:tcW w:w="3769" w:type="dxa"/>
            <w:gridSpan w:val="6"/>
            <w:vAlign w:val="center"/>
          </w:tcPr>
          <w:p w14:paraId="62166DCB">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水污染影响型</w:t>
            </w:r>
          </w:p>
        </w:tc>
        <w:tc>
          <w:tcPr>
            <w:tcW w:w="3065" w:type="dxa"/>
            <w:gridSpan w:val="5"/>
            <w:vAlign w:val="center"/>
          </w:tcPr>
          <w:p w14:paraId="3629D716">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水文要素影响型</w:t>
            </w:r>
          </w:p>
        </w:tc>
      </w:tr>
      <w:tr w14:paraId="17FF3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6A8AC64B">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continue"/>
            <w:vAlign w:val="center"/>
          </w:tcPr>
          <w:p w14:paraId="141C253A">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3769" w:type="dxa"/>
            <w:gridSpan w:val="6"/>
            <w:vAlign w:val="center"/>
          </w:tcPr>
          <w:p w14:paraId="57E6C718">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直接排放□；间接排放□；其他</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52"/>
            </w:r>
          </w:p>
        </w:tc>
        <w:tc>
          <w:tcPr>
            <w:tcW w:w="3065" w:type="dxa"/>
            <w:gridSpan w:val="5"/>
            <w:vAlign w:val="center"/>
          </w:tcPr>
          <w:p w14:paraId="5B00BA10">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水温□；径流□；水域面积□</w:t>
            </w:r>
          </w:p>
        </w:tc>
      </w:tr>
      <w:tr w14:paraId="51439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4F88766C">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58BA9B41">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影响因子</w:t>
            </w:r>
          </w:p>
        </w:tc>
        <w:tc>
          <w:tcPr>
            <w:tcW w:w="3769" w:type="dxa"/>
            <w:gridSpan w:val="6"/>
            <w:vAlign w:val="center"/>
          </w:tcPr>
          <w:p w14:paraId="067D8583">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持久性污染物□</w:t>
            </w:r>
            <w:r>
              <w:rPr>
                <w:rFonts w:hint="eastAsia"/>
                <w:color w:val="000000" w:themeColor="text1"/>
                <w:sz w:val="21"/>
                <w:szCs w:val="21"/>
                <w:highlight w:val="none"/>
                <w:lang w:eastAsia="zh-CN"/>
                <w14:textFill>
                  <w14:solidFill>
                    <w14:schemeClr w14:val="tx1"/>
                  </w14:solidFill>
                </w14:textFill>
              </w:rPr>
              <w:t>；有</w:t>
            </w:r>
            <w:r>
              <w:rPr>
                <w:rFonts w:hint="eastAsia" w:ascii="Times New Roman" w:hAnsi="Times New Roman" w:eastAsia="宋体"/>
                <w:color w:val="000000" w:themeColor="text1"/>
                <w:sz w:val="21"/>
                <w:szCs w:val="21"/>
                <w:highlight w:val="none"/>
                <w14:textFill>
                  <w14:solidFill>
                    <w14:schemeClr w14:val="tx1"/>
                  </w14:solidFill>
                </w14:textFill>
              </w:rPr>
              <w:t>毒有害污染物□；</w:t>
            </w:r>
          </w:p>
          <w:p w14:paraId="77B68737">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非持久性污染物</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52"/>
            </w:r>
            <w:r>
              <w:rPr>
                <w:rFonts w:hint="eastAsia" w:ascii="Times New Roman" w:hAnsi="Times New Roman" w:eastAsia="宋体"/>
                <w:color w:val="000000" w:themeColor="text1"/>
                <w:sz w:val="21"/>
                <w:szCs w:val="21"/>
                <w:highlight w:val="none"/>
                <w14:textFill>
                  <w14:solidFill>
                    <w14:schemeClr w14:val="tx1"/>
                  </w14:solidFill>
                </w14:textFill>
              </w:rPr>
              <w:t>；pH值</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A3"/>
            </w:r>
            <w:r>
              <w:rPr>
                <w:rFonts w:hint="eastAsia" w:ascii="Times New Roman" w:hAnsi="Times New Roman" w:eastAsia="宋体"/>
                <w:color w:val="000000" w:themeColor="text1"/>
                <w:sz w:val="21"/>
                <w:szCs w:val="21"/>
                <w:highlight w:val="none"/>
                <w14:textFill>
                  <w14:solidFill>
                    <w14:schemeClr w14:val="tx1"/>
                  </w14:solidFill>
                </w14:textFill>
              </w:rPr>
              <w:t>；</w:t>
            </w:r>
          </w:p>
          <w:p w14:paraId="6DE28BC9">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热污染□；富营养化□；其他□</w:t>
            </w:r>
          </w:p>
        </w:tc>
        <w:tc>
          <w:tcPr>
            <w:tcW w:w="3065" w:type="dxa"/>
            <w:gridSpan w:val="5"/>
            <w:vAlign w:val="center"/>
          </w:tcPr>
          <w:p w14:paraId="105951D7">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水温□；水位（水深）□；流速□；流量□；其他□</w:t>
            </w:r>
          </w:p>
        </w:tc>
      </w:tr>
      <w:tr w14:paraId="6C5F5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88" w:type="dxa"/>
            <w:gridSpan w:val="2"/>
            <w:vMerge w:val="restart"/>
            <w:vAlign w:val="center"/>
          </w:tcPr>
          <w:p w14:paraId="7BCC31E5">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评价等级</w:t>
            </w:r>
          </w:p>
        </w:tc>
        <w:tc>
          <w:tcPr>
            <w:tcW w:w="3769" w:type="dxa"/>
            <w:gridSpan w:val="6"/>
            <w:vAlign w:val="center"/>
          </w:tcPr>
          <w:p w14:paraId="72803605">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水污染影响型</w:t>
            </w:r>
          </w:p>
        </w:tc>
        <w:tc>
          <w:tcPr>
            <w:tcW w:w="3065" w:type="dxa"/>
            <w:gridSpan w:val="5"/>
            <w:vAlign w:val="center"/>
          </w:tcPr>
          <w:p w14:paraId="5F79B69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水文要素影响型</w:t>
            </w:r>
          </w:p>
        </w:tc>
      </w:tr>
      <w:tr w14:paraId="5B66E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88" w:type="dxa"/>
            <w:gridSpan w:val="2"/>
            <w:vMerge w:val="continue"/>
            <w:vAlign w:val="center"/>
          </w:tcPr>
          <w:p w14:paraId="5FC64E53">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3769" w:type="dxa"/>
            <w:gridSpan w:val="6"/>
            <w:vAlign w:val="center"/>
          </w:tcPr>
          <w:p w14:paraId="0D34C3DE">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一级□；二级</w:t>
            </w:r>
            <w:r>
              <w:rPr>
                <w:rFonts w:hint="eastAsia"/>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；三级A□；</w:t>
            </w:r>
          </w:p>
          <w:p w14:paraId="5622E3F4">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三级B</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52"/>
            </w:r>
          </w:p>
        </w:tc>
        <w:tc>
          <w:tcPr>
            <w:tcW w:w="3065" w:type="dxa"/>
            <w:gridSpan w:val="5"/>
            <w:vAlign w:val="center"/>
          </w:tcPr>
          <w:p w14:paraId="638BB65F">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一级□；二级□；三级□</w:t>
            </w:r>
          </w:p>
        </w:tc>
      </w:tr>
      <w:tr w14:paraId="58C24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restart"/>
            <w:vAlign w:val="center"/>
          </w:tcPr>
          <w:p w14:paraId="33C3AE9B">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现状调查</w:t>
            </w:r>
          </w:p>
        </w:tc>
        <w:tc>
          <w:tcPr>
            <w:tcW w:w="1240" w:type="dxa"/>
            <w:vMerge w:val="restart"/>
            <w:vAlign w:val="center"/>
          </w:tcPr>
          <w:p w14:paraId="19326F95">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区域污染源</w:t>
            </w:r>
          </w:p>
        </w:tc>
        <w:tc>
          <w:tcPr>
            <w:tcW w:w="3769" w:type="dxa"/>
            <w:gridSpan w:val="6"/>
            <w:vAlign w:val="center"/>
          </w:tcPr>
          <w:p w14:paraId="33E5974A">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调查项目</w:t>
            </w:r>
          </w:p>
        </w:tc>
        <w:tc>
          <w:tcPr>
            <w:tcW w:w="3065" w:type="dxa"/>
            <w:gridSpan w:val="5"/>
            <w:vAlign w:val="center"/>
          </w:tcPr>
          <w:p w14:paraId="5ED09D25">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数据来源</w:t>
            </w:r>
          </w:p>
        </w:tc>
      </w:tr>
      <w:tr w14:paraId="3ED70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244ADFF6">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continue"/>
            <w:vAlign w:val="center"/>
          </w:tcPr>
          <w:p w14:paraId="4E1464C9">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2148" w:type="dxa"/>
            <w:gridSpan w:val="2"/>
            <w:vAlign w:val="center"/>
          </w:tcPr>
          <w:p w14:paraId="73BD603D">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已建</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52"/>
            </w:r>
            <w:r>
              <w:rPr>
                <w:rFonts w:hint="eastAsia" w:ascii="Times New Roman" w:hAnsi="Times New Roman" w:eastAsia="宋体"/>
                <w:color w:val="000000" w:themeColor="text1"/>
                <w:sz w:val="21"/>
                <w:szCs w:val="21"/>
                <w:highlight w:val="none"/>
                <w14:textFill>
                  <w14:solidFill>
                    <w14:schemeClr w14:val="tx1"/>
                  </w14:solidFill>
                </w14:textFill>
              </w:rPr>
              <w:t>；在建□；拟建</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A3"/>
            </w:r>
            <w:r>
              <w:rPr>
                <w:rFonts w:hint="eastAsia" w:ascii="Times New Roman" w:hAnsi="Times New Roman" w:eastAsia="宋体"/>
                <w:color w:val="000000" w:themeColor="text1"/>
                <w:sz w:val="21"/>
                <w:szCs w:val="21"/>
                <w:highlight w:val="none"/>
                <w14:textFill>
                  <w14:solidFill>
                    <w14:schemeClr w14:val="tx1"/>
                  </w14:solidFill>
                </w14:textFill>
              </w:rPr>
              <w:t>；其他□</w:t>
            </w:r>
          </w:p>
        </w:tc>
        <w:tc>
          <w:tcPr>
            <w:tcW w:w="1621" w:type="dxa"/>
            <w:gridSpan w:val="4"/>
            <w:vAlign w:val="center"/>
          </w:tcPr>
          <w:p w14:paraId="78F8F833">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拟替代的污染源□</w:t>
            </w:r>
          </w:p>
        </w:tc>
        <w:tc>
          <w:tcPr>
            <w:tcW w:w="3065" w:type="dxa"/>
            <w:gridSpan w:val="5"/>
            <w:vAlign w:val="center"/>
          </w:tcPr>
          <w:p w14:paraId="54B1B1CC">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排污许可证□；环评</w:t>
            </w:r>
            <w:r>
              <w:rPr>
                <w:rFonts w:hint="eastAsia"/>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；环保验收□；既有实测□；现场监测□；入河排放口数据□；其他□</w:t>
            </w:r>
          </w:p>
        </w:tc>
      </w:tr>
      <w:tr w14:paraId="536D4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765A95BB">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restart"/>
            <w:vAlign w:val="center"/>
          </w:tcPr>
          <w:p w14:paraId="6F988CC4">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受影响水体水环境质量</w:t>
            </w:r>
          </w:p>
        </w:tc>
        <w:tc>
          <w:tcPr>
            <w:tcW w:w="3769" w:type="dxa"/>
            <w:gridSpan w:val="6"/>
            <w:vAlign w:val="center"/>
          </w:tcPr>
          <w:p w14:paraId="18603DFB">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调查时期</w:t>
            </w:r>
          </w:p>
        </w:tc>
        <w:tc>
          <w:tcPr>
            <w:tcW w:w="3065" w:type="dxa"/>
            <w:gridSpan w:val="5"/>
            <w:vAlign w:val="center"/>
          </w:tcPr>
          <w:p w14:paraId="39FE5E8D">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数据来源</w:t>
            </w:r>
          </w:p>
        </w:tc>
      </w:tr>
      <w:tr w14:paraId="49837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58F95555">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continue"/>
            <w:vAlign w:val="center"/>
          </w:tcPr>
          <w:p w14:paraId="74B203E0">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3769" w:type="dxa"/>
            <w:gridSpan w:val="6"/>
            <w:vAlign w:val="center"/>
          </w:tcPr>
          <w:p w14:paraId="090701FC">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丰水期</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A3"/>
            </w:r>
            <w:r>
              <w:rPr>
                <w:rFonts w:hint="eastAsia" w:ascii="Times New Roman" w:hAnsi="Times New Roman" w:eastAsia="宋体"/>
                <w:color w:val="000000" w:themeColor="text1"/>
                <w:sz w:val="21"/>
                <w:szCs w:val="21"/>
                <w:highlight w:val="none"/>
                <w14:textFill>
                  <w14:solidFill>
                    <w14:schemeClr w14:val="tx1"/>
                  </w14:solidFill>
                </w14:textFill>
              </w:rPr>
              <w:t>；平水期</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；枯水期</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；冰封期□</w:t>
            </w:r>
          </w:p>
          <w:p w14:paraId="5AC6E032">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春季</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；夏季</w:t>
            </w:r>
            <w:r>
              <w:rPr>
                <w:rFonts w:hint="eastAsia" w:ascii="Times New Roman" w:hAnsi="Times New Roman" w:eastAsia="宋体"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；秋季□；冬季□</w:t>
            </w:r>
          </w:p>
        </w:tc>
        <w:tc>
          <w:tcPr>
            <w:tcW w:w="3065" w:type="dxa"/>
            <w:gridSpan w:val="5"/>
            <w:vAlign w:val="center"/>
          </w:tcPr>
          <w:p w14:paraId="254F5C38">
            <w:pPr>
              <w:spacing w:line="360" w:lineRule="exact"/>
              <w:ind w:firstLine="0" w:firstLineChars="0"/>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生态环境保护主管部门□；补充监测</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；其他□</w:t>
            </w:r>
          </w:p>
        </w:tc>
      </w:tr>
      <w:tr w14:paraId="19780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528B9103">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03930E6E">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区域水资源开发利用状况</w:t>
            </w:r>
          </w:p>
        </w:tc>
        <w:tc>
          <w:tcPr>
            <w:tcW w:w="6834" w:type="dxa"/>
            <w:gridSpan w:val="11"/>
            <w:vAlign w:val="center"/>
          </w:tcPr>
          <w:p w14:paraId="2C2B7AB6">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未开发□；开发量40%以下□；开发量40%以上□</w:t>
            </w:r>
          </w:p>
        </w:tc>
      </w:tr>
      <w:tr w14:paraId="5E7CED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11FC233A">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restart"/>
            <w:vAlign w:val="center"/>
          </w:tcPr>
          <w:p w14:paraId="4951D9F6">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水文情势调查</w:t>
            </w:r>
          </w:p>
        </w:tc>
        <w:tc>
          <w:tcPr>
            <w:tcW w:w="3769" w:type="dxa"/>
            <w:gridSpan w:val="6"/>
            <w:vAlign w:val="center"/>
          </w:tcPr>
          <w:p w14:paraId="33304EE9">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调查时期</w:t>
            </w:r>
          </w:p>
        </w:tc>
        <w:tc>
          <w:tcPr>
            <w:tcW w:w="3065" w:type="dxa"/>
            <w:gridSpan w:val="5"/>
            <w:vAlign w:val="center"/>
          </w:tcPr>
          <w:p w14:paraId="6F6D33B0">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数据来源</w:t>
            </w:r>
          </w:p>
        </w:tc>
      </w:tr>
      <w:tr w14:paraId="5C411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6C49EC89">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continue"/>
            <w:vAlign w:val="center"/>
          </w:tcPr>
          <w:p w14:paraId="385DD4E6">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3769" w:type="dxa"/>
            <w:gridSpan w:val="6"/>
            <w:vAlign w:val="center"/>
          </w:tcPr>
          <w:p w14:paraId="18B86383">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丰水期</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A3"/>
            </w:r>
            <w:r>
              <w:rPr>
                <w:rFonts w:hint="eastAsia" w:ascii="Times New Roman" w:hAnsi="Times New Roman" w:eastAsia="宋体"/>
                <w:color w:val="000000" w:themeColor="text1"/>
                <w:sz w:val="21"/>
                <w:szCs w:val="21"/>
                <w:highlight w:val="none"/>
                <w14:textFill>
                  <w14:solidFill>
                    <w14:schemeClr w14:val="tx1"/>
                  </w14:solidFill>
                </w14:textFill>
              </w:rPr>
              <w:t>；平水期□；枯水期□；冰封期</w:t>
            </w:r>
          </w:p>
          <w:p w14:paraId="509D38A7">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春季□；夏季</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52"/>
            </w:r>
            <w:r>
              <w:rPr>
                <w:rFonts w:hint="eastAsia" w:ascii="Times New Roman" w:hAnsi="Times New Roman" w:eastAsia="宋体"/>
                <w:color w:val="000000" w:themeColor="text1"/>
                <w:sz w:val="21"/>
                <w:szCs w:val="21"/>
                <w:highlight w:val="none"/>
                <w14:textFill>
                  <w14:solidFill>
                    <w14:schemeClr w14:val="tx1"/>
                  </w14:solidFill>
                </w14:textFill>
              </w:rPr>
              <w:t>；秋季□；冬季□</w:t>
            </w:r>
          </w:p>
        </w:tc>
        <w:tc>
          <w:tcPr>
            <w:tcW w:w="3065" w:type="dxa"/>
            <w:gridSpan w:val="5"/>
            <w:vAlign w:val="center"/>
          </w:tcPr>
          <w:p w14:paraId="351C9137">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水行政主管部门□；补充监测□；其他□</w:t>
            </w:r>
          </w:p>
        </w:tc>
      </w:tr>
      <w:tr w14:paraId="3A803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509B8987">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restart"/>
            <w:vAlign w:val="center"/>
          </w:tcPr>
          <w:p w14:paraId="462B4FC1">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补充监测</w:t>
            </w:r>
          </w:p>
        </w:tc>
        <w:tc>
          <w:tcPr>
            <w:tcW w:w="2669" w:type="dxa"/>
            <w:gridSpan w:val="4"/>
            <w:vAlign w:val="center"/>
          </w:tcPr>
          <w:p w14:paraId="5E773B8A">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监测时期</w:t>
            </w:r>
          </w:p>
        </w:tc>
        <w:tc>
          <w:tcPr>
            <w:tcW w:w="2082" w:type="dxa"/>
            <w:gridSpan w:val="5"/>
            <w:vAlign w:val="center"/>
          </w:tcPr>
          <w:p w14:paraId="795D4B95">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监测因子</w:t>
            </w:r>
          </w:p>
        </w:tc>
        <w:tc>
          <w:tcPr>
            <w:tcW w:w="2083" w:type="dxa"/>
            <w:gridSpan w:val="2"/>
            <w:vAlign w:val="center"/>
          </w:tcPr>
          <w:p w14:paraId="0542754A">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监测断面或点位</w:t>
            </w:r>
          </w:p>
        </w:tc>
      </w:tr>
      <w:tr w14:paraId="02D3D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01A557C1">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continue"/>
            <w:vAlign w:val="center"/>
          </w:tcPr>
          <w:p w14:paraId="5D6B3EF9">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2669" w:type="dxa"/>
            <w:gridSpan w:val="4"/>
            <w:vAlign w:val="center"/>
          </w:tcPr>
          <w:p w14:paraId="2B2E6A02">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丰水期</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A3"/>
            </w:r>
            <w:r>
              <w:rPr>
                <w:rFonts w:hint="eastAsia" w:ascii="Times New Roman" w:hAnsi="Times New Roman" w:eastAsia="宋体"/>
                <w:color w:val="000000" w:themeColor="text1"/>
                <w:sz w:val="21"/>
                <w:szCs w:val="21"/>
                <w:highlight w:val="none"/>
                <w14:textFill>
                  <w14:solidFill>
                    <w14:schemeClr w14:val="tx1"/>
                  </w14:solidFill>
                </w14:textFill>
              </w:rPr>
              <w:t>；平水期□；枯水期</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；冰封期□</w:t>
            </w:r>
          </w:p>
          <w:p w14:paraId="4FF4A27D">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春季□；夏季</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52"/>
            </w:r>
            <w:r>
              <w:rPr>
                <w:rFonts w:hint="eastAsia" w:ascii="Times New Roman" w:hAnsi="Times New Roman" w:eastAsia="宋体"/>
                <w:color w:val="000000" w:themeColor="text1"/>
                <w:sz w:val="21"/>
                <w:szCs w:val="21"/>
                <w:highlight w:val="none"/>
                <w14:textFill>
                  <w14:solidFill>
                    <w14:schemeClr w14:val="tx1"/>
                  </w14:solidFill>
                </w14:textFill>
              </w:rPr>
              <w:t>；</w:t>
            </w:r>
          </w:p>
          <w:p w14:paraId="7732049F">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秋季□；冬季□</w:t>
            </w:r>
          </w:p>
        </w:tc>
        <w:tc>
          <w:tcPr>
            <w:tcW w:w="2082" w:type="dxa"/>
            <w:gridSpan w:val="5"/>
            <w:vAlign w:val="center"/>
          </w:tcPr>
          <w:p w14:paraId="294D8E8A">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 xml:space="preserve"> / </w:t>
            </w: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2083" w:type="dxa"/>
            <w:gridSpan w:val="2"/>
            <w:vAlign w:val="center"/>
          </w:tcPr>
          <w:p w14:paraId="6CEB7286">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监测断面或点位个数</w:t>
            </w:r>
          </w:p>
          <w:p w14:paraId="0137022D">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 xml:space="preserve"> / </w:t>
            </w:r>
            <w:r>
              <w:rPr>
                <w:rFonts w:hint="eastAsia" w:ascii="Times New Roman" w:hAnsi="Times New Roman" w:eastAsia="宋体"/>
                <w:color w:val="000000" w:themeColor="text1"/>
                <w:sz w:val="21"/>
                <w:szCs w:val="21"/>
                <w:highlight w:val="none"/>
                <w14:textFill>
                  <w14:solidFill>
                    <w14:schemeClr w14:val="tx1"/>
                  </w14:solidFill>
                </w14:textFill>
              </w:rPr>
              <w:t>）个</w:t>
            </w:r>
          </w:p>
        </w:tc>
      </w:tr>
      <w:tr w14:paraId="462BF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restart"/>
            <w:vAlign w:val="center"/>
          </w:tcPr>
          <w:p w14:paraId="2579D9AF">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现状评价</w:t>
            </w:r>
          </w:p>
        </w:tc>
        <w:tc>
          <w:tcPr>
            <w:tcW w:w="1240" w:type="dxa"/>
            <w:vAlign w:val="center"/>
          </w:tcPr>
          <w:p w14:paraId="3B283C51">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评价范围</w:t>
            </w:r>
          </w:p>
        </w:tc>
        <w:tc>
          <w:tcPr>
            <w:tcW w:w="6834" w:type="dxa"/>
            <w:gridSpan w:val="11"/>
            <w:vAlign w:val="center"/>
          </w:tcPr>
          <w:p w14:paraId="03241F9C">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河流：长度（</w:t>
            </w:r>
            <w:r>
              <w:rPr>
                <w:rFonts w:ascii="Times New Roman" w:hAnsi="Times New Roman" w:eastAsia="宋体"/>
                <w:color w:val="000000" w:themeColor="text1"/>
                <w:sz w:val="21"/>
                <w:szCs w:val="21"/>
                <w:highlight w:val="none"/>
                <w14:textFill>
                  <w14:solidFill>
                    <w14:schemeClr w14:val="tx1"/>
                  </w14:solidFill>
                </w14:textFill>
              </w:rPr>
              <w:t xml:space="preserve"> </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 xml:space="preserve"> </w:t>
            </w:r>
            <w:r>
              <w:rPr>
                <w:rFonts w:ascii="Times New Roman" w:hAnsi="Times New Roman" w:eastAsia="宋体"/>
                <w:color w:val="000000" w:themeColor="text1"/>
                <w:sz w:val="21"/>
                <w:szCs w:val="21"/>
                <w:highlight w:val="none"/>
                <w14:textFill>
                  <w14:solidFill>
                    <w14:schemeClr w14:val="tx1"/>
                  </w14:solidFill>
                </w14:textFill>
              </w:rPr>
              <w:t xml:space="preserve"> </w:t>
            </w:r>
            <w:r>
              <w:rPr>
                <w:rFonts w:hint="eastAsia" w:ascii="Times New Roman" w:hAnsi="Times New Roman" w:eastAsia="宋体"/>
                <w:color w:val="000000" w:themeColor="text1"/>
                <w:sz w:val="21"/>
                <w:szCs w:val="21"/>
                <w:highlight w:val="none"/>
                <w14:textFill>
                  <w14:solidFill>
                    <w14:schemeClr w14:val="tx1"/>
                  </w14:solidFill>
                </w14:textFill>
              </w:rPr>
              <w:t>）km；湖库、河口及近岸海域：面积（）km</w:t>
            </w:r>
            <w:r>
              <w:rPr>
                <w:rFonts w:hint="eastAsia" w:ascii="Times New Roman" w:hAnsi="Times New Roman" w:eastAsia="宋体"/>
                <w:color w:val="000000" w:themeColor="text1"/>
                <w:sz w:val="21"/>
                <w:szCs w:val="21"/>
                <w:highlight w:val="none"/>
                <w:vertAlign w:val="superscript"/>
                <w14:textFill>
                  <w14:solidFill>
                    <w14:schemeClr w14:val="tx1"/>
                  </w14:solidFill>
                </w14:textFill>
              </w:rPr>
              <w:t>2</w:t>
            </w:r>
          </w:p>
        </w:tc>
      </w:tr>
      <w:tr w14:paraId="22FA4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757A7202">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6950464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评价因子</w:t>
            </w:r>
          </w:p>
        </w:tc>
        <w:tc>
          <w:tcPr>
            <w:tcW w:w="6834" w:type="dxa"/>
            <w:gridSpan w:val="11"/>
            <w:vAlign w:val="center"/>
          </w:tcPr>
          <w:p w14:paraId="1E24B4A1">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w:t>
            </w:r>
          </w:p>
        </w:tc>
      </w:tr>
      <w:tr w14:paraId="2B20D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0D017193">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521F9870">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评价标准</w:t>
            </w:r>
          </w:p>
        </w:tc>
        <w:tc>
          <w:tcPr>
            <w:tcW w:w="6834" w:type="dxa"/>
            <w:gridSpan w:val="11"/>
            <w:vAlign w:val="center"/>
          </w:tcPr>
          <w:p w14:paraId="3D9A648B">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河流、湖库、河口：Ⅰ类</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A3"/>
            </w:r>
            <w:r>
              <w:rPr>
                <w:rFonts w:hint="eastAsia" w:ascii="Times New Roman" w:hAnsi="Times New Roman" w:eastAsia="宋体"/>
                <w:color w:val="000000" w:themeColor="text1"/>
                <w:sz w:val="21"/>
                <w:szCs w:val="21"/>
                <w:highlight w:val="none"/>
                <w14:textFill>
                  <w14:solidFill>
                    <w14:schemeClr w14:val="tx1"/>
                  </w14:solidFill>
                </w14:textFill>
              </w:rPr>
              <w:t>；Ⅱ类□；Ⅲ类□；Ⅳ类□；Ⅴ类□</w:t>
            </w:r>
          </w:p>
          <w:p w14:paraId="44B75981">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近岸海域：第一类□；第二类□；第三类□；第四类□</w:t>
            </w:r>
          </w:p>
          <w:p w14:paraId="32EFC21A">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规划年评价标准（/）</w:t>
            </w:r>
          </w:p>
        </w:tc>
      </w:tr>
      <w:tr w14:paraId="2EFFC6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72DBA81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47C26E8C">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评价时期</w:t>
            </w:r>
          </w:p>
        </w:tc>
        <w:tc>
          <w:tcPr>
            <w:tcW w:w="6834" w:type="dxa"/>
            <w:gridSpan w:val="11"/>
            <w:vAlign w:val="center"/>
          </w:tcPr>
          <w:p w14:paraId="342C5C28">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丰水期</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A3"/>
            </w:r>
            <w:r>
              <w:rPr>
                <w:rFonts w:hint="eastAsia" w:ascii="Times New Roman" w:hAnsi="Times New Roman" w:eastAsia="宋体"/>
                <w:color w:val="000000" w:themeColor="text1"/>
                <w:sz w:val="21"/>
                <w:szCs w:val="21"/>
                <w:highlight w:val="none"/>
                <w14:textFill>
                  <w14:solidFill>
                    <w14:schemeClr w14:val="tx1"/>
                  </w14:solidFill>
                </w14:textFill>
              </w:rPr>
              <w:t>；平水期□；枯水期□；冰封期□</w:t>
            </w:r>
          </w:p>
          <w:p w14:paraId="6D4B8B0C">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春季□；夏季</w:t>
            </w:r>
            <w:r>
              <w:rPr>
                <w:rFonts w:hint="eastAsia" w:ascii="Times New Roman" w:hAnsi="Times New Roman" w:eastAsia="宋体"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；秋季□；冬季□</w:t>
            </w:r>
          </w:p>
        </w:tc>
      </w:tr>
      <w:tr w14:paraId="23A81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1751FAE3">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34EDE017">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评价结论</w:t>
            </w:r>
          </w:p>
        </w:tc>
        <w:tc>
          <w:tcPr>
            <w:tcW w:w="3769" w:type="dxa"/>
            <w:gridSpan w:val="6"/>
            <w:vAlign w:val="center"/>
          </w:tcPr>
          <w:p w14:paraId="1673F946">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水环境功能区或水功能区、近岸海域环境功能区水质达标状况</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A3"/>
            </w:r>
            <w:r>
              <w:rPr>
                <w:rFonts w:hint="eastAsia" w:ascii="Times New Roman" w:hAnsi="Times New Roman" w:eastAsia="宋体"/>
                <w:color w:val="000000" w:themeColor="text1"/>
                <w:sz w:val="21"/>
                <w:szCs w:val="21"/>
                <w:highlight w:val="none"/>
                <w14:textFill>
                  <w14:solidFill>
                    <w14:schemeClr w14:val="tx1"/>
                  </w14:solidFill>
                </w14:textFill>
              </w:rPr>
              <w:t>：达标</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A3"/>
            </w:r>
            <w:r>
              <w:rPr>
                <w:rFonts w:hint="eastAsia" w:ascii="Times New Roman" w:hAnsi="Times New Roman" w:eastAsia="宋体"/>
                <w:color w:val="000000" w:themeColor="text1"/>
                <w:sz w:val="21"/>
                <w:szCs w:val="21"/>
                <w:highlight w:val="none"/>
                <w14:textFill>
                  <w14:solidFill>
                    <w14:schemeClr w14:val="tx1"/>
                  </w14:solidFill>
                </w14:textFill>
              </w:rPr>
              <w:t>；不达标□</w:t>
            </w:r>
          </w:p>
          <w:p w14:paraId="70034396">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水环境控制单元或断面水质达标状况□：达标□；不达标□</w:t>
            </w:r>
          </w:p>
          <w:p w14:paraId="45F912A4">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水环境保护目标质量状况□：达标□；不达标□</w:t>
            </w:r>
          </w:p>
          <w:p w14:paraId="4C717BF3">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对照断面、控制断面等代表性断面的水质状况□：达标□；不达标□</w:t>
            </w:r>
          </w:p>
          <w:p w14:paraId="3437FA49">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底泥污染评价□</w:t>
            </w:r>
          </w:p>
          <w:p w14:paraId="5C2D6A8B">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水资源与开发利用程度及其水文情势评价□</w:t>
            </w:r>
          </w:p>
          <w:p w14:paraId="2ACC6A03">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水环境质量回顾评价□</w:t>
            </w:r>
          </w:p>
          <w:p w14:paraId="45F9FA8C">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流域（区域）水资源（包括水能资源）与开发利用总体状况、生态流量管理要求与现状满足程度、建设项目占用水域空间的水流状况与河湖演变状况□</w:t>
            </w:r>
          </w:p>
        </w:tc>
        <w:tc>
          <w:tcPr>
            <w:tcW w:w="3065" w:type="dxa"/>
            <w:gridSpan w:val="5"/>
            <w:vAlign w:val="center"/>
          </w:tcPr>
          <w:p w14:paraId="0F902575">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达标区</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A3"/>
            </w:r>
          </w:p>
          <w:p w14:paraId="2B591476">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不达标区□</w:t>
            </w:r>
          </w:p>
        </w:tc>
      </w:tr>
      <w:tr w14:paraId="114EF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restart"/>
            <w:vAlign w:val="center"/>
          </w:tcPr>
          <w:p w14:paraId="156D56CB">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影响预测</w:t>
            </w:r>
          </w:p>
        </w:tc>
        <w:tc>
          <w:tcPr>
            <w:tcW w:w="1240" w:type="dxa"/>
            <w:vAlign w:val="center"/>
          </w:tcPr>
          <w:p w14:paraId="7C2838C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预测范围</w:t>
            </w:r>
          </w:p>
        </w:tc>
        <w:tc>
          <w:tcPr>
            <w:tcW w:w="6834" w:type="dxa"/>
            <w:gridSpan w:val="11"/>
            <w:vAlign w:val="center"/>
          </w:tcPr>
          <w:p w14:paraId="3A1BF6DC">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河流：长度（</w:t>
            </w:r>
            <w:r>
              <w:rPr>
                <w:rFonts w:ascii="Times New Roman" w:hAnsi="Times New Roman" w:eastAsia="宋体"/>
                <w:color w:val="000000" w:themeColor="text1"/>
                <w:sz w:val="21"/>
                <w:szCs w:val="21"/>
                <w:highlight w:val="none"/>
                <w14:textFill>
                  <w14:solidFill>
                    <w14:schemeClr w14:val="tx1"/>
                  </w14:solidFill>
                </w14:textFill>
              </w:rPr>
              <w:t xml:space="preserve"> </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）km；湖库、河口及近岸海域：面积（/）km</w:t>
            </w:r>
            <w:r>
              <w:rPr>
                <w:rFonts w:hint="eastAsia" w:ascii="Times New Roman" w:hAnsi="Times New Roman" w:eastAsia="宋体"/>
                <w:color w:val="000000" w:themeColor="text1"/>
                <w:sz w:val="21"/>
                <w:szCs w:val="21"/>
                <w:highlight w:val="none"/>
                <w:vertAlign w:val="superscript"/>
                <w14:textFill>
                  <w14:solidFill>
                    <w14:schemeClr w14:val="tx1"/>
                  </w14:solidFill>
                </w14:textFill>
              </w:rPr>
              <w:t>2</w:t>
            </w:r>
          </w:p>
        </w:tc>
      </w:tr>
      <w:tr w14:paraId="7908C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666BA04A">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6FAD1860">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预测因子</w:t>
            </w:r>
          </w:p>
        </w:tc>
        <w:tc>
          <w:tcPr>
            <w:tcW w:w="6834" w:type="dxa"/>
            <w:gridSpan w:val="11"/>
            <w:vAlign w:val="center"/>
          </w:tcPr>
          <w:p w14:paraId="509D28B8">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 xml:space="preserve">（ </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olor w:val="000000" w:themeColor="text1"/>
                <w:sz w:val="21"/>
                <w:szCs w:val="21"/>
                <w:highlight w:val="none"/>
                <w14:textFill>
                  <w14:solidFill>
                    <w14:schemeClr w14:val="tx1"/>
                  </w14:solidFill>
                </w14:textFill>
              </w:rPr>
              <w:t>）</w:t>
            </w:r>
          </w:p>
        </w:tc>
      </w:tr>
      <w:tr w14:paraId="5D13E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3A11D37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74E0A379">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预测时期</w:t>
            </w:r>
          </w:p>
        </w:tc>
        <w:tc>
          <w:tcPr>
            <w:tcW w:w="6834" w:type="dxa"/>
            <w:gridSpan w:val="11"/>
            <w:vAlign w:val="center"/>
          </w:tcPr>
          <w:p w14:paraId="43629FFC">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丰水期□；平水期□；枯水期□；冰封期□</w:t>
            </w:r>
          </w:p>
          <w:p w14:paraId="73104629">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春季□；夏季□；秋季□；冬季□</w:t>
            </w:r>
          </w:p>
          <w:p w14:paraId="655AB42F">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设计水文条件□</w:t>
            </w:r>
          </w:p>
        </w:tc>
      </w:tr>
      <w:tr w14:paraId="7BC4E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72EE87F1">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60998D9A">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预测情景</w:t>
            </w:r>
          </w:p>
        </w:tc>
        <w:tc>
          <w:tcPr>
            <w:tcW w:w="6834" w:type="dxa"/>
            <w:gridSpan w:val="11"/>
            <w:vAlign w:val="center"/>
          </w:tcPr>
          <w:p w14:paraId="062443D5">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建设期□；生产运行期□；服务期满后□</w:t>
            </w:r>
          </w:p>
          <w:p w14:paraId="5FA0D4F2">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正常工况□；非正常工况□</w:t>
            </w:r>
          </w:p>
          <w:p w14:paraId="4EF58386">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污染控制和减缓措施方案□</w:t>
            </w:r>
          </w:p>
          <w:p w14:paraId="5871AB9A">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区（流）域环境质量改善目标要求情景□</w:t>
            </w:r>
          </w:p>
        </w:tc>
      </w:tr>
      <w:tr w14:paraId="5F2C5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75DDD72F">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4A8B583A">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预测方法</w:t>
            </w:r>
          </w:p>
        </w:tc>
        <w:tc>
          <w:tcPr>
            <w:tcW w:w="6834" w:type="dxa"/>
            <w:gridSpan w:val="11"/>
            <w:vAlign w:val="center"/>
          </w:tcPr>
          <w:p w14:paraId="33F468CA">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数值解□：解析解□；其他□</w:t>
            </w:r>
          </w:p>
          <w:p w14:paraId="2E1B8A8B">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导则推荐模式□：其他□</w:t>
            </w:r>
          </w:p>
        </w:tc>
      </w:tr>
      <w:tr w14:paraId="03280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restart"/>
            <w:vAlign w:val="center"/>
          </w:tcPr>
          <w:p w14:paraId="39BFFFEE">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影响评价</w:t>
            </w:r>
          </w:p>
        </w:tc>
        <w:tc>
          <w:tcPr>
            <w:tcW w:w="1240" w:type="dxa"/>
            <w:vAlign w:val="center"/>
          </w:tcPr>
          <w:p w14:paraId="20229991">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水污染控制和水环境影响减缓措施有效性评价</w:t>
            </w:r>
          </w:p>
        </w:tc>
        <w:tc>
          <w:tcPr>
            <w:tcW w:w="6834" w:type="dxa"/>
            <w:gridSpan w:val="11"/>
            <w:vAlign w:val="center"/>
          </w:tcPr>
          <w:p w14:paraId="4C4A94E3">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区（流）域水环境质量改善目标</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52"/>
            </w:r>
            <w:r>
              <w:rPr>
                <w:rFonts w:hint="eastAsia" w:ascii="Times New Roman" w:hAnsi="Times New Roman" w:eastAsia="宋体"/>
                <w:color w:val="000000" w:themeColor="text1"/>
                <w:sz w:val="21"/>
                <w:szCs w:val="21"/>
                <w:highlight w:val="none"/>
                <w14:textFill>
                  <w14:solidFill>
                    <w14:schemeClr w14:val="tx1"/>
                  </w14:solidFill>
                </w14:textFill>
              </w:rPr>
              <w:t>；替代削减源□</w:t>
            </w:r>
          </w:p>
        </w:tc>
      </w:tr>
      <w:tr w14:paraId="77885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12324D82">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03897B87">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水环境影响评价</w:t>
            </w:r>
          </w:p>
        </w:tc>
        <w:tc>
          <w:tcPr>
            <w:tcW w:w="6834" w:type="dxa"/>
            <w:gridSpan w:val="11"/>
            <w:vAlign w:val="center"/>
          </w:tcPr>
          <w:p w14:paraId="09A86AC8">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排放口混合区外满足水环境管理要求□</w:t>
            </w:r>
          </w:p>
          <w:p w14:paraId="758A0F15">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水环境功能区或水功能区、近岸海域环境功能区水质达标□</w:t>
            </w:r>
          </w:p>
          <w:p w14:paraId="37E2B9B4">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满足水环境保护目标水域水环境质量要求□</w:t>
            </w:r>
          </w:p>
          <w:p w14:paraId="4C9D81F1">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水环境控制单元或断面水质达标□</w:t>
            </w:r>
          </w:p>
          <w:p w14:paraId="4E0DD820">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满足重点水污染物排放总量控制指标要求，重点行业建设项目，主要污染物排放满足等量或减量替代要求□</w:t>
            </w:r>
          </w:p>
          <w:p w14:paraId="35E56FA4">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满足区（流）域水环境质量改善目标要求□</w:t>
            </w:r>
          </w:p>
          <w:p w14:paraId="783E22F1">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水文要素影响型建设项目同时应包括水文情势变化评价、主要水文特征值影响评价、生态流量符合性评价□</w:t>
            </w:r>
          </w:p>
          <w:p w14:paraId="01AADB24">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对于新设或调整入河（湖库、近岸海域）排放口的建设项目，应包括排放口设置的环境合理性评价□</w:t>
            </w:r>
          </w:p>
          <w:p w14:paraId="618DB622">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满足生态保护红线、水环境质量底线、资源利用上线和环境准入清单管理要求</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52"/>
            </w:r>
          </w:p>
        </w:tc>
      </w:tr>
      <w:tr w14:paraId="1DBCB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061EFD8B">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restart"/>
            <w:vAlign w:val="center"/>
          </w:tcPr>
          <w:p w14:paraId="433A2D4D">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污染源排放量核算</w:t>
            </w:r>
          </w:p>
        </w:tc>
        <w:tc>
          <w:tcPr>
            <w:tcW w:w="2669" w:type="dxa"/>
            <w:gridSpan w:val="4"/>
            <w:vAlign w:val="center"/>
          </w:tcPr>
          <w:p w14:paraId="001DCB0E">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污染物名称</w:t>
            </w:r>
          </w:p>
        </w:tc>
        <w:tc>
          <w:tcPr>
            <w:tcW w:w="2082" w:type="dxa"/>
            <w:gridSpan w:val="5"/>
            <w:vAlign w:val="center"/>
          </w:tcPr>
          <w:p w14:paraId="6A00A327">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排放量/（t/a）</w:t>
            </w:r>
          </w:p>
        </w:tc>
        <w:tc>
          <w:tcPr>
            <w:tcW w:w="2083" w:type="dxa"/>
            <w:gridSpan w:val="2"/>
            <w:vAlign w:val="center"/>
          </w:tcPr>
          <w:p w14:paraId="10979E84">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排放浓度/（mg/L）</w:t>
            </w:r>
          </w:p>
        </w:tc>
      </w:tr>
      <w:tr w14:paraId="74F62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439B2689">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continue"/>
            <w:vAlign w:val="center"/>
          </w:tcPr>
          <w:p w14:paraId="458897A5">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2669" w:type="dxa"/>
            <w:gridSpan w:val="4"/>
            <w:vAlign w:val="center"/>
          </w:tcPr>
          <w:p w14:paraId="5BEB78FC">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2082" w:type="dxa"/>
            <w:gridSpan w:val="5"/>
            <w:vAlign w:val="center"/>
          </w:tcPr>
          <w:p w14:paraId="0A9753E1">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2083" w:type="dxa"/>
            <w:gridSpan w:val="2"/>
            <w:vAlign w:val="center"/>
          </w:tcPr>
          <w:p w14:paraId="3F3D60C1">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r>
      <w:tr w14:paraId="375C9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3D322AC3">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restart"/>
            <w:vAlign w:val="center"/>
          </w:tcPr>
          <w:p w14:paraId="7E75F1DD">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替代源排放情况</w:t>
            </w:r>
          </w:p>
        </w:tc>
        <w:tc>
          <w:tcPr>
            <w:tcW w:w="1836" w:type="dxa"/>
            <w:vAlign w:val="center"/>
          </w:tcPr>
          <w:p w14:paraId="75540E19">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污染源名称</w:t>
            </w:r>
          </w:p>
        </w:tc>
        <w:tc>
          <w:tcPr>
            <w:tcW w:w="1250" w:type="dxa"/>
            <w:gridSpan w:val="4"/>
            <w:vAlign w:val="center"/>
          </w:tcPr>
          <w:p w14:paraId="073C600A">
            <w:pPr>
              <w:spacing w:line="360" w:lineRule="exact"/>
              <w:ind w:firstLine="0" w:firstLineChars="0"/>
              <w:jc w:val="center"/>
              <w:rPr>
                <w:rFonts w:ascii="Times New Roman" w:hAnsi="Times New Roman" w:eastAsia="宋体"/>
                <w:color w:val="000000" w:themeColor="text1"/>
                <w:spacing w:val="-10"/>
                <w:sz w:val="21"/>
                <w:szCs w:val="21"/>
                <w:highlight w:val="none"/>
                <w14:textFill>
                  <w14:solidFill>
                    <w14:schemeClr w14:val="tx1"/>
                  </w14:solidFill>
                </w14:textFill>
              </w:rPr>
            </w:pPr>
            <w:r>
              <w:rPr>
                <w:rFonts w:hint="eastAsia" w:ascii="Times New Roman" w:hAnsi="Times New Roman" w:eastAsia="宋体"/>
                <w:color w:val="000000" w:themeColor="text1"/>
                <w:spacing w:val="-10"/>
                <w:sz w:val="21"/>
                <w:szCs w:val="21"/>
                <w:highlight w:val="none"/>
                <w14:textFill>
                  <w14:solidFill>
                    <w14:schemeClr w14:val="tx1"/>
                  </w14:solidFill>
                </w14:textFill>
              </w:rPr>
              <w:t>排污许可证编号</w:t>
            </w:r>
          </w:p>
        </w:tc>
        <w:tc>
          <w:tcPr>
            <w:tcW w:w="1249" w:type="dxa"/>
            <w:gridSpan w:val="2"/>
            <w:vAlign w:val="center"/>
          </w:tcPr>
          <w:p w14:paraId="4AD31DCA">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污染物名称</w:t>
            </w:r>
          </w:p>
        </w:tc>
        <w:tc>
          <w:tcPr>
            <w:tcW w:w="1250" w:type="dxa"/>
            <w:gridSpan w:val="3"/>
            <w:vAlign w:val="center"/>
          </w:tcPr>
          <w:p w14:paraId="02335CF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排放量/（t/a）</w:t>
            </w:r>
          </w:p>
        </w:tc>
        <w:tc>
          <w:tcPr>
            <w:tcW w:w="1249" w:type="dxa"/>
            <w:vAlign w:val="center"/>
          </w:tcPr>
          <w:p w14:paraId="75B3FE77">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排放浓度/（mg/L）</w:t>
            </w:r>
          </w:p>
        </w:tc>
      </w:tr>
      <w:tr w14:paraId="3D377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1E81520C">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continue"/>
            <w:vAlign w:val="center"/>
          </w:tcPr>
          <w:p w14:paraId="37354A47">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836" w:type="dxa"/>
          </w:tcPr>
          <w:p w14:paraId="382863F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1250" w:type="dxa"/>
            <w:gridSpan w:val="4"/>
          </w:tcPr>
          <w:p w14:paraId="1949A16C">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1249" w:type="dxa"/>
            <w:gridSpan w:val="2"/>
          </w:tcPr>
          <w:p w14:paraId="0EF2A285">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1250" w:type="dxa"/>
            <w:gridSpan w:val="3"/>
          </w:tcPr>
          <w:p w14:paraId="6F9F764B">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1249" w:type="dxa"/>
          </w:tcPr>
          <w:p w14:paraId="1AD14FBE">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r>
      <w:tr w14:paraId="302C92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42175469">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61583F4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生态流量确定</w:t>
            </w:r>
          </w:p>
        </w:tc>
        <w:tc>
          <w:tcPr>
            <w:tcW w:w="6834" w:type="dxa"/>
            <w:gridSpan w:val="11"/>
            <w:vAlign w:val="center"/>
          </w:tcPr>
          <w:p w14:paraId="59F79177">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生态流量：一般水期（ ）m</w:t>
            </w:r>
            <w:r>
              <w:rPr>
                <w:rFonts w:hint="eastAsia" w:ascii="Times New Roman" w:hAnsi="Times New Roman" w:eastAsia="宋体"/>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olor w:val="000000" w:themeColor="text1"/>
                <w:sz w:val="21"/>
                <w:szCs w:val="21"/>
                <w:highlight w:val="none"/>
                <w14:textFill>
                  <w14:solidFill>
                    <w14:schemeClr w14:val="tx1"/>
                  </w14:solidFill>
                </w14:textFill>
              </w:rPr>
              <w:t>/s；鱼类繁殖期（ ）m</w:t>
            </w:r>
            <w:r>
              <w:rPr>
                <w:rFonts w:hint="eastAsia" w:ascii="Times New Roman" w:hAnsi="Times New Roman" w:eastAsia="宋体"/>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olor w:val="000000" w:themeColor="text1"/>
                <w:sz w:val="21"/>
                <w:szCs w:val="21"/>
                <w:highlight w:val="none"/>
                <w14:textFill>
                  <w14:solidFill>
                    <w14:schemeClr w14:val="tx1"/>
                  </w14:solidFill>
                </w14:textFill>
              </w:rPr>
              <w:t>/s；其他（ ）m</w:t>
            </w:r>
            <w:r>
              <w:rPr>
                <w:rFonts w:hint="eastAsia" w:ascii="Times New Roman" w:hAnsi="Times New Roman" w:eastAsia="宋体"/>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olor w:val="000000" w:themeColor="text1"/>
                <w:sz w:val="21"/>
                <w:szCs w:val="21"/>
                <w:highlight w:val="none"/>
                <w14:textFill>
                  <w14:solidFill>
                    <w14:schemeClr w14:val="tx1"/>
                  </w14:solidFill>
                </w14:textFill>
              </w:rPr>
              <w:t xml:space="preserve">/s </w:t>
            </w:r>
          </w:p>
          <w:p w14:paraId="5E29D2EA">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生态水位：一般水期（ ）m；鱼类繁殖期（ ）m；其他（ ）m</w:t>
            </w:r>
          </w:p>
        </w:tc>
      </w:tr>
      <w:tr w14:paraId="61389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restart"/>
            <w:vAlign w:val="center"/>
          </w:tcPr>
          <w:p w14:paraId="26A15260">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防治措施</w:t>
            </w:r>
          </w:p>
        </w:tc>
        <w:tc>
          <w:tcPr>
            <w:tcW w:w="1240" w:type="dxa"/>
            <w:vAlign w:val="center"/>
          </w:tcPr>
          <w:p w14:paraId="5F0A0056">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环保措施</w:t>
            </w:r>
          </w:p>
        </w:tc>
        <w:tc>
          <w:tcPr>
            <w:tcW w:w="6834" w:type="dxa"/>
            <w:gridSpan w:val="11"/>
            <w:vAlign w:val="center"/>
          </w:tcPr>
          <w:p w14:paraId="212960CC">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污水处理设施</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52"/>
            </w:r>
            <w:r>
              <w:rPr>
                <w:rFonts w:hint="eastAsia" w:ascii="Times New Roman" w:hAnsi="Times New Roman" w:eastAsia="宋体"/>
                <w:color w:val="000000" w:themeColor="text1"/>
                <w:sz w:val="21"/>
                <w:szCs w:val="21"/>
                <w:highlight w:val="none"/>
                <w14:textFill>
                  <w14:solidFill>
                    <w14:schemeClr w14:val="tx1"/>
                  </w14:solidFill>
                </w14:textFill>
              </w:rPr>
              <w:t>；水文减缓设施□；生态流量保障设施□；区域削减□；依托其他工程措施□；其他□</w:t>
            </w:r>
          </w:p>
        </w:tc>
      </w:tr>
      <w:tr w14:paraId="26D77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7D723FB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restart"/>
            <w:vAlign w:val="center"/>
          </w:tcPr>
          <w:p w14:paraId="547C0495">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监测计划</w:t>
            </w:r>
          </w:p>
        </w:tc>
        <w:tc>
          <w:tcPr>
            <w:tcW w:w="2201" w:type="dxa"/>
            <w:gridSpan w:val="3"/>
            <w:vAlign w:val="center"/>
          </w:tcPr>
          <w:p w14:paraId="7567A971">
            <w:pPr>
              <w:spacing w:line="360" w:lineRule="exact"/>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p>
        </w:tc>
        <w:tc>
          <w:tcPr>
            <w:tcW w:w="2316" w:type="dxa"/>
            <w:gridSpan w:val="5"/>
            <w:vAlign w:val="center"/>
          </w:tcPr>
          <w:p w14:paraId="1DD4D64F">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环境质量</w:t>
            </w:r>
          </w:p>
        </w:tc>
        <w:tc>
          <w:tcPr>
            <w:tcW w:w="2317" w:type="dxa"/>
            <w:gridSpan w:val="3"/>
            <w:vAlign w:val="center"/>
          </w:tcPr>
          <w:p w14:paraId="31BC1C8C">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污染源</w:t>
            </w:r>
          </w:p>
        </w:tc>
      </w:tr>
      <w:tr w14:paraId="02E59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331970FA">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continue"/>
            <w:vAlign w:val="center"/>
          </w:tcPr>
          <w:p w14:paraId="2397D3DF">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2201" w:type="dxa"/>
            <w:gridSpan w:val="3"/>
            <w:vAlign w:val="center"/>
          </w:tcPr>
          <w:p w14:paraId="14915DA4">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监测方式</w:t>
            </w:r>
          </w:p>
        </w:tc>
        <w:tc>
          <w:tcPr>
            <w:tcW w:w="2316" w:type="dxa"/>
            <w:gridSpan w:val="5"/>
            <w:vAlign w:val="center"/>
          </w:tcPr>
          <w:p w14:paraId="2B937982">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手动□；自动□；</w:t>
            </w:r>
          </w:p>
          <w:p w14:paraId="750354BC">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无监测</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52"/>
            </w:r>
          </w:p>
        </w:tc>
        <w:tc>
          <w:tcPr>
            <w:tcW w:w="2317" w:type="dxa"/>
            <w:gridSpan w:val="3"/>
            <w:vAlign w:val="center"/>
          </w:tcPr>
          <w:p w14:paraId="622BE7C5">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手动</w:t>
            </w:r>
            <w:r>
              <w:rPr>
                <w:rFonts w:hint="eastAsia" w:cs="Segoe UI Symbol"/>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；自动□；</w:t>
            </w:r>
          </w:p>
          <w:p w14:paraId="4935F3E5">
            <w:pPr>
              <w:spacing w:line="360" w:lineRule="exact"/>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无监测</w:t>
            </w:r>
            <w:r>
              <w:rPr>
                <w:rFonts w:hint="eastAsia"/>
                <w:color w:val="000000" w:themeColor="text1"/>
                <w:sz w:val="21"/>
                <w:szCs w:val="21"/>
                <w:highlight w:val="none"/>
                <w:lang w:eastAsia="zh-CN"/>
                <w14:textFill>
                  <w14:solidFill>
                    <w14:schemeClr w14:val="tx1"/>
                  </w14:solidFill>
                </w14:textFill>
              </w:rPr>
              <w:t>☑</w:t>
            </w:r>
          </w:p>
        </w:tc>
      </w:tr>
      <w:tr w14:paraId="7836D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34B9F0F0">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continue"/>
            <w:vAlign w:val="center"/>
          </w:tcPr>
          <w:p w14:paraId="463CD6B5">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2201" w:type="dxa"/>
            <w:gridSpan w:val="3"/>
            <w:vAlign w:val="center"/>
          </w:tcPr>
          <w:p w14:paraId="3150E30E">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监测点位</w:t>
            </w:r>
          </w:p>
        </w:tc>
        <w:tc>
          <w:tcPr>
            <w:tcW w:w="2316" w:type="dxa"/>
            <w:gridSpan w:val="5"/>
            <w:vAlign w:val="center"/>
          </w:tcPr>
          <w:p w14:paraId="09CADF76">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2317" w:type="dxa"/>
            <w:gridSpan w:val="3"/>
            <w:vAlign w:val="center"/>
          </w:tcPr>
          <w:p w14:paraId="65038640">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r>
      <w:tr w14:paraId="3D53D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3B6BDF42">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Merge w:val="continue"/>
            <w:vAlign w:val="center"/>
          </w:tcPr>
          <w:p w14:paraId="59A3D161">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2201" w:type="dxa"/>
            <w:gridSpan w:val="3"/>
            <w:vAlign w:val="center"/>
          </w:tcPr>
          <w:p w14:paraId="16C42F18">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监测因子</w:t>
            </w:r>
          </w:p>
        </w:tc>
        <w:tc>
          <w:tcPr>
            <w:tcW w:w="2316" w:type="dxa"/>
            <w:gridSpan w:val="5"/>
            <w:vAlign w:val="center"/>
          </w:tcPr>
          <w:p w14:paraId="1A620823">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2317" w:type="dxa"/>
            <w:gridSpan w:val="3"/>
            <w:vAlign w:val="center"/>
          </w:tcPr>
          <w:p w14:paraId="6636B326">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r>
      <w:tr w14:paraId="78964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8" w:type="dxa"/>
            <w:vMerge w:val="continue"/>
            <w:vAlign w:val="center"/>
          </w:tcPr>
          <w:p w14:paraId="3F7207CC">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240" w:type="dxa"/>
            <w:vAlign w:val="center"/>
          </w:tcPr>
          <w:p w14:paraId="7E406CCD">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污染物排放清单</w:t>
            </w:r>
          </w:p>
        </w:tc>
        <w:tc>
          <w:tcPr>
            <w:tcW w:w="6834" w:type="dxa"/>
            <w:gridSpan w:val="11"/>
            <w:vAlign w:val="center"/>
          </w:tcPr>
          <w:p w14:paraId="378F5F63">
            <w:pPr>
              <w:spacing w:line="360" w:lineRule="exact"/>
              <w:ind w:firstLine="0" w:firstLineChars="0"/>
              <w:jc w:val="left"/>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094B3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88" w:type="dxa"/>
            <w:gridSpan w:val="2"/>
            <w:vAlign w:val="center"/>
          </w:tcPr>
          <w:p w14:paraId="77D79535">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评价结论</w:t>
            </w:r>
          </w:p>
        </w:tc>
        <w:tc>
          <w:tcPr>
            <w:tcW w:w="6834" w:type="dxa"/>
            <w:gridSpan w:val="11"/>
            <w:vAlign w:val="center"/>
          </w:tcPr>
          <w:p w14:paraId="4C7B14F9">
            <w:pPr>
              <w:spacing w:line="36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可以接受</w:t>
            </w:r>
            <w:r>
              <w:rPr>
                <w:rFonts w:hint="eastAsia" w:ascii="Times New Roman" w:hAnsi="Times New Roman" w:eastAsia="宋体"/>
                <w:color w:val="000000" w:themeColor="text1"/>
                <w:sz w:val="21"/>
                <w:szCs w:val="21"/>
                <w:highlight w:val="none"/>
                <w14:textFill>
                  <w14:solidFill>
                    <w14:schemeClr w14:val="tx1"/>
                  </w14:solidFill>
                </w14:textFill>
              </w:rPr>
              <w:sym w:font="Wingdings 2" w:char="0052"/>
            </w:r>
            <w:r>
              <w:rPr>
                <w:rFonts w:hint="eastAsia" w:ascii="Times New Roman" w:hAnsi="Times New Roman" w:eastAsia="宋体"/>
                <w:color w:val="000000" w:themeColor="text1"/>
                <w:sz w:val="21"/>
                <w:szCs w:val="21"/>
                <w:highlight w:val="none"/>
                <w14:textFill>
                  <w14:solidFill>
                    <w14:schemeClr w14:val="tx1"/>
                  </w14:solidFill>
                </w14:textFill>
              </w:rPr>
              <w:t>；不可以接受□</w:t>
            </w:r>
          </w:p>
        </w:tc>
      </w:tr>
      <w:tr w14:paraId="3B4CF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22" w:type="dxa"/>
            <w:gridSpan w:val="13"/>
            <w:vAlign w:val="center"/>
          </w:tcPr>
          <w:p w14:paraId="7F7CBD69">
            <w:pPr>
              <w:spacing w:line="360" w:lineRule="exact"/>
              <w:ind w:firstLine="0" w:firstLineChars="0"/>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注：“□”为勾选项，可√；“（ ）”为内容填写项；“备注”为其他补充内容。</w:t>
            </w:r>
          </w:p>
        </w:tc>
      </w:tr>
    </w:tbl>
    <w:p w14:paraId="0A1BDFE3">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2.3运营期地下水环境影响</w:t>
      </w:r>
      <w:r>
        <w:rPr>
          <w:rFonts w:hint="eastAsia"/>
          <w:color w:val="000000" w:themeColor="text1"/>
          <w:highlight w:val="none"/>
          <w:lang w:val="en-US" w:eastAsia="zh-CN"/>
          <w14:textFill>
            <w14:solidFill>
              <w14:schemeClr w14:val="tx1"/>
            </w14:solidFill>
          </w14:textFill>
        </w:rPr>
        <w:t>预测</w:t>
      </w:r>
      <w:r>
        <w:rPr>
          <w:rFonts w:hint="eastAsia"/>
          <w:color w:val="000000" w:themeColor="text1"/>
          <w:highlight w:val="none"/>
          <w14:textFill>
            <w14:solidFill>
              <w14:schemeClr w14:val="tx1"/>
            </w14:solidFill>
          </w14:textFill>
        </w:rPr>
        <w:t>与评价</w:t>
      </w:r>
    </w:p>
    <w:p w14:paraId="4E85C320">
      <w:pPr>
        <w:pStyle w:val="5"/>
        <w:rPr>
          <w:color w:val="000000" w:themeColor="text1"/>
          <w:highlight w:val="none"/>
          <w:lang w:val="zh-CN"/>
          <w14:textFill>
            <w14:solidFill>
              <w14:schemeClr w14:val="tx1"/>
            </w14:solidFill>
          </w14:textFill>
        </w:rPr>
      </w:pPr>
      <w:r>
        <w:rPr>
          <w:color w:val="000000" w:themeColor="text1"/>
          <w:highlight w:val="none"/>
          <w14:textFill>
            <w14:solidFill>
              <w14:schemeClr w14:val="tx1"/>
            </w14:solidFill>
          </w14:textFill>
        </w:rPr>
        <w:t>5.2.3.1</w:t>
      </w:r>
      <w:r>
        <w:rPr>
          <w:rFonts w:hint="eastAsia"/>
          <w:color w:val="000000" w:themeColor="text1"/>
          <w:highlight w:val="none"/>
          <w:lang w:val="zh-CN"/>
          <w14:textFill>
            <w14:solidFill>
              <w14:schemeClr w14:val="tx1"/>
            </w14:solidFill>
          </w14:textFill>
        </w:rPr>
        <w:t>水文</w:t>
      </w:r>
      <w:r>
        <w:rPr>
          <w:color w:val="000000" w:themeColor="text1"/>
          <w:highlight w:val="none"/>
          <w:lang w:val="zh-CN"/>
          <w14:textFill>
            <w14:solidFill>
              <w14:schemeClr w14:val="tx1"/>
            </w14:solidFill>
          </w14:textFill>
        </w:rPr>
        <w:t>地质</w:t>
      </w:r>
      <w:r>
        <w:rPr>
          <w:rFonts w:hint="eastAsia"/>
          <w:color w:val="000000" w:themeColor="text1"/>
          <w:highlight w:val="none"/>
          <w:lang w:val="zh-CN"/>
          <w14:textFill>
            <w14:solidFill>
              <w14:schemeClr w14:val="tx1"/>
            </w14:solidFill>
          </w14:textFill>
        </w:rPr>
        <w:t>条件</w:t>
      </w:r>
    </w:p>
    <w:p w14:paraId="7EBC593C">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含（隔）水层划分</w:t>
      </w:r>
    </w:p>
    <w:p w14:paraId="35976D24">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内大面积被第四系全新统冲洪积层（Q</w:t>
      </w:r>
      <w:r>
        <w:rPr>
          <w:rFonts w:hint="eastAsia"/>
          <w:color w:val="000000" w:themeColor="text1"/>
          <w:sz w:val="24"/>
          <w:highlight w:val="none"/>
          <w:vertAlign w:val="subscript"/>
          <w14:textFill>
            <w14:solidFill>
              <w14:schemeClr w14:val="tx1"/>
            </w14:solidFill>
          </w14:textFill>
        </w:rPr>
        <w:t>4</w:t>
      </w:r>
      <w:r>
        <w:rPr>
          <w:rFonts w:hint="eastAsia"/>
          <w:color w:val="000000" w:themeColor="text1"/>
          <w:sz w:val="24"/>
          <w:highlight w:val="none"/>
          <w:vertAlign w:val="superscript"/>
          <w14:textFill>
            <w14:solidFill>
              <w14:schemeClr w14:val="tx1"/>
            </w14:solidFill>
          </w14:textFill>
        </w:rPr>
        <w:t>aal</w:t>
      </w:r>
      <w:r>
        <w:rPr>
          <w:rFonts w:hint="eastAsia"/>
          <w:color w:val="000000" w:themeColor="text1"/>
          <w:sz w:val="24"/>
          <w:highlight w:val="none"/>
          <w14:textFill>
            <w14:solidFill>
              <w14:schemeClr w14:val="tx1"/>
            </w14:solidFill>
          </w14:textFill>
        </w:rPr>
        <w:t>）覆盖，出露的地层为下寒武统双鹰山组</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vertAlign w:val="subscript"/>
          <w14:textFill>
            <w14:solidFill>
              <w14:schemeClr w14:val="tx1"/>
            </w14:solidFill>
          </w14:textFill>
        </w:rPr>
        <w:t>1</w:t>
      </w:r>
      <w:r>
        <w:rPr>
          <w:rFonts w:hint="eastAsia"/>
          <w:color w:val="000000" w:themeColor="text1"/>
          <w:sz w:val="24"/>
          <w:highlight w:val="none"/>
          <w14:textFill>
            <w14:solidFill>
              <w14:schemeClr w14:val="tx1"/>
            </w14:solidFill>
          </w14:textFill>
        </w:rPr>
        <w:t>S</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。根据地下水赋存条件和水力特征，将</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内地下水划分为两个含水层组：</w:t>
      </w:r>
    </w:p>
    <w:p w14:paraId="44AFAE65">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第四系松散岩类透水不含水层（Ⅰ）：在</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大面积分布，为第四系全新统冲洪积层（Q</w:t>
      </w:r>
      <w:r>
        <w:rPr>
          <w:rFonts w:hint="eastAsia"/>
          <w:color w:val="000000" w:themeColor="text1"/>
          <w:sz w:val="24"/>
          <w:highlight w:val="none"/>
          <w:vertAlign w:val="subscript"/>
          <w14:textFill>
            <w14:solidFill>
              <w14:schemeClr w14:val="tx1"/>
            </w14:solidFill>
          </w14:textFill>
        </w:rPr>
        <w:t>h</w:t>
      </w:r>
      <w:r>
        <w:rPr>
          <w:rFonts w:hint="eastAsia"/>
          <w:color w:val="000000" w:themeColor="text1"/>
          <w:sz w:val="24"/>
          <w:highlight w:val="none"/>
          <w:vertAlign w:val="superscript"/>
          <w14:textFill>
            <w14:solidFill>
              <w14:schemeClr w14:val="tx1"/>
            </w14:solidFill>
          </w14:textFill>
        </w:rPr>
        <w:t>apl</w:t>
      </w:r>
      <w:r>
        <w:rPr>
          <w:rFonts w:hint="eastAsia"/>
          <w:color w:val="000000" w:themeColor="text1"/>
          <w:sz w:val="24"/>
          <w:highlight w:val="none"/>
          <w14:textFill>
            <w14:solidFill>
              <w14:schemeClr w14:val="tx1"/>
            </w14:solidFill>
          </w14:textFill>
        </w:rPr>
        <w:t>），主要由砾石、砂、砂土为主，局部地带可见有淤泥沉积，砂砾分选性较好，磨圆度由次圆状到圆状，砾径大小悬殊，砾径1～50cm。钻孔控制厚度0.5～14.0m左右。据钻孔简易水文观测结果，该层基本在地下水位以上，说明该层不含水，但透水性较好，为透水不含水层。</w:t>
      </w:r>
    </w:p>
    <w:p w14:paraId="6AC3C28B">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变质岩类裂隙弱富水弱含水层（Ⅱ）：</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内零星出露，出露地层为下寒武统双鹰山组第二岩性段</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vertAlign w:val="subscript"/>
          <w14:textFill>
            <w14:solidFill>
              <w14:schemeClr w14:val="tx1"/>
            </w14:solidFill>
          </w14:textFill>
        </w:rPr>
        <w:t>1</w:t>
      </w:r>
      <w:r>
        <w:rPr>
          <w:rFonts w:hint="eastAsia"/>
          <w:color w:val="000000" w:themeColor="text1"/>
          <w:sz w:val="24"/>
          <w:highlight w:val="none"/>
          <w14:textFill>
            <w14:solidFill>
              <w14:schemeClr w14:val="tx1"/>
            </w14:solidFill>
          </w14:textFill>
        </w:rPr>
        <w:t>S</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，地表出露岩性</w:t>
      </w:r>
      <w:r>
        <w:rPr>
          <w:rFonts w:hint="eastAsia"/>
          <w:color w:val="000000" w:themeColor="text1"/>
          <w:sz w:val="24"/>
          <w:highlight w:val="none"/>
          <w:lang w:eastAsia="zh-CN"/>
          <w14:textFill>
            <w14:solidFill>
              <w14:schemeClr w14:val="tx1"/>
            </w14:solidFill>
          </w14:textFill>
        </w:rPr>
        <w:t>以含碳硅质板岩和大理岩为主</w:t>
      </w:r>
      <w:r>
        <w:rPr>
          <w:rFonts w:hint="eastAsia"/>
          <w:color w:val="000000" w:themeColor="text1"/>
          <w:sz w:val="24"/>
          <w:highlight w:val="none"/>
          <w14:textFill>
            <w14:solidFill>
              <w14:schemeClr w14:val="tx1"/>
            </w14:solidFill>
          </w14:textFill>
        </w:rPr>
        <w:t>，深部钻孔主要以黑云母长英质角岩、黑云母长英质片岩和绿泥石石英片岩为主，岩层呈层状、片状，受区域构造的影响，节理弱发育，分布不均匀，开启、连通程度中至一般，有利于大气降水的汇集下渗，易</w:t>
      </w:r>
      <w:r>
        <w:rPr>
          <w:rFonts w:hint="eastAsia"/>
          <w:color w:val="000000" w:themeColor="text1"/>
          <w:sz w:val="24"/>
          <w:highlight w:val="none"/>
          <w:lang w:eastAsia="zh-CN"/>
          <w14:textFill>
            <w14:solidFill>
              <w14:schemeClr w14:val="tx1"/>
            </w14:solidFill>
          </w14:textFill>
        </w:rPr>
        <w:t>形成</w:t>
      </w:r>
      <w:r>
        <w:rPr>
          <w:rFonts w:hint="eastAsia"/>
          <w:color w:val="000000" w:themeColor="text1"/>
          <w:sz w:val="24"/>
          <w:highlight w:val="none"/>
          <w14:textFill>
            <w14:solidFill>
              <w14:schemeClr w14:val="tx1"/>
            </w14:solidFill>
          </w14:textFill>
        </w:rPr>
        <w:t>一定数量的基岩裂隙网状水和脉状水，通过下渗补给地下水，因矿床为沉积变质型，岩石节理、裂隙弱发育，所以层状、片状岩石透水性弱。根据本次实际统计四中段（1030m）坑内水平钻孔平均涌水量为0.22L/s，总体判断层状、片状岩层整体富水性较弱，为弱富水含水层。主要补给来源为地下水沿裂隙的侧向补给，其次为少量大气降水沿裂隙的下渗。</w:t>
      </w:r>
    </w:p>
    <w:p w14:paraId="3572A694">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地下水的补给、径流、排泄</w:t>
      </w:r>
    </w:p>
    <w:p w14:paraId="61A95ACC">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位于塔里木盆地南缘的山前低山丘陵地带，向北为天山山系，属于中高山区，区域水文单元为补给区，向南为昆仑山山系，区域水文单元为补给区，地下径流由</w:t>
      </w:r>
      <w:r>
        <w:rPr>
          <w:rFonts w:hint="eastAsia"/>
          <w:color w:val="000000" w:themeColor="text1"/>
          <w:sz w:val="24"/>
          <w:highlight w:val="none"/>
          <w:lang w:eastAsia="zh-CN"/>
          <w14:textFill>
            <w14:solidFill>
              <w14:schemeClr w14:val="tx1"/>
            </w14:solidFill>
          </w14:textFill>
        </w:rPr>
        <w:t>东</w:t>
      </w:r>
      <w:r>
        <w:rPr>
          <w:rFonts w:hint="eastAsia"/>
          <w:color w:val="000000" w:themeColor="text1"/>
          <w:sz w:val="24"/>
          <w:highlight w:val="none"/>
          <w14:textFill>
            <w14:solidFill>
              <w14:schemeClr w14:val="tx1"/>
            </w14:solidFill>
          </w14:textFill>
        </w:rPr>
        <w:t>向</w:t>
      </w:r>
      <w:r>
        <w:rPr>
          <w:rFonts w:hint="eastAsia"/>
          <w:color w:val="000000" w:themeColor="text1"/>
          <w:sz w:val="24"/>
          <w:highlight w:val="none"/>
          <w:lang w:eastAsia="zh-CN"/>
          <w14:textFill>
            <w14:solidFill>
              <w14:schemeClr w14:val="tx1"/>
            </w14:solidFill>
          </w14:textFill>
        </w:rPr>
        <w:t>西</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所处区域为区域水文单元径流区。</w:t>
      </w:r>
    </w:p>
    <w:p w14:paraId="5C91D5A6">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（1）地下水的补给条件</w:t>
      </w:r>
    </w:p>
    <w:p w14:paraId="7BE6EDE3">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地下水主要接受含水岩层沿裂隙的侧向补给，次为大气降水和冰雪消融水。大气降水和冰雪融水通过基岩裂隙渗漏，或经松散岩层的渗漏直接或间接入渗补给基岩地下水，但补给量微弱，地下水的侧向补给主要是沿总体地下径流方向补给相邻含水层。因</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构造弱发育，构造所产生的破碎带及裂隙带能构成导水通道，含水岩层沿裂隙下渗补给地下水。因矿床为沉积变质型矿床，裂隙弱发育，矿山自开采以来也没有发生突发涌水事件，由此判断含水岩层对地下水有一定的补给，但总体补给较弱。</w:t>
      </w:r>
    </w:p>
    <w:p w14:paraId="72D7F21E">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综上所述，目前</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地下水主要补给来源还是为地下水的侧向补给，大气降水、地表水沿裂隙下渗补给次之。</w:t>
      </w:r>
    </w:p>
    <w:p w14:paraId="43D84D3B">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）地下水的径流条件</w:t>
      </w:r>
    </w:p>
    <w:p w14:paraId="27BAFBCF">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地下水的径流是地下水沿含水层介质通道由高向低运移的过程，这个过程与地下水的水力坡度、岩石孔隙通道的连续性和规模密切相关；</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为低山丘陵地带，地势北高南低，受构造影响</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内裂隙弱发育，少量裂隙经切割穿插为地下水流通开拓了通道，但开通量有限，运移较为缓慢，地下水的径流方向为由</w:t>
      </w:r>
      <w:r>
        <w:rPr>
          <w:rFonts w:hint="eastAsia"/>
          <w:color w:val="000000" w:themeColor="text1"/>
          <w:sz w:val="24"/>
          <w:highlight w:val="none"/>
          <w:lang w:eastAsia="zh-CN"/>
          <w14:textFill>
            <w14:solidFill>
              <w14:schemeClr w14:val="tx1"/>
            </w14:solidFill>
          </w14:textFill>
        </w:rPr>
        <w:t>东</w:t>
      </w:r>
      <w:r>
        <w:rPr>
          <w:rFonts w:hint="eastAsia"/>
          <w:color w:val="000000" w:themeColor="text1"/>
          <w:sz w:val="24"/>
          <w:highlight w:val="none"/>
          <w14:textFill>
            <w14:solidFill>
              <w14:schemeClr w14:val="tx1"/>
            </w14:solidFill>
          </w14:textFill>
        </w:rPr>
        <w:t>向</w:t>
      </w:r>
      <w:r>
        <w:rPr>
          <w:rFonts w:hint="eastAsia"/>
          <w:color w:val="000000" w:themeColor="text1"/>
          <w:sz w:val="24"/>
          <w:highlight w:val="none"/>
          <w:lang w:eastAsia="zh-CN"/>
          <w14:textFill>
            <w14:solidFill>
              <w14:schemeClr w14:val="tx1"/>
            </w14:solidFill>
          </w14:textFill>
        </w:rPr>
        <w:t>西</w:t>
      </w:r>
      <w:r>
        <w:rPr>
          <w:rFonts w:hint="eastAsia"/>
          <w:color w:val="000000" w:themeColor="text1"/>
          <w:sz w:val="24"/>
          <w:highlight w:val="none"/>
          <w14:textFill>
            <w14:solidFill>
              <w14:schemeClr w14:val="tx1"/>
            </w14:solidFill>
          </w14:textFill>
        </w:rPr>
        <w:t>径流，具有径流时间长、缓慢、相对稳定的特点。</w:t>
      </w:r>
    </w:p>
    <w:p w14:paraId="17A68194">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（3）地下水的排泄</w:t>
      </w:r>
    </w:p>
    <w:p w14:paraId="0F87BFB5">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区域地下水径流方向是由东向西径流，</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地下水总体运动方向与区域地下水运动方向一致，以侧向径流为主，接受由北向南补给，由东向西径流出区。</w:t>
      </w:r>
    </w:p>
    <w:p w14:paraId="5D3BD36C">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水力联系</w:t>
      </w:r>
    </w:p>
    <w:p w14:paraId="07E37685">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（1）大气降水与地下水的水力联系</w:t>
      </w:r>
    </w:p>
    <w:p w14:paraId="66FCBD33">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内只是在雨季、暴雨形成的积水构成短暂性地表流水，水过即干涸。在顺地形坡度向低凹处汇集运移时，主要汇集于</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西侧低洼处，由东向西径流，大气降水可通过地表风化、构造裂隙、岩石孔隙等缓慢渗透补给地下，但由于暂时性雨水降落地表水通过时，时间短、速度快，对地下水的补给主要表现在瞬间补给，不利于地下水的补给。因此，地下水与大气降水间存在一定的水力联系，但补给量微弱。</w:t>
      </w:r>
    </w:p>
    <w:p w14:paraId="21C501B5">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（2）地表水与地下水的水力联系</w:t>
      </w:r>
    </w:p>
    <w:p w14:paraId="7EFB2095">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范围内无常年性河流、水沟，亦无水库，仅分布季节性水沟，区内季节性水沟多为干沟，只是在积雪融水季节、雨季形成的间歇性地表流径流。在顺地形坡度向低凹处汇集运移时，可通过地表风化、构造裂隙、岩石孔隙等缓慢渗透补给地下，但由于暂时性地表水通过时，时间短，速度快，对地下水的补给主要表现在瞬间补给，不利于地下水的补给。因此，</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内地下水与地表水间存在一定的水力联系，但补给量微弱。</w:t>
      </w:r>
    </w:p>
    <w:p w14:paraId="403E3745">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（3）含水层之间的水力联系</w:t>
      </w:r>
    </w:p>
    <w:p w14:paraId="101EEEAC">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含水层之间的联系主要以深部岩石节理、裂隙发育程度所影响。</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含水层之间存在着节理、裂隙发育的地段且相互连通，从而引起地下水沿总体地下径流方向补给相邻含水层，基本能形成相互连通的统一的地下水系统，</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内裂隙多被充填，含水层之间的主要是补给沿未被充填的裂隙按地下径流方向补给相邻含水层，补给速度慢，</w:t>
      </w:r>
      <w:r>
        <w:rPr>
          <w:rFonts w:hint="eastAsia"/>
          <w:color w:val="000000" w:themeColor="text1"/>
          <w:sz w:val="24"/>
          <w:highlight w:val="none"/>
          <w:lang w:eastAsia="zh-CN"/>
          <w14:textFill>
            <w14:solidFill>
              <w14:schemeClr w14:val="tx1"/>
            </w14:solidFill>
          </w14:textFill>
        </w:rPr>
        <w:t>项目区</w:t>
      </w:r>
      <w:r>
        <w:rPr>
          <w:rFonts w:hint="eastAsia"/>
          <w:color w:val="000000" w:themeColor="text1"/>
          <w:sz w:val="24"/>
          <w:highlight w:val="none"/>
          <w14:textFill>
            <w14:solidFill>
              <w14:schemeClr w14:val="tx1"/>
            </w14:solidFill>
          </w14:textFill>
        </w:rPr>
        <w:t>内地下水系统相对稳定，含水层之间的水力联系较为密切。</w:t>
      </w:r>
    </w:p>
    <w:p w14:paraId="5997518E">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4</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地下水变化情况</w:t>
      </w:r>
    </w:p>
    <w:p w14:paraId="35534834">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（1）地下水位标高的变化</w:t>
      </w:r>
    </w:p>
    <w:p w14:paraId="70CDB4FD">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根据观测数据得知，地下水水位标高在1213.71～1227.43m之间，水位埋深在10.08～24.80m，平均水位标高1222.32m。</w:t>
      </w:r>
    </w:p>
    <w:p w14:paraId="6BFA0B0F">
      <w:pPr>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（2）地下水化学类型</w:t>
      </w:r>
    </w:p>
    <w:p w14:paraId="47ABC6BD">
      <w:pPr>
        <w:spacing w:line="480" w:lineRule="exact"/>
        <w:ind w:firstLine="480" w:firstLineChars="200"/>
        <w:rPr>
          <w:rFonts w:hint="eastAsia"/>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地下水化学类型为HCO</w:t>
      </w:r>
      <w:r>
        <w:rPr>
          <w:rFonts w:hint="eastAsia"/>
          <w:color w:val="000000" w:themeColor="text1"/>
          <w:sz w:val="24"/>
          <w:highlight w:val="none"/>
          <w:vertAlign w:val="subscript"/>
          <w14:textFill>
            <w14:solidFill>
              <w14:schemeClr w14:val="tx1"/>
            </w14:solidFill>
          </w14:textFill>
        </w:rPr>
        <w:t>3</w:t>
      </w:r>
      <w:r>
        <w:rPr>
          <w:rFonts w:hint="eastAsia"/>
          <w:color w:val="000000" w:themeColor="text1"/>
          <w:sz w:val="24"/>
          <w:highlight w:val="none"/>
          <w14:textFill>
            <w14:solidFill>
              <w14:schemeClr w14:val="tx1"/>
            </w14:solidFill>
          </w14:textFill>
        </w:rPr>
        <w:t>·SO</w:t>
      </w:r>
      <w:r>
        <w:rPr>
          <w:rFonts w:hint="eastAsia"/>
          <w:color w:val="000000" w:themeColor="text1"/>
          <w:sz w:val="24"/>
          <w:highlight w:val="none"/>
          <w:vertAlign w:val="subscript"/>
          <w14:textFill>
            <w14:solidFill>
              <w14:schemeClr w14:val="tx1"/>
            </w14:solidFill>
          </w14:textFill>
        </w:rPr>
        <w:t>4</w:t>
      </w:r>
      <w:r>
        <w:rPr>
          <w:rFonts w:hint="eastAsia"/>
          <w:color w:val="000000" w:themeColor="text1"/>
          <w:sz w:val="24"/>
          <w:highlight w:val="none"/>
          <w14:textFill>
            <w14:solidFill>
              <w14:schemeClr w14:val="tx1"/>
            </w14:solidFill>
          </w14:textFill>
        </w:rPr>
        <w:t>-Ca·Na型水</w:t>
      </w:r>
      <w:r>
        <w:rPr>
          <w:rFonts w:hint="eastAsia"/>
          <w:color w:val="000000" w:themeColor="text1"/>
          <w:sz w:val="24"/>
          <w:highlight w:val="none"/>
          <w:lang w:eastAsia="zh-CN"/>
          <w14:textFill>
            <w14:solidFill>
              <w14:schemeClr w14:val="tx1"/>
            </w14:solidFill>
          </w14:textFill>
        </w:rPr>
        <w:t>。</w:t>
      </w:r>
    </w:p>
    <w:p w14:paraId="5B1D55F3">
      <w:pPr>
        <w:pStyle w:val="5"/>
        <w:ind w:firstLine="482"/>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5.2.3.</w:t>
      </w:r>
      <w:r>
        <w:rPr>
          <w:rFonts w:hint="eastAsia"/>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lang w:val="zh-CN" w:eastAsia="zh-CN"/>
          <w14:textFill>
            <w14:solidFill>
              <w14:schemeClr w14:val="tx1"/>
            </w14:solidFill>
          </w14:textFill>
        </w:rPr>
        <w:t>正常工况下地下水环境影响分析</w:t>
      </w:r>
    </w:p>
    <w:p w14:paraId="3ACA8C6B">
      <w:pPr>
        <w:widowControl/>
        <w:ind w:firstLine="480"/>
        <w:jc w:val="left"/>
        <w:rPr>
          <w:color w:val="000000" w:themeColor="text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①</w:t>
      </w:r>
      <w:r>
        <w:rPr>
          <w:rFonts w:hint="eastAsia"/>
          <w:color w:val="000000" w:themeColor="text1"/>
          <w:kern w:val="0"/>
          <w:highlight w:val="none"/>
          <w14:textFill>
            <w14:solidFill>
              <w14:schemeClr w14:val="tx1"/>
            </w14:solidFill>
          </w14:textFill>
        </w:rPr>
        <w:t>选矿废水</w:t>
      </w:r>
      <w:r>
        <w:rPr>
          <w:color w:val="000000" w:themeColor="text1"/>
          <w:kern w:val="0"/>
          <w:highlight w:val="none"/>
          <w14:textFill>
            <w14:solidFill>
              <w14:schemeClr w14:val="tx1"/>
            </w14:solidFill>
          </w14:textFill>
        </w:rPr>
        <w:t>对地下水的影响</w:t>
      </w:r>
    </w:p>
    <w:p w14:paraId="5DB9E689">
      <w:pPr>
        <w:widowControl/>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本项目运营期选矿废水产生于选矿过程中，选矿废水包括精矿过滤水、尾矿浓缩压滤溢流水、尾矿含水</w:t>
      </w:r>
      <w:r>
        <w:rPr>
          <w:color w:val="000000" w:themeColor="text1"/>
          <w:kern w:val="0"/>
          <w:highlight w:val="none"/>
          <w14:textFill>
            <w14:solidFill>
              <w14:schemeClr w14:val="tx1"/>
            </w14:solidFill>
          </w14:textFill>
        </w:rPr>
        <w:t>。</w:t>
      </w:r>
      <w:r>
        <w:rPr>
          <w:rFonts w:hint="eastAsia"/>
          <w:color w:val="000000" w:themeColor="text1"/>
          <w:highlight w:val="none"/>
          <w14:textFill>
            <w14:solidFill>
              <w14:schemeClr w14:val="tx1"/>
            </w14:solidFill>
          </w14:textFill>
        </w:rPr>
        <w:t>选矿废水量约为</w:t>
      </w:r>
      <w:r>
        <w:rPr>
          <w:rFonts w:hint="eastAsia"/>
          <w:color w:val="000000" w:themeColor="text1"/>
          <w:highlight w:val="none"/>
          <w:lang w:val="zh-CN"/>
          <w14:textFill>
            <w14:solidFill>
              <w14:schemeClr w14:val="tx1"/>
            </w14:solidFill>
          </w14:textFill>
        </w:rPr>
        <w:t>4371.4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131.14</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r>
        <w:rPr>
          <w:rFonts w:hint="eastAsia"/>
          <w:color w:val="000000" w:themeColor="text1"/>
          <w:kern w:val="0"/>
          <w:highlight w:val="none"/>
          <w14:textFill>
            <w14:solidFill>
              <w14:schemeClr w14:val="tx1"/>
            </w14:solidFill>
          </w14:textFill>
        </w:rPr>
        <w:t>主要污染因子为</w:t>
      </w:r>
      <w:r>
        <w:rPr>
          <w:color w:val="000000" w:themeColor="text1"/>
          <w:kern w:val="0"/>
          <w:highlight w:val="none"/>
          <w14:textFill>
            <w14:solidFill>
              <w14:schemeClr w14:val="tx1"/>
            </w14:solidFill>
          </w14:textFill>
        </w:rPr>
        <w:t>pH</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COD</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SS</w:t>
      </w:r>
      <w:r>
        <w:rPr>
          <w:rFonts w:hint="eastAsia"/>
          <w:color w:val="000000" w:themeColor="text1"/>
          <w:kern w:val="0"/>
          <w:highlight w:val="none"/>
          <w14:textFill>
            <w14:solidFill>
              <w14:schemeClr w14:val="tx1"/>
            </w14:solidFill>
          </w14:textFill>
        </w:rPr>
        <w:t>及少量金属等</w:t>
      </w:r>
      <w:r>
        <w:rPr>
          <w:rFonts w:hint="eastAsia"/>
          <w:color w:val="000000" w:themeColor="text1"/>
          <w:highlight w:val="none"/>
          <w14:textFill>
            <w14:solidFill>
              <w14:schemeClr w14:val="tx1"/>
            </w14:solidFill>
          </w14:textFill>
        </w:rPr>
        <w:t>。</w:t>
      </w:r>
      <w:r>
        <w:rPr>
          <w:rFonts w:hint="eastAsia"/>
          <w:color w:val="000000" w:themeColor="text1"/>
          <w:kern w:val="0"/>
          <w:highlight w:val="none"/>
          <w14:textFill>
            <w14:solidFill>
              <w14:schemeClr w14:val="tx1"/>
            </w14:solidFill>
          </w14:textFill>
        </w:rPr>
        <w:t>选矿废水部分被铁精粉带走，精矿过滤水、尾矿浓缩压滤溢流水返回生产工序循环利用</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14:textFill>
            <w14:solidFill>
              <w14:schemeClr w14:val="tx1"/>
            </w14:solidFill>
          </w14:textFill>
        </w:rPr>
        <w:t>尾矿库设有回水系统，使用水泵将库内澄清水通过管道泵送至选矿厂生产回水池，供选矿循环使用，实现选矿废水</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闭路循环</w:t>
      </w:r>
      <w:r>
        <w:rPr>
          <w:rFonts w:hint="eastAsia"/>
          <w:color w:val="000000" w:themeColor="text1"/>
          <w:highlight w:val="none"/>
          <w14:textFill>
            <w14:solidFill>
              <w14:schemeClr w14:val="tx1"/>
            </w14:solidFill>
          </w14:textFill>
        </w:rPr>
        <w:t>”，不外排，</w:t>
      </w:r>
      <w:r>
        <w:rPr>
          <w:color w:val="000000" w:themeColor="text1"/>
          <w:kern w:val="0"/>
          <w:highlight w:val="none"/>
          <w14:textFill>
            <w14:solidFill>
              <w14:schemeClr w14:val="tx1"/>
            </w14:solidFill>
          </w14:textFill>
        </w:rPr>
        <w:t>对</w:t>
      </w:r>
      <w:r>
        <w:rPr>
          <w:rFonts w:hint="eastAsia"/>
          <w:color w:val="000000" w:themeColor="text1"/>
          <w:kern w:val="0"/>
          <w:highlight w:val="none"/>
          <w14:textFill>
            <w14:solidFill>
              <w14:schemeClr w14:val="tx1"/>
            </w14:solidFill>
          </w14:textFill>
        </w:rPr>
        <w:t>区域</w:t>
      </w:r>
      <w:r>
        <w:rPr>
          <w:color w:val="000000" w:themeColor="text1"/>
          <w:kern w:val="0"/>
          <w:highlight w:val="none"/>
          <w14:textFill>
            <w14:solidFill>
              <w14:schemeClr w14:val="tx1"/>
            </w14:solidFill>
          </w14:textFill>
        </w:rPr>
        <w:t>地下水水质影响较轻。</w:t>
      </w:r>
    </w:p>
    <w:p w14:paraId="69868A2C">
      <w:pPr>
        <w:widowControl/>
        <w:ind w:firstLine="480"/>
        <w:jc w:val="left"/>
        <w:rPr>
          <w:color w:val="000000" w:themeColor="text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②</w:t>
      </w:r>
      <w:r>
        <w:rPr>
          <w:color w:val="000000" w:themeColor="text1"/>
          <w:kern w:val="0"/>
          <w:highlight w:val="none"/>
          <w14:textFill>
            <w14:solidFill>
              <w14:schemeClr w14:val="tx1"/>
            </w14:solidFill>
          </w14:textFill>
        </w:rPr>
        <w:t>生活</w:t>
      </w:r>
      <w:r>
        <w:rPr>
          <w:rFonts w:hint="eastAsia"/>
          <w:color w:val="000000" w:themeColor="text1"/>
          <w:kern w:val="0"/>
          <w:highlight w:val="none"/>
          <w14:textFill>
            <w14:solidFill>
              <w14:schemeClr w14:val="tx1"/>
            </w14:solidFill>
          </w14:textFill>
        </w:rPr>
        <w:t>污水</w:t>
      </w:r>
      <w:r>
        <w:rPr>
          <w:color w:val="000000" w:themeColor="text1"/>
          <w:kern w:val="0"/>
          <w:highlight w:val="none"/>
          <w14:textFill>
            <w14:solidFill>
              <w14:schemeClr w14:val="tx1"/>
            </w14:solidFill>
          </w14:textFill>
        </w:rPr>
        <w:t>对地下水的影响</w:t>
      </w:r>
    </w:p>
    <w:p w14:paraId="3CF410F1">
      <w:pPr>
        <w:widowControl/>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本项目生活污水排入新建的地埋式一体化污水处理设施处理。鉴于当地蒸发量较大，为节约用水，项目餐饮废水经隔油池预处理后与盥洗废水等一同排入地埋式一体化污水处理设施（处理规模1m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/h）处理达到《农村生活污水处理排放标准》（DB65 4275-2019）表2规定的A级排放限值以及《城市污水再生利用 城市杂用水水质》（GB/T18920-2020）中的城市绿化、道路清扫、消防、建筑施工限值后</w:t>
      </w:r>
      <w:r>
        <w:rPr>
          <w:rFonts w:hint="eastAsia" w:ascii="宋体" w:hAnsi="宋体" w:cs="宋体"/>
          <w:color w:val="000000" w:themeColor="text1"/>
          <w:spacing w:val="-1"/>
          <w:highlight w:val="none"/>
          <w14:textFill>
            <w14:solidFill>
              <w14:schemeClr w14:val="tx1"/>
            </w14:solidFill>
          </w14:textFill>
        </w:rPr>
        <w:t>用于选矿生产工序循环利用及绿化</w:t>
      </w:r>
      <w:r>
        <w:rPr>
          <w:rFonts w:hint="eastAsia"/>
          <w:color w:val="000000" w:themeColor="text1"/>
          <w:highlight w:val="none"/>
          <w14:textFill>
            <w14:solidFill>
              <w14:schemeClr w14:val="tx1"/>
            </w14:solidFill>
          </w14:textFill>
        </w:rPr>
        <w:t>，不外排，对区域地下水水质影响较轻。</w:t>
      </w:r>
    </w:p>
    <w:p w14:paraId="5DDF6063">
      <w:pPr>
        <w:autoSpaceDE w:val="0"/>
        <w:autoSpaceDN w:val="0"/>
        <w:adjustRightInd w:val="0"/>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color w:val="000000" w:themeColor="text1"/>
          <w:highlight w:val="none"/>
          <w14:textFill>
            <w14:solidFill>
              <w14:schemeClr w14:val="tx1"/>
            </w14:solidFill>
          </w14:textFill>
        </w:rPr>
        <w:t>尾矿库</w:t>
      </w:r>
      <w:r>
        <w:rPr>
          <w:rFonts w:hint="eastAsia" w:ascii="Times New Roman" w:hAnsi="Times New Roman" w:cs="Times New Roman"/>
          <w:color w:val="000000" w:themeColor="text1"/>
          <w:kern w:val="2"/>
          <w:highlight w:val="none"/>
          <w:lang w:val="en-US" w:eastAsia="zh-CN"/>
          <w14:textFill>
            <w14:solidFill>
              <w14:schemeClr w14:val="tx1"/>
            </w14:solidFill>
          </w14:textFill>
        </w:rPr>
        <w:t>废水</w:t>
      </w:r>
      <w:r>
        <w:rPr>
          <w:color w:val="000000" w:themeColor="text1"/>
          <w:highlight w:val="none"/>
          <w14:textFill>
            <w14:solidFill>
              <w14:schemeClr w14:val="tx1"/>
            </w14:solidFill>
          </w14:textFill>
        </w:rPr>
        <w:t>对地下水的影响</w:t>
      </w:r>
    </w:p>
    <w:p w14:paraId="4C95A41D">
      <w:pPr>
        <w:pStyle w:val="10"/>
        <w:widowControl w:val="0"/>
        <w:overflowPunct w:val="0"/>
        <w:topLinePunct/>
        <w:spacing w:after="0"/>
        <w:ind w:firstLine="480"/>
        <w:jc w:val="both"/>
        <w:rPr>
          <w:rFonts w:ascii="Times New Roman" w:hAnsi="Times New Roman" w:cs="Times New Roman"/>
          <w:color w:val="000000" w:themeColor="text1"/>
          <w:kern w:val="2"/>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尾矿库蓄水对地下水的污染主要是由于污染物迁移穿过包气带进入含水层造成。</w:t>
      </w:r>
    </w:p>
    <w:p w14:paraId="6050A69A">
      <w:pPr>
        <w:pStyle w:val="10"/>
        <w:widowControl w:val="0"/>
        <w:overflowPunct w:val="0"/>
        <w:topLinePunct/>
        <w:spacing w:after="0"/>
        <w:ind w:firstLine="480"/>
        <w:jc w:val="both"/>
        <w:rPr>
          <w:rFonts w:ascii="Times New Roman" w:hAnsi="Times New Roman" w:cs="Times New Roman"/>
          <w:color w:val="000000" w:themeColor="text1"/>
          <w:kern w:val="2"/>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尾矿库废水能否进入含水层取决于地质、水文地质条件和工程采取的防渗漏措施。对于承压水层由于上部有隔水顶板，只要废水不进入补给区，就不会污染地下水。对于潜水含水层，若其顶板为厚度不大的强透水层，废水则有可能通过隔水顶板进入含水层。由于潜水含水层的埋藏特点，导致其在任何部位都可接受补给，污染的危险性较大，其能否被污染取决于包气带的土壤性质和厚度，包气带中的细小颗粒可以滤去吸附某些污染物质。当废水分布于流域系统的补给区时，随着时间延续，污染物质将沿流线从补给区向排泄区逐渐扩展，最终可波及整个流动系统。当污染源位于排泄区，污染影响的范围比较局限，对地下水的影响较小。</w:t>
      </w:r>
    </w:p>
    <w:p w14:paraId="131FE2AD">
      <w:pPr>
        <w:pStyle w:val="10"/>
        <w:widowControl w:val="0"/>
        <w:overflowPunct w:val="0"/>
        <w:topLinePunct/>
        <w:spacing w:after="0"/>
        <w:ind w:firstLine="480"/>
        <w:jc w:val="both"/>
        <w:rPr>
          <w:rFonts w:hint="eastAsia" w:ascii="Times New Roman" w:hAnsi="Times New Roman" w:cs="Times New Roman"/>
          <w:color w:val="000000" w:themeColor="text1"/>
          <w:kern w:val="2"/>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根据</w:t>
      </w:r>
      <w:r>
        <w:rPr>
          <w:rFonts w:hint="eastAsia" w:ascii="Times New Roman" w:hAnsi="Times New Roman"/>
          <w:color w:val="000000" w:themeColor="text1"/>
          <w:sz w:val="24"/>
          <w:lang w:val="en-US" w:eastAsia="zh-CN"/>
          <w14:textFill>
            <w14:solidFill>
              <w14:schemeClr w14:val="tx1"/>
            </w14:solidFill>
          </w14:textFill>
        </w:rPr>
        <w:t>《哈密市西成矿业有限责任公司M1033铁矿选矿厂改建工程岩土工程详细勘察</w:t>
      </w:r>
      <w:r>
        <w:rPr>
          <w:rFonts w:hint="eastAsia" w:ascii="Times New Roman" w:hAnsi="Times New Roman"/>
          <w:color w:val="000000" w:themeColor="text1"/>
          <w:sz w:val="24"/>
          <w:szCs w:val="24"/>
          <w:lang w:val="en-US" w:eastAsia="zh-CN"/>
          <w14:textFill>
            <w14:solidFill>
              <w14:schemeClr w14:val="tx1"/>
            </w14:solidFill>
          </w14:textFill>
        </w:rPr>
        <w:t>报告</w:t>
      </w:r>
      <w:r>
        <w:rPr>
          <w:rFonts w:hint="eastAsia" w:ascii="Times New Roman" w:hAnsi="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天然基础层饱和渗透系数约5.2×10</w:t>
      </w:r>
      <w:r>
        <w:rPr>
          <w:rFonts w:hint="eastAsia" w:ascii="Times New Roman" w:hAnsi="Times New Roman" w:cs="Times New Roman"/>
          <w:color w:val="000000" w:themeColor="text1"/>
          <w:kern w:val="2"/>
          <w:sz w:val="24"/>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~5.78×10</w:t>
      </w:r>
      <w:r>
        <w:rPr>
          <w:rFonts w:hint="eastAsia" w:ascii="Times New Roman" w:hAnsi="Times New Roman" w:cs="Times New Roman"/>
          <w:color w:val="000000" w:themeColor="text1"/>
          <w:kern w:val="2"/>
          <w:sz w:val="24"/>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cm/s，小于1.0×10</w:t>
      </w:r>
      <w:r>
        <w:rPr>
          <w:rFonts w:hint="eastAsia" w:ascii="Times New Roman" w:hAnsi="Times New Roman" w:cs="Times New Roman"/>
          <w:color w:val="000000" w:themeColor="text1"/>
          <w:kern w:val="2"/>
          <w:sz w:val="24"/>
          <w:highlight w:val="none"/>
          <w:vertAlign w:val="superscript"/>
          <w:lang w:val="en-US" w:eastAsia="zh-CN"/>
          <w14:textFill>
            <w14:solidFill>
              <w14:schemeClr w14:val="tx1"/>
            </w14:solidFill>
          </w14:textFill>
        </w:rPr>
        <w:t>-5</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cm/s。因此，</w:t>
      </w:r>
      <w:r>
        <w:rPr>
          <w:rFonts w:hint="eastAsia" w:ascii="Times New Roman" w:hAnsi="Times New Roman" w:cs="Times New Roman"/>
          <w:color w:val="000000" w:themeColor="text1"/>
          <w:kern w:val="2"/>
          <w:sz w:val="24"/>
          <w:highlight w:val="none"/>
          <w14:textFill>
            <w14:solidFill>
              <w14:schemeClr w14:val="tx1"/>
            </w14:solidFill>
          </w14:textFill>
        </w:rPr>
        <w:t>本项目尾矿库区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应</w:t>
      </w:r>
      <w:r>
        <w:rPr>
          <w:rFonts w:ascii="Times New Roman" w:hAnsi="Times New Roman" w:cs="Times New Roman"/>
          <w:color w:val="000000" w:themeColor="text1"/>
          <w:kern w:val="2"/>
          <w:sz w:val="24"/>
          <w:highlight w:val="none"/>
          <w14:textFill>
            <w14:solidFill>
              <w14:schemeClr w14:val="tx1"/>
            </w14:solidFill>
          </w14:textFill>
        </w:rPr>
        <w:t>依据</w:t>
      </w:r>
      <w:r>
        <w:rPr>
          <w:rFonts w:hint="eastAsia" w:ascii="Times New Roman" w:hAnsi="Times New Roman" w:cs="Times New Roman"/>
          <w:color w:val="000000" w:themeColor="text1"/>
          <w:kern w:val="2"/>
          <w:sz w:val="24"/>
          <w:highlight w:val="none"/>
          <w14:textFill>
            <w14:solidFill>
              <w14:schemeClr w14:val="tx1"/>
            </w14:solidFill>
          </w14:textFill>
        </w:rPr>
        <w:t>《一般工业固体废物贮存和填埋污染控制标准》（GB18599-2020）</w:t>
      </w:r>
      <w:r>
        <w:rPr>
          <w:rFonts w:ascii="Times New Roman" w:hAnsi="Times New Roman" w:cs="Times New Roman"/>
          <w:color w:val="000000" w:themeColor="text1"/>
          <w:kern w:val="2"/>
          <w:sz w:val="24"/>
          <w:highlight w:val="none"/>
          <w14:textFill>
            <w14:solidFill>
              <w14:schemeClr w14:val="tx1"/>
            </w14:solidFill>
          </w14:textFill>
        </w:rPr>
        <w:t>规定，</w:t>
      </w:r>
      <w:r>
        <w:rPr>
          <w:rFonts w:hint="eastAsia" w:ascii="Times New Roman" w:hAnsi="Times New Roman" w:cs="Times New Roman"/>
          <w:color w:val="000000" w:themeColor="text1"/>
          <w:kern w:val="2"/>
          <w:sz w:val="24"/>
          <w:highlight w:val="none"/>
          <w14:textFill>
            <w14:solidFill>
              <w14:schemeClr w14:val="tx1"/>
            </w14:solidFill>
          </w14:textFill>
        </w:rPr>
        <w:t>防渗层采用</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改性压实粘土类衬层或具有同等以上隔水效力的其他材料防渗衬层，其防渗性能应至少相当于渗透系数为1.0×10</w:t>
      </w:r>
      <w:r>
        <w:rPr>
          <w:rFonts w:hint="eastAsia" w:ascii="Times New Roman" w:hAnsi="Times New Roman" w:cs="Times New Roman"/>
          <w:color w:val="000000" w:themeColor="text1"/>
          <w:kern w:val="2"/>
          <w:sz w:val="24"/>
          <w:highlight w:val="none"/>
          <w:vertAlign w:val="superscript"/>
          <w:lang w:val="en-US" w:eastAsia="zh-CN"/>
          <w14:textFill>
            <w14:solidFill>
              <w14:schemeClr w14:val="tx1"/>
            </w14:solidFill>
          </w14:textFill>
        </w:rPr>
        <w:t>-5</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cm/s且厚度为0.75m的天然基础层。根据本项目设计资料，</w:t>
      </w:r>
      <w:r>
        <w:rPr>
          <w:rFonts w:hint="default" w:ascii="Times New Roman" w:hAnsi="Times New Roman" w:cs="Times New Roman"/>
          <w:color w:val="000000" w:themeColor="text1"/>
          <w:sz w:val="24"/>
          <w:szCs w:val="24"/>
          <w:highlight w:val="none"/>
          <w:lang w:eastAsia="zh-CN"/>
          <w14:textFill>
            <w14:solidFill>
              <w14:schemeClr w14:val="tx1"/>
            </w14:solidFill>
          </w14:textFill>
        </w:rPr>
        <w:t>尾矿库防渗型式采用全库区水平防渗，防渗衬垫系统由下至上依次为：</w:t>
      </w:r>
      <w:r>
        <w:rPr>
          <w:rFonts w:hint="eastAsia" w:ascii="Times New Roman" w:hAnsi="Times New Roman" w:cs="Times New Roman"/>
          <w:bCs/>
          <w:color w:val="000000" w:themeColor="text1"/>
          <w:sz w:val="24"/>
          <w:szCs w:val="24"/>
          <w:lang w:val="en-US" w:eastAsia="zh-CN"/>
          <w14:textFill>
            <w14:solidFill>
              <w14:schemeClr w14:val="tx1"/>
            </w14:solidFill>
          </w14:textFill>
        </w:rPr>
        <w:t>整平压实基础、500mm厚压实粘土（压实后渗透系数≤1.0×10</w:t>
      </w:r>
      <w:r>
        <w:rPr>
          <w:rFonts w:hint="eastAsia" w:ascii="Times New Roman" w:hAnsi="Times New Roman" w:cs="Times New Roman"/>
          <w:bCs/>
          <w:color w:val="000000" w:themeColor="text1"/>
          <w:sz w:val="24"/>
          <w:szCs w:val="24"/>
          <w:vertAlign w:val="superscript"/>
          <w:lang w:val="en-US" w:eastAsia="zh-CN"/>
          <w14:textFill>
            <w14:solidFill>
              <w14:schemeClr w14:val="tx1"/>
            </w14:solidFill>
          </w14:textFill>
        </w:rPr>
        <w:t>-10</w:t>
      </w:r>
      <w:r>
        <w:rPr>
          <w:rFonts w:hint="eastAsia" w:ascii="Times New Roman" w:hAnsi="Times New Roman" w:cs="Times New Roman"/>
          <w:bCs/>
          <w:color w:val="000000" w:themeColor="text1"/>
          <w:sz w:val="24"/>
          <w:szCs w:val="24"/>
          <w:lang w:val="en-US" w:eastAsia="zh-CN"/>
          <w14:textFill>
            <w14:solidFill>
              <w14:schemeClr w14:val="tx1"/>
            </w14:solidFill>
          </w14:textFill>
        </w:rPr>
        <w:t>cm/s）、400g/m</w:t>
      </w:r>
      <w:r>
        <w:rPr>
          <w:rFonts w:hint="eastAsia" w:ascii="Times New Roman" w:hAnsi="Times New Roman" w:cs="Times New Roman"/>
          <w:bCs/>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bCs/>
          <w:color w:val="000000" w:themeColor="text1"/>
          <w:sz w:val="24"/>
          <w:szCs w:val="24"/>
          <w:lang w:val="en-US" w:eastAsia="zh-CN"/>
          <w14:textFill>
            <w14:solidFill>
              <w14:schemeClr w14:val="tx1"/>
            </w14:solidFill>
          </w14:textFill>
        </w:rPr>
        <w:t>的防渗土工膜、300mm厚砂砾覆盖层，</w:t>
      </w:r>
      <w:r>
        <w:rPr>
          <w:rFonts w:hint="eastAsia" w:ascii="Times New Roman" w:hAnsi="Times New Roman" w:cs="Times New Roman"/>
          <w:bCs/>
          <w:color w:val="000000" w:themeColor="text1"/>
          <w:sz w:val="24"/>
          <w:szCs w:val="24"/>
          <w:lang w:eastAsia="zh-CN"/>
          <w14:textFill>
            <w14:solidFill>
              <w14:schemeClr w14:val="tx1"/>
            </w14:solidFill>
          </w14:textFill>
        </w:rPr>
        <w:t>满足《一般工业固体废物贮存和填埋污染控制标准》（GB18599-2020）中I类场规定的“天然基础层饱和渗透系数不大于1.0×10</w:t>
      </w:r>
      <w:r>
        <w:rPr>
          <w:rFonts w:hint="eastAsia" w:ascii="Times New Roman" w:hAnsi="Times New Roman" w:cs="Times New Roman"/>
          <w:bCs/>
          <w:color w:val="000000" w:themeColor="text1"/>
          <w:sz w:val="24"/>
          <w:szCs w:val="24"/>
          <w:vertAlign w:val="superscript"/>
          <w:lang w:val="en-US" w:eastAsia="zh-CN"/>
          <w14:textFill>
            <w14:solidFill>
              <w14:schemeClr w14:val="tx1"/>
            </w14:solidFill>
          </w14:textFill>
        </w:rPr>
        <w:t>-</w:t>
      </w:r>
      <w:r>
        <w:rPr>
          <w:rFonts w:hint="eastAsia" w:ascii="Times New Roman" w:hAnsi="Times New Roman" w:cs="Times New Roman"/>
          <w:bCs/>
          <w:color w:val="000000" w:themeColor="text1"/>
          <w:sz w:val="24"/>
          <w:szCs w:val="24"/>
          <w:vertAlign w:val="superscript"/>
          <w:lang w:eastAsia="zh-CN"/>
          <w14:textFill>
            <w14:solidFill>
              <w14:schemeClr w14:val="tx1"/>
            </w14:solidFill>
          </w14:textFill>
        </w:rPr>
        <w:t>5</w:t>
      </w:r>
      <w:r>
        <w:rPr>
          <w:rFonts w:hint="eastAsia" w:ascii="Times New Roman" w:hAnsi="Times New Roman" w:cs="Times New Roman"/>
          <w:bCs/>
          <w:color w:val="000000" w:themeColor="text1"/>
          <w:sz w:val="24"/>
          <w:szCs w:val="24"/>
          <w:lang w:eastAsia="zh-CN"/>
          <w14:textFill>
            <w14:solidFill>
              <w14:schemeClr w14:val="tx1"/>
            </w14:solidFill>
          </w14:textFill>
        </w:rPr>
        <w:t>cm/s，且厚度不小于0.75m”的要求。</w:t>
      </w:r>
    </w:p>
    <w:p w14:paraId="26E33C07">
      <w:pPr>
        <w:pStyle w:val="10"/>
        <w:widowControl w:val="0"/>
        <w:overflowPunct w:val="0"/>
        <w:topLinePunct/>
        <w:spacing w:after="0"/>
        <w:ind w:firstLine="480"/>
        <w:jc w:val="both"/>
        <w:rPr>
          <w:rFonts w:hint="default" w:ascii="Times New Roman" w:hAnsi="Times New Roman" w:cs="Times New Roman"/>
          <w:color w:val="000000" w:themeColor="text1"/>
          <w:kern w:val="2"/>
          <w:highlight w:val="none"/>
          <w:lang w:val="en-US"/>
          <w14:textFill>
            <w14:solidFill>
              <w14:schemeClr w14:val="tx1"/>
            </w14:solidFill>
          </w14:textFill>
        </w:rPr>
      </w:pPr>
      <w:r>
        <w:rPr>
          <w:rFonts w:hint="eastAsia" w:ascii="Times New Roman" w:hAnsi="Times New Roman" w:cs="Times New Roman"/>
          <w:color w:val="000000" w:themeColor="text1"/>
          <w:kern w:val="2"/>
          <w:highlight w:val="none"/>
          <w:lang w:val="en-US" w:eastAsia="zh-CN"/>
          <w14:textFill>
            <w14:solidFill>
              <w14:schemeClr w14:val="tx1"/>
            </w14:solidFill>
          </w14:textFill>
        </w:rPr>
        <w:t>尾矿库在按照</w:t>
      </w:r>
      <w:r>
        <w:rPr>
          <w:rFonts w:hint="eastAsia" w:ascii="Times New Roman" w:hAnsi="Times New Roman" w:cs="Times New Roman"/>
          <w:color w:val="000000" w:themeColor="text1"/>
          <w:kern w:val="2"/>
          <w:highlight w:val="none"/>
          <w14:textFill>
            <w14:solidFill>
              <w14:schemeClr w14:val="tx1"/>
            </w14:solidFill>
          </w14:textFill>
        </w:rPr>
        <w:t>《一般工业固体废物贮存和填埋污染控制标准》（GB18599-2020）</w:t>
      </w:r>
      <w:r>
        <w:rPr>
          <w:rFonts w:ascii="Times New Roman" w:hAnsi="Times New Roman" w:cs="Times New Roman"/>
          <w:color w:val="000000" w:themeColor="text1"/>
          <w:kern w:val="2"/>
          <w:highlight w:val="none"/>
          <w14:textFill>
            <w14:solidFill>
              <w14:schemeClr w14:val="tx1"/>
            </w14:solidFill>
          </w14:textFill>
        </w:rPr>
        <w:t>规定</w:t>
      </w:r>
      <w:r>
        <w:rPr>
          <w:rFonts w:hint="eastAsia" w:ascii="Times New Roman" w:hAnsi="Times New Roman" w:cs="Times New Roman"/>
          <w:color w:val="000000" w:themeColor="text1"/>
          <w:kern w:val="2"/>
          <w:highlight w:val="none"/>
          <w:lang w:val="en-US" w:eastAsia="zh-CN"/>
          <w14:textFill>
            <w14:solidFill>
              <w14:schemeClr w14:val="tx1"/>
            </w14:solidFill>
          </w14:textFill>
        </w:rPr>
        <w:t>采取防渗措施的前提下，对地下水环境影响可接受。</w:t>
      </w:r>
    </w:p>
    <w:p w14:paraId="60EFC8B7">
      <w:pPr>
        <w:pStyle w:val="5"/>
        <w:ind w:firstLine="482"/>
        <w:rPr>
          <w:color w:val="000000" w:themeColor="text1"/>
          <w:highlight w:val="none"/>
          <w:lang w:val="zh-CN"/>
          <w14:textFill>
            <w14:solidFill>
              <w14:schemeClr w14:val="tx1"/>
            </w14:solidFill>
          </w14:textFill>
        </w:rPr>
      </w:pPr>
      <w:r>
        <w:rPr>
          <w:color w:val="000000" w:themeColor="text1"/>
          <w:highlight w:val="none"/>
          <w14:textFill>
            <w14:solidFill>
              <w14:schemeClr w14:val="tx1"/>
            </w14:solidFill>
          </w14:textFill>
        </w:rPr>
        <w:t>5.2.3.</w:t>
      </w: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非正常工况下</w:t>
      </w:r>
      <w:r>
        <w:rPr>
          <w:color w:val="000000" w:themeColor="text1"/>
          <w:highlight w:val="none"/>
          <w14:textFill>
            <w14:solidFill>
              <w14:schemeClr w14:val="tx1"/>
            </w14:solidFill>
          </w14:textFill>
        </w:rPr>
        <w:t>地下水环境影响预测与评价</w:t>
      </w:r>
    </w:p>
    <w:p w14:paraId="23D381C5">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本次非正常工况主要考虑了生产过程中由于</w:t>
      </w:r>
      <w:r>
        <w:rPr>
          <w:rFonts w:hint="eastAsia" w:ascii="Times New Roman" w:hAnsi="Times New Roman" w:cs="Times New Roman"/>
          <w:color w:val="000000" w:themeColor="text1"/>
          <w:kern w:val="2"/>
          <w:lang w:val="en-US" w:eastAsia="zh-CN"/>
          <w14:textFill>
            <w14:solidFill>
              <w14:schemeClr w14:val="tx1"/>
            </w14:solidFill>
          </w14:textFill>
        </w:rPr>
        <w:t>工艺设备或地下水环境保护措施因系统老化、腐蚀等原因不能正常运行或保护效果达不到设计要求，从而使防渗层功能降低，污染物进入含水层中，污染地下水。因此非正常状况为本次预测的重点。</w:t>
      </w:r>
    </w:p>
    <w:p w14:paraId="4C7BE335">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废水能否进入含水层取决于地质、水文地质条件和工程采取的防渗漏措施。对于承压水层由于上部有隔水顶板，只要废水不进入补给区，就不会污染地下水。对于潜水含水层，若其顶板为厚度不大的强透水层，废水则有可能通过包气带进入含水层。由于潜水含水层的埋藏特点，导致其在任何部位都可接受补给，污染的危险性较大，其能否被污染取决于包气带的土壤性质和厚度，包气带中的细小颗粒可以滤去吸附某些污染物质。</w:t>
      </w:r>
    </w:p>
    <w:p w14:paraId="25C8D22F">
      <w:pPr>
        <w:overflowPunct w:val="0"/>
        <w:topLinePunct/>
        <w:ind w:firstLine="480"/>
        <w:rPr>
          <w:rFonts w:hint="eastAsia" w:ascii="Times New Roman" w:hAnsi="Times New Roman" w:eastAsia="宋体" w:cs="Times New Roman"/>
          <w:color w:val="000000" w:themeColor="text1"/>
          <w:szCs w:val="24"/>
          <w:lang w:val="en-US" w:eastAsia="zh-CN"/>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当废水分布于流域系统的补给区时，随着时间延续，污染物质将沿流线从补给区向排泄区逐渐扩展，最终可波及整个流动系统。当污染源位于排泄区，污染影响的范围比较局限，对地下水的影响较小。</w:t>
      </w:r>
      <w:r>
        <w:rPr>
          <w:rFonts w:hint="eastAsia" w:cs="Times New Roman"/>
          <w:color w:val="000000" w:themeColor="text1"/>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选矿厂内大部分生产设备均在架空的设备层上，设备底部施工有围岩或跑冒滴漏废水收集池，正常情况下不会发生生产设备破裂导致的泄漏情况，即使发生泄漏，也极易被发现并采取措施进行处理。而对于回水池这种直接接地的水池，若发生泄漏，较难以被发现，可能导致回水池内废水持续泄漏污染地下水，因此，选矿厂对地下水造成污染的风险源主要为选矿厂内的回水池，将回水池作为本次评价预测对象</w:t>
      </w:r>
      <w:r>
        <w:rPr>
          <w:rFonts w:hint="eastAsia" w:ascii="Times New Roman" w:hAnsi="Times New Roman" w:cs="Times New Roman"/>
          <w:color w:val="000000" w:themeColor="text1"/>
          <w:spacing w:val="0"/>
          <w:w w:val="100"/>
          <w:position w:val="0"/>
          <w:sz w:val="24"/>
          <w:szCs w:val="24"/>
          <w:highlight w:val="none"/>
          <w:lang w:eastAsia="zh-CN"/>
          <w14:textFill>
            <w14:solidFill>
              <w14:schemeClr w14:val="tx1"/>
            </w14:solidFill>
          </w14:textFill>
        </w:rPr>
        <w:t>，</w:t>
      </w:r>
      <w:r>
        <w:rPr>
          <w:rFonts w:hint="eastAsia" w:cs="Times New Roman"/>
          <w:color w:val="000000" w:themeColor="text1"/>
          <w:kern w:val="2"/>
          <w:lang w:val="en-US" w:eastAsia="zh-CN"/>
          <w14:textFill>
            <w14:solidFill>
              <w14:schemeClr w14:val="tx1"/>
            </w14:solidFill>
          </w14:textFill>
        </w:rPr>
        <w:t>预测非正常工况下</w:t>
      </w:r>
      <w:r>
        <w:rPr>
          <w:rFonts w:hint="eastAsia" w:ascii="Times New Roman" w:hAnsi="Times New Roman" w:cs="Times New Roman"/>
          <w:color w:val="000000" w:themeColor="text1"/>
          <w:kern w:val="2"/>
          <w:lang w:val="en-US" w:eastAsia="zh-CN"/>
          <w14:textFill>
            <w14:solidFill>
              <w14:schemeClr w14:val="tx1"/>
            </w14:solidFill>
          </w14:textFill>
        </w:rPr>
        <w:t>污染物在潜水含水层中的迁移。</w:t>
      </w:r>
    </w:p>
    <w:p w14:paraId="297B9F34">
      <w:pPr>
        <w:ind w:firstLine="48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1</w:t>
      </w:r>
      <w:r>
        <w:rPr>
          <w:rFonts w:hint="eastAsia" w:ascii="Times New Roman" w:hAnsi="Times New Roman"/>
          <w:color w:val="000000" w:themeColor="text1"/>
          <w:sz w:val="24"/>
          <w:lang w:eastAsia="zh-CN"/>
          <w14:textFill>
            <w14:solidFill>
              <w14:schemeClr w14:val="tx1"/>
            </w14:solidFill>
          </w14:textFill>
        </w:rPr>
        <w:t>）</w:t>
      </w:r>
      <w:r>
        <w:rPr>
          <w:rFonts w:ascii="Times New Roman" w:hAnsi="Times New Roman"/>
          <w:color w:val="000000" w:themeColor="text1"/>
          <w:sz w:val="24"/>
          <w14:textFill>
            <w14:solidFill>
              <w14:schemeClr w14:val="tx1"/>
            </w14:solidFill>
          </w14:textFill>
        </w:rPr>
        <w:t>预测范围</w:t>
      </w:r>
      <w:r>
        <w:rPr>
          <w:rFonts w:hint="eastAsia" w:ascii="Times New Roman" w:hAnsi="Times New Roman" w:cs="Times New Roman"/>
          <w:color w:val="000000" w:themeColor="text1"/>
          <w:kern w:val="2"/>
          <w:sz w:val="24"/>
          <w:lang w:eastAsia="zh-CN"/>
          <w14:textFill>
            <w14:solidFill>
              <w14:schemeClr w14:val="tx1"/>
            </w14:solidFill>
          </w14:textFill>
        </w:rPr>
        <w:t>及时间</w:t>
      </w:r>
    </w:p>
    <w:p w14:paraId="1C115B6A">
      <w:pPr>
        <w:ind w:firstLine="480"/>
        <w:rPr>
          <w:rFonts w:ascii="Times New Roman" w:hAnsi="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地下水环境影响预测范围一般与调查评价范围一致。预测层位以潜水含水层为主。</w:t>
      </w:r>
    </w:p>
    <w:p w14:paraId="618072A3">
      <w:pPr>
        <w:keepNext w:val="0"/>
        <w:keepLines w:val="0"/>
        <w:pageBreakBefore w:val="0"/>
        <w:widowControl w:val="0"/>
        <w:kinsoku/>
        <w:wordWrap/>
        <w:overflowPunct/>
        <w:topLinePunct w:val="0"/>
        <w:autoSpaceDE w:val="0"/>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预测时间为100d、</w:t>
      </w:r>
      <w:r>
        <w:rPr>
          <w:rFonts w:hint="eastAsia" w:ascii="Times New Roman" w:hAnsi="Times New Roman" w:cs="Times New Roman"/>
          <w:color w:val="000000" w:themeColor="text1"/>
          <w:sz w:val="24"/>
          <w:highlight w:val="none"/>
          <w:lang w:val="en-US" w:eastAsia="zh-CN"/>
          <w14:textFill>
            <w14:solidFill>
              <w14:schemeClr w14:val="tx1"/>
            </w14:solidFill>
          </w14:textFill>
        </w:rPr>
        <w:t>1000d、3650d、5000</w:t>
      </w:r>
      <w:r>
        <w:rPr>
          <w:rFonts w:hint="default" w:ascii="Times New Roman" w:hAnsi="Times New Roman" w:eastAsia="宋体" w:cs="Times New Roman"/>
          <w:color w:val="000000" w:themeColor="text1"/>
          <w:sz w:val="24"/>
          <w:highlight w:val="none"/>
          <w14:textFill>
            <w14:solidFill>
              <w14:schemeClr w14:val="tx1"/>
            </w14:solidFill>
          </w14:textFill>
        </w:rPr>
        <w:t>d。</w:t>
      </w:r>
    </w:p>
    <w:p w14:paraId="0E2901B0">
      <w:pPr>
        <w:pStyle w:val="10"/>
        <w:widowControl w:val="0"/>
        <w:overflowPunct w:val="0"/>
        <w:topLinePunct/>
        <w:spacing w:after="0"/>
        <w:ind w:firstLine="480"/>
        <w:jc w:val="both"/>
        <w:rPr>
          <w:rFonts w:hint="eastAsia" w:ascii="Times New Roman" w:hAnsi="Times New Roman" w:cs="Times New Roman"/>
          <w:color w:val="000000" w:themeColor="text1"/>
          <w:kern w:val="2"/>
          <w:sz w:val="24"/>
          <w:highlight w:val="none"/>
          <w14:textFill>
            <w14:solidFill>
              <w14:schemeClr w14:val="tx1"/>
            </w14:solidFill>
          </w14:textFill>
        </w:rPr>
      </w:pPr>
      <w:r>
        <w:rPr>
          <w:rFonts w:hint="eastAsia" w:ascii="Times New Roman" w:hAnsi="Times New Roman" w:cs="Times New Roman"/>
          <w:color w:val="000000" w:themeColor="text1"/>
          <w:kern w:val="2"/>
          <w:sz w:val="24"/>
          <w:highlight w:val="none"/>
          <w14:textFill>
            <w14:solidFill>
              <w14:schemeClr w14:val="tx1"/>
            </w14:solidFill>
          </w14:textFill>
        </w:rPr>
        <w:t>（2）预测因子及浓度确定</w:t>
      </w:r>
    </w:p>
    <w:p w14:paraId="6C5925A4">
      <w:pPr>
        <w:pStyle w:val="10"/>
        <w:widowControl w:val="0"/>
        <w:overflowPunct w:val="0"/>
        <w:topLinePunct/>
        <w:spacing w:after="0"/>
        <w:ind w:firstLine="480"/>
        <w:jc w:val="both"/>
        <w:rPr>
          <w:rFonts w:hint="default" w:ascii="Times New Roman" w:hAnsi="Times New Roman" w:cs="Times New Roman"/>
          <w:color w:val="000000" w:themeColor="text1"/>
          <w:kern w:val="2"/>
          <w:sz w:val="24"/>
          <w:highlight w:val="none"/>
          <w:lang w:val="en-US"/>
          <w14:textFill>
            <w14:solidFill>
              <w14:schemeClr w14:val="tx1"/>
            </w14:solidFill>
          </w14:textFill>
        </w:rPr>
      </w:pPr>
      <w:r>
        <w:rPr>
          <w:rFonts w:hint="eastAsia" w:ascii="Times New Roman" w:hAnsi="Times New Roman" w:cs="Times New Roman"/>
          <w:color w:val="000000" w:themeColor="text1"/>
          <w:kern w:val="2"/>
          <w:sz w:val="24"/>
          <w:highlight w:val="none"/>
          <w14:textFill>
            <w14:solidFill>
              <w14:schemeClr w14:val="tx1"/>
            </w14:solidFill>
          </w14:textFill>
        </w:rPr>
        <w:t>根据《环境影响评价技术导则 地下水环境》（HJ610-2016），预测因子为识别的特征因子、国家或地方要求控制的污染物。特征因子应根据建设项目污废水成分、液体物料成分、固废浸出液成分等确定，</w:t>
      </w:r>
      <w:r>
        <w:rPr>
          <w:rFonts w:hint="eastAsia" w:ascii="Times New Roman" w:hAnsi="Times New Roman" w:cs="Times New Roman"/>
          <w:color w:val="000000" w:themeColor="text1"/>
          <w:spacing w:val="0"/>
          <w:kern w:val="0"/>
          <w:sz w:val="24"/>
          <w:highlight w:val="none"/>
          <w:lang w:val="en-US" w:eastAsia="zh-CN"/>
          <w14:textFill>
            <w14:solidFill>
              <w14:schemeClr w14:val="tx1"/>
            </w14:solidFill>
          </w14:textFill>
        </w:rPr>
        <w:t>根据新疆环疆绿源环保科技有限公司</w:t>
      </w:r>
      <w:r>
        <w:rPr>
          <w:rFonts w:hint="default" w:ascii="Times New Roman" w:hAnsi="Times New Roman" w:eastAsia="宋体" w:cs="Times New Roman"/>
          <w:bCs/>
          <w:color w:val="000000" w:themeColor="text1"/>
          <w:spacing w:val="0"/>
          <w:sz w:val="24"/>
          <w:highlight w:val="none"/>
          <w14:textFill>
            <w14:solidFill>
              <w14:schemeClr w14:val="tx1"/>
            </w14:solidFill>
          </w14:textFill>
        </w:rPr>
        <w:t>对</w:t>
      </w:r>
      <w:r>
        <w:rPr>
          <w:rFonts w:hint="eastAsia" w:ascii="Times New Roman" w:hAnsi="Times New Roman" w:cs="Times New Roman"/>
          <w:bCs/>
          <w:color w:val="000000" w:themeColor="text1"/>
          <w:spacing w:val="0"/>
          <w:sz w:val="24"/>
          <w:highlight w:val="none"/>
          <w:lang w:eastAsia="zh-CN"/>
          <w14:textFill>
            <w14:solidFill>
              <w14:schemeClr w14:val="tx1"/>
            </w14:solidFill>
          </w14:textFill>
        </w:rPr>
        <w:t>本项目</w:t>
      </w:r>
      <w:r>
        <w:rPr>
          <w:rFonts w:hint="eastAsia" w:ascii="Times New Roman" w:hAnsi="Times New Roman" w:cs="Times New Roman"/>
          <w:bCs/>
          <w:color w:val="000000" w:themeColor="text1"/>
          <w:spacing w:val="0"/>
          <w:sz w:val="24"/>
          <w:highlight w:val="none"/>
          <w:lang w:val="en-US" w:eastAsia="zh-CN"/>
          <w14:textFill>
            <w14:solidFill>
              <w14:schemeClr w14:val="tx1"/>
            </w14:solidFill>
          </w14:textFill>
        </w:rPr>
        <w:t>尾砂</w:t>
      </w:r>
      <w:r>
        <w:rPr>
          <w:rFonts w:hint="default" w:ascii="Times New Roman" w:hAnsi="Times New Roman" w:eastAsia="宋体" w:cs="Times New Roman"/>
          <w:bCs/>
          <w:color w:val="000000" w:themeColor="text1"/>
          <w:spacing w:val="0"/>
          <w:sz w:val="24"/>
          <w:highlight w:val="none"/>
          <w14:textFill>
            <w14:solidFill>
              <w14:schemeClr w14:val="tx1"/>
            </w14:solidFill>
          </w14:textFill>
        </w:rPr>
        <w:t>进行</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浸出试验，浸出试验表明，各项有毒有害元素浓度均未超过《危险废物鉴别标准-浸出毒性鉴别》（GB5085.3-2007）中的标准要求，因此</w:t>
      </w:r>
      <w:r>
        <w:rPr>
          <w:rFonts w:hint="eastAsia" w:ascii="Times New Roman" w:hAnsi="Times New Roman" w:cs="Times New Roman"/>
          <w:color w:val="000000" w:themeColor="text1"/>
          <w:spacing w:val="0"/>
          <w:kern w:val="0"/>
          <w:sz w:val="24"/>
          <w:highlight w:val="none"/>
          <w:lang w:eastAsia="zh-CN"/>
          <w14:textFill>
            <w14:solidFill>
              <w14:schemeClr w14:val="tx1"/>
            </w14:solidFill>
          </w14:textFill>
        </w:rPr>
        <w:t>本项目</w:t>
      </w:r>
      <w:r>
        <w:rPr>
          <w:rFonts w:hint="eastAsia" w:ascii="Times New Roman" w:hAnsi="Times New Roman" w:cs="Times New Roman"/>
          <w:color w:val="000000" w:themeColor="text1"/>
          <w:spacing w:val="0"/>
          <w:kern w:val="0"/>
          <w:sz w:val="24"/>
          <w:highlight w:val="none"/>
          <w:lang w:val="en-US" w:eastAsia="zh-CN"/>
          <w14:textFill>
            <w14:solidFill>
              <w14:schemeClr w14:val="tx1"/>
            </w14:solidFill>
          </w14:textFill>
        </w:rPr>
        <w:t>尾砂</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不具有危险特性，为Ⅰ类一般固体废物。同时浸出液中所有监测项目浓度值均低于《污水综合排放标准》（GB8978-1996）中最高允许排放浓度，且pH值为</w:t>
      </w:r>
      <w:r>
        <w:rPr>
          <w:rFonts w:hint="eastAsia" w:ascii="Times New Roman" w:hAnsi="Times New Roman" w:cs="Times New Roman"/>
          <w:color w:val="000000" w:themeColor="text1"/>
          <w:spacing w:val="0"/>
          <w:kern w:val="0"/>
          <w:sz w:val="24"/>
          <w:highlight w:val="none"/>
          <w:lang w:val="en-US" w:eastAsia="zh-CN"/>
          <w14:textFill>
            <w14:solidFill>
              <w14:schemeClr w14:val="tx1"/>
            </w14:solidFill>
          </w14:textFill>
        </w:rPr>
        <w:t>8.92</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，由此确定</w:t>
      </w:r>
      <w:r>
        <w:rPr>
          <w:rFonts w:hint="eastAsia" w:ascii="Times New Roman" w:hAnsi="Times New Roman" w:cs="Times New Roman"/>
          <w:color w:val="000000" w:themeColor="text1"/>
          <w:spacing w:val="0"/>
          <w:kern w:val="0"/>
          <w:sz w:val="24"/>
          <w:highlight w:val="none"/>
          <w:lang w:eastAsia="zh-CN"/>
          <w14:textFill>
            <w14:solidFill>
              <w14:schemeClr w14:val="tx1"/>
            </w14:solidFill>
          </w14:textFill>
        </w:rPr>
        <w:t>本项目</w:t>
      </w:r>
      <w:r>
        <w:rPr>
          <w:rFonts w:hint="eastAsia" w:ascii="Times New Roman" w:hAnsi="Times New Roman" w:cs="Times New Roman"/>
          <w:color w:val="000000" w:themeColor="text1"/>
          <w:spacing w:val="0"/>
          <w:kern w:val="0"/>
          <w:sz w:val="24"/>
          <w:highlight w:val="none"/>
          <w:lang w:val="en-US" w:eastAsia="zh-CN"/>
          <w14:textFill>
            <w14:solidFill>
              <w14:schemeClr w14:val="tx1"/>
            </w14:solidFill>
          </w14:textFill>
        </w:rPr>
        <w:t>尾砂</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第I类一般工业固体废物。</w:t>
      </w:r>
      <w:r>
        <w:rPr>
          <w:rFonts w:hint="default" w:ascii="Times New Roman" w:hAnsi="Times New Roman" w:eastAsia="宋体" w:cs="Times New Roman"/>
          <w:color w:val="000000" w:themeColor="text1"/>
          <w:sz w:val="24"/>
          <w:highlight w:val="none"/>
          <w14:textFill>
            <w14:solidFill>
              <w14:schemeClr w14:val="tx1"/>
            </w14:solidFill>
          </w14:textFill>
        </w:rPr>
        <w:t>本次环评污染物源强采取最不利情况，即浓度较大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且危害较大的</w:t>
      </w:r>
      <w:r>
        <w:rPr>
          <w:rFonts w:hint="default" w:ascii="Times New Roman" w:hAnsi="Times New Roman" w:eastAsia="宋体" w:cs="Times New Roman"/>
          <w:color w:val="000000" w:themeColor="text1"/>
          <w:sz w:val="24"/>
          <w:highlight w:val="none"/>
          <w14:textFill>
            <w14:solidFill>
              <w14:schemeClr w14:val="tx1"/>
            </w14:solidFill>
          </w14:textFill>
        </w:rPr>
        <w:t>污染因子的浓度作为预测浓度</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因此，</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根据固废浸出毒性监测报告，</w:t>
      </w:r>
      <w:r>
        <w:rPr>
          <w:rFonts w:hint="eastAsia" w:ascii="Times New Roman" w:hAnsi="Times New Roman" w:cs="Times New Roman"/>
          <w:color w:val="000000" w:themeColor="text1"/>
          <w:sz w:val="24"/>
          <w:highlight w:val="none"/>
          <w:lang w:val="en-US" w:eastAsia="zh-CN"/>
          <w14:textFill>
            <w14:solidFill>
              <w14:schemeClr w14:val="tx1"/>
            </w14:solidFill>
          </w14:textFill>
        </w:rPr>
        <w:t>选取标准指数较大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且危害较大</w:t>
      </w:r>
      <w:r>
        <w:rPr>
          <w:rFonts w:hint="eastAsia" w:ascii="Times New Roman" w:hAnsi="Times New Roman" w:cs="Times New Roman"/>
          <w:color w:val="000000" w:themeColor="text1"/>
          <w:sz w:val="24"/>
          <w:highlight w:val="none"/>
          <w:lang w:val="en-US" w:eastAsia="zh-CN"/>
          <w14:textFill>
            <w14:solidFill>
              <w14:schemeClr w14:val="tx1"/>
            </w14:solidFill>
          </w14:textFill>
        </w:rPr>
        <w:t>的砷作为预测因子。</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以《地下水质量标准》（GB/T14848-2017）Ⅲ类为标准，将</w:t>
      </w:r>
      <w:r>
        <w:rPr>
          <w:rFonts w:hint="eastAsia" w:ascii="Times New Roman" w:hAnsi="Times New Roman" w:cs="Times New Roman"/>
          <w:color w:val="000000" w:themeColor="text1"/>
          <w:sz w:val="24"/>
          <w:highlight w:val="none"/>
          <w:lang w:val="en-US" w:eastAsia="zh-CN"/>
          <w14:textFill>
            <w14:solidFill>
              <w14:schemeClr w14:val="tx1"/>
            </w14:solidFill>
          </w14:textFill>
        </w:rPr>
        <w:t>砷</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的浓度超过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0.01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mg/L作为控制指标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5D1812F9">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eastAsia" w:cs="Times New Roman"/>
          <w:color w:val="000000" w:themeColor="text1"/>
          <w:spacing w:val="0"/>
          <w:sz w:val="24"/>
          <w:highlight w:val="none"/>
          <w:lang w:val="en-US" w:eastAsia="zh-CN"/>
          <w14:textFill>
            <w14:solidFill>
              <w14:schemeClr w14:val="tx1"/>
            </w14:solidFill>
          </w14:textFill>
        </w:rPr>
      </w:pPr>
      <w:r>
        <w:rPr>
          <w:rFonts w:hint="eastAsia" w:cs="Times New Roman"/>
          <w:color w:val="000000" w:themeColor="text1"/>
          <w:spacing w:val="0"/>
          <w:sz w:val="24"/>
          <w:highlight w:val="none"/>
          <w:lang w:val="en-US" w:eastAsia="zh-CN"/>
          <w14:textFill>
            <w14:solidFill>
              <w14:schemeClr w14:val="tx1"/>
            </w14:solidFill>
          </w14:textFill>
        </w:rPr>
        <w:t>（3）预测情景</w:t>
      </w:r>
    </w:p>
    <w:p w14:paraId="2C607267">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eastAsia"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回水池防渗失效，</w:t>
      </w:r>
      <w:r>
        <w:rPr>
          <w:rFonts w:hint="eastAsia" w:eastAsia="宋体" w:cs="Times New Roman"/>
          <w:color w:val="000000" w:themeColor="text1"/>
          <w:spacing w:val="0"/>
          <w:sz w:val="24"/>
          <w:highlight w:val="none"/>
          <w:lang w:val="en-US" w:eastAsia="zh-CN"/>
          <w14:textFill>
            <w14:solidFill>
              <w14:schemeClr w14:val="tx1"/>
            </w14:solidFill>
          </w14:textFill>
        </w:rPr>
        <w:t>导致较长时间内废水通过裂口渗入地下影响地下水水质。</w:t>
      </w:r>
    </w:p>
    <w:p w14:paraId="25579ED5">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eastAsia" w:cs="Times New Roman"/>
          <w:color w:val="000000" w:themeColor="text1"/>
          <w:spacing w:val="0"/>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预测模型</w:t>
      </w:r>
    </w:p>
    <w:p w14:paraId="17158414">
      <w:pPr>
        <w:pStyle w:val="10"/>
        <w:widowControl w:val="0"/>
        <w:overflowPunct w:val="0"/>
        <w:topLinePunct/>
        <w:spacing w:after="0"/>
        <w:ind w:firstLine="480"/>
        <w:jc w:val="both"/>
        <w:rPr>
          <w:rFonts w:ascii="Times New Roman" w:hAnsi="Times New Roman"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采用解析模型预测污染物在含水层中的扩散时，一般应满足以下条件：①污染物的排放对地下水流场没有明显的影响；②预测区内含水层的基本参数（如渗透系数、有效孔隙度等）不变或变化很小。通过对本期工程污染物排放特征及水文地质概况分析可知，本次污染预测可满足以上条件。</w:t>
      </w:r>
    </w:p>
    <w:p w14:paraId="21A80C47">
      <w:pPr>
        <w:keepNext w:val="0"/>
        <w:keepLines w:val="0"/>
        <w:pageBreakBefore w:val="0"/>
        <w:widowControl w:val="0"/>
        <w:kinsoku/>
        <w:wordWrap/>
        <w:overflowPunct/>
        <w:topLinePunct w:val="0"/>
        <w:bidi w:val="0"/>
        <w:snapToGrid/>
        <w:spacing w:line="480" w:lineRule="exact"/>
        <w:ind w:left="0" w:leftChars="0" w:right="0" w:rightChars="0"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为了揭示污染物进入地下水体后，地下水质的时空变化规律，将污染场地地下水污染物的溶质迁移问题概化为污染物连续注入的一端定浓度的一维水动力弥散问题。预测按最不利的情况设计情景，污染物泄漏直接进入地下水，并在含水层中沿水力梯度方向径流，污染</w:t>
      </w:r>
      <w:r>
        <w:rPr>
          <w:rFonts w:hint="eastAsia" w:cs="Times New Roman"/>
          <w:color w:val="000000" w:themeColor="text1"/>
          <w:sz w:val="24"/>
          <w:highlight w:val="none"/>
          <w:lang w:val="en-US" w:eastAsia="zh-CN"/>
          <w14:textFill>
            <w14:solidFill>
              <w14:schemeClr w14:val="tx1"/>
            </w14:solidFill>
          </w14:textFill>
        </w:rPr>
        <w:t>物</w:t>
      </w:r>
      <w:r>
        <w:rPr>
          <w:rFonts w:hint="default" w:ascii="Times New Roman" w:hAnsi="Times New Roman" w:eastAsia="宋体" w:cs="Times New Roman"/>
          <w:color w:val="000000" w:themeColor="text1"/>
          <w:sz w:val="24"/>
          <w:highlight w:val="none"/>
          <w14:textFill>
            <w14:solidFill>
              <w14:schemeClr w14:val="tx1"/>
            </w14:solidFill>
          </w14:textFill>
        </w:rPr>
        <w:t>浓度在未渗入地下水前不发生变化，不考虑污水在包气带中下渗过程的降解与吸附作用，不考虑含水层中对污染物的吸附、挥发、生物化学反应。设计情景为极端情况，用于表征污水排放对地下水环境的最大影响程度和影响范围。</w:t>
      </w:r>
    </w:p>
    <w:p w14:paraId="693EDEED">
      <w:pPr>
        <w:keepNext w:val="0"/>
        <w:keepLines w:val="0"/>
        <w:pageBreakBefore w:val="0"/>
        <w:widowControl w:val="0"/>
        <w:kinsoku/>
        <w:wordWrap/>
        <w:overflowPunct/>
        <w:topLinePunct w:val="0"/>
        <w:bidi w:val="0"/>
        <w:snapToGrid/>
        <w:spacing w:line="480" w:lineRule="exact"/>
        <w:ind w:left="0" w:leftChars="0" w:right="0" w:rightChars="0"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w:t>
      </w:r>
      <w:r>
        <w:rPr>
          <w:rFonts w:hint="eastAsia" w:cs="Times New Roman"/>
          <w:color w:val="000000" w:themeColor="text1"/>
          <w:sz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14:textFill>
            <w14:solidFill>
              <w14:schemeClr w14:val="tx1"/>
            </w14:solidFill>
          </w14:textFill>
        </w:rPr>
        <w:t>污染特征分析，地下潜水流向基本与地形一致，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呈东向西</w:t>
      </w:r>
      <w:r>
        <w:rPr>
          <w:rFonts w:hint="default" w:ascii="Times New Roman" w:hAnsi="Times New Roman" w:eastAsia="宋体" w:cs="Times New Roman"/>
          <w:color w:val="000000" w:themeColor="text1"/>
          <w:sz w:val="24"/>
          <w:highlight w:val="none"/>
          <w14:textFill>
            <w14:solidFill>
              <w14:schemeClr w14:val="tx1"/>
            </w14:solidFill>
          </w14:textFill>
        </w:rPr>
        <w:t>方向径流的线状特征；污水渗漏是一个长期的过程，在区域上可假定为定浓度的渗漏点。</w:t>
      </w:r>
    </w:p>
    <w:p w14:paraId="6D12FA07">
      <w:pPr>
        <w:ind w:firstLine="480"/>
        <w:jc w:val="both"/>
        <w:rPr>
          <w:rFonts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淋溶废水预测采用一维稳定流动一维水动力弥散问题，概化条件为一维半无限长多孔介质柱体，一端为定浓度边界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，其解析解为：</w:t>
      </w:r>
    </w:p>
    <w:p w14:paraId="009549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drawing>
          <wp:inline distT="0" distB="0" distL="114300" distR="114300">
            <wp:extent cx="2746375" cy="628015"/>
            <wp:effectExtent l="0" t="0" r="12065" b="12065"/>
            <wp:docPr id="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
                    <pic:cNvPicPr>
                      <a:picLocks noChangeAspect="1"/>
                    </pic:cNvPicPr>
                  </pic:nvPicPr>
                  <pic:blipFill>
                    <a:blip r:embed="rId25"/>
                    <a:stretch>
                      <a:fillRect/>
                    </a:stretch>
                  </pic:blipFill>
                  <pic:spPr>
                    <a:xfrm>
                      <a:off x="0" y="0"/>
                      <a:ext cx="2746375" cy="628015"/>
                    </a:xfrm>
                    <a:prstGeom prst="rect">
                      <a:avLst/>
                    </a:prstGeom>
                    <a:noFill/>
                    <a:ln>
                      <a:noFill/>
                    </a:ln>
                  </pic:spPr>
                </pic:pic>
              </a:graphicData>
            </a:graphic>
          </wp:inline>
        </w:drawing>
      </w:r>
    </w:p>
    <w:p w14:paraId="0E0025B8">
      <w:pPr>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式中：</w:t>
      </w:r>
    </w:p>
    <w:p w14:paraId="3F24C06F">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x——</w:t>
      </w:r>
      <w:r>
        <w:rPr>
          <w:rFonts w:ascii="Times New Roman" w:hAnsi="Times New Roman" w:eastAsia="宋体" w:cs="Times New Roman"/>
          <w:color w:val="000000" w:themeColor="text1"/>
          <w:sz w:val="24"/>
          <w:szCs w:val="24"/>
          <w14:textFill>
            <w14:solidFill>
              <w14:schemeClr w14:val="tx1"/>
            </w14:solidFill>
          </w14:textFill>
        </w:rPr>
        <w:t>计算点</w:t>
      </w:r>
      <w:r>
        <w:rPr>
          <w:rFonts w:hint="eastAsia" w:ascii="Times New Roman" w:hAnsi="Times New Roman" w:eastAsia="宋体" w:cs="Times New Roman"/>
          <w:color w:val="000000" w:themeColor="text1"/>
          <w:sz w:val="24"/>
          <w:szCs w:val="24"/>
          <w:lang w:eastAsia="zh-CN"/>
          <w14:textFill>
            <w14:solidFill>
              <w14:schemeClr w14:val="tx1"/>
            </w14:solidFill>
          </w14:textFill>
        </w:rPr>
        <w:t>至污染源强距离，</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w:t>
      </w:r>
      <w:r>
        <w:rPr>
          <w:rFonts w:ascii="Times New Roman" w:hAnsi="Times New Roman" w:eastAsia="宋体" w:cs="Times New Roman"/>
          <w:color w:val="000000" w:themeColor="text1"/>
          <w:sz w:val="24"/>
          <w:szCs w:val="24"/>
          <w14:textFill>
            <w14:solidFill>
              <w14:schemeClr w14:val="tx1"/>
            </w14:solidFill>
          </w14:textFill>
        </w:rPr>
        <w:t>；</w:t>
      </w:r>
    </w:p>
    <w:p w14:paraId="7D811EC5">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w:t>
      </w:r>
      <w:r>
        <w:rPr>
          <w:rFonts w:hint="eastAsia" w:ascii="Times New Roman" w:hAnsi="Times New Roman" w:eastAsia="宋体" w:cs="Times New Roman"/>
          <w:color w:val="000000" w:themeColor="text1"/>
          <w:sz w:val="24"/>
          <w:szCs w:val="24"/>
          <w:lang w:eastAsia="zh-CN"/>
          <w14:textFill>
            <w14:solidFill>
              <w14:schemeClr w14:val="tx1"/>
            </w14:solidFill>
          </w14:textFill>
        </w:rPr>
        <w:t>预测</w:t>
      </w:r>
      <w:r>
        <w:rPr>
          <w:rFonts w:ascii="Times New Roman" w:hAnsi="Times New Roman" w:eastAsia="宋体" w:cs="Times New Roman"/>
          <w:color w:val="000000" w:themeColor="text1"/>
          <w:sz w:val="24"/>
          <w:szCs w:val="24"/>
          <w14:textFill>
            <w14:solidFill>
              <w14:schemeClr w14:val="tx1"/>
            </w14:solidFill>
          </w14:textFill>
        </w:rPr>
        <w:t>时</w:t>
      </w:r>
      <w:r>
        <w:rPr>
          <w:rFonts w:hint="eastAsia" w:ascii="Times New Roman" w:hAnsi="Times New Roman" w:eastAsia="宋体" w:cs="Times New Roman"/>
          <w:color w:val="000000" w:themeColor="text1"/>
          <w:sz w:val="24"/>
          <w:szCs w:val="24"/>
          <w:lang w:eastAsia="zh-CN"/>
          <w14:textFill>
            <w14:solidFill>
              <w14:schemeClr w14:val="tx1"/>
            </w14:solidFill>
          </w14:textFill>
        </w:rPr>
        <w:t>段</w:t>
      </w:r>
      <w:r>
        <w:rPr>
          <w:rFonts w:ascii="Times New Roman" w:hAnsi="Times New Roman" w:eastAsia="宋体" w:cs="Times New Roman"/>
          <w:color w:val="000000" w:themeColor="text1"/>
          <w:sz w:val="24"/>
          <w:szCs w:val="24"/>
          <w14:textFill>
            <w14:solidFill>
              <w14:schemeClr w14:val="tx1"/>
            </w14:solidFill>
          </w14:textFill>
        </w:rPr>
        <w:t>，d；</w:t>
      </w:r>
    </w:p>
    <w:p w14:paraId="6C3EE209">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t时刻点x处的</w:t>
      </w:r>
      <w:r>
        <w:rPr>
          <w:rFonts w:hint="eastAsia" w:ascii="Times New Roman" w:hAnsi="Times New Roman" w:eastAsia="宋体" w:cs="Times New Roman"/>
          <w:color w:val="000000" w:themeColor="text1"/>
          <w:sz w:val="24"/>
          <w:szCs w:val="24"/>
          <w:lang w:eastAsia="zh-CN"/>
          <w14:textFill>
            <w14:solidFill>
              <w14:schemeClr w14:val="tx1"/>
            </w14:solidFill>
          </w14:textFill>
        </w:rPr>
        <w:t>地下水</w:t>
      </w:r>
      <w:r>
        <w:rPr>
          <w:rFonts w:ascii="Times New Roman" w:hAnsi="Times New Roman" w:eastAsia="宋体" w:cs="Times New Roman"/>
          <w:color w:val="000000" w:themeColor="text1"/>
          <w:sz w:val="24"/>
          <w:szCs w:val="24"/>
          <w14:textFill>
            <w14:solidFill>
              <w14:schemeClr w14:val="tx1"/>
            </w14:solidFill>
          </w14:textFill>
        </w:rPr>
        <w:t>污染物浓度，mg/L；</w:t>
      </w:r>
    </w:p>
    <w:p w14:paraId="053C5214">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废水浓度</w:t>
      </w:r>
      <w:r>
        <w:rPr>
          <w:rFonts w:ascii="Times New Roman" w:hAnsi="Times New Roman" w:eastAsia="宋体" w:cs="Times New Roman"/>
          <w:color w:val="000000" w:themeColor="text1"/>
          <w:sz w:val="24"/>
          <w:szCs w:val="24"/>
          <w14:textFill>
            <w14:solidFill>
              <w14:schemeClr w14:val="tx1"/>
            </w14:solidFill>
          </w14:textFill>
        </w:rPr>
        <w:t>，mg/L；</w:t>
      </w:r>
    </w:p>
    <w:p w14:paraId="4228F56B">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u——</w:t>
      </w:r>
      <w:r>
        <w:rPr>
          <w:rFonts w:ascii="Times New Roman" w:hAnsi="Times New Roman" w:eastAsia="宋体" w:cs="Times New Roman"/>
          <w:color w:val="000000" w:themeColor="text1"/>
          <w:sz w:val="24"/>
          <w:szCs w:val="24"/>
          <w14:textFill>
            <w14:solidFill>
              <w14:schemeClr w14:val="tx1"/>
            </w14:solidFill>
          </w14:textFill>
        </w:rPr>
        <w:t>地下水流速度，m/d；</w:t>
      </w:r>
    </w:p>
    <w:p w14:paraId="6D6D5B7D">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D</w:t>
      </w:r>
      <w:r>
        <w:rPr>
          <w:rFonts w:ascii="Times New Roman" w:hAnsi="Times New Roman" w:eastAsia="宋体" w:cs="Times New Roman"/>
          <w:color w:val="000000" w:themeColor="text1"/>
          <w:sz w:val="24"/>
          <w:szCs w:val="24"/>
          <w:vertAlign w:val="subscript"/>
          <w14:textFill>
            <w14:solidFill>
              <w14:schemeClr w14:val="tx1"/>
            </w14:solidFill>
          </w14:textFill>
        </w:rPr>
        <w:t>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纵向弥散系数，m</w:t>
      </w:r>
      <w:r>
        <w:rPr>
          <w:rFonts w:ascii="Times New Roman" w:hAnsi="Times New Roman" w:eastAsia="宋体" w:cs="Times New Roman"/>
          <w:color w:val="000000" w:themeColor="text1"/>
          <w:sz w:val="24"/>
          <w:szCs w:val="24"/>
          <w:vertAlign w:val="super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/d；</w:t>
      </w:r>
    </w:p>
    <w:p w14:paraId="2FEDF64F">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left"/>
        <w:textAlignment w:val="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Erfc（）——</w:t>
      </w:r>
      <w:r>
        <w:rPr>
          <w:rFonts w:hint="eastAsia" w:ascii="Times New Roman" w:hAnsi="Times New Roman" w:eastAsia="宋体" w:cs="Times New Roman"/>
          <w:color w:val="000000" w:themeColor="text1"/>
          <w:sz w:val="24"/>
          <w:szCs w:val="24"/>
          <w:lang w:eastAsia="zh-CN"/>
          <w14:textFill>
            <w14:solidFill>
              <w14:schemeClr w14:val="tx1"/>
            </w14:solidFill>
          </w14:textFill>
        </w:rPr>
        <w:t>余误差函数。</w:t>
      </w:r>
    </w:p>
    <w:p w14:paraId="5DB13002">
      <w:pPr>
        <w:ind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5</w:t>
      </w:r>
      <w:r>
        <w:rPr>
          <w:rFonts w:hint="eastAsia" w:ascii="Times New Roman" w:hAnsi="Times New Roman" w:eastAsia="宋体" w:cs="Times New Roman"/>
          <w:color w:val="000000" w:themeColor="text1"/>
          <w:lang w:eastAsia="zh-CN"/>
          <w14:textFill>
            <w14:solidFill>
              <w14:schemeClr w14:val="tx1"/>
            </w14:solidFill>
          </w14:textFill>
        </w:rPr>
        <w:t>）</w:t>
      </w:r>
      <w:r>
        <w:rPr>
          <w:rFonts w:ascii="Times New Roman" w:hAnsi="Times New Roman" w:eastAsia="宋体" w:cs="Times New Roman"/>
          <w:color w:val="000000" w:themeColor="text1"/>
          <w:kern w:val="2"/>
          <w14:textFill>
            <w14:solidFill>
              <w14:schemeClr w14:val="tx1"/>
            </w14:solidFill>
          </w14:textFill>
        </w:rPr>
        <w:t>相关参数确定</w:t>
      </w:r>
    </w:p>
    <w:p w14:paraId="22F1C5D1">
      <w:pPr>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利用所选取的污染物迁移模型，能否达到对污染物迁移过程的合理预测，关键就在于模型参数的选取和确定是否正确合理。</w:t>
      </w:r>
    </w:p>
    <w:p w14:paraId="6A177F0F">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由上述模型可知，模型需要的参数有：有效孔隙度n；水流的实际平均速度u；污染物在含水层中的纵向弥散系数D</w:t>
      </w:r>
      <w:r>
        <w:rPr>
          <w:rFonts w:ascii="Times New Roman" w:hAnsi="Times New Roman" w:eastAsia="宋体" w:cs="Times New Roman"/>
          <w:color w:val="000000" w:themeColor="text1"/>
          <w:szCs w:val="24"/>
          <w:vertAlign w:val="subscript"/>
          <w14:textFill>
            <w14:solidFill>
              <w14:schemeClr w14:val="tx1"/>
            </w14:solidFill>
          </w14:textFill>
        </w:rPr>
        <w:t>L</w:t>
      </w:r>
      <w:r>
        <w:rPr>
          <w:rFonts w:hint="eastAsia" w:ascii="Times New Roman" w:hAnsi="Times New Roman" w:eastAsia="宋体"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这些参数主要由勘察成果资料来确定：</w:t>
      </w:r>
    </w:p>
    <w:p w14:paraId="6A387E2D">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含水层的厚度M：根据本次搜集的地勘资料和以往水文地质资料，可知项目区地下水类型为第四系松散岩类透水不含水层，含水层厚度以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108.41</w:t>
      </w:r>
      <w:r>
        <w:rPr>
          <w:rFonts w:hint="default" w:ascii="Times New Roman" w:hAnsi="Times New Roman" w:eastAsia="宋体" w:cs="Times New Roman"/>
          <w:color w:val="000000" w:themeColor="text1"/>
          <w:sz w:val="24"/>
          <w:szCs w:val="24"/>
          <w:highlight w:val="none"/>
          <w14:textFill>
            <w14:solidFill>
              <w14:schemeClr w14:val="tx1"/>
            </w14:solidFill>
          </w14:textFill>
        </w:rPr>
        <w:t>m计；长度为M的线源瞬时注入的示踪剂质量mM。</w:t>
      </w:r>
    </w:p>
    <w:p w14:paraId="63A38BDA">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含水层的平均有效孔隙度n：含水层密实程度为中密，根据《水文地质手册》，可取孔隙度为0.4，而根据以往生产经验，有效孔隙度一般比孔隙度小10%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20%，因此本次取有效孔隙度n=0.4×0.8=0.32。</w:t>
      </w:r>
    </w:p>
    <w:p w14:paraId="0D64D141">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水流实际平均流速u：根据含水层岩性等相关资料，确定含水层渗透系数为</w:t>
      </w:r>
      <w:r>
        <w:rPr>
          <w:rFonts w:hint="eastAsia" w:cs="Times New Roman"/>
          <w:bCs/>
          <w:color w:val="000000" w:themeColor="text1"/>
          <w:sz w:val="24"/>
          <w:szCs w:val="24"/>
          <w:highlight w:val="none"/>
          <w:lang w:val="en-US" w:eastAsia="zh-CN"/>
          <w14:textFill>
            <w14:solidFill>
              <w14:schemeClr w14:val="tx1"/>
            </w14:solidFill>
          </w14:textFill>
        </w:rPr>
        <w:t>15.28~18.23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14:textFill>
            <w14:solidFill>
              <w14:schemeClr w14:val="tx1"/>
            </w14:solidFill>
          </w14:textFill>
        </w:rPr>
        <w:t>/d</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w:t>
      </w:r>
    </w:p>
    <w:p w14:paraId="77DD78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水力坡度</w:t>
      </w:r>
      <w:r>
        <w:rPr>
          <w:rFonts w:hint="default" w:ascii="Times New Roman" w:hAnsi="Times New Roman" w:eastAsia="宋体" w:cs="Times New Roman"/>
          <w:color w:val="000000" w:themeColor="text1"/>
          <w:position w:val="-24"/>
          <w:sz w:val="24"/>
          <w:szCs w:val="24"/>
          <w:highlight w:val="none"/>
          <w14:textFill>
            <w14:solidFill>
              <w14:schemeClr w14:val="tx1"/>
            </w14:solidFill>
          </w14:textFill>
        </w:rPr>
        <w:object>
          <v:shape id="_x0000_i1025" o:spt="75" type="#_x0000_t75" style="height:31pt;width:34pt;" o:ole="t" filled="f" o:preferrelative="t" stroked="f" coordsize="21600,21600">
            <v:path/>
            <v:fill on="f" focussize="0,0"/>
            <v:stroke on="f"/>
            <v:imagedata r:id="rId27" o:title=""/>
            <o:lock v:ext="edit" aspectratio="t"/>
            <w10:wrap type="none"/>
            <w10:anchorlock/>
          </v:shape>
          <o:OLEObject Type="Embed" ProgID="Equation.KSEE3" ShapeID="_x0000_i1025" DrawAspect="Content" ObjectID="_1468075725" r:id="rId26">
            <o:LockedField>false</o:LockedField>
          </o:OLEObject>
        </w:objec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=0.005；</w:t>
      </w:r>
    </w:p>
    <w:p w14:paraId="738372CA">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因此地下水的渗透流速：</w:t>
      </w:r>
    </w:p>
    <w:p w14:paraId="0B18D525">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V=KI=</w:t>
      </w:r>
      <w:r>
        <w:rPr>
          <w:rFonts w:hint="eastAsia" w:cs="Times New Roman"/>
          <w:color w:val="000000" w:themeColor="text1"/>
          <w:sz w:val="24"/>
          <w:szCs w:val="24"/>
          <w:highlight w:val="none"/>
          <w:lang w:val="en-US" w:eastAsia="zh-CN"/>
          <w14:textFill>
            <w14:solidFill>
              <w14:schemeClr w14:val="tx1"/>
            </w14:solidFill>
          </w14:textFill>
        </w:rPr>
        <w:t>18.23</w:t>
      </w:r>
      <w:r>
        <w:rPr>
          <w:rFonts w:hint="default" w:ascii="Times New Roman" w:hAnsi="Times New Roman" w:eastAsia="宋体" w:cs="Times New Roman"/>
          <w:color w:val="000000" w:themeColor="text1"/>
          <w:sz w:val="24"/>
          <w:szCs w:val="24"/>
          <w:highlight w:val="none"/>
          <w14:textFill>
            <w14:solidFill>
              <w14:schemeClr w14:val="tx1"/>
            </w14:solidFill>
          </w14:textFill>
        </w:rPr>
        <w:t>m/d×</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005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0.09115</w:t>
      </w:r>
      <w:r>
        <w:rPr>
          <w:rFonts w:hint="default" w:ascii="Times New Roman" w:hAnsi="Times New Roman" w:eastAsia="宋体" w:cs="Times New Roman"/>
          <w:color w:val="000000" w:themeColor="text1"/>
          <w:sz w:val="24"/>
          <w:szCs w:val="24"/>
          <w:highlight w:val="none"/>
          <w14:textFill>
            <w14:solidFill>
              <w14:schemeClr w14:val="tx1"/>
            </w14:solidFill>
          </w14:textFill>
        </w:rPr>
        <w:t>m/d</w:t>
      </w:r>
    </w:p>
    <w:p w14:paraId="72891791">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平均实际流速u=V/n=</w:t>
      </w:r>
      <w:r>
        <w:rPr>
          <w:rFonts w:hint="eastAsia" w:cs="Times New Roman"/>
          <w:color w:val="000000" w:themeColor="text1"/>
          <w:sz w:val="24"/>
          <w:szCs w:val="24"/>
          <w:highlight w:val="none"/>
          <w:lang w:val="en-US" w:eastAsia="zh-CN"/>
          <w14:textFill>
            <w14:solidFill>
              <w14:schemeClr w14:val="tx1"/>
            </w14:solidFill>
          </w14:textFill>
        </w:rPr>
        <w:t>0.09115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/0.32=0.285</w:t>
      </w:r>
      <w:r>
        <w:rPr>
          <w:rFonts w:hint="default" w:ascii="Times New Roman" w:hAnsi="Times New Roman" w:eastAsia="宋体" w:cs="Times New Roman"/>
          <w:color w:val="000000" w:themeColor="text1"/>
          <w:sz w:val="24"/>
          <w:szCs w:val="24"/>
          <w:highlight w:val="none"/>
          <w14:textFill>
            <w14:solidFill>
              <w14:schemeClr w14:val="tx1"/>
            </w14:solidFill>
          </w14:textFill>
        </w:rPr>
        <w:t>m/d。</w:t>
      </w:r>
    </w:p>
    <w:p w14:paraId="1E344B13">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纵向x方向的弥散系数D</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L</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455D204">
      <w:pPr>
        <w:pStyle w:val="10"/>
        <w:widowControl w:val="0"/>
        <w:overflowPunct w:val="0"/>
        <w:topLinePunct/>
        <w:spacing w:after="0"/>
        <w:ind w:firstLine="480"/>
        <w:jc w:val="both"/>
        <w:rPr>
          <w:rFonts w:ascii="Times New Roman" w:hAnsi="Times New Roman"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参考Gelhar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w:t>
      </w:r>
      <w:r>
        <w:rPr>
          <w:rFonts w:hint="default" w:ascii="Times New Roman" w:hAnsi="Times New Roman" w:eastAsia="宋体" w:cs="Times New Roman"/>
          <w:i/>
          <w:color w:val="000000" w:themeColor="text1"/>
          <w:sz w:val="24"/>
          <w:szCs w:val="24"/>
          <w:highlight w:val="none"/>
          <w14:textFill>
            <w14:solidFill>
              <w14:schemeClr w14:val="tx1"/>
            </w14:solidFill>
          </w14:textFill>
        </w:rPr>
        <w:t>α</w:t>
      </w:r>
      <w:r>
        <w:rPr>
          <w:rFonts w:hint="default" w:ascii="Times New Roman" w:hAnsi="Times New Roman" w:eastAsia="宋体" w:cs="Times New Roman"/>
          <w:color w:val="000000" w:themeColor="text1"/>
          <w:sz w:val="24"/>
          <w:szCs w:val="24"/>
          <w:highlight w:val="none"/>
          <w14:textFill>
            <w14:solidFill>
              <w14:schemeClr w14:val="tx1"/>
            </w14:solidFill>
          </w14:textFill>
        </w:rPr>
        <w:t>L绘在双对数坐标纸上，从图上可以看出纵向弥散度</w:t>
      </w:r>
      <w:r>
        <w:rPr>
          <w:rFonts w:hint="default" w:ascii="Times New Roman" w:hAnsi="Times New Roman" w:eastAsia="宋体" w:cs="Times New Roman"/>
          <w:i/>
          <w:color w:val="000000" w:themeColor="text1"/>
          <w:sz w:val="24"/>
          <w:szCs w:val="24"/>
          <w:highlight w:val="none"/>
          <w14:textFill>
            <w14:solidFill>
              <w14:schemeClr w14:val="tx1"/>
            </w14:solidFill>
          </w14:textFill>
        </w:rPr>
        <w:t>α</w:t>
      </w:r>
      <w:r>
        <w:rPr>
          <w:rFonts w:hint="default" w:ascii="Times New Roman" w:hAnsi="Times New Roman" w:eastAsia="宋体" w:cs="Times New Roman"/>
          <w:color w:val="000000" w:themeColor="text1"/>
          <w:sz w:val="24"/>
          <w:szCs w:val="24"/>
          <w:highlight w:val="none"/>
          <w14:textFill>
            <w14:solidFill>
              <w14:schemeClr w14:val="tx1"/>
            </w14:solidFill>
          </w14:textFill>
        </w:rPr>
        <w:t>L从整体上随着尺度的增加而增大（图5.2-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）。基准尺度Ls是指研究区大小的度量，一般用溶质运移到观测孔的最大距离表示，或用计算区的近似最大内径长度代替。故本次参考以往研究成果，考虑距污染源下游约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highlight w:val="none"/>
          <w14:textFill>
            <w14:solidFill>
              <w14:schemeClr w14:val="tx1"/>
            </w14:solidFill>
          </w14:textFill>
        </w:rPr>
        <w:t>00m的研究区范围，因此，本次模拟取弥散度参数值取14.83m。</w:t>
      </w:r>
    </w:p>
    <w:p w14:paraId="2B01A2F1">
      <w:pPr>
        <w:pStyle w:val="10"/>
        <w:widowControl w:val="0"/>
        <w:spacing w:line="360" w:lineRule="auto"/>
        <w:ind w:firstLine="0" w:firstLineChars="0"/>
        <w:jc w:val="center"/>
        <w:rPr>
          <w:rFonts w:ascii="Times New Roman" w:hAnsi="Times New Roman" w:cs="Times New Roman"/>
          <w:color w:val="000000" w:themeColor="text1"/>
          <w:kern w:val="2"/>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drawing>
          <wp:inline distT="0" distB="0" distL="114300" distR="114300">
            <wp:extent cx="3211195" cy="2168525"/>
            <wp:effectExtent l="0" t="0" r="8255" b="3175"/>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pic:cNvPicPr>
                      <a:picLocks noChangeAspect="1"/>
                    </pic:cNvPicPr>
                  </pic:nvPicPr>
                  <pic:blipFill>
                    <a:blip r:embed="rId28" cstate="print"/>
                    <a:stretch>
                      <a:fillRect/>
                    </a:stretch>
                  </pic:blipFill>
                  <pic:spPr>
                    <a:xfrm>
                      <a:off x="0" y="0"/>
                      <a:ext cx="3211195" cy="2168525"/>
                    </a:xfrm>
                    <a:prstGeom prst="rect">
                      <a:avLst/>
                    </a:prstGeom>
                    <a:noFill/>
                    <a:ln w="9525">
                      <a:noFill/>
                      <a:miter/>
                    </a:ln>
                  </pic:spPr>
                </pic:pic>
              </a:graphicData>
            </a:graphic>
          </wp:inline>
        </w:drawing>
      </w:r>
    </w:p>
    <w:p w14:paraId="04528346">
      <w:pPr>
        <w:pStyle w:val="10"/>
        <w:widowControl w:val="0"/>
        <w:spacing w:line="240" w:lineRule="auto"/>
        <w:ind w:firstLine="0" w:firstLineChars="0"/>
        <w:jc w:val="center"/>
        <w:rPr>
          <w:rFonts w:ascii="Times New Roman" w:hAnsi="Times New Roman" w:cs="Times New Roman"/>
          <w:b/>
          <w:bCs/>
          <w:color w:val="000000" w:themeColor="text1"/>
          <w:kern w:val="2"/>
          <w:highlight w:val="none"/>
          <w14:textFill>
            <w14:solidFill>
              <w14:schemeClr w14:val="tx1"/>
            </w14:solidFill>
          </w14:textFill>
        </w:rPr>
      </w:pPr>
      <w:r>
        <w:rPr>
          <w:rFonts w:ascii="Times New Roman" w:hAnsi="Times New Roman" w:cs="Times New Roman"/>
          <w:b/>
          <w:bCs/>
          <w:color w:val="000000" w:themeColor="text1"/>
          <w:kern w:val="2"/>
          <w:highlight w:val="none"/>
          <w14:textFill>
            <w14:solidFill>
              <w14:schemeClr w14:val="tx1"/>
            </w14:solidFill>
          </w14:textFill>
        </w:rPr>
        <w:t>图5.2-</w:t>
      </w:r>
      <w:r>
        <w:rPr>
          <w:rFonts w:hint="eastAsia" w:ascii="Times New Roman" w:hAnsi="Times New Roman" w:cs="Times New Roman"/>
          <w:b/>
          <w:bCs/>
          <w:color w:val="000000" w:themeColor="text1"/>
          <w:kern w:val="2"/>
          <w:highlight w:val="none"/>
          <w:lang w:val="en-US" w:eastAsia="zh-CN"/>
          <w14:textFill>
            <w14:solidFill>
              <w14:schemeClr w14:val="tx1"/>
            </w14:solidFill>
          </w14:textFill>
        </w:rPr>
        <w:t>1</w:t>
      </w:r>
      <w:r>
        <w:rPr>
          <w:rFonts w:ascii="Times New Roman" w:hAnsi="Times New Roman" w:cs="Times New Roman"/>
          <w:b/>
          <w:bCs/>
          <w:color w:val="000000" w:themeColor="text1"/>
          <w:kern w:val="2"/>
          <w:highlight w:val="none"/>
          <w14:textFill>
            <w14:solidFill>
              <w14:schemeClr w14:val="tx1"/>
            </w14:solidFill>
          </w14:textFill>
        </w:rPr>
        <w:t xml:space="preserve">  </w:t>
      </w:r>
      <w:r>
        <w:rPr>
          <w:rFonts w:hint="eastAsia" w:ascii="Times New Roman" w:hAnsi="Times New Roman" w:cs="Times New Roman"/>
          <w:b/>
          <w:bCs/>
          <w:color w:val="000000" w:themeColor="text1"/>
          <w:kern w:val="2"/>
          <w:highlight w:val="none"/>
          <w14:textFill>
            <w14:solidFill>
              <w14:schemeClr w14:val="tx1"/>
            </w14:solidFill>
          </w14:textFill>
        </w:rPr>
        <w:t xml:space="preserve"> </w:t>
      </w:r>
      <w:r>
        <w:rPr>
          <w:rFonts w:ascii="Times New Roman" w:hAnsi="Times New Roman" w:cs="Times New Roman"/>
          <w:b/>
          <w:bCs/>
          <w:color w:val="000000" w:themeColor="text1"/>
          <w:kern w:val="2"/>
          <w:highlight w:val="none"/>
          <w14:textFill>
            <w14:solidFill>
              <w14:schemeClr w14:val="tx1"/>
            </w14:solidFill>
          </w14:textFill>
        </w:rPr>
        <w:t xml:space="preserve"> lgαL—lgLs关系图</w:t>
      </w:r>
    </w:p>
    <w:p w14:paraId="56B16E45">
      <w:pPr>
        <w:pStyle w:val="10"/>
        <w:widowControl w:val="0"/>
        <w:overflowPunct w:val="0"/>
        <w:topLinePunct/>
        <w:spacing w:after="0"/>
        <w:ind w:firstLine="480"/>
        <w:jc w:val="both"/>
        <w:rPr>
          <w:rFonts w:hint="eastAsia" w:ascii="Times New Roman" w:hAnsi="Times New Roman" w:eastAsia="宋体" w:cs="Times New Roman"/>
          <w:color w:val="000000" w:themeColor="text1"/>
          <w:kern w:val="2"/>
          <w:highlight w:val="none"/>
          <w:lang w:eastAsia="zh-CN"/>
          <w14:textFill>
            <w14:solidFill>
              <w14:schemeClr w14:val="tx1"/>
            </w14:solidFill>
          </w14:textFill>
        </w:rPr>
      </w:pPr>
      <w:r>
        <w:rPr>
          <w:rFonts w:hint="default" w:ascii="Times New Roman" w:hAnsi="Times New Roman" w:cs="Times New Roman"/>
          <w:color w:val="000000" w:themeColor="text1"/>
          <w:kern w:val="2"/>
          <w:highlight w:val="none"/>
          <w14:textFill>
            <w14:solidFill>
              <w14:schemeClr w14:val="tx1"/>
            </w14:solidFill>
          </w14:textFill>
        </w:rPr>
        <w:t>模型计算中纵向弥散度选用</w:t>
      </w:r>
      <w:r>
        <w:rPr>
          <w:rFonts w:hint="default" w:ascii="Times New Roman" w:hAnsi="Times New Roman" w:cs="Times New Roman"/>
          <w:color w:val="000000" w:themeColor="text1"/>
          <w:kern w:val="2"/>
          <w:highlight w:val="none"/>
          <w:lang w:val="en-US" w:eastAsia="zh-CN"/>
          <w14:textFill>
            <w14:solidFill>
              <w14:schemeClr w14:val="tx1"/>
            </w14:solidFill>
          </w14:textFill>
        </w:rPr>
        <w:t>14.83</w:t>
      </w:r>
      <w:r>
        <w:rPr>
          <w:rFonts w:hint="default" w:ascii="Times New Roman" w:hAnsi="Times New Roman" w:cs="Times New Roman"/>
          <w:color w:val="000000" w:themeColor="text1"/>
          <w:kern w:val="2"/>
          <w:highlight w:val="none"/>
          <w14:textFill>
            <w14:solidFill>
              <w14:schemeClr w14:val="tx1"/>
            </w14:solidFill>
          </w14:textFill>
        </w:rPr>
        <w:t>m。由此计算项目区含水层中的纵向弥散系数D</w:t>
      </w:r>
      <w:r>
        <w:rPr>
          <w:rFonts w:hint="default" w:ascii="Times New Roman" w:hAnsi="Times New Roman" w:cs="Times New Roman"/>
          <w:color w:val="000000" w:themeColor="text1"/>
          <w:kern w:val="2"/>
          <w:highlight w:val="none"/>
          <w:vertAlign w:val="subscript"/>
          <w14:textFill>
            <w14:solidFill>
              <w14:schemeClr w14:val="tx1"/>
            </w14:solidFill>
          </w14:textFill>
        </w:rPr>
        <w:t>L</w:t>
      </w:r>
      <w:r>
        <w:rPr>
          <w:rFonts w:hint="default" w:ascii="Times New Roman" w:hAnsi="Times New Roman" w:cs="Times New Roman"/>
          <w:color w:val="000000" w:themeColor="text1"/>
          <w:kern w:val="2"/>
          <w:highlight w:val="none"/>
          <w14:textFill>
            <w14:solidFill>
              <w14:schemeClr w14:val="tx1"/>
            </w14:solidFill>
          </w14:textFill>
        </w:rPr>
        <w:t>=</w:t>
      </w:r>
      <w:r>
        <w:rPr>
          <w:rFonts w:hint="default" w:ascii="Times New Roman" w:hAnsi="Times New Roman" w:cs="Times New Roman"/>
          <w:color w:val="000000" w:themeColor="text1"/>
          <w:kern w:val="2"/>
          <w:highlight w:val="none"/>
          <w:lang w:val="en-US" w:eastAsia="zh-CN"/>
          <w14:textFill>
            <w14:solidFill>
              <w14:schemeClr w14:val="tx1"/>
            </w14:solidFill>
          </w14:textFill>
        </w:rPr>
        <w:t>α</w:t>
      </w:r>
      <w:r>
        <w:rPr>
          <w:rFonts w:hint="eastAsia" w:ascii="Times New Roman" w:hAnsi="Times New Roman" w:cs="Times New Roman"/>
          <w:color w:val="000000" w:themeColor="text1"/>
          <w:kern w:val="2"/>
          <w:highlight w:val="none"/>
          <w:vertAlign w:val="subscript"/>
          <w:lang w:val="en-US" w:eastAsia="zh-CN"/>
          <w14:textFill>
            <w14:solidFill>
              <w14:schemeClr w14:val="tx1"/>
            </w14:solidFill>
          </w14:textFill>
        </w:rPr>
        <w:t>L</w:t>
      </w:r>
      <w:r>
        <w:rPr>
          <w:rFonts w:hint="eastAsia" w:ascii="Times New Roman" w:hAnsi="Times New Roman" w:cs="Times New Roman"/>
          <w:color w:val="000000" w:themeColor="text1"/>
          <w:kern w:val="2"/>
          <w:highlight w:val="none"/>
          <w:lang w:val="en-US" w:eastAsia="zh-CN"/>
          <w14:textFill>
            <w14:solidFill>
              <w14:schemeClr w14:val="tx1"/>
            </w14:solidFill>
          </w14:textFill>
        </w:rPr>
        <w:t>×u</w:t>
      </w:r>
      <w:r>
        <w:rPr>
          <w:rFonts w:hint="default" w:ascii="Times New Roman" w:hAnsi="Times New Roman" w:cs="Times New Roman"/>
          <w:color w:val="000000" w:themeColor="text1"/>
          <w:kern w:val="2"/>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14.83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0.0547</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m/d=</w:t>
      </w:r>
      <w:r>
        <w:rPr>
          <w:rFonts w:hint="default" w:ascii="Times New Roman" w:hAnsi="Times New Roman" w:cs="Times New Roman"/>
          <w:color w:val="000000" w:themeColor="text1"/>
          <w:sz w:val="24"/>
          <w:highlight w:val="none"/>
          <w:lang w:val="en-US" w:eastAsia="zh-CN"/>
          <w14:textFill>
            <w14:solidFill>
              <w14:schemeClr w14:val="tx1"/>
            </w14:solidFill>
          </w14:textFill>
        </w:rPr>
        <w:t>0.81</w:t>
      </w:r>
      <w:r>
        <w:rPr>
          <w:rFonts w:hint="default" w:ascii="Times New Roman" w:hAnsi="Times New Roman" w:cs="Times New Roman"/>
          <w:color w:val="000000" w:themeColor="text1"/>
          <w:kern w:val="2"/>
          <w:highlight w:val="none"/>
          <w14:textFill>
            <w14:solidFill>
              <w14:schemeClr w14:val="tx1"/>
            </w14:solidFill>
          </w14:textFill>
        </w:rPr>
        <w:t>（m</w:t>
      </w:r>
      <w:r>
        <w:rPr>
          <w:rFonts w:hint="default" w:ascii="Times New Roman" w:hAnsi="Times New Roman" w:cs="Times New Roman"/>
          <w:color w:val="000000" w:themeColor="text1"/>
          <w:kern w:val="2"/>
          <w:highlight w:val="none"/>
          <w:vertAlign w:val="superscript"/>
          <w14:textFill>
            <w14:solidFill>
              <w14:schemeClr w14:val="tx1"/>
            </w14:solidFill>
          </w14:textFill>
        </w:rPr>
        <w:t>2</w:t>
      </w:r>
      <w:r>
        <w:rPr>
          <w:rFonts w:hint="default" w:ascii="Times New Roman" w:hAnsi="Times New Roman" w:cs="Times New Roman"/>
          <w:color w:val="000000" w:themeColor="text1"/>
          <w:kern w:val="2"/>
          <w:highlight w:val="none"/>
          <w14:textFill>
            <w14:solidFill>
              <w14:schemeClr w14:val="tx1"/>
            </w14:solidFill>
          </w14:textFill>
        </w:rPr>
        <w:t>/d）</w:t>
      </w:r>
      <w:r>
        <w:rPr>
          <w:rFonts w:hint="eastAsia" w:ascii="Times New Roman" w:hAnsi="Times New Roman" w:cs="Times New Roman"/>
          <w:color w:val="000000" w:themeColor="text1"/>
          <w:kern w:val="2"/>
          <w:highlight w:val="none"/>
          <w:lang w:eastAsia="zh-CN"/>
          <w14:textFill>
            <w14:solidFill>
              <w14:schemeClr w14:val="tx1"/>
            </w14:solidFill>
          </w14:textFill>
        </w:rPr>
        <w:t>。</w:t>
      </w:r>
    </w:p>
    <w:p w14:paraId="56FB9467">
      <w:pPr>
        <w:pStyle w:val="10"/>
        <w:widowControl w:val="0"/>
        <w:overflowPunct w:val="0"/>
        <w:topLinePunct/>
        <w:spacing w:after="0"/>
        <w:ind w:firstLine="480"/>
        <w:jc w:val="both"/>
        <w:rPr>
          <w:rFonts w:hint="eastAsia" w:ascii="Times New Roman" w:hAnsi="Times New Roman" w:eastAsia="宋体" w:cs="Times New Roman"/>
          <w:color w:val="000000" w:themeColor="text1"/>
          <w:kern w:val="2"/>
          <w:highlight w:val="none"/>
          <w:lang w:eastAsia="zh-CN"/>
          <w14:textFill>
            <w14:solidFill>
              <w14:schemeClr w14:val="tx1"/>
            </w14:solidFill>
          </w14:textFill>
        </w:rPr>
      </w:pPr>
      <w:r>
        <w:rPr>
          <w:rFonts w:hint="eastAsia" w:ascii="Times New Roman" w:hAnsi="Times New Roman" w:cs="Times New Roman"/>
          <w:color w:val="000000" w:themeColor="text1"/>
          <w:kern w:val="2"/>
          <w:highlight w:val="none"/>
          <w:lang w:eastAsia="zh-CN"/>
          <w14:textFill>
            <w14:solidFill>
              <w14:schemeClr w14:val="tx1"/>
            </w14:solidFill>
          </w14:textFill>
        </w:rPr>
        <w:t>（</w:t>
      </w:r>
      <w:r>
        <w:rPr>
          <w:rFonts w:hint="eastAsia" w:ascii="Times New Roman" w:hAnsi="Times New Roman" w:cs="Times New Roman"/>
          <w:color w:val="000000" w:themeColor="text1"/>
          <w:kern w:val="2"/>
          <w:highlight w:val="none"/>
          <w:lang w:val="en-US" w:eastAsia="zh-CN"/>
          <w14:textFill>
            <w14:solidFill>
              <w14:schemeClr w14:val="tx1"/>
            </w14:solidFill>
          </w14:textFill>
        </w:rPr>
        <w:t>6</w:t>
      </w:r>
      <w:r>
        <w:rPr>
          <w:rFonts w:hint="eastAsia" w:ascii="Times New Roman" w:hAnsi="Times New Roman" w:cs="Times New Roman"/>
          <w:color w:val="000000" w:themeColor="text1"/>
          <w:kern w:val="2"/>
          <w:highlight w:val="none"/>
          <w:lang w:eastAsia="zh-CN"/>
          <w14:textFill>
            <w14:solidFill>
              <w14:schemeClr w14:val="tx1"/>
            </w14:solidFill>
          </w14:textFill>
        </w:rPr>
        <w:t>）</w:t>
      </w:r>
      <w:r>
        <w:rPr>
          <w:rFonts w:ascii="Times New Roman" w:hAnsi="Times New Roman" w:cs="Times New Roman"/>
          <w:color w:val="000000" w:themeColor="text1"/>
          <w:kern w:val="2"/>
          <w:highlight w:val="none"/>
          <w14:textFill>
            <w14:solidFill>
              <w14:schemeClr w14:val="tx1"/>
            </w14:solidFill>
          </w14:textFill>
        </w:rPr>
        <w:t>运营期</w:t>
      </w:r>
      <w:r>
        <w:rPr>
          <w:rFonts w:hint="eastAsia" w:ascii="Times New Roman" w:hAnsi="Times New Roman" w:cs="Times New Roman"/>
          <w:color w:val="000000" w:themeColor="text1"/>
          <w:kern w:val="2"/>
          <w:highlight w:val="none"/>
          <w:lang w:val="en-US" w:eastAsia="zh-CN"/>
          <w14:textFill>
            <w14:solidFill>
              <w14:schemeClr w14:val="tx1"/>
            </w14:solidFill>
          </w14:textFill>
        </w:rPr>
        <w:t>回水池</w:t>
      </w:r>
      <w:r>
        <w:rPr>
          <w:rFonts w:ascii="Times New Roman" w:hAnsi="Times New Roman" w:cs="Times New Roman"/>
          <w:color w:val="000000" w:themeColor="text1"/>
          <w:kern w:val="2"/>
          <w:highlight w:val="none"/>
          <w14:textFill>
            <w14:solidFill>
              <w14:schemeClr w14:val="tx1"/>
            </w14:solidFill>
          </w14:textFill>
        </w:rPr>
        <w:t>地下水环境影响预测</w:t>
      </w:r>
      <w:r>
        <w:rPr>
          <w:rFonts w:hint="eastAsia" w:ascii="Times New Roman" w:hAnsi="Times New Roman" w:cs="Times New Roman"/>
          <w:color w:val="000000" w:themeColor="text1"/>
          <w:kern w:val="2"/>
          <w:highlight w:val="none"/>
          <w:lang w:val="en-US" w:eastAsia="zh-CN"/>
          <w14:textFill>
            <w14:solidFill>
              <w14:schemeClr w14:val="tx1"/>
            </w14:solidFill>
          </w14:textFill>
        </w:rPr>
        <w:t>结果</w:t>
      </w:r>
    </w:p>
    <w:p w14:paraId="62F3F73D">
      <w:pPr>
        <w:pStyle w:val="10"/>
        <w:widowControl w:val="0"/>
        <w:overflowPunct w:val="0"/>
        <w:topLinePunct/>
        <w:spacing w:after="0"/>
        <w:ind w:firstLine="480"/>
        <w:jc w:val="both"/>
        <w:rPr>
          <w:rFonts w:ascii="Times New Roman" w:hAnsi="Times New Roman" w:cs="Times New Roman"/>
          <w:color w:val="000000" w:themeColor="text1"/>
          <w:kern w:val="2"/>
          <w:highlight w:val="none"/>
          <w14:textFill>
            <w14:solidFill>
              <w14:schemeClr w14:val="tx1"/>
            </w14:solidFill>
          </w14:textFill>
        </w:rPr>
      </w:pPr>
      <w:r>
        <w:rPr>
          <w:rFonts w:hint="eastAsia" w:ascii="Times New Roman" w:hAnsi="Times New Roman" w:cs="Times New Roman"/>
          <w:color w:val="000000" w:themeColor="text1"/>
          <w:kern w:val="2"/>
          <w:highlight w:val="none"/>
          <w:lang w:val="en-US" w:eastAsia="zh-CN"/>
          <w14:textFill>
            <w14:solidFill>
              <w14:schemeClr w14:val="tx1"/>
            </w14:solidFill>
          </w14:textFill>
        </w:rPr>
        <w:t>回水池</w:t>
      </w:r>
      <w:r>
        <w:rPr>
          <w:rFonts w:ascii="Times New Roman" w:hAnsi="Times New Roman" w:cs="Times New Roman"/>
          <w:color w:val="000000" w:themeColor="text1"/>
          <w:kern w:val="2"/>
          <w:highlight w:val="none"/>
          <w14:textFill>
            <w14:solidFill>
              <w14:schemeClr w14:val="tx1"/>
            </w14:solidFill>
          </w14:textFill>
        </w:rPr>
        <w:t>地下水环境影响预测</w:t>
      </w:r>
      <w:r>
        <w:rPr>
          <w:rFonts w:hint="eastAsia" w:ascii="Times New Roman" w:hAnsi="Times New Roman" w:cs="Times New Roman"/>
          <w:color w:val="000000" w:themeColor="text1"/>
          <w:kern w:val="2"/>
          <w:highlight w:val="none"/>
          <w:lang w:val="en-US" w:eastAsia="zh-CN"/>
          <w14:textFill>
            <w14:solidFill>
              <w14:schemeClr w14:val="tx1"/>
            </w14:solidFill>
          </w14:textFill>
        </w:rPr>
        <w:t>结果见表5.2-7、图5.2-2~5.2-5。</w:t>
      </w:r>
    </w:p>
    <w:p w14:paraId="2D6798EA">
      <w:pPr>
        <w:keepNext w:val="0"/>
        <w:keepLines w:val="0"/>
        <w:pageBreakBefore w:val="0"/>
        <w:widowControl w:val="0"/>
        <w:kinsoku/>
        <w:wordWrap w:val="0"/>
        <w:overflowPunct/>
        <w:topLinePunct w:val="0"/>
        <w:autoSpaceDE/>
        <w:autoSpaceDN/>
        <w:bidi w:val="0"/>
        <w:adjustRightInd/>
        <w:snapToGrid/>
        <w:spacing w:line="480" w:lineRule="exact"/>
        <w:ind w:firstLine="0" w:firstLineChars="0"/>
        <w:jc w:val="center"/>
        <w:textAlignment w:val="auto"/>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表5.2-</w:t>
      </w:r>
      <w:r>
        <w:rPr>
          <w:rFonts w:hint="eastAsia"/>
          <w:b/>
          <w:bCs/>
          <w:color w:val="000000" w:themeColor="text1"/>
          <w:highlight w:val="none"/>
          <w:lang w:val="en-US" w:eastAsia="zh-CN"/>
          <w14:textFill>
            <w14:solidFill>
              <w14:schemeClr w14:val="tx1"/>
            </w14:solidFill>
          </w14:textFill>
        </w:rPr>
        <w:t>7</w:t>
      </w:r>
      <w:r>
        <w:rPr>
          <w:b/>
          <w:bCs/>
          <w:color w:val="000000" w:themeColor="text1"/>
          <w:highlight w:val="none"/>
          <w14:textFill>
            <w14:solidFill>
              <w14:schemeClr w14:val="tx1"/>
            </w14:solidFill>
          </w14:textFill>
        </w:rPr>
        <w:t xml:space="preserve">    </w:t>
      </w:r>
      <w:r>
        <w:rPr>
          <w:rFonts w:hint="eastAsia" w:ascii="Times New Roman" w:hAnsi="Times New Roman" w:cs="Times New Roman"/>
          <w:b/>
          <w:bCs/>
          <w:color w:val="000000" w:themeColor="text1"/>
          <w:kern w:val="2"/>
          <w:highlight w:val="none"/>
          <w:lang w:val="en-US" w:eastAsia="zh-CN"/>
          <w14:textFill>
            <w14:solidFill>
              <w14:schemeClr w14:val="tx1"/>
            </w14:solidFill>
          </w14:textFill>
        </w:rPr>
        <w:t>回水池</w:t>
      </w:r>
      <w:r>
        <w:rPr>
          <w:b/>
          <w:bCs/>
          <w:color w:val="000000" w:themeColor="text1"/>
          <w:highlight w:val="none"/>
          <w14:textFill>
            <w14:solidFill>
              <w14:schemeClr w14:val="tx1"/>
            </w14:solidFill>
          </w14:textFill>
        </w:rPr>
        <w:t>渗漏对地下水中</w:t>
      </w:r>
      <w:r>
        <w:rPr>
          <w:rFonts w:hint="eastAsia"/>
          <w:b/>
          <w:bCs/>
          <w:color w:val="000000" w:themeColor="text1"/>
          <w:highlight w:val="none"/>
          <w:lang w:val="en-US" w:eastAsia="zh-CN"/>
          <w14:textFill>
            <w14:solidFill>
              <w14:schemeClr w14:val="tx1"/>
            </w14:solidFill>
          </w14:textFill>
        </w:rPr>
        <w:t>砷</w:t>
      </w:r>
      <w:r>
        <w:rPr>
          <w:b/>
          <w:bCs/>
          <w:color w:val="000000" w:themeColor="text1"/>
          <w:highlight w:val="none"/>
          <w14:textFill>
            <w14:solidFill>
              <w14:schemeClr w14:val="tx1"/>
            </w14:solidFill>
          </w14:textFill>
        </w:rPr>
        <w:t>浓度预测结果表</w:t>
      </w:r>
    </w:p>
    <w:tbl>
      <w:tblPr>
        <w:tblStyle w:val="32"/>
        <w:tblW w:w="851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51"/>
        <w:gridCol w:w="2217"/>
        <w:gridCol w:w="1937"/>
        <w:gridCol w:w="2127"/>
        <w:gridCol w:w="1478"/>
      </w:tblGrid>
      <w:tr w14:paraId="7D3F98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751" w:type="dxa"/>
            <w:vAlign w:val="center"/>
          </w:tcPr>
          <w:p w14:paraId="6AF79B8F">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b/>
                <w:bCs/>
                <w:color w:val="000000" w:themeColor="text1"/>
                <w:kern w:val="18"/>
                <w:sz w:val="21"/>
                <w:szCs w:val="21"/>
                <w14:textFill>
                  <w14:solidFill>
                    <w14:schemeClr w14:val="tx1"/>
                  </w14:solidFill>
                </w14:textFill>
              </w:rPr>
            </w:pPr>
            <w:r>
              <w:rPr>
                <w:rFonts w:hint="default" w:ascii="Times New Roman" w:hAnsi="Times New Roman" w:cs="Times New Roman"/>
                <w:b/>
                <w:bCs/>
                <w:color w:val="000000" w:themeColor="text1"/>
                <w:kern w:val="18"/>
                <w:sz w:val="21"/>
                <w:szCs w:val="21"/>
                <w14:textFill>
                  <w14:solidFill>
                    <w14:schemeClr w14:val="tx1"/>
                  </w14:solidFill>
                </w14:textFill>
              </w:rPr>
              <w:t>时间</w:t>
            </w:r>
          </w:p>
        </w:tc>
        <w:tc>
          <w:tcPr>
            <w:tcW w:w="2217" w:type="dxa"/>
            <w:vAlign w:val="center"/>
          </w:tcPr>
          <w:p w14:paraId="52843431">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b/>
                <w:bCs/>
                <w:color w:val="000000" w:themeColor="text1"/>
                <w:kern w:val="18"/>
                <w:sz w:val="21"/>
                <w:szCs w:val="21"/>
                <w14:textFill>
                  <w14:solidFill>
                    <w14:schemeClr w14:val="tx1"/>
                  </w14:solidFill>
                </w14:textFill>
              </w:rPr>
            </w:pPr>
            <w:r>
              <w:rPr>
                <w:rFonts w:hint="eastAsia" w:ascii="Times New Roman" w:hAnsi="Times New Roman" w:cs="Times New Roman"/>
                <w:b/>
                <w:bCs/>
                <w:color w:val="000000" w:themeColor="text1"/>
                <w:kern w:val="18"/>
                <w:sz w:val="21"/>
                <w:szCs w:val="21"/>
                <w14:textFill>
                  <w14:solidFill>
                    <w14:schemeClr w14:val="tx1"/>
                  </w14:solidFill>
                </w14:textFill>
              </w:rPr>
              <w:t>预测浓度最大值（</w:t>
            </w:r>
            <w:r>
              <w:rPr>
                <w:rFonts w:hint="default" w:ascii="Times New Roman" w:hAnsi="Times New Roman" w:cs="Times New Roman"/>
                <w:color w:val="000000" w:themeColor="text1"/>
                <w:kern w:val="18"/>
                <w:sz w:val="21"/>
                <w:szCs w:val="21"/>
                <w14:textFill>
                  <w14:solidFill>
                    <w14:schemeClr w14:val="tx1"/>
                  </w14:solidFill>
                </w14:textFill>
              </w:rPr>
              <w:t>m</w:t>
            </w:r>
            <w:r>
              <w:rPr>
                <w:rFonts w:hint="eastAsia" w:ascii="Times New Roman" w:hAnsi="Times New Roman" w:cs="Times New Roman"/>
                <w:color w:val="000000" w:themeColor="text1"/>
                <w:kern w:val="18"/>
                <w:sz w:val="21"/>
                <w:szCs w:val="21"/>
                <w14:textFill>
                  <w14:solidFill>
                    <w14:schemeClr w14:val="tx1"/>
                  </w14:solidFill>
                </w14:textFill>
              </w:rPr>
              <w:t>g/L</w:t>
            </w:r>
            <w:r>
              <w:rPr>
                <w:rFonts w:hint="eastAsia" w:ascii="Times New Roman" w:hAnsi="Times New Roman" w:cs="Times New Roman"/>
                <w:b/>
                <w:bCs/>
                <w:color w:val="000000" w:themeColor="text1"/>
                <w:kern w:val="18"/>
                <w:sz w:val="21"/>
                <w:szCs w:val="21"/>
                <w14:textFill>
                  <w14:solidFill>
                    <w14:schemeClr w14:val="tx1"/>
                  </w14:solidFill>
                </w14:textFill>
              </w:rPr>
              <w:t>）</w:t>
            </w:r>
          </w:p>
        </w:tc>
        <w:tc>
          <w:tcPr>
            <w:tcW w:w="1937" w:type="dxa"/>
            <w:vAlign w:val="center"/>
          </w:tcPr>
          <w:p w14:paraId="4F062A5D">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eastAsia" w:ascii="Times New Roman" w:hAnsi="Times New Roman" w:cs="Times New Roman"/>
                <w:b/>
                <w:bCs/>
                <w:color w:val="000000" w:themeColor="text1"/>
                <w:kern w:val="18"/>
                <w:sz w:val="21"/>
                <w:szCs w:val="21"/>
                <w14:textFill>
                  <w14:solidFill>
                    <w14:schemeClr w14:val="tx1"/>
                  </w14:solidFill>
                </w14:textFill>
              </w:rPr>
            </w:pPr>
            <w:r>
              <w:rPr>
                <w:rFonts w:hint="eastAsia" w:ascii="Times New Roman" w:hAnsi="Times New Roman" w:cs="Times New Roman"/>
                <w:b/>
                <w:bCs/>
                <w:color w:val="000000" w:themeColor="text1"/>
                <w:kern w:val="18"/>
                <w:sz w:val="21"/>
                <w:szCs w:val="21"/>
                <w14:textFill>
                  <w14:solidFill>
                    <w14:schemeClr w14:val="tx1"/>
                  </w14:solidFill>
                </w14:textFill>
              </w:rPr>
              <w:t>最大值对应距离（m）</w:t>
            </w:r>
          </w:p>
        </w:tc>
        <w:tc>
          <w:tcPr>
            <w:tcW w:w="2127" w:type="dxa"/>
            <w:vAlign w:val="center"/>
          </w:tcPr>
          <w:p w14:paraId="1979A815">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b/>
                <w:bCs/>
                <w:color w:val="000000" w:themeColor="text1"/>
                <w:kern w:val="18"/>
                <w:sz w:val="21"/>
                <w:szCs w:val="21"/>
                <w14:textFill>
                  <w14:solidFill>
                    <w14:schemeClr w14:val="tx1"/>
                  </w14:solidFill>
                </w14:textFill>
              </w:rPr>
            </w:pPr>
            <w:r>
              <w:rPr>
                <w:rFonts w:hint="eastAsia" w:ascii="Times New Roman" w:hAnsi="Times New Roman" w:cs="Times New Roman"/>
                <w:b/>
                <w:bCs/>
                <w:color w:val="000000" w:themeColor="text1"/>
                <w:kern w:val="18"/>
                <w:sz w:val="21"/>
                <w:szCs w:val="21"/>
                <w14:textFill>
                  <w14:solidFill>
                    <w14:schemeClr w14:val="tx1"/>
                  </w14:solidFill>
                </w14:textFill>
              </w:rPr>
              <w:t>预测影响最远距离（m）</w:t>
            </w:r>
          </w:p>
        </w:tc>
        <w:tc>
          <w:tcPr>
            <w:tcW w:w="1478" w:type="dxa"/>
            <w:vAlign w:val="center"/>
          </w:tcPr>
          <w:p w14:paraId="75BA262B">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b/>
                <w:bCs/>
                <w:color w:val="000000" w:themeColor="text1"/>
                <w:kern w:val="18"/>
                <w:sz w:val="21"/>
                <w:szCs w:val="21"/>
                <w14:textFill>
                  <w14:solidFill>
                    <w14:schemeClr w14:val="tx1"/>
                  </w14:solidFill>
                </w14:textFill>
              </w:rPr>
            </w:pPr>
            <w:r>
              <w:rPr>
                <w:rFonts w:hint="eastAsia" w:ascii="Times New Roman" w:hAnsi="Times New Roman" w:cs="Times New Roman"/>
                <w:b/>
                <w:bCs/>
                <w:color w:val="000000" w:themeColor="text1"/>
                <w:kern w:val="18"/>
                <w:sz w:val="21"/>
                <w:szCs w:val="21"/>
                <w14:textFill>
                  <w14:solidFill>
                    <w14:schemeClr w14:val="tx1"/>
                  </w14:solidFill>
                </w14:textFill>
              </w:rPr>
              <w:t>超标距离（m）</w:t>
            </w:r>
          </w:p>
        </w:tc>
      </w:tr>
      <w:tr w14:paraId="267FAA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751" w:type="dxa"/>
            <w:vAlign w:val="center"/>
          </w:tcPr>
          <w:p w14:paraId="7BEC8809">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color w:val="000000" w:themeColor="text1"/>
                <w:kern w:val="18"/>
                <w:sz w:val="21"/>
                <w:szCs w:val="21"/>
                <w14:textFill>
                  <w14:solidFill>
                    <w14:schemeClr w14:val="tx1"/>
                  </w14:solidFill>
                </w14:textFill>
              </w:rPr>
            </w:pPr>
            <w:r>
              <w:rPr>
                <w:rFonts w:hint="default" w:ascii="Times New Roman" w:hAnsi="Times New Roman" w:cs="Times New Roman"/>
                <w:color w:val="000000" w:themeColor="text1"/>
                <w:kern w:val="18"/>
                <w:sz w:val="21"/>
                <w:szCs w:val="21"/>
                <w14:textFill>
                  <w14:solidFill>
                    <w14:schemeClr w14:val="tx1"/>
                  </w14:solidFill>
                </w14:textFill>
              </w:rPr>
              <w:t>10</w:t>
            </w:r>
            <w:r>
              <w:rPr>
                <w:rFonts w:hint="eastAsia" w:ascii="Times New Roman" w:hAnsi="Times New Roman" w:cs="Times New Roman"/>
                <w:color w:val="000000" w:themeColor="text1"/>
                <w:kern w:val="18"/>
                <w:sz w:val="21"/>
                <w:szCs w:val="21"/>
                <w14:textFill>
                  <w14:solidFill>
                    <w14:schemeClr w14:val="tx1"/>
                  </w14:solidFill>
                </w14:textFill>
              </w:rPr>
              <w:t>0</w:t>
            </w:r>
            <w:r>
              <w:rPr>
                <w:rFonts w:hint="default" w:ascii="Times New Roman" w:hAnsi="Times New Roman" w:cs="Times New Roman"/>
                <w:color w:val="000000" w:themeColor="text1"/>
                <w:kern w:val="18"/>
                <w:sz w:val="21"/>
                <w:szCs w:val="21"/>
                <w14:textFill>
                  <w14:solidFill>
                    <w14:schemeClr w14:val="tx1"/>
                  </w14:solidFill>
                </w14:textFill>
              </w:rPr>
              <w:t>天</w:t>
            </w:r>
          </w:p>
        </w:tc>
        <w:tc>
          <w:tcPr>
            <w:tcW w:w="2217" w:type="dxa"/>
            <w:vAlign w:val="center"/>
          </w:tcPr>
          <w:p w14:paraId="6890AC40">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0.0002</w:t>
            </w:r>
          </w:p>
        </w:tc>
        <w:tc>
          <w:tcPr>
            <w:tcW w:w="1937" w:type="dxa"/>
            <w:vAlign w:val="center"/>
          </w:tcPr>
          <w:p w14:paraId="1368199F">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t>0</w:t>
            </w:r>
          </w:p>
        </w:tc>
        <w:tc>
          <w:tcPr>
            <w:tcW w:w="2127" w:type="dxa"/>
            <w:vAlign w:val="center"/>
          </w:tcPr>
          <w:p w14:paraId="1AE214E0">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default" w:ascii="Times New Roman" w:hAnsi="Times New Roman" w:cs="Times New Roman"/>
                <w:color w:val="000000" w:themeColor="text1"/>
                <w:kern w:val="18"/>
                <w:sz w:val="21"/>
                <w:szCs w:val="21"/>
                <w:lang w:val="en-US" w:eastAsia="zh-CN"/>
                <w14:textFill>
                  <w14:solidFill>
                    <w14:schemeClr w14:val="tx1"/>
                  </w14:solidFill>
                </w14:textFill>
              </w:rPr>
              <w:t>52</w:t>
            </w:r>
          </w:p>
        </w:tc>
        <w:tc>
          <w:tcPr>
            <w:tcW w:w="1478" w:type="dxa"/>
            <w:vAlign w:val="center"/>
          </w:tcPr>
          <w:p w14:paraId="797433B1">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w:t>
            </w:r>
          </w:p>
        </w:tc>
      </w:tr>
      <w:tr w14:paraId="18B64C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751" w:type="dxa"/>
            <w:vAlign w:val="center"/>
          </w:tcPr>
          <w:p w14:paraId="306255B0">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color w:val="000000" w:themeColor="text1"/>
                <w:kern w:val="18"/>
                <w:sz w:val="21"/>
                <w:szCs w:val="21"/>
                <w14:textFill>
                  <w14:solidFill>
                    <w14:schemeClr w14:val="tx1"/>
                  </w14:solidFill>
                </w14:textFill>
              </w:rPr>
            </w:pPr>
            <w:r>
              <w:rPr>
                <w:rFonts w:hint="eastAsia" w:ascii="Times New Roman" w:hAnsi="Times New Roman" w:cs="Times New Roman"/>
                <w:color w:val="000000" w:themeColor="text1"/>
                <w:kern w:val="18"/>
                <w:sz w:val="21"/>
                <w:szCs w:val="21"/>
                <w14:textFill>
                  <w14:solidFill>
                    <w14:schemeClr w14:val="tx1"/>
                  </w14:solidFill>
                </w14:textFill>
              </w:rPr>
              <w:t>10</w:t>
            </w:r>
            <w:r>
              <w:rPr>
                <w:rFonts w:hint="default" w:ascii="Times New Roman" w:hAnsi="Times New Roman" w:cs="Times New Roman"/>
                <w:color w:val="000000" w:themeColor="text1"/>
                <w:kern w:val="18"/>
                <w:sz w:val="21"/>
                <w:szCs w:val="21"/>
                <w14:textFill>
                  <w14:solidFill>
                    <w14:schemeClr w14:val="tx1"/>
                  </w14:solidFill>
                </w14:textFill>
              </w:rPr>
              <w:t>00天</w:t>
            </w:r>
          </w:p>
        </w:tc>
        <w:tc>
          <w:tcPr>
            <w:tcW w:w="2217" w:type="dxa"/>
            <w:vAlign w:val="center"/>
          </w:tcPr>
          <w:p w14:paraId="4D08F6AE">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0.0002</w:t>
            </w:r>
          </w:p>
        </w:tc>
        <w:tc>
          <w:tcPr>
            <w:tcW w:w="1937" w:type="dxa"/>
            <w:vAlign w:val="center"/>
          </w:tcPr>
          <w:p w14:paraId="78817F43">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t>0</w:t>
            </w:r>
          </w:p>
        </w:tc>
        <w:tc>
          <w:tcPr>
            <w:tcW w:w="2127" w:type="dxa"/>
            <w:vAlign w:val="center"/>
          </w:tcPr>
          <w:p w14:paraId="68DC997E">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default" w:ascii="Times New Roman" w:hAnsi="Times New Roman" w:cs="Times New Roman"/>
                <w:color w:val="000000" w:themeColor="text1"/>
                <w:kern w:val="18"/>
                <w:sz w:val="21"/>
                <w:szCs w:val="21"/>
                <w:lang w:val="en-US" w:eastAsia="zh-CN"/>
                <w14:textFill>
                  <w14:solidFill>
                    <w14:schemeClr w14:val="tx1"/>
                  </w14:solidFill>
                </w14:textFill>
              </w:rPr>
              <w:t>345</w:t>
            </w:r>
          </w:p>
        </w:tc>
        <w:tc>
          <w:tcPr>
            <w:tcW w:w="1478" w:type="dxa"/>
            <w:vAlign w:val="center"/>
          </w:tcPr>
          <w:p w14:paraId="55891194">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w:t>
            </w:r>
          </w:p>
        </w:tc>
      </w:tr>
      <w:tr w14:paraId="438722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751" w:type="dxa"/>
            <w:vAlign w:val="center"/>
          </w:tcPr>
          <w:p w14:paraId="37A4BE01">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3650天</w:t>
            </w:r>
          </w:p>
        </w:tc>
        <w:tc>
          <w:tcPr>
            <w:tcW w:w="2217" w:type="dxa"/>
            <w:vAlign w:val="center"/>
          </w:tcPr>
          <w:p w14:paraId="66032589">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cs="Times New Roman"/>
                <w:color w:val="000000" w:themeColor="text1"/>
                <w:kern w:val="18"/>
                <w:sz w:val="21"/>
                <w:szCs w:val="21"/>
                <w:lang w:val="en-US"/>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0.0002</w:t>
            </w:r>
          </w:p>
        </w:tc>
        <w:tc>
          <w:tcPr>
            <w:tcW w:w="1937" w:type="dxa"/>
            <w:vAlign w:val="center"/>
          </w:tcPr>
          <w:p w14:paraId="3A26FE2C">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t>0</w:t>
            </w:r>
          </w:p>
        </w:tc>
        <w:tc>
          <w:tcPr>
            <w:tcW w:w="2127" w:type="dxa"/>
            <w:vAlign w:val="center"/>
          </w:tcPr>
          <w:p w14:paraId="7E95DA86">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default" w:ascii="Times New Roman" w:hAnsi="Times New Roman" w:cs="Times New Roman"/>
                <w:color w:val="000000" w:themeColor="text1"/>
                <w:kern w:val="18"/>
                <w:sz w:val="21"/>
                <w:szCs w:val="21"/>
                <w:lang w:val="en-US" w:eastAsia="zh-CN"/>
                <w14:textFill>
                  <w14:solidFill>
                    <w14:schemeClr w14:val="tx1"/>
                  </w14:solidFill>
                </w14:textFill>
              </w:rPr>
              <w:t>1132</w:t>
            </w:r>
          </w:p>
        </w:tc>
        <w:tc>
          <w:tcPr>
            <w:tcW w:w="1478" w:type="dxa"/>
            <w:vAlign w:val="center"/>
          </w:tcPr>
          <w:p w14:paraId="6F36F9F5">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w:t>
            </w:r>
          </w:p>
        </w:tc>
      </w:tr>
      <w:tr w14:paraId="14D365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751" w:type="dxa"/>
            <w:vAlign w:val="center"/>
          </w:tcPr>
          <w:p w14:paraId="15FDD8EC">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cs="Times New Roman"/>
                <w:color w:val="000000" w:themeColor="text1"/>
                <w:kern w:val="18"/>
                <w:sz w:val="21"/>
                <w:szCs w:val="21"/>
                <w:lang w:val="en-US" w:eastAsia="zh-CN"/>
                <w14:textFill>
                  <w14:solidFill>
                    <w14:schemeClr w14:val="tx1"/>
                  </w14:solidFill>
                </w14:textFill>
              </w:rPr>
              <w:t>5000天</w:t>
            </w:r>
          </w:p>
        </w:tc>
        <w:tc>
          <w:tcPr>
            <w:tcW w:w="2217" w:type="dxa"/>
            <w:vAlign w:val="center"/>
          </w:tcPr>
          <w:p w14:paraId="23F856E7">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0.0002</w:t>
            </w:r>
          </w:p>
        </w:tc>
        <w:tc>
          <w:tcPr>
            <w:tcW w:w="1937" w:type="dxa"/>
            <w:vAlign w:val="center"/>
          </w:tcPr>
          <w:p w14:paraId="1BC9F2AB">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18"/>
                <w:sz w:val="21"/>
                <w:szCs w:val="21"/>
                <w:lang w:val="en-US" w:eastAsia="zh-CN" w:bidi="ar-SA"/>
                <w14:textFill>
                  <w14:solidFill>
                    <w14:schemeClr w14:val="tx1"/>
                  </w14:solidFill>
                </w14:textFill>
              </w:rPr>
              <w:t>0</w:t>
            </w:r>
          </w:p>
        </w:tc>
        <w:tc>
          <w:tcPr>
            <w:tcW w:w="2127" w:type="dxa"/>
            <w:vAlign w:val="center"/>
          </w:tcPr>
          <w:p w14:paraId="272A1E92">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default" w:ascii="Times New Roman" w:hAnsi="Times New Roman" w:cs="Times New Roman"/>
                <w:color w:val="000000" w:themeColor="text1"/>
                <w:kern w:val="18"/>
                <w:sz w:val="21"/>
                <w:szCs w:val="21"/>
                <w:lang w:val="en-US" w:eastAsia="zh-CN"/>
                <w14:textFill>
                  <w14:solidFill>
                    <w14:schemeClr w14:val="tx1"/>
                  </w14:solidFill>
                </w14:textFill>
              </w:rPr>
              <w:t>1532</w:t>
            </w:r>
          </w:p>
        </w:tc>
        <w:tc>
          <w:tcPr>
            <w:tcW w:w="1478" w:type="dxa"/>
            <w:vAlign w:val="center"/>
          </w:tcPr>
          <w:p w14:paraId="0E1A9E2D">
            <w:pPr>
              <w:pStyle w:val="70"/>
              <w:keepNext w:val="0"/>
              <w:keepLines w:val="0"/>
              <w:widowControl/>
              <w:suppressLineNumbers w:val="0"/>
              <w:tabs>
                <w:tab w:val="left" w:pos="360"/>
                <w:tab w:val="left" w:pos="1620"/>
                <w:tab w:val="clear" w:pos="1119"/>
              </w:tabs>
              <w:overflowPunct w:val="0"/>
              <w:snapToGrid w:val="0"/>
              <w:spacing w:before="0" w:beforeAutospacing="0" w:afterAutospacing="0" w:line="360" w:lineRule="exact"/>
              <w:ind w:left="0" w:leftChars="0" w:right="0" w:firstLine="0" w:firstLineChars="0"/>
              <w:jc w:val="center"/>
              <w:rPr>
                <w:rFonts w:hint="default" w:ascii="Times New Roman" w:hAnsi="Times New Roman" w:eastAsia="宋体" w:cs="Times New Roman"/>
                <w:color w:val="000000" w:themeColor="text1"/>
                <w:kern w:val="18"/>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18"/>
                <w:sz w:val="21"/>
                <w:szCs w:val="21"/>
                <w:lang w:val="en-US" w:eastAsia="zh-CN"/>
                <w14:textFill>
                  <w14:solidFill>
                    <w14:schemeClr w14:val="tx1"/>
                  </w14:solidFill>
                </w14:textFill>
              </w:rPr>
              <w:t>0</w:t>
            </w:r>
          </w:p>
        </w:tc>
      </w:tr>
    </w:tbl>
    <w:p w14:paraId="7B149886">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16610F62">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4699E537">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16FD65D6">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10129AB0">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57B2D0D0">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2A76E7EE">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659F753F">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60BA77F4">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214D5D85">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图5.2-</w:t>
      </w:r>
      <w:r>
        <w:rPr>
          <w:rFonts w:hint="eastAsia" w:cs="Times New Roman"/>
          <w:b/>
          <w:bCs/>
          <w:color w:val="000000" w:themeColor="text1"/>
          <w:sz w:val="24"/>
          <w:highlight w:val="none"/>
          <w:lang w:val="en-US" w:eastAsia="zh-CN"/>
          <w14:textFill>
            <w14:solidFill>
              <w14:schemeClr w14:val="tx1"/>
            </w14:solidFill>
          </w14:textFill>
        </w:rPr>
        <w:t>2</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 xml:space="preserve">     100天</w:t>
      </w:r>
      <w:r>
        <w:rPr>
          <w:rFonts w:hint="eastAsia" w:cs="Times New Roman"/>
          <w:b/>
          <w:bCs/>
          <w:color w:val="000000" w:themeColor="text1"/>
          <w:sz w:val="24"/>
          <w:highlight w:val="none"/>
          <w:lang w:val="en-US" w:eastAsia="zh-CN"/>
          <w14:textFill>
            <w14:solidFill>
              <w14:schemeClr w14:val="tx1"/>
            </w14:solidFill>
          </w14:textFill>
        </w:rPr>
        <w:t>砷</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浓度</w:t>
      </w:r>
      <w:r>
        <w:rPr>
          <w:rFonts w:hint="eastAsia" w:cs="Times New Roman"/>
          <w:b/>
          <w:bCs/>
          <w:color w:val="000000" w:themeColor="text1"/>
          <w:sz w:val="24"/>
          <w:highlight w:val="none"/>
          <w:lang w:val="en-US" w:eastAsia="zh-CN"/>
          <w14:textFill>
            <w14:solidFill>
              <w14:schemeClr w14:val="tx1"/>
            </w14:solidFill>
          </w14:textFill>
        </w:rPr>
        <w:t>随距离变化</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曲线图</w:t>
      </w:r>
    </w:p>
    <w:p w14:paraId="67FE379C">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7392427B">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3EAF1C6D">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78CEA9AA">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2F913F20">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5B16F467">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0C58A78E">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2DDAB35E">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328D6793">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659D58D8">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0FFCA545">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3CD2AB60">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eastAsia" w:eastAsia="宋体"/>
          <w:color w:val="000000" w:themeColor="text1"/>
          <w:highlight w:val="none"/>
          <w:lang w:eastAsia="zh-CN"/>
          <w14:textFill>
            <w14:solidFill>
              <w14:schemeClr w14:val="tx1"/>
            </w14:solidFill>
          </w14:textFill>
        </w:rPr>
      </w:pPr>
    </w:p>
    <w:p w14:paraId="33884C1D">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图5.2-</w:t>
      </w:r>
      <w:r>
        <w:rPr>
          <w:rFonts w:hint="eastAsia" w:cs="Times New Roman"/>
          <w:b/>
          <w:bCs/>
          <w:color w:val="000000" w:themeColor="text1"/>
          <w:sz w:val="24"/>
          <w:highlight w:val="none"/>
          <w:lang w:val="en-US" w:eastAsia="zh-CN"/>
          <w14:textFill>
            <w14:solidFill>
              <w14:schemeClr w14:val="tx1"/>
            </w14:solidFill>
          </w14:textFill>
        </w:rPr>
        <w:t>3</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 xml:space="preserve">     </w:t>
      </w:r>
      <w:r>
        <w:rPr>
          <w:rFonts w:hint="eastAsia" w:cs="Times New Roman"/>
          <w:b/>
          <w:bCs/>
          <w:color w:val="000000" w:themeColor="text1"/>
          <w:sz w:val="24"/>
          <w:highlight w:val="none"/>
          <w:lang w:val="en-US" w:eastAsia="zh-CN"/>
          <w14:textFill>
            <w14:solidFill>
              <w14:schemeClr w14:val="tx1"/>
            </w14:solidFill>
          </w14:textFill>
        </w:rPr>
        <w:t>10</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00天</w:t>
      </w:r>
      <w:r>
        <w:rPr>
          <w:rFonts w:hint="eastAsia" w:cs="Times New Roman"/>
          <w:b/>
          <w:bCs/>
          <w:color w:val="000000" w:themeColor="text1"/>
          <w:sz w:val="24"/>
          <w:highlight w:val="none"/>
          <w:lang w:val="en-US" w:eastAsia="zh-CN"/>
          <w14:textFill>
            <w14:solidFill>
              <w14:schemeClr w14:val="tx1"/>
            </w14:solidFill>
          </w14:textFill>
        </w:rPr>
        <w:t>砷</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浓度</w:t>
      </w:r>
      <w:r>
        <w:rPr>
          <w:rFonts w:hint="eastAsia" w:cs="Times New Roman"/>
          <w:b/>
          <w:bCs/>
          <w:color w:val="000000" w:themeColor="text1"/>
          <w:sz w:val="24"/>
          <w:highlight w:val="none"/>
          <w:lang w:val="en-US" w:eastAsia="zh-CN"/>
          <w14:textFill>
            <w14:solidFill>
              <w14:schemeClr w14:val="tx1"/>
            </w14:solidFill>
          </w14:textFill>
        </w:rPr>
        <w:t>随距离变化</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曲线图</w:t>
      </w:r>
    </w:p>
    <w:p w14:paraId="1D8E23B0">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Times New Roman" w:cs="Times New Roman"/>
          <w:b/>
          <w:bCs/>
          <w:color w:val="000000" w:themeColor="text1"/>
          <w:sz w:val="24"/>
          <w:highlight w:val="none"/>
          <w:lang w:val="en-US" w:eastAsia="zh-CN"/>
          <w14:textFill>
            <w14:solidFill>
              <w14:schemeClr w14:val="tx1"/>
            </w14:solidFill>
          </w14:textFill>
        </w:rPr>
      </w:pPr>
    </w:p>
    <w:p w14:paraId="3D5209E5">
      <w:pPr>
        <w:pStyle w:val="21"/>
        <w:rPr>
          <w:rFonts w:hint="eastAsia" w:hAnsi="Times New Roman" w:cs="Times New Roman"/>
          <w:b/>
          <w:bCs/>
          <w:color w:val="000000" w:themeColor="text1"/>
          <w:sz w:val="24"/>
          <w:highlight w:val="none"/>
          <w:lang w:val="en-US" w:eastAsia="zh-CN"/>
          <w14:textFill>
            <w14:solidFill>
              <w14:schemeClr w14:val="tx1"/>
            </w14:solidFill>
          </w14:textFill>
        </w:rPr>
      </w:pPr>
    </w:p>
    <w:p w14:paraId="772A66E4">
      <w:pPr>
        <w:rPr>
          <w:rFonts w:hint="eastAsia" w:hAnsi="Times New Roman" w:cs="Times New Roman"/>
          <w:b/>
          <w:bCs/>
          <w:color w:val="000000" w:themeColor="text1"/>
          <w:sz w:val="24"/>
          <w:highlight w:val="none"/>
          <w:lang w:val="en-US" w:eastAsia="zh-CN"/>
          <w14:textFill>
            <w14:solidFill>
              <w14:schemeClr w14:val="tx1"/>
            </w14:solidFill>
          </w14:textFill>
        </w:rPr>
      </w:pPr>
    </w:p>
    <w:p w14:paraId="35DA6A88">
      <w:pPr>
        <w:rPr>
          <w:rFonts w:hint="eastAsia" w:hAnsi="Times New Roman" w:cs="Times New Roman"/>
          <w:b/>
          <w:bCs/>
          <w:color w:val="000000" w:themeColor="text1"/>
          <w:sz w:val="24"/>
          <w:highlight w:val="none"/>
          <w:lang w:val="en-US" w:eastAsia="zh-CN"/>
          <w14:textFill>
            <w14:solidFill>
              <w14:schemeClr w14:val="tx1"/>
            </w14:solidFill>
          </w14:textFill>
        </w:rPr>
      </w:pPr>
    </w:p>
    <w:p w14:paraId="463EDAAF">
      <w:pPr>
        <w:rPr>
          <w:rFonts w:hint="eastAsia" w:hAnsi="Times New Roman" w:cs="Times New Roman"/>
          <w:b/>
          <w:bCs/>
          <w:color w:val="000000" w:themeColor="text1"/>
          <w:sz w:val="24"/>
          <w:highlight w:val="none"/>
          <w:lang w:val="en-US" w:eastAsia="zh-CN"/>
          <w14:textFill>
            <w14:solidFill>
              <w14:schemeClr w14:val="tx1"/>
            </w14:solidFill>
          </w14:textFill>
        </w:rPr>
      </w:pPr>
    </w:p>
    <w:p w14:paraId="7953B4E8">
      <w:pPr>
        <w:rPr>
          <w:rFonts w:hint="eastAsia" w:hAnsi="Times New Roman" w:cs="Times New Roman"/>
          <w:b/>
          <w:bCs/>
          <w:color w:val="000000" w:themeColor="text1"/>
          <w:sz w:val="24"/>
          <w:highlight w:val="none"/>
          <w:lang w:val="en-US" w:eastAsia="zh-CN"/>
          <w14:textFill>
            <w14:solidFill>
              <w14:schemeClr w14:val="tx1"/>
            </w14:solidFill>
          </w14:textFill>
        </w:rPr>
      </w:pPr>
    </w:p>
    <w:p w14:paraId="162D848D">
      <w:pPr>
        <w:rPr>
          <w:rFonts w:hint="eastAsia" w:hAnsi="Times New Roman" w:cs="Times New Roman"/>
          <w:b/>
          <w:bCs/>
          <w:color w:val="000000" w:themeColor="text1"/>
          <w:sz w:val="24"/>
          <w:highlight w:val="none"/>
          <w:lang w:val="en-US" w:eastAsia="zh-CN"/>
          <w14:textFill>
            <w14:solidFill>
              <w14:schemeClr w14:val="tx1"/>
            </w14:solidFill>
          </w14:textFill>
        </w:rPr>
      </w:pPr>
    </w:p>
    <w:p w14:paraId="2A907966">
      <w:pPr>
        <w:rPr>
          <w:rFonts w:hint="eastAsia" w:hAnsi="Times New Roman" w:cs="Times New Roman"/>
          <w:b/>
          <w:bCs/>
          <w:color w:val="000000" w:themeColor="text1"/>
          <w:sz w:val="24"/>
          <w:highlight w:val="none"/>
          <w:lang w:val="en-US" w:eastAsia="zh-CN"/>
          <w14:textFill>
            <w14:solidFill>
              <w14:schemeClr w14:val="tx1"/>
            </w14:solidFill>
          </w14:textFill>
        </w:rPr>
      </w:pPr>
    </w:p>
    <w:p w14:paraId="3DA7F825">
      <w:pPr>
        <w:rPr>
          <w:rFonts w:hint="eastAsia" w:hAnsi="Times New Roman" w:cs="Times New Roman"/>
          <w:b/>
          <w:bCs/>
          <w:color w:val="000000" w:themeColor="text1"/>
          <w:sz w:val="24"/>
          <w:highlight w:val="none"/>
          <w:lang w:val="en-US" w:eastAsia="zh-CN"/>
          <w14:textFill>
            <w14:solidFill>
              <w14:schemeClr w14:val="tx1"/>
            </w14:solidFill>
          </w14:textFill>
        </w:rPr>
      </w:pPr>
    </w:p>
    <w:p w14:paraId="4400B7D3">
      <w:pPr>
        <w:rPr>
          <w:rFonts w:hint="eastAsia" w:hAnsi="Times New Roman" w:cs="Times New Roman"/>
          <w:b/>
          <w:bCs/>
          <w:color w:val="000000" w:themeColor="text1"/>
          <w:sz w:val="24"/>
          <w:highlight w:val="none"/>
          <w:lang w:val="en-US" w:eastAsia="zh-CN"/>
          <w14:textFill>
            <w14:solidFill>
              <w14:schemeClr w14:val="tx1"/>
            </w14:solidFill>
          </w14:textFill>
        </w:rPr>
      </w:pPr>
    </w:p>
    <w:p w14:paraId="22752B7A">
      <w:pPr>
        <w:rPr>
          <w:rFonts w:hint="eastAsia" w:hAnsi="Times New Roman" w:cs="Times New Roman"/>
          <w:b/>
          <w:bCs/>
          <w:color w:val="000000" w:themeColor="text1"/>
          <w:sz w:val="24"/>
          <w:highlight w:val="none"/>
          <w:lang w:val="en-US" w:eastAsia="zh-CN"/>
          <w14:textFill>
            <w14:solidFill>
              <w14:schemeClr w14:val="tx1"/>
            </w14:solidFill>
          </w14:textFill>
        </w:rPr>
      </w:pPr>
    </w:p>
    <w:p w14:paraId="2F81DE59">
      <w:pPr>
        <w:pStyle w:val="31"/>
        <w:ind w:left="0" w:leftChars="0" w:firstLine="0" w:firstLineChars="0"/>
        <w:jc w:val="center"/>
        <w:rPr>
          <w:rFonts w:hint="eastAsia" w:hAnsi="Times New Roman" w:cs="Times New Roman"/>
          <w:b/>
          <w:bCs/>
          <w:color w:val="000000" w:themeColor="text1"/>
          <w:sz w:val="24"/>
          <w:highlight w:val="none"/>
          <w:lang w:val="en-US" w:eastAsia="zh-CN"/>
          <w14:textFill>
            <w14:solidFill>
              <w14:schemeClr w14:val="tx1"/>
            </w14:solidFill>
          </w14:textFill>
        </w:rPr>
      </w:pPr>
      <w:r>
        <w:rPr>
          <w:rFonts w:hint="eastAsia" w:hAnsi="Times New Roman" w:cs="Times New Roman"/>
          <w:b/>
          <w:bCs/>
          <w:color w:val="000000" w:themeColor="text1"/>
          <w:sz w:val="24"/>
          <w:highlight w:val="none"/>
          <w:lang w:val="en-US" w:eastAsia="zh-CN"/>
          <w14:textFill>
            <w14:solidFill>
              <w14:schemeClr w14:val="tx1"/>
            </w14:solidFill>
          </w14:textFill>
        </w:rPr>
        <w:t>图5.2-</w:t>
      </w:r>
      <w:r>
        <w:rPr>
          <w:rFonts w:hint="eastAsia" w:cs="Times New Roman"/>
          <w:b/>
          <w:bCs/>
          <w:color w:val="000000" w:themeColor="text1"/>
          <w:sz w:val="24"/>
          <w:highlight w:val="none"/>
          <w:lang w:val="en-US" w:eastAsia="zh-CN"/>
          <w14:textFill>
            <w14:solidFill>
              <w14:schemeClr w14:val="tx1"/>
            </w14:solidFill>
          </w14:textFill>
        </w:rPr>
        <w:t>4</w:t>
      </w:r>
      <w:r>
        <w:rPr>
          <w:rFonts w:hint="eastAsia" w:hAnsi="Times New Roman" w:cs="Times New Roman"/>
          <w:b/>
          <w:bCs/>
          <w:color w:val="000000" w:themeColor="text1"/>
          <w:sz w:val="24"/>
          <w:highlight w:val="none"/>
          <w:lang w:val="en-US" w:eastAsia="zh-CN"/>
          <w14:textFill>
            <w14:solidFill>
              <w14:schemeClr w14:val="tx1"/>
            </w14:solidFill>
          </w14:textFill>
        </w:rPr>
        <w:t xml:space="preserve">    </w:t>
      </w:r>
      <w:r>
        <w:rPr>
          <w:rFonts w:hint="eastAsia" w:cs="Times New Roman"/>
          <w:b/>
          <w:bCs/>
          <w:color w:val="000000" w:themeColor="text1"/>
          <w:sz w:val="24"/>
          <w:highlight w:val="none"/>
          <w:lang w:val="en-US" w:eastAsia="zh-CN"/>
          <w14:textFill>
            <w14:solidFill>
              <w14:schemeClr w14:val="tx1"/>
            </w14:solidFill>
          </w14:textFill>
        </w:rPr>
        <w:t>3650</w:t>
      </w:r>
      <w:r>
        <w:rPr>
          <w:rFonts w:hint="eastAsia" w:hAnsi="Times New Roman" w:cs="Times New Roman"/>
          <w:b/>
          <w:bCs/>
          <w:color w:val="000000" w:themeColor="text1"/>
          <w:sz w:val="24"/>
          <w:highlight w:val="none"/>
          <w:lang w:val="en-US" w:eastAsia="zh-CN"/>
          <w14:textFill>
            <w14:solidFill>
              <w14:schemeClr w14:val="tx1"/>
            </w14:solidFill>
          </w14:textFill>
        </w:rPr>
        <w:t>天</w:t>
      </w:r>
      <w:r>
        <w:rPr>
          <w:rFonts w:hint="eastAsia" w:cs="Times New Roman"/>
          <w:b/>
          <w:bCs/>
          <w:color w:val="000000" w:themeColor="text1"/>
          <w:sz w:val="24"/>
          <w:highlight w:val="none"/>
          <w:lang w:val="en-US" w:eastAsia="zh-CN"/>
          <w14:textFill>
            <w14:solidFill>
              <w14:schemeClr w14:val="tx1"/>
            </w14:solidFill>
          </w14:textFill>
        </w:rPr>
        <w:t>砷</w:t>
      </w:r>
      <w:r>
        <w:rPr>
          <w:rFonts w:hint="eastAsia" w:hAnsi="Times New Roman" w:cs="Times New Roman"/>
          <w:b/>
          <w:bCs/>
          <w:color w:val="000000" w:themeColor="text1"/>
          <w:sz w:val="24"/>
          <w:highlight w:val="none"/>
          <w:lang w:val="en-US" w:eastAsia="zh-CN"/>
          <w14:textFill>
            <w14:solidFill>
              <w14:schemeClr w14:val="tx1"/>
            </w14:solidFill>
          </w14:textFill>
        </w:rPr>
        <w:t>浓度</w:t>
      </w:r>
      <w:r>
        <w:rPr>
          <w:rFonts w:hint="eastAsia" w:cs="Times New Roman"/>
          <w:b/>
          <w:bCs/>
          <w:color w:val="000000" w:themeColor="text1"/>
          <w:sz w:val="24"/>
          <w:highlight w:val="none"/>
          <w:lang w:val="en-US" w:eastAsia="zh-CN"/>
          <w14:textFill>
            <w14:solidFill>
              <w14:schemeClr w14:val="tx1"/>
            </w14:solidFill>
          </w14:textFill>
        </w:rPr>
        <w:t>变化</w:t>
      </w:r>
      <w:r>
        <w:rPr>
          <w:rFonts w:hint="eastAsia" w:hAnsi="Times New Roman" w:cs="Times New Roman"/>
          <w:b/>
          <w:bCs/>
          <w:color w:val="000000" w:themeColor="text1"/>
          <w:sz w:val="24"/>
          <w:highlight w:val="none"/>
          <w:lang w:val="en-US" w:eastAsia="zh-CN"/>
          <w14:textFill>
            <w14:solidFill>
              <w14:schemeClr w14:val="tx1"/>
            </w14:solidFill>
          </w14:textFill>
        </w:rPr>
        <w:t>曲线图</w:t>
      </w:r>
    </w:p>
    <w:p w14:paraId="15991054">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10015BB9">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237FBF94">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61ACD5AC">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5A65DE72">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78876A1F">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36F9807F">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263FB357">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5B5B28AA">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6DB32AFD">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1504BD6E">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737526B6">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59288FA1">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654F27A6">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2B883B8D">
      <w:pPr>
        <w:rPr>
          <w:rFonts w:hint="eastAsia" w:ascii="Times New Roman" w:hAnsi="Times New Roman" w:cs="Times New Roman"/>
          <w:b/>
          <w:bCs/>
          <w:color w:val="000000" w:themeColor="text1"/>
          <w:sz w:val="24"/>
          <w:highlight w:val="none"/>
          <w:lang w:val="en-US" w:eastAsia="zh-CN"/>
          <w14:textFill>
            <w14:solidFill>
              <w14:schemeClr w14:val="tx1"/>
            </w14:solidFill>
          </w14:textFill>
        </w:rPr>
      </w:pPr>
    </w:p>
    <w:p w14:paraId="356829D1">
      <w:pPr>
        <w:pStyle w:val="70"/>
        <w:widowControl/>
        <w:tabs>
          <w:tab w:val="left" w:pos="360"/>
          <w:tab w:val="left" w:pos="1620"/>
          <w:tab w:val="clear" w:pos="1119"/>
        </w:tabs>
        <w:overflowPunct w:val="0"/>
        <w:snapToGrid w:val="0"/>
        <w:ind w:left="0" w:leftChars="0" w:firstLine="0" w:firstLineChars="0"/>
        <w:jc w:val="center"/>
        <w:rPr>
          <w:rFonts w:hint="eastAsia" w:ascii="Times New Roman" w:hAnsi="Times New Roman" w:cs="Times New Roman"/>
          <w:b/>
          <w:bCs/>
          <w:snapToGrid/>
          <w:color w:val="000000" w:themeColor="text1"/>
          <w:kern w:val="2"/>
          <w:sz w:val="24"/>
          <w:szCs w:val="24"/>
          <w:highlight w:val="none"/>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图5.2-5    5000天砷浓度变化曲线图</w:t>
      </w:r>
    </w:p>
    <w:p w14:paraId="0FF288A9">
      <w:pPr>
        <w:pStyle w:val="10"/>
        <w:widowControl w:val="0"/>
        <w:overflowPunct w:val="0"/>
        <w:topLinePunct/>
        <w:spacing w:after="0"/>
        <w:ind w:firstLine="480"/>
        <w:jc w:val="both"/>
        <w:rPr>
          <w:rFonts w:hint="eastAsia" w:ascii="Times New Roman" w:hAnsi="Times New Roman" w:eastAsia="宋体" w:cs="Times New Roman"/>
          <w:color w:val="000000" w:themeColor="text1"/>
          <w:kern w:val="2"/>
          <w:sz w:val="24"/>
          <w:highlight w:val="none"/>
          <w:lang w:val="en-US" w:eastAsia="zh-CN"/>
          <w14:textFill>
            <w14:solidFill>
              <w14:schemeClr w14:val="tx1"/>
            </w14:solidFill>
          </w14:textFill>
        </w:rPr>
      </w:pPr>
      <w:r>
        <w:rPr>
          <w:rFonts w:ascii="Times New Roman" w:hAnsi="Times New Roman" w:cs="Times New Roman"/>
          <w:color w:val="000000" w:themeColor="text1"/>
          <w:kern w:val="2"/>
          <w:sz w:val="24"/>
          <w:highlight w:val="none"/>
          <w14:textFill>
            <w14:solidFill>
              <w14:schemeClr w14:val="tx1"/>
            </w14:solidFill>
          </w14:textFill>
        </w:rPr>
        <w:t>由表5.2-</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7</w:t>
      </w:r>
      <w:r>
        <w:rPr>
          <w:rFonts w:hint="eastAsia" w:ascii="Times New Roman" w:hAnsi="Times New Roman" w:cs="Times New Roman"/>
          <w:color w:val="000000" w:themeColor="text1"/>
          <w:kern w:val="2"/>
          <w:sz w:val="24"/>
          <w:highlight w:val="none"/>
          <w14:textFill>
            <w14:solidFill>
              <w14:schemeClr w14:val="tx1"/>
            </w14:solidFill>
          </w14:textFill>
        </w:rPr>
        <w:t>、图5.2-</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2~5.2-5</w:t>
      </w:r>
      <w:r>
        <w:rPr>
          <w:rFonts w:ascii="Times New Roman" w:hAnsi="Times New Roman" w:cs="Times New Roman"/>
          <w:color w:val="000000" w:themeColor="text1"/>
          <w:kern w:val="2"/>
          <w:sz w:val="24"/>
          <w:highlight w:val="none"/>
          <w14:textFill>
            <w14:solidFill>
              <w14:schemeClr w14:val="tx1"/>
            </w14:solidFill>
          </w14:textFill>
        </w:rPr>
        <w:t>预测结果可知，1</w:t>
      </w:r>
      <w:r>
        <w:rPr>
          <w:rFonts w:hint="eastAsia" w:ascii="Times New Roman" w:hAnsi="Times New Roman" w:cs="Times New Roman"/>
          <w:color w:val="000000" w:themeColor="text1"/>
          <w:kern w:val="2"/>
          <w:sz w:val="24"/>
          <w:highlight w:val="none"/>
          <w14:textFill>
            <w14:solidFill>
              <w14:schemeClr w14:val="tx1"/>
            </w14:solidFill>
          </w14:textFill>
        </w:rPr>
        <w:t>0</w:t>
      </w:r>
      <w:r>
        <w:rPr>
          <w:rFonts w:ascii="Times New Roman" w:hAnsi="Times New Roman" w:cs="Times New Roman"/>
          <w:color w:val="000000" w:themeColor="text1"/>
          <w:kern w:val="2"/>
          <w:sz w:val="24"/>
          <w:highlight w:val="none"/>
          <w14:textFill>
            <w14:solidFill>
              <w14:schemeClr w14:val="tx1"/>
            </w14:solidFill>
          </w14:textFill>
        </w:rPr>
        <w:t>0天后，特征因子</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砷</w:t>
      </w:r>
      <w:r>
        <w:rPr>
          <w:rFonts w:hint="eastAsia" w:ascii="Times New Roman" w:hAnsi="Times New Roman" w:cs="Times New Roman"/>
          <w:color w:val="000000" w:themeColor="text1"/>
          <w:kern w:val="2"/>
          <w:sz w:val="24"/>
          <w:highlight w:val="none"/>
          <w14:textFill>
            <w14:solidFill>
              <w14:schemeClr w14:val="tx1"/>
            </w14:solidFill>
          </w14:textFill>
        </w:rPr>
        <w:t>预测最大浓度值约为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0.0002</w:t>
      </w:r>
      <w:r>
        <w:rPr>
          <w:rFonts w:hint="eastAsia" w:ascii="Times New Roman" w:hAnsi="Times New Roman" w:cs="Times New Roman"/>
          <w:color w:val="000000" w:themeColor="text1"/>
          <w:kern w:val="2"/>
          <w:sz w:val="24"/>
          <w:highlight w:val="none"/>
          <w14:textFill>
            <w14:solidFill>
              <w14:schemeClr w14:val="tx1"/>
            </w14:solidFill>
          </w14:textFill>
        </w:rPr>
        <w:t>mg/L</w:t>
      </w:r>
      <w:r>
        <w:rPr>
          <w:rFonts w:ascii="Times New Roman" w:hAnsi="Times New Roman" w:cs="Times New Roman"/>
          <w:color w:val="000000" w:themeColor="text1"/>
          <w:kern w:val="2"/>
          <w:sz w:val="24"/>
          <w:highlight w:val="none"/>
          <w14:textFill>
            <w14:solidFill>
              <w14:schemeClr w14:val="tx1"/>
            </w14:solidFill>
          </w14:textFill>
        </w:rPr>
        <w:t>，最大影响距离为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52</w:t>
      </w:r>
      <w:r>
        <w:rPr>
          <w:rFonts w:ascii="Times New Roman" w:hAnsi="Times New Roman" w:cs="Times New Roman"/>
          <w:color w:val="000000" w:themeColor="text1"/>
          <w:kern w:val="2"/>
          <w:sz w:val="24"/>
          <w:highlight w:val="none"/>
          <w14:textFill>
            <w14:solidFill>
              <w14:schemeClr w14:val="tx1"/>
            </w14:solidFill>
          </w14:textFill>
        </w:rPr>
        <w:t>m；1000天后，特征因子</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砷</w:t>
      </w:r>
      <w:r>
        <w:rPr>
          <w:rFonts w:hint="eastAsia" w:ascii="Times New Roman" w:hAnsi="Times New Roman" w:cs="Times New Roman"/>
          <w:color w:val="000000" w:themeColor="text1"/>
          <w:kern w:val="2"/>
          <w:sz w:val="24"/>
          <w:highlight w:val="none"/>
          <w14:textFill>
            <w14:solidFill>
              <w14:schemeClr w14:val="tx1"/>
            </w14:solidFill>
          </w14:textFill>
        </w:rPr>
        <w:t>预测最大浓度值约为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0.0002</w:t>
      </w:r>
      <w:r>
        <w:rPr>
          <w:rFonts w:hint="eastAsia" w:ascii="Times New Roman" w:hAnsi="Times New Roman" w:cs="Times New Roman"/>
          <w:color w:val="000000" w:themeColor="text1"/>
          <w:kern w:val="2"/>
          <w:sz w:val="24"/>
          <w:highlight w:val="none"/>
          <w14:textFill>
            <w14:solidFill>
              <w14:schemeClr w14:val="tx1"/>
            </w14:solidFill>
          </w14:textFill>
        </w:rPr>
        <w:t>mg/L</w:t>
      </w:r>
      <w:r>
        <w:rPr>
          <w:rFonts w:ascii="Times New Roman" w:hAnsi="Times New Roman" w:cs="Times New Roman"/>
          <w:color w:val="000000" w:themeColor="text1"/>
          <w:kern w:val="2"/>
          <w:sz w:val="24"/>
          <w:highlight w:val="none"/>
          <w14:textFill>
            <w14:solidFill>
              <w14:schemeClr w14:val="tx1"/>
            </w14:solidFill>
          </w14:textFill>
        </w:rPr>
        <w:t>，最大影响距离为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345</w:t>
      </w:r>
      <w:r>
        <w:rPr>
          <w:rFonts w:ascii="Times New Roman" w:hAnsi="Times New Roman" w:cs="Times New Roman"/>
          <w:color w:val="000000" w:themeColor="text1"/>
          <w:kern w:val="2"/>
          <w:sz w:val="24"/>
          <w:highlight w:val="none"/>
          <w14:textFill>
            <w14:solidFill>
              <w14:schemeClr w14:val="tx1"/>
            </w14:solidFill>
          </w14:textFill>
        </w:rPr>
        <w:t>m；</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365</w:t>
      </w:r>
      <w:r>
        <w:rPr>
          <w:rFonts w:ascii="Times New Roman" w:hAnsi="Times New Roman" w:cs="Times New Roman"/>
          <w:color w:val="000000" w:themeColor="text1"/>
          <w:kern w:val="2"/>
          <w:sz w:val="24"/>
          <w:highlight w:val="none"/>
          <w14:textFill>
            <w14:solidFill>
              <w14:schemeClr w14:val="tx1"/>
            </w14:solidFill>
          </w14:textFill>
        </w:rPr>
        <w:t>0天后，特征因子</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砷</w:t>
      </w:r>
      <w:r>
        <w:rPr>
          <w:rFonts w:hint="eastAsia" w:ascii="Times New Roman" w:hAnsi="Times New Roman" w:cs="Times New Roman"/>
          <w:color w:val="000000" w:themeColor="text1"/>
          <w:kern w:val="2"/>
          <w:sz w:val="24"/>
          <w:highlight w:val="none"/>
          <w14:textFill>
            <w14:solidFill>
              <w14:schemeClr w14:val="tx1"/>
            </w14:solidFill>
          </w14:textFill>
        </w:rPr>
        <w:t>预测最大浓度值约为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0.0002</w:t>
      </w:r>
      <w:r>
        <w:rPr>
          <w:rFonts w:hint="eastAsia" w:ascii="Times New Roman" w:hAnsi="Times New Roman" w:cs="Times New Roman"/>
          <w:color w:val="000000" w:themeColor="text1"/>
          <w:kern w:val="2"/>
          <w:sz w:val="24"/>
          <w:highlight w:val="none"/>
          <w14:textFill>
            <w14:solidFill>
              <w14:schemeClr w14:val="tx1"/>
            </w14:solidFill>
          </w14:textFill>
        </w:rPr>
        <w:t>mg/L</w:t>
      </w:r>
      <w:r>
        <w:rPr>
          <w:rFonts w:ascii="Times New Roman" w:hAnsi="Times New Roman" w:cs="Times New Roman"/>
          <w:color w:val="000000" w:themeColor="text1"/>
          <w:kern w:val="2"/>
          <w:sz w:val="24"/>
          <w:highlight w:val="none"/>
          <w14:textFill>
            <w14:solidFill>
              <w14:schemeClr w14:val="tx1"/>
            </w14:solidFill>
          </w14:textFill>
        </w:rPr>
        <w:t>，最大影响距离为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1132</w:t>
      </w:r>
      <w:r>
        <w:rPr>
          <w:rFonts w:ascii="Times New Roman" w:hAnsi="Times New Roman" w:cs="Times New Roman"/>
          <w:color w:val="000000" w:themeColor="text1"/>
          <w:kern w:val="2"/>
          <w:sz w:val="24"/>
          <w:highlight w:val="none"/>
          <w14:textFill>
            <w14:solidFill>
              <w14:schemeClr w14:val="tx1"/>
            </w14:solidFill>
          </w14:textFill>
        </w:rPr>
        <w:t>m；</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5000</w:t>
      </w:r>
      <w:r>
        <w:rPr>
          <w:rFonts w:ascii="Times New Roman" w:hAnsi="Times New Roman" w:cs="Times New Roman"/>
          <w:color w:val="000000" w:themeColor="text1"/>
          <w:kern w:val="2"/>
          <w:sz w:val="24"/>
          <w:highlight w:val="none"/>
          <w14:textFill>
            <w14:solidFill>
              <w14:schemeClr w14:val="tx1"/>
            </w14:solidFill>
          </w14:textFill>
        </w:rPr>
        <w:t>天后，特征因子</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砷</w:t>
      </w:r>
      <w:r>
        <w:rPr>
          <w:rFonts w:hint="eastAsia" w:ascii="Times New Roman" w:hAnsi="Times New Roman" w:cs="Times New Roman"/>
          <w:color w:val="000000" w:themeColor="text1"/>
          <w:kern w:val="2"/>
          <w:sz w:val="24"/>
          <w:highlight w:val="none"/>
          <w14:textFill>
            <w14:solidFill>
              <w14:schemeClr w14:val="tx1"/>
            </w14:solidFill>
          </w14:textFill>
        </w:rPr>
        <w:t>预测最大浓度值约为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0.0002</w:t>
      </w:r>
      <w:r>
        <w:rPr>
          <w:rFonts w:hint="eastAsia" w:ascii="Times New Roman" w:hAnsi="Times New Roman" w:cs="Times New Roman"/>
          <w:color w:val="000000" w:themeColor="text1"/>
          <w:kern w:val="2"/>
          <w:sz w:val="24"/>
          <w:highlight w:val="none"/>
          <w14:textFill>
            <w14:solidFill>
              <w14:schemeClr w14:val="tx1"/>
            </w14:solidFill>
          </w14:textFill>
        </w:rPr>
        <w:t>mg/L</w:t>
      </w:r>
      <w:r>
        <w:rPr>
          <w:rFonts w:ascii="Times New Roman" w:hAnsi="Times New Roman" w:cs="Times New Roman"/>
          <w:color w:val="000000" w:themeColor="text1"/>
          <w:kern w:val="2"/>
          <w:sz w:val="24"/>
          <w:highlight w:val="none"/>
          <w14:textFill>
            <w14:solidFill>
              <w14:schemeClr w14:val="tx1"/>
            </w14:solidFill>
          </w14:textFill>
        </w:rPr>
        <w:t>，最大影响距离为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1532</w:t>
      </w:r>
      <w:r>
        <w:rPr>
          <w:rFonts w:ascii="Times New Roman" w:hAnsi="Times New Roman" w:cs="Times New Roman"/>
          <w:color w:val="000000" w:themeColor="text1"/>
          <w:kern w:val="2"/>
          <w:sz w:val="24"/>
          <w:highlight w:val="none"/>
          <w14:textFill>
            <w14:solidFill>
              <w14:schemeClr w14:val="tx1"/>
            </w14:solidFill>
          </w14:textFill>
        </w:rPr>
        <w:t>m</w:t>
      </w:r>
      <w:r>
        <w:rPr>
          <w:rFonts w:hint="eastAsia" w:ascii="Times New Roman" w:hAnsi="Times New Roman" w:cs="Times New Roman"/>
          <w:color w:val="000000" w:themeColor="text1"/>
          <w:kern w:val="2"/>
          <w:sz w:val="24"/>
          <w:highlight w:val="none"/>
          <w:lang w:eastAsia="zh-CN"/>
          <w14:textFill>
            <w14:solidFill>
              <w14:schemeClr w14:val="tx1"/>
            </w14:solidFill>
          </w14:textFill>
        </w:rPr>
        <w:t>。</w:t>
      </w:r>
    </w:p>
    <w:p w14:paraId="441B6E32">
      <w:pPr>
        <w:pStyle w:val="10"/>
        <w:widowControl w:val="0"/>
        <w:overflowPunct w:val="0"/>
        <w:topLinePunct/>
        <w:spacing w:after="0"/>
        <w:ind w:firstLine="480"/>
        <w:jc w:val="both"/>
        <w:rPr>
          <w:rFonts w:ascii="Times New Roman" w:hAnsi="Times New Roman" w:cs="Times New Roman"/>
          <w:color w:val="000000" w:themeColor="text1"/>
          <w:kern w:val="2"/>
          <w:highlight w:val="none"/>
          <w14:textFill>
            <w14:solidFill>
              <w14:schemeClr w14:val="tx1"/>
            </w14:solidFill>
          </w14:textFill>
        </w:rPr>
      </w:pPr>
      <w:r>
        <w:rPr>
          <w:rFonts w:ascii="Times New Roman" w:hAnsi="Times New Roman" w:cs="Times New Roman"/>
          <w:color w:val="000000" w:themeColor="text1"/>
          <w:kern w:val="2"/>
          <w:highlight w:val="none"/>
          <w14:textFill>
            <w14:solidFill>
              <w14:schemeClr w14:val="tx1"/>
            </w14:solidFill>
          </w14:textFill>
        </w:rPr>
        <w:t>评价范围内污染物浓度贡献值均满足地下水环境质量《地下水质量标准》（GB/T14848-2017）Ⅲ类标准。</w:t>
      </w:r>
      <w:r>
        <w:rPr>
          <w:rFonts w:hint="default" w:ascii="Times New Roman" w:hAnsi="Times New Roman" w:cs="Times New Roman"/>
          <w:color w:val="000000" w:themeColor="text1"/>
          <w:kern w:val="2"/>
          <w:highlight w:val="none"/>
          <w14:textFill>
            <w14:solidFill>
              <w14:schemeClr w14:val="tx1"/>
            </w14:solidFill>
          </w14:textFill>
        </w:rPr>
        <w:t>从预测结果可以看出，</w:t>
      </w:r>
      <w:r>
        <w:rPr>
          <w:rFonts w:hint="eastAsia" w:ascii="Times New Roman" w:hAnsi="Times New Roman" w:cs="Times New Roman"/>
          <w:color w:val="000000" w:themeColor="text1"/>
          <w:kern w:val="2"/>
          <w:highlight w:val="none"/>
          <w:lang w:val="en-US" w:eastAsia="zh-CN"/>
          <w14:textFill>
            <w14:solidFill>
              <w14:schemeClr w14:val="tx1"/>
            </w14:solidFill>
          </w14:textFill>
        </w:rPr>
        <w:t>回水池渗漏导致污染物</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砷进入地下水中的</w:t>
      </w:r>
      <w:r>
        <w:rPr>
          <w:rFonts w:hint="eastAsia" w:ascii="Times New Roman" w:hAnsi="Times New Roman" w:cs="Times New Roman"/>
          <w:color w:val="000000" w:themeColor="text1"/>
          <w:kern w:val="2"/>
          <w:sz w:val="24"/>
          <w:highlight w:val="none"/>
          <w14:textFill>
            <w14:solidFill>
              <w14:schemeClr w14:val="tx1"/>
            </w14:solidFill>
          </w14:textFill>
        </w:rPr>
        <w:t>预测最大浓度值</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均为0.0002</w:t>
      </w:r>
      <w:r>
        <w:rPr>
          <w:rFonts w:hint="eastAsia" w:ascii="Times New Roman" w:hAnsi="Times New Roman" w:cs="Times New Roman"/>
          <w:color w:val="000000" w:themeColor="text1"/>
          <w:kern w:val="2"/>
          <w:sz w:val="24"/>
          <w:highlight w:val="none"/>
          <w14:textFill>
            <w14:solidFill>
              <w14:schemeClr w14:val="tx1"/>
            </w14:solidFill>
          </w14:textFill>
        </w:rPr>
        <w:t>mg/L</w:t>
      </w:r>
      <w:r>
        <w:rPr>
          <w:rFonts w:ascii="Times New Roman" w:hAnsi="Times New Roman" w:cs="Times New Roman"/>
          <w:color w:val="000000" w:themeColor="text1"/>
          <w:kern w:val="2"/>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位于下游0m处，</w:t>
      </w:r>
      <w:r>
        <w:rPr>
          <w:rFonts w:hint="default" w:ascii="Times New Roman" w:hAnsi="Times New Roman" w:cs="Times New Roman"/>
          <w:color w:val="000000" w:themeColor="text1"/>
          <w:sz w:val="24"/>
          <w:highlight w:val="none"/>
          <w14:textFill>
            <w14:solidFill>
              <w14:schemeClr w14:val="tx1"/>
            </w14:solidFill>
          </w14:textFill>
        </w:rPr>
        <w:t>污染物运移到下游污染浓度满足《地下水质量标准》（GB/T14848-2017）中的Ⅲ类标准。根据项目区块地形，下游2km范围内无耕地和村落、乡镇分布，</w:t>
      </w:r>
      <w:r>
        <w:rPr>
          <w:color w:val="000000" w:themeColor="text1"/>
          <w:highlight w:val="none"/>
          <w14:textFill>
            <w14:solidFill>
              <w14:schemeClr w14:val="tx1"/>
            </w14:solidFill>
          </w14:textFill>
        </w:rPr>
        <w:t>项目非正常状况对周边环境无明显影响。</w:t>
      </w:r>
    </w:p>
    <w:p w14:paraId="27B1FDD5">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2.4运营期声环境影响分析与评价</w:t>
      </w:r>
      <w:bookmarkEnd w:id="750"/>
      <w:bookmarkEnd w:id="751"/>
      <w:bookmarkEnd w:id="752"/>
    </w:p>
    <w:p w14:paraId="7EE32997">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w:t>
      </w:r>
      <w:r>
        <w:rPr>
          <w:rFonts w:hint="eastAsia"/>
          <w:color w:val="000000" w:themeColor="text1"/>
          <w:highlight w:val="none"/>
          <w14:textFill>
            <w14:solidFill>
              <w14:schemeClr w14:val="tx1"/>
            </w14:solidFill>
          </w14:textFill>
        </w:rPr>
        <w:t>4.1</w:t>
      </w:r>
      <w:r>
        <w:rPr>
          <w:color w:val="000000" w:themeColor="text1"/>
          <w:highlight w:val="none"/>
          <w:lang w:val="zh-CN"/>
          <w14:textFill>
            <w14:solidFill>
              <w14:schemeClr w14:val="tx1"/>
            </w14:solidFill>
          </w14:textFill>
        </w:rPr>
        <w:t>声环境质量影响预测</w:t>
      </w:r>
    </w:p>
    <w:p w14:paraId="52259F88">
      <w:pPr>
        <w:overflowPunct w:val="0"/>
        <w:topLinePunct/>
        <w:adjustRightInd w:val="0"/>
        <w:ind w:firstLine="48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color w:val="000000" w:themeColor="text1"/>
          <w:highlight w:val="none"/>
          <w:lang w:val="zh-CN"/>
          <w14:textFill>
            <w14:solidFill>
              <w14:schemeClr w14:val="tx1"/>
            </w14:solidFill>
          </w14:textFill>
        </w:rPr>
        <w:t>预测因子：等效A声级。</w:t>
      </w:r>
    </w:p>
    <w:p w14:paraId="5042EAE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lang w:val="zh-CN"/>
          <w14:textFill>
            <w14:solidFill>
              <w14:schemeClr w14:val="tx1"/>
            </w14:solidFill>
          </w14:textFill>
        </w:rPr>
        <w:t>预测模式：</w:t>
      </w:r>
      <w:r>
        <w:rPr>
          <w:rFonts w:hint="default" w:ascii="Times New Roman" w:hAnsi="Times New Roman" w:eastAsia="宋体" w:cs="Times New Roman"/>
          <w:color w:val="000000" w:themeColor="text1"/>
          <w:sz w:val="24"/>
          <w14:textFill>
            <w14:solidFill>
              <w14:schemeClr w14:val="tx1"/>
            </w14:solidFill>
          </w14:textFill>
        </w:rPr>
        <w:t>根据《环境影响评价技术导则</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t>声环境》（HJ2.4-2021）中工业噪声预测模式进行预测。预测计算中考虑声源的屏蔽效应和声源至受声点的距离衰减等主要衰减因子</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因空气吸收、气候等影响因素所引起的衰减值很小</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忽略不计。</w:t>
      </w:r>
      <w:r>
        <w:rPr>
          <w:rFonts w:hint="default" w:ascii="Times New Roman" w:hAnsi="Times New Roman" w:eastAsia="宋体" w:cs="Times New Roman"/>
          <w:color w:val="000000" w:themeColor="text1"/>
          <w:sz w:val="24"/>
          <w:szCs w:val="24"/>
          <w14:textFill>
            <w14:solidFill>
              <w14:schemeClr w14:val="tx1"/>
            </w14:solidFill>
          </w14:textFill>
        </w:rPr>
        <w:t>对设备采取吸噪、消声、</w:t>
      </w:r>
      <w:r>
        <w:rPr>
          <w:rFonts w:hint="eastAsia" w:cs="Times New Roman"/>
          <w:color w:val="000000" w:themeColor="text1"/>
          <w:sz w:val="24"/>
          <w:szCs w:val="24"/>
          <w:lang w:val="en-US" w:eastAsia="zh-CN"/>
          <w14:textFill>
            <w14:solidFill>
              <w14:schemeClr w14:val="tx1"/>
            </w14:solidFill>
          </w14:textFill>
        </w:rPr>
        <w:t>隔声</w:t>
      </w:r>
      <w:r>
        <w:rPr>
          <w:rFonts w:hint="default" w:ascii="Times New Roman" w:hAnsi="Times New Roman" w:eastAsia="宋体" w:cs="Times New Roman"/>
          <w:color w:val="000000" w:themeColor="text1"/>
          <w:sz w:val="24"/>
          <w:szCs w:val="24"/>
          <w14:textFill>
            <w14:solidFill>
              <w14:schemeClr w14:val="tx1"/>
            </w14:solidFill>
          </w14:textFill>
        </w:rPr>
        <w:t>等措施</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一般可降低噪声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14:textFill>
            <w14:solidFill>
              <w14:schemeClr w14:val="tx1"/>
            </w14:solidFill>
          </w14:textFill>
        </w:rPr>
        <w:t>20dB（A）。</w:t>
      </w:r>
    </w:p>
    <w:p w14:paraId="1DA055AA">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①计算某个室内声源在靠近围护结构处的倍频带声压级：</w:t>
      </w:r>
    </w:p>
    <w:p w14:paraId="62B3A4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2137410" cy="471805"/>
            <wp:effectExtent l="0" t="0" r="11430" b="635"/>
            <wp:docPr id="219"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23"/>
                    <pic:cNvPicPr>
                      <a:picLocks noChangeAspect="1"/>
                    </pic:cNvPicPr>
                  </pic:nvPicPr>
                  <pic:blipFill>
                    <a:blip r:embed="rId29"/>
                    <a:stretch>
                      <a:fillRect/>
                    </a:stretch>
                  </pic:blipFill>
                  <pic:spPr>
                    <a:xfrm>
                      <a:off x="0" y="0"/>
                      <a:ext cx="2137410" cy="471805"/>
                    </a:xfrm>
                    <a:prstGeom prst="rect">
                      <a:avLst/>
                    </a:prstGeom>
                    <a:noFill/>
                    <a:ln>
                      <a:noFill/>
                    </a:ln>
                  </pic:spPr>
                </pic:pic>
              </a:graphicData>
            </a:graphic>
          </wp:inline>
        </w:drawing>
      </w:r>
    </w:p>
    <w:p w14:paraId="36A38B0A">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式中：L</w:t>
      </w:r>
      <w:r>
        <w:rPr>
          <w:rFonts w:hint="default" w:ascii="Times New Roman" w:hAnsi="Times New Roman" w:eastAsia="宋体" w:cs="Times New Roman"/>
          <w:color w:val="000000" w:themeColor="text1"/>
          <w:kern w:val="0"/>
          <w:sz w:val="24"/>
          <w:vertAlign w:val="subscript"/>
          <w14:textFill>
            <w14:solidFill>
              <w14:schemeClr w14:val="tx1"/>
            </w14:solidFill>
          </w14:textFill>
        </w:rPr>
        <w:t>oct,1</w:t>
      </w:r>
      <w:r>
        <w:rPr>
          <w:rFonts w:hint="default" w:ascii="Times New Roman" w:hAnsi="Times New Roman" w:eastAsia="宋体" w:cs="Times New Roman"/>
          <w:color w:val="000000" w:themeColor="text1"/>
          <w:kern w:val="0"/>
          <w:sz w:val="24"/>
          <w14:textFill>
            <w14:solidFill>
              <w14:schemeClr w14:val="tx1"/>
            </w14:solidFill>
          </w14:textFill>
        </w:rPr>
        <w:t>——某个室内声源在靠近围护结构处产生的倍频带声压级，dB；</w:t>
      </w:r>
    </w:p>
    <w:p w14:paraId="4C02078E">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L</w:t>
      </w:r>
      <w:r>
        <w:rPr>
          <w:rFonts w:hint="default" w:ascii="Times New Roman" w:hAnsi="Times New Roman" w:eastAsia="宋体" w:cs="Times New Roman"/>
          <w:color w:val="000000" w:themeColor="text1"/>
          <w:kern w:val="0"/>
          <w:sz w:val="24"/>
          <w:vertAlign w:val="subscript"/>
          <w14:textFill>
            <w14:solidFill>
              <w14:schemeClr w14:val="tx1"/>
            </w14:solidFill>
          </w14:textFill>
        </w:rPr>
        <w:t>w oct</w:t>
      </w:r>
      <w:r>
        <w:rPr>
          <w:rFonts w:hint="default" w:ascii="Times New Roman" w:hAnsi="Times New Roman" w:eastAsia="宋体" w:cs="Times New Roman"/>
          <w:color w:val="000000" w:themeColor="text1"/>
          <w:kern w:val="0"/>
          <w:sz w:val="24"/>
          <w14:textFill>
            <w14:solidFill>
              <w14:schemeClr w14:val="tx1"/>
            </w14:solidFill>
          </w14:textFill>
        </w:rPr>
        <w:t>——某个声源的倍频带声功率级，dB；</w:t>
      </w:r>
    </w:p>
    <w:p w14:paraId="79D67537">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vertAlign w:val="subscript"/>
          <w14:textFill>
            <w14:solidFill>
              <w14:schemeClr w14:val="tx1"/>
            </w14:solidFill>
          </w14:textFill>
        </w:rPr>
        <w:t>r1</w:t>
      </w:r>
      <w:r>
        <w:rPr>
          <w:rFonts w:hint="default" w:ascii="Times New Roman" w:hAnsi="Times New Roman" w:eastAsia="宋体" w:cs="Times New Roman"/>
          <w:color w:val="000000" w:themeColor="text1"/>
          <w:kern w:val="0"/>
          <w:sz w:val="24"/>
          <w14:textFill>
            <w14:solidFill>
              <w14:schemeClr w14:val="tx1"/>
            </w14:solidFill>
          </w14:textFill>
        </w:rPr>
        <w:t>——室内某个声源与靠近围护结构处的距离，m；</w:t>
      </w:r>
    </w:p>
    <w:p w14:paraId="55A243A7">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R——房间常数，m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w:t>
      </w:r>
    </w:p>
    <w:p w14:paraId="33A09F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Q——方向性因子，无量纲值。</w:t>
      </w:r>
    </w:p>
    <w:p w14:paraId="0F238458">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②计算所有室内声源在靠近围护结构处产生的总倍频带声压级：</w:t>
      </w:r>
    </w:p>
    <w:p w14:paraId="4A949B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791335" cy="446405"/>
            <wp:effectExtent l="0" t="0" r="6985" b="10795"/>
            <wp:docPr id="22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24"/>
                    <pic:cNvPicPr>
                      <a:picLocks noChangeAspect="1"/>
                    </pic:cNvPicPr>
                  </pic:nvPicPr>
                  <pic:blipFill>
                    <a:blip r:embed="rId30"/>
                    <a:stretch>
                      <a:fillRect/>
                    </a:stretch>
                  </pic:blipFill>
                  <pic:spPr>
                    <a:xfrm>
                      <a:off x="0" y="0"/>
                      <a:ext cx="1791335" cy="446405"/>
                    </a:xfrm>
                    <a:prstGeom prst="rect">
                      <a:avLst/>
                    </a:prstGeom>
                    <a:noFill/>
                    <a:ln>
                      <a:noFill/>
                    </a:ln>
                  </pic:spPr>
                </pic:pic>
              </a:graphicData>
            </a:graphic>
          </wp:inline>
        </w:drawing>
      </w:r>
    </w:p>
    <w:p w14:paraId="05850AF2">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③计算室外靠近围护结构处的声压级：</w:t>
      </w:r>
    </w:p>
    <w:p w14:paraId="5D2D3F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748155" cy="235585"/>
            <wp:effectExtent l="0" t="0" r="4445" b="8255"/>
            <wp:docPr id="22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25"/>
                    <pic:cNvPicPr>
                      <a:picLocks noChangeAspect="1"/>
                    </pic:cNvPicPr>
                  </pic:nvPicPr>
                  <pic:blipFill>
                    <a:blip r:embed="rId31"/>
                    <a:stretch>
                      <a:fillRect/>
                    </a:stretch>
                  </pic:blipFill>
                  <pic:spPr>
                    <a:xfrm>
                      <a:off x="0" y="0"/>
                      <a:ext cx="1748155" cy="235585"/>
                    </a:xfrm>
                    <a:prstGeom prst="rect">
                      <a:avLst/>
                    </a:prstGeom>
                    <a:noFill/>
                    <a:ln>
                      <a:noFill/>
                    </a:ln>
                  </pic:spPr>
                </pic:pic>
              </a:graphicData>
            </a:graphic>
          </wp:inline>
        </w:drawing>
      </w:r>
    </w:p>
    <w:p w14:paraId="023DC45B">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④将室外声级L</w:t>
      </w:r>
      <w:r>
        <w:rPr>
          <w:rFonts w:hint="default" w:ascii="Times New Roman" w:hAnsi="Times New Roman" w:eastAsia="宋体" w:cs="Times New Roman"/>
          <w:color w:val="000000" w:themeColor="text1"/>
          <w:kern w:val="0"/>
          <w:sz w:val="24"/>
          <w:vertAlign w:val="subscript"/>
          <w14:textFill>
            <w14:solidFill>
              <w14:schemeClr w14:val="tx1"/>
            </w14:solidFill>
          </w14:textFill>
        </w:rPr>
        <w:t>oct,2</w:t>
      </w:r>
      <w:r>
        <w:rPr>
          <w:rFonts w:hint="default" w:ascii="Times New Roman" w:hAnsi="Times New Roman" w:eastAsia="宋体" w:cs="Times New Roman"/>
          <w:color w:val="000000" w:themeColor="text1"/>
          <w:kern w:val="0"/>
          <w:sz w:val="24"/>
          <w14:textFill>
            <w14:solidFill>
              <w14:schemeClr w14:val="tx1"/>
            </w14:solidFill>
          </w14:textFill>
        </w:rPr>
        <w:t>(T)和透声面积换算成等效的室外声源，计算等效声源第i个倍频带的声功率级L</w:t>
      </w:r>
      <w:r>
        <w:rPr>
          <w:rFonts w:hint="default" w:ascii="Times New Roman" w:hAnsi="Times New Roman" w:eastAsia="宋体" w:cs="Times New Roman"/>
          <w:color w:val="000000" w:themeColor="text1"/>
          <w:kern w:val="0"/>
          <w:sz w:val="24"/>
          <w:vertAlign w:val="subscript"/>
          <w14:textFill>
            <w14:solidFill>
              <w14:schemeClr w14:val="tx1"/>
            </w14:solidFill>
          </w14:textFill>
        </w:rPr>
        <w:t>w oct</w:t>
      </w:r>
      <w:r>
        <w:rPr>
          <w:rFonts w:hint="default" w:ascii="Times New Roman" w:hAnsi="Times New Roman" w:eastAsia="宋体" w:cs="Times New Roman"/>
          <w:color w:val="000000" w:themeColor="text1"/>
          <w:kern w:val="0"/>
          <w:sz w:val="24"/>
          <w14:textFill>
            <w14:solidFill>
              <w14:schemeClr w14:val="tx1"/>
            </w14:solidFill>
          </w14:textFill>
        </w:rPr>
        <w:t>：</w:t>
      </w:r>
    </w:p>
    <w:p w14:paraId="6D8AB8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585595" cy="289560"/>
            <wp:effectExtent l="0" t="0" r="14605" b="0"/>
            <wp:docPr id="222"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26"/>
                    <pic:cNvPicPr>
                      <a:picLocks noChangeAspect="1"/>
                    </pic:cNvPicPr>
                  </pic:nvPicPr>
                  <pic:blipFill>
                    <a:blip r:embed="rId32"/>
                    <a:stretch>
                      <a:fillRect/>
                    </a:stretch>
                  </pic:blipFill>
                  <pic:spPr>
                    <a:xfrm>
                      <a:off x="0" y="0"/>
                      <a:ext cx="1585595" cy="289560"/>
                    </a:xfrm>
                    <a:prstGeom prst="rect">
                      <a:avLst/>
                    </a:prstGeom>
                    <a:noFill/>
                    <a:ln>
                      <a:noFill/>
                    </a:ln>
                  </pic:spPr>
                </pic:pic>
              </a:graphicData>
            </a:graphic>
          </wp:inline>
        </w:drawing>
      </w:r>
    </w:p>
    <w:p w14:paraId="608B7C62">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式中：S——透声面积，m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w:t>
      </w:r>
    </w:p>
    <w:p w14:paraId="38EA8810">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⑤等效室外声源的位置为围护结构的位置，其倍频带声功率级为L</w:t>
      </w:r>
      <w:r>
        <w:rPr>
          <w:rFonts w:hint="default" w:ascii="Times New Roman" w:hAnsi="Times New Roman" w:eastAsia="宋体" w:cs="Times New Roman"/>
          <w:color w:val="000000" w:themeColor="text1"/>
          <w:kern w:val="0"/>
          <w:sz w:val="24"/>
          <w:vertAlign w:val="subscript"/>
          <w14:textFill>
            <w14:solidFill>
              <w14:schemeClr w14:val="tx1"/>
            </w14:solidFill>
          </w14:textFill>
        </w:rPr>
        <w:t>w oct</w:t>
      </w:r>
      <w:r>
        <w:rPr>
          <w:rFonts w:hint="default" w:ascii="Times New Roman" w:hAnsi="Times New Roman" w:eastAsia="宋体" w:cs="Times New Roman"/>
          <w:color w:val="000000" w:themeColor="text1"/>
          <w:kern w:val="0"/>
          <w:sz w:val="24"/>
          <w14:textFill>
            <w14:solidFill>
              <w14:schemeClr w14:val="tx1"/>
            </w14:solidFill>
          </w14:textFill>
        </w:rPr>
        <w:t>，由此按室外声源方法计算等效室外声源在预测点产生的声级。</w:t>
      </w:r>
    </w:p>
    <w:p w14:paraId="5DA3EA2A">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《环境影响评价技术导则</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14:textFill>
            <w14:solidFill>
              <w14:schemeClr w14:val="tx1"/>
            </w14:solidFill>
          </w14:textFill>
        </w:rPr>
        <w:t>声环境》（HJ2.4-2021）中推荐的点声源衰减模式</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计算公式如下：</w:t>
      </w:r>
    </w:p>
    <w:p w14:paraId="24C9CBAB">
      <w:pPr>
        <w:spacing w:line="480" w:lineRule="exact"/>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L（r）=L（r</w:t>
      </w:r>
      <w:r>
        <w:rPr>
          <w:rFonts w:hint="default" w:ascii="Times New Roman" w:hAnsi="Times New Roman" w:eastAsia="宋体" w:cs="Times New Roman"/>
          <w:color w:val="000000" w:themeColor="text1"/>
          <w:kern w:val="0"/>
          <w:sz w:val="24"/>
          <w:vertAlign w:val="subscript"/>
          <w14:textFill>
            <w14:solidFill>
              <w14:schemeClr w14:val="tx1"/>
            </w14:solidFill>
          </w14:textFill>
        </w:rPr>
        <w:t>0</w:t>
      </w:r>
      <w:r>
        <w:rPr>
          <w:rFonts w:hint="default" w:ascii="Times New Roman" w:hAnsi="Times New Roman" w:eastAsia="宋体" w:cs="Times New Roman"/>
          <w:color w:val="000000" w:themeColor="text1"/>
          <w:kern w:val="0"/>
          <w:sz w:val="24"/>
          <w14:textFill>
            <w14:solidFill>
              <w14:schemeClr w14:val="tx1"/>
            </w14:solidFill>
          </w14:textFill>
        </w:rPr>
        <w:t>）-20lg（r/r</w:t>
      </w:r>
      <w:r>
        <w:rPr>
          <w:rFonts w:hint="default" w:ascii="Times New Roman" w:hAnsi="Times New Roman" w:eastAsia="宋体" w:cs="Times New Roman"/>
          <w:color w:val="000000" w:themeColor="text1"/>
          <w:kern w:val="0"/>
          <w:sz w:val="24"/>
          <w:vertAlign w:val="subscript"/>
          <w14:textFill>
            <w14:solidFill>
              <w14:schemeClr w14:val="tx1"/>
            </w14:solidFill>
          </w14:textFill>
        </w:rPr>
        <w:t>0</w:t>
      </w:r>
      <w:r>
        <w:rPr>
          <w:rFonts w:hint="default" w:ascii="Times New Roman" w:hAnsi="Times New Roman" w:eastAsia="宋体" w:cs="Times New Roman"/>
          <w:color w:val="000000" w:themeColor="text1"/>
          <w:kern w:val="0"/>
          <w:sz w:val="24"/>
          <w14:textFill>
            <w14:solidFill>
              <w14:schemeClr w14:val="tx1"/>
            </w14:solidFill>
          </w14:textFill>
        </w:rPr>
        <w:t>）-ΔL</w:t>
      </w:r>
    </w:p>
    <w:p w14:paraId="5A063F45">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式中：L（r）——距声源r距离上的A声压级；</w:t>
      </w:r>
    </w:p>
    <w:p w14:paraId="3558ACE5">
      <w:pPr>
        <w:spacing w:line="480" w:lineRule="exact"/>
        <w:ind w:firstLine="1200" w:firstLineChars="5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L（r</w:t>
      </w:r>
      <w:r>
        <w:rPr>
          <w:rFonts w:hint="default" w:ascii="Times New Roman" w:hAnsi="Times New Roman" w:eastAsia="宋体" w:cs="Times New Roman"/>
          <w:color w:val="000000" w:themeColor="text1"/>
          <w:kern w:val="0"/>
          <w:sz w:val="24"/>
          <w:vertAlign w:val="subscript"/>
          <w14:textFill>
            <w14:solidFill>
              <w14:schemeClr w14:val="tx1"/>
            </w14:solidFill>
          </w14:textFill>
        </w:rPr>
        <w:t>0</w:t>
      </w:r>
      <w:r>
        <w:rPr>
          <w:rFonts w:hint="default" w:ascii="Times New Roman" w:hAnsi="Times New Roman" w:eastAsia="宋体" w:cs="Times New Roman"/>
          <w:color w:val="000000" w:themeColor="text1"/>
          <w:kern w:val="0"/>
          <w:sz w:val="24"/>
          <w14:textFill>
            <w14:solidFill>
              <w14:schemeClr w14:val="tx1"/>
            </w14:solidFill>
          </w14:textFill>
        </w:rPr>
        <w:t>）——距声源r</w:t>
      </w:r>
      <w:r>
        <w:rPr>
          <w:rFonts w:hint="default" w:ascii="Times New Roman" w:hAnsi="Times New Roman" w:eastAsia="宋体" w:cs="Times New Roman"/>
          <w:color w:val="000000" w:themeColor="text1"/>
          <w:kern w:val="0"/>
          <w:sz w:val="24"/>
          <w:vertAlign w:val="subscript"/>
          <w14:textFill>
            <w14:solidFill>
              <w14:schemeClr w14:val="tx1"/>
            </w14:solidFill>
          </w14:textFill>
        </w:rPr>
        <w:t>0</w:t>
      </w:r>
      <w:r>
        <w:rPr>
          <w:rFonts w:hint="default" w:ascii="Times New Roman" w:hAnsi="Times New Roman" w:eastAsia="宋体" w:cs="Times New Roman"/>
          <w:color w:val="000000" w:themeColor="text1"/>
          <w:kern w:val="0"/>
          <w:sz w:val="24"/>
          <w14:textFill>
            <w14:solidFill>
              <w14:schemeClr w14:val="tx1"/>
            </w14:solidFill>
          </w14:textFill>
        </w:rPr>
        <w:t>距离上的A声压级；</w:t>
      </w:r>
    </w:p>
    <w:p w14:paraId="4D18BE41">
      <w:pPr>
        <w:spacing w:line="480" w:lineRule="exact"/>
        <w:ind w:firstLine="1200" w:firstLineChars="5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ΔL——声屏障、遮挡物、空气吸收地面效应引起的衰减量（取</w:t>
      </w:r>
      <w:r>
        <w:rPr>
          <w:rFonts w:hint="default" w:ascii="Times New Roman" w:hAnsi="Times New Roman" w:eastAsia="宋体" w:cs="Times New Roman"/>
          <w:color w:val="000000" w:themeColor="text1"/>
          <w:sz w:val="24"/>
          <w:szCs w:val="24"/>
          <w14:textFill>
            <w14:solidFill>
              <w14:schemeClr w14:val="tx1"/>
            </w14:solidFill>
          </w14:textFill>
        </w:rPr>
        <w:t>8dB（A））</w:t>
      </w:r>
      <w:r>
        <w:rPr>
          <w:rFonts w:hint="default" w:ascii="Times New Roman" w:hAnsi="Times New Roman" w:eastAsia="宋体" w:cs="Times New Roman"/>
          <w:color w:val="000000" w:themeColor="text1"/>
          <w:kern w:val="0"/>
          <w:sz w:val="24"/>
          <w14:textFill>
            <w14:solidFill>
              <w14:schemeClr w14:val="tx1"/>
            </w14:solidFill>
          </w14:textFill>
        </w:rPr>
        <w:t>；</w:t>
      </w:r>
    </w:p>
    <w:p w14:paraId="39BDCAF1">
      <w:pPr>
        <w:spacing w:line="480" w:lineRule="exact"/>
        <w:ind w:firstLine="1200" w:firstLineChars="5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r、r</w:t>
      </w:r>
      <w:r>
        <w:rPr>
          <w:rFonts w:hint="default" w:ascii="Times New Roman" w:hAnsi="Times New Roman" w:eastAsia="宋体" w:cs="Times New Roman"/>
          <w:color w:val="000000" w:themeColor="text1"/>
          <w:kern w:val="0"/>
          <w:sz w:val="24"/>
          <w:vertAlign w:val="subscript"/>
          <w14:textFill>
            <w14:solidFill>
              <w14:schemeClr w14:val="tx1"/>
            </w14:solidFill>
          </w14:textFill>
        </w:rPr>
        <w:t>0</w:t>
      </w:r>
      <w:r>
        <w:rPr>
          <w:rFonts w:hint="default" w:ascii="Times New Roman" w:hAnsi="Times New Roman" w:eastAsia="宋体" w:cs="Times New Roman"/>
          <w:color w:val="000000" w:themeColor="text1"/>
          <w:kern w:val="0"/>
          <w:sz w:val="24"/>
          <w14:textFill>
            <w14:solidFill>
              <w14:schemeClr w14:val="tx1"/>
            </w14:solidFill>
          </w14:textFill>
        </w:rPr>
        <w:t>——距声源距离（m）。</w:t>
      </w:r>
    </w:p>
    <w:p w14:paraId="305DA424">
      <w:pPr>
        <w:spacing w:line="480" w:lineRule="exact"/>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⑥预测点产生的贡献值</w:t>
      </w:r>
      <w:r>
        <w:rPr>
          <w:rFonts w:hint="default" w:ascii="Times New Roman" w:hAnsi="Times New Roman" w:eastAsia="宋体" w:cs="Times New Roman"/>
          <w:color w:val="000000" w:themeColor="text1"/>
          <w:kern w:val="0"/>
          <w:sz w:val="24"/>
          <w14:textFill>
            <w14:solidFill>
              <w14:schemeClr w14:val="tx1"/>
            </w14:solidFill>
          </w14:textFill>
        </w:rPr>
        <w:t>：</w:t>
      </w:r>
    </w:p>
    <w:p w14:paraId="0C6D7F7B">
      <w:pPr>
        <w:spacing w:line="480" w:lineRule="exact"/>
        <w:ind w:firstLine="480" w:firstLineChars="200"/>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计算公式如下：</w:t>
      </w:r>
    </w:p>
    <w:p w14:paraId="0751E50F">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eastAsia"/>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drawing>
          <wp:inline distT="0" distB="0" distL="114300" distR="114300">
            <wp:extent cx="3289935" cy="466090"/>
            <wp:effectExtent l="0" t="0" r="1905" b="6350"/>
            <wp:docPr id="223" name="图片 127" descr="1640339700805_59B00E87-2283-49f4-A249-01313DCB5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27" descr="1640339700805_59B00E87-2283-49f4-A249-01313DCB5D80"/>
                    <pic:cNvPicPr>
                      <a:picLocks noChangeAspect="1"/>
                    </pic:cNvPicPr>
                  </pic:nvPicPr>
                  <pic:blipFill>
                    <a:blip r:embed="rId33"/>
                    <a:stretch>
                      <a:fillRect/>
                    </a:stretch>
                  </pic:blipFill>
                  <pic:spPr>
                    <a:xfrm>
                      <a:off x="0" y="0"/>
                      <a:ext cx="3289935" cy="466090"/>
                    </a:xfrm>
                    <a:prstGeom prst="rect">
                      <a:avLst/>
                    </a:prstGeom>
                    <a:noFill/>
                    <a:ln>
                      <a:noFill/>
                    </a:ln>
                  </pic:spPr>
                </pic:pic>
              </a:graphicData>
            </a:graphic>
          </wp:inline>
        </w:drawing>
      </w:r>
    </w:p>
    <w:p w14:paraId="6E6F1579">
      <w:pPr>
        <w:shd w:val="clear"/>
        <w:spacing w:line="440" w:lineRule="exact"/>
        <w:ind w:firstLine="480" w:firstLineChars="200"/>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式中：T——计算等效声级的时间，h；</w:t>
      </w:r>
    </w:p>
    <w:p w14:paraId="01321F72">
      <w:pPr>
        <w:shd w:val="clear"/>
        <w:spacing w:line="440" w:lineRule="exact"/>
        <w:ind w:firstLine="480" w:firstLineChars="200"/>
        <w:rPr>
          <w:rFonts w:hint="eastAsia"/>
          <w:bCs/>
          <w:color w:val="000000" w:themeColor="text1"/>
          <w:sz w:val="24"/>
          <w:szCs w:val="24"/>
          <w:lang w:eastAsia="zh-CN"/>
          <w14:textFill>
            <w14:solidFill>
              <w14:schemeClr w14:val="tx1"/>
            </w14:solidFill>
          </w14:textFill>
        </w:rPr>
      </w:pPr>
      <w:r>
        <w:rPr>
          <w:rFonts w:hint="eastAsia"/>
          <w:bCs/>
          <w:color w:val="000000" w:themeColor="text1"/>
          <w:sz w:val="24"/>
          <w:szCs w:val="24"/>
          <w14:textFill>
            <w14:solidFill>
              <w14:schemeClr w14:val="tx1"/>
            </w14:solidFill>
          </w14:textFill>
        </w:rPr>
        <w:t>N——室外声源个数</w:t>
      </w:r>
      <w:r>
        <w:rPr>
          <w:rFonts w:hint="eastAsia"/>
          <w:bCs/>
          <w:color w:val="000000" w:themeColor="text1"/>
          <w:sz w:val="24"/>
          <w:szCs w:val="24"/>
          <w:lang w:eastAsia="zh-CN"/>
          <w14:textFill>
            <w14:solidFill>
              <w14:schemeClr w14:val="tx1"/>
            </w14:solidFill>
          </w14:textFill>
        </w:rPr>
        <w:t>；</w:t>
      </w:r>
    </w:p>
    <w:p w14:paraId="7DF8BCC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000000" w:themeColor="text1"/>
          <w:sz w:val="24"/>
          <w:highlight w:val="none"/>
          <w:lang w:val="zh-CN" w:eastAsia="zh-CN"/>
          <w14:textFill>
            <w14:solidFill>
              <w14:schemeClr w14:val="tx1"/>
            </w14:solidFill>
          </w14:textFill>
        </w:rPr>
      </w:pPr>
      <w:r>
        <w:rPr>
          <w:rFonts w:hint="eastAsia"/>
          <w:bCs/>
          <w:color w:val="000000" w:themeColor="text1"/>
          <w:sz w:val="24"/>
          <w:szCs w:val="24"/>
          <w14:textFill>
            <w14:solidFill>
              <w14:schemeClr w14:val="tx1"/>
            </w14:solidFill>
          </w14:textFill>
        </w:rPr>
        <w:t>M——等效室外声源个数。</w:t>
      </w:r>
    </w:p>
    <w:p w14:paraId="161D5AAF">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3、</w:t>
      </w:r>
      <w:r>
        <w:rPr>
          <w:color w:val="000000" w:themeColor="text1"/>
          <w:kern w:val="0"/>
          <w:highlight w:val="none"/>
          <w:lang w:val="zh-CN"/>
          <w14:textFill>
            <w14:solidFill>
              <w14:schemeClr w14:val="tx1"/>
            </w14:solidFill>
          </w14:textFill>
        </w:rPr>
        <w:t>主要噪声源</w:t>
      </w:r>
    </w:p>
    <w:p w14:paraId="0233E490">
      <w:pPr>
        <w:overflowPunct w:val="0"/>
        <w:topLinePunct/>
        <w:ind w:firstLine="480"/>
        <w:rPr>
          <w:rFonts w:hint="eastAsia"/>
          <w:color w:val="000000" w:themeColor="text1"/>
          <w:kern w:val="0"/>
          <w:highlight w:val="none"/>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000000" w:themeColor="text1"/>
          <w:kern w:val="0"/>
          <w:highlight w:val="none"/>
          <w:lang w:val="zh-CN"/>
          <w14:textFill>
            <w14:solidFill>
              <w14:schemeClr w14:val="tx1"/>
            </w14:solidFill>
          </w14:textFill>
        </w:rPr>
        <w:t>本项目选矿厂运营期噪声源主要为</w:t>
      </w:r>
      <w:r>
        <w:rPr>
          <w:rFonts w:hint="eastAsia"/>
          <w:color w:val="000000" w:themeColor="text1"/>
          <w:kern w:val="0"/>
          <w:highlight w:val="none"/>
          <w:lang w:val="zh-CN"/>
          <w14:textFill>
            <w14:solidFill>
              <w14:schemeClr w14:val="tx1"/>
            </w14:solidFill>
          </w14:textFill>
        </w:rPr>
        <w:t>破碎机、高压辊磨机、球磨机、分级机、磁选机及水泵</w:t>
      </w:r>
      <w:r>
        <w:rPr>
          <w:color w:val="000000" w:themeColor="text1"/>
          <w:kern w:val="0"/>
          <w:highlight w:val="none"/>
          <w:lang w:val="zh-CN"/>
          <w14:textFill>
            <w14:solidFill>
              <w14:schemeClr w14:val="tx1"/>
            </w14:solidFill>
          </w14:textFill>
        </w:rPr>
        <w:t>等</w:t>
      </w:r>
      <w:r>
        <w:rPr>
          <w:rFonts w:hint="eastAsia"/>
          <w:color w:val="000000" w:themeColor="text1"/>
          <w:kern w:val="0"/>
          <w:highlight w:val="none"/>
          <w:lang w:val="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噪声源设备及源强详见表5.2-8~5.2-9。</w:t>
      </w:r>
    </w:p>
    <w:p w14:paraId="6C818726">
      <w:pPr>
        <w:keepNext w:val="0"/>
        <w:keepLines w:val="0"/>
        <w:pageBreakBefore w:val="0"/>
        <w:widowControl w:val="0"/>
        <w:kinsoku/>
        <w:wordWrap/>
        <w:overflowPunct/>
        <w:topLinePunct w:val="0"/>
        <w:autoSpaceDE/>
        <w:autoSpaceDN/>
        <w:bidi w:val="0"/>
        <w:adjustRightInd/>
        <w:snapToGrid/>
        <w:spacing w:line="480" w:lineRule="exact"/>
        <w:ind w:left="0" w:leftChars="0" w:right="283" w:firstLine="0" w:firstLineChars="0"/>
        <w:jc w:val="center"/>
        <w:textAlignment w:val="auto"/>
        <w:rPr>
          <w:rFonts w:hint="default" w:ascii="Times New Roman" w:hAnsi="Times New Roman" w:eastAsia="宋体" w:cs="Times New Roman"/>
          <w:b/>
          <w:bCs/>
          <w:color w:val="000000" w:themeColor="text1"/>
          <w:spacing w:val="0"/>
          <w:w w:val="100"/>
          <w:position w:val="0"/>
          <w:sz w:val="24"/>
          <w:szCs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4"/>
          <w:szCs w:val="24"/>
          <w:highlight w:val="none"/>
          <w:lang w:val="zh-CN" w:eastAsia="zh-CN"/>
          <w14:textFill>
            <w14:solidFill>
              <w14:schemeClr w14:val="tx1"/>
            </w14:solidFill>
          </w14:textFill>
        </w:rPr>
        <w:t>表5.</w:t>
      </w:r>
      <w:r>
        <w:rPr>
          <w:rFonts w:hint="eastAsia" w:ascii="Times New Roman" w:hAnsi="Times New Roman" w:cs="Times New Roman"/>
          <w:b/>
          <w:bCs/>
          <w:color w:val="000000" w:themeColor="text1"/>
          <w:spacing w:val="0"/>
          <w:w w:val="100"/>
          <w:positio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w w:val="100"/>
          <w:position w:val="0"/>
          <w:sz w:val="24"/>
          <w:szCs w:val="24"/>
          <w:highlight w:val="none"/>
          <w:lang w:val="zh-CN" w:eastAsia="zh-CN"/>
          <w14:textFill>
            <w14:solidFill>
              <w14:schemeClr w14:val="tx1"/>
            </w14:solidFill>
          </w14:textFill>
        </w:rPr>
        <w:t>-</w:t>
      </w:r>
      <w:r>
        <w:rPr>
          <w:rFonts w:hint="eastAsia" w:ascii="Times New Roman" w:hAnsi="Times New Roman" w:cs="Times New Roman"/>
          <w:b/>
          <w:bCs/>
          <w:color w:val="000000" w:themeColor="text1"/>
          <w:spacing w:val="0"/>
          <w:w w:val="100"/>
          <w:position w:val="0"/>
          <w:sz w:val="24"/>
          <w:szCs w:val="24"/>
          <w:highlight w:val="none"/>
          <w:lang w:val="en-US" w:eastAsia="zh-CN"/>
          <w14:textFill>
            <w14:solidFill>
              <w14:schemeClr w14:val="tx1"/>
            </w14:solidFill>
          </w14:textFill>
        </w:rPr>
        <w:t xml:space="preserve">8    </w:t>
      </w:r>
      <w:r>
        <w:rPr>
          <w:rFonts w:hint="default" w:ascii="Times New Roman" w:hAnsi="Times New Roman" w:eastAsia="宋体" w:cs="Times New Roman"/>
          <w:b/>
          <w:bCs/>
          <w:color w:val="000000" w:themeColor="text1"/>
          <w:spacing w:val="0"/>
          <w:w w:val="100"/>
          <w:position w:val="0"/>
          <w:sz w:val="24"/>
          <w:szCs w:val="24"/>
          <w:highlight w:val="none"/>
          <w:lang w:val="zh-CN" w:eastAsia="zh-CN"/>
          <w14:textFill>
            <w14:solidFill>
              <w14:schemeClr w14:val="tx1"/>
            </w14:solidFill>
          </w14:textFill>
        </w:rPr>
        <w:t>噪声源设备及源强表</w:t>
      </w:r>
      <w:r>
        <w:rPr>
          <w:rFonts w:hint="eastAsia" w:cs="Times New Roman"/>
          <w:b/>
          <w:bCs/>
          <w:color w:val="000000" w:themeColor="text1"/>
          <w:spacing w:val="0"/>
          <w:w w:val="100"/>
          <w:position w:val="0"/>
          <w:sz w:val="24"/>
          <w:szCs w:val="24"/>
          <w:highlight w:val="none"/>
          <w:lang w:val="zh-CN" w:eastAsia="zh-CN"/>
          <w14:textFill>
            <w14:solidFill>
              <w14:schemeClr w14:val="tx1"/>
            </w14:solidFill>
          </w14:textFill>
        </w:rPr>
        <w:t>（</w:t>
      </w:r>
      <w:r>
        <w:rPr>
          <w:rFonts w:hint="eastAsia" w:cs="Times New Roman"/>
          <w:b/>
          <w:bCs/>
          <w:color w:val="000000" w:themeColor="text1"/>
          <w:spacing w:val="0"/>
          <w:w w:val="100"/>
          <w:position w:val="0"/>
          <w:sz w:val="24"/>
          <w:szCs w:val="24"/>
          <w:highlight w:val="none"/>
          <w:lang w:val="en-US" w:eastAsia="zh-CN"/>
          <w14:textFill>
            <w14:solidFill>
              <w14:schemeClr w14:val="tx1"/>
            </w14:solidFill>
          </w14:textFill>
        </w:rPr>
        <w:t>室内声源</w:t>
      </w:r>
      <w:r>
        <w:rPr>
          <w:rFonts w:hint="eastAsia" w:cs="Times New Roman"/>
          <w:b/>
          <w:bCs/>
          <w:color w:val="000000" w:themeColor="text1"/>
          <w:spacing w:val="0"/>
          <w:w w:val="100"/>
          <w:position w:val="0"/>
          <w:sz w:val="24"/>
          <w:szCs w:val="24"/>
          <w:highlight w:val="none"/>
          <w:lang w:val="zh-CN" w:eastAsia="zh-CN"/>
          <w14:textFill>
            <w14:solidFill>
              <w14:schemeClr w14:val="tx1"/>
            </w14:solidFill>
          </w14:textFill>
        </w:rPr>
        <w:t>）</w:t>
      </w:r>
    </w:p>
    <w:tbl>
      <w:tblPr>
        <w:tblStyle w:val="3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56"/>
        <w:gridCol w:w="854"/>
        <w:gridCol w:w="1232"/>
        <w:gridCol w:w="966"/>
        <w:gridCol w:w="2522"/>
        <w:gridCol w:w="633"/>
        <w:gridCol w:w="647"/>
        <w:gridCol w:w="624"/>
        <w:gridCol w:w="781"/>
        <w:gridCol w:w="1044"/>
        <w:gridCol w:w="915"/>
        <w:gridCol w:w="1254"/>
        <w:gridCol w:w="1055"/>
        <w:gridCol w:w="999"/>
      </w:tblGrid>
      <w:tr w14:paraId="165943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vMerge w:val="restart"/>
            <w:tcBorders>
              <w:tl2br w:val="nil"/>
              <w:tr2bl w:val="nil"/>
            </w:tcBorders>
            <w:vAlign w:val="center"/>
          </w:tcPr>
          <w:p w14:paraId="70263C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305" w:type="pct"/>
            <w:vMerge w:val="restart"/>
            <w:tcBorders>
              <w:tl2br w:val="nil"/>
              <w:tr2bl w:val="nil"/>
            </w:tcBorders>
            <w:vAlign w:val="center"/>
          </w:tcPr>
          <w:p w14:paraId="3581E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建筑物名称</w:t>
            </w:r>
          </w:p>
        </w:tc>
        <w:tc>
          <w:tcPr>
            <w:tcW w:w="440" w:type="pct"/>
            <w:vMerge w:val="restart"/>
            <w:tcBorders>
              <w:tl2br w:val="nil"/>
              <w:tr2bl w:val="nil"/>
            </w:tcBorders>
            <w:vAlign w:val="center"/>
          </w:tcPr>
          <w:p w14:paraId="756E8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声源</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345" w:type="pct"/>
            <w:vMerge w:val="restart"/>
            <w:tcBorders>
              <w:tl2br w:val="nil"/>
              <w:tr2bl w:val="nil"/>
            </w:tcBorders>
            <w:vAlign w:val="center"/>
          </w:tcPr>
          <w:p w14:paraId="194517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声源源强dB（A）</w:t>
            </w:r>
          </w:p>
        </w:tc>
        <w:tc>
          <w:tcPr>
            <w:tcW w:w="901" w:type="pct"/>
            <w:vMerge w:val="restart"/>
            <w:tcBorders>
              <w:tl2br w:val="nil"/>
              <w:tr2bl w:val="nil"/>
            </w:tcBorders>
            <w:vAlign w:val="center"/>
          </w:tcPr>
          <w:p w14:paraId="2F0263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声源控制措施</w:t>
            </w:r>
          </w:p>
        </w:tc>
        <w:tc>
          <w:tcPr>
            <w:tcW w:w="680" w:type="pct"/>
            <w:gridSpan w:val="3"/>
            <w:tcBorders>
              <w:tl2br w:val="nil"/>
              <w:tr2bl w:val="nil"/>
            </w:tcBorders>
            <w:vAlign w:val="center"/>
          </w:tcPr>
          <w:p w14:paraId="581C99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空间相对位置</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/m</w:t>
            </w:r>
          </w:p>
        </w:tc>
        <w:tc>
          <w:tcPr>
            <w:tcW w:w="279" w:type="pct"/>
            <w:vMerge w:val="restart"/>
            <w:tcBorders>
              <w:tl2br w:val="nil"/>
              <w:tr2bl w:val="nil"/>
            </w:tcBorders>
            <w:vAlign w:val="center"/>
          </w:tcPr>
          <w:p w14:paraId="1C1B31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距室内边界距离/m</w:t>
            </w:r>
          </w:p>
        </w:tc>
        <w:tc>
          <w:tcPr>
            <w:tcW w:w="373" w:type="pct"/>
            <w:vMerge w:val="restart"/>
            <w:tcBorders>
              <w:tl2br w:val="nil"/>
              <w:tr2bl w:val="nil"/>
            </w:tcBorders>
            <w:vAlign w:val="center"/>
          </w:tcPr>
          <w:p w14:paraId="14800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室内边界声级/</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dB（A）</w:t>
            </w:r>
          </w:p>
        </w:tc>
        <w:tc>
          <w:tcPr>
            <w:tcW w:w="327" w:type="pct"/>
            <w:vMerge w:val="restart"/>
            <w:tcBorders>
              <w:tl2br w:val="nil"/>
              <w:tr2bl w:val="nil"/>
            </w:tcBorders>
            <w:vAlign w:val="center"/>
          </w:tcPr>
          <w:p w14:paraId="14965B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运行时段</w:t>
            </w:r>
          </w:p>
        </w:tc>
        <w:tc>
          <w:tcPr>
            <w:tcW w:w="448" w:type="pct"/>
            <w:vMerge w:val="restart"/>
            <w:tcBorders>
              <w:tl2br w:val="nil"/>
              <w:tr2bl w:val="nil"/>
            </w:tcBorders>
            <w:vAlign w:val="center"/>
          </w:tcPr>
          <w:p w14:paraId="165C53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建筑物插入损失/dB（A）</w:t>
            </w:r>
          </w:p>
        </w:tc>
        <w:tc>
          <w:tcPr>
            <w:tcW w:w="734" w:type="pct"/>
            <w:gridSpan w:val="2"/>
            <w:tcBorders>
              <w:tl2br w:val="nil"/>
              <w:tr2bl w:val="nil"/>
            </w:tcBorders>
            <w:vAlign w:val="center"/>
          </w:tcPr>
          <w:p w14:paraId="3445B7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建筑物外噪声</w:t>
            </w:r>
          </w:p>
        </w:tc>
      </w:tr>
      <w:tr w14:paraId="25B69E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vMerge w:val="continue"/>
            <w:tcBorders>
              <w:tl2br w:val="nil"/>
              <w:tr2bl w:val="nil"/>
            </w:tcBorders>
            <w:vAlign w:val="center"/>
          </w:tcPr>
          <w:p w14:paraId="2888EE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05" w:type="pct"/>
            <w:vMerge w:val="continue"/>
            <w:tcBorders>
              <w:tl2br w:val="nil"/>
              <w:tr2bl w:val="nil"/>
            </w:tcBorders>
            <w:vAlign w:val="center"/>
          </w:tcPr>
          <w:p w14:paraId="1A69C9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440" w:type="pct"/>
            <w:vMerge w:val="continue"/>
            <w:tcBorders>
              <w:tl2br w:val="nil"/>
              <w:tr2bl w:val="nil"/>
            </w:tcBorders>
            <w:vAlign w:val="center"/>
          </w:tcPr>
          <w:p w14:paraId="04C93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45" w:type="pct"/>
            <w:vMerge w:val="continue"/>
            <w:tcBorders>
              <w:tl2br w:val="nil"/>
              <w:tr2bl w:val="nil"/>
            </w:tcBorders>
            <w:vAlign w:val="center"/>
          </w:tcPr>
          <w:p w14:paraId="7FB81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901" w:type="pct"/>
            <w:vMerge w:val="continue"/>
            <w:tcBorders>
              <w:tl2br w:val="nil"/>
              <w:tr2bl w:val="nil"/>
            </w:tcBorders>
            <w:vAlign w:val="center"/>
          </w:tcPr>
          <w:p w14:paraId="4A6267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226" w:type="pct"/>
            <w:tcBorders>
              <w:tl2br w:val="nil"/>
              <w:tr2bl w:val="nil"/>
            </w:tcBorders>
            <w:vAlign w:val="center"/>
          </w:tcPr>
          <w:p w14:paraId="2FD8DC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X</w:t>
            </w:r>
          </w:p>
        </w:tc>
        <w:tc>
          <w:tcPr>
            <w:tcW w:w="231" w:type="pct"/>
            <w:tcBorders>
              <w:tl2br w:val="nil"/>
              <w:tr2bl w:val="nil"/>
            </w:tcBorders>
            <w:vAlign w:val="center"/>
          </w:tcPr>
          <w:p w14:paraId="7D10FE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Y</w:t>
            </w:r>
          </w:p>
        </w:tc>
        <w:tc>
          <w:tcPr>
            <w:tcW w:w="223" w:type="pct"/>
            <w:tcBorders>
              <w:tl2br w:val="nil"/>
              <w:tr2bl w:val="nil"/>
            </w:tcBorders>
            <w:vAlign w:val="center"/>
          </w:tcPr>
          <w:p w14:paraId="6ABEC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Z</w:t>
            </w:r>
          </w:p>
        </w:tc>
        <w:tc>
          <w:tcPr>
            <w:tcW w:w="279" w:type="pct"/>
            <w:vMerge w:val="continue"/>
            <w:tcBorders>
              <w:tl2br w:val="nil"/>
              <w:tr2bl w:val="nil"/>
            </w:tcBorders>
            <w:vAlign w:val="center"/>
          </w:tcPr>
          <w:p w14:paraId="2FA8D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73" w:type="pct"/>
            <w:vMerge w:val="continue"/>
            <w:tcBorders>
              <w:tl2br w:val="nil"/>
              <w:tr2bl w:val="nil"/>
            </w:tcBorders>
            <w:vAlign w:val="center"/>
          </w:tcPr>
          <w:p w14:paraId="303811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27" w:type="pct"/>
            <w:vMerge w:val="continue"/>
            <w:tcBorders>
              <w:tl2br w:val="nil"/>
              <w:tr2bl w:val="nil"/>
            </w:tcBorders>
            <w:vAlign w:val="center"/>
          </w:tcPr>
          <w:p w14:paraId="2790B6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448" w:type="pct"/>
            <w:vMerge w:val="continue"/>
            <w:tcBorders>
              <w:tl2br w:val="nil"/>
              <w:tr2bl w:val="nil"/>
            </w:tcBorders>
            <w:vAlign w:val="center"/>
          </w:tcPr>
          <w:p w14:paraId="241BE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77" w:type="pct"/>
            <w:tcBorders>
              <w:tl2br w:val="nil"/>
              <w:tr2bl w:val="nil"/>
            </w:tcBorders>
            <w:vAlign w:val="center"/>
          </w:tcPr>
          <w:p w14:paraId="47194E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声压级/dB（A）</w:t>
            </w:r>
          </w:p>
        </w:tc>
        <w:tc>
          <w:tcPr>
            <w:tcW w:w="357" w:type="pct"/>
            <w:tcBorders>
              <w:tl2br w:val="nil"/>
              <w:tr2bl w:val="nil"/>
            </w:tcBorders>
            <w:vAlign w:val="center"/>
          </w:tcPr>
          <w:p w14:paraId="2C72E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建筑物外距离（m）</w:t>
            </w:r>
          </w:p>
        </w:tc>
      </w:tr>
      <w:tr w14:paraId="3D5170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tcBorders>
              <w:tl2br w:val="nil"/>
              <w:tr2bl w:val="nil"/>
            </w:tcBorders>
            <w:vAlign w:val="center"/>
          </w:tcPr>
          <w:p w14:paraId="45C74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305" w:type="pct"/>
            <w:vMerge w:val="restart"/>
            <w:tcBorders>
              <w:tl2br w:val="nil"/>
              <w:tr2bl w:val="nil"/>
            </w:tcBorders>
            <w:shd w:val="clear" w:color="auto" w:fill="auto"/>
            <w:vAlign w:val="center"/>
          </w:tcPr>
          <w:p w14:paraId="207228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破碎筛分车间</w:t>
            </w:r>
          </w:p>
        </w:tc>
        <w:tc>
          <w:tcPr>
            <w:tcW w:w="440" w:type="pct"/>
            <w:tcBorders>
              <w:tl2br w:val="nil"/>
              <w:tr2bl w:val="nil"/>
            </w:tcBorders>
            <w:shd w:val="clear" w:color="auto" w:fill="auto"/>
            <w:vAlign w:val="center"/>
          </w:tcPr>
          <w:p w14:paraId="17D89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破碎机</w:t>
            </w:r>
          </w:p>
        </w:tc>
        <w:tc>
          <w:tcPr>
            <w:tcW w:w="345" w:type="pct"/>
            <w:tcBorders>
              <w:tl2br w:val="nil"/>
              <w:tr2bl w:val="nil"/>
            </w:tcBorders>
            <w:shd w:val="clear" w:color="auto" w:fill="auto"/>
            <w:vAlign w:val="center"/>
          </w:tcPr>
          <w:p w14:paraId="7D9945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95</w:t>
            </w:r>
          </w:p>
        </w:tc>
        <w:tc>
          <w:tcPr>
            <w:tcW w:w="901" w:type="pct"/>
            <w:vMerge w:val="restart"/>
            <w:tcBorders>
              <w:tl2br w:val="nil"/>
              <w:tr2bl w:val="nil"/>
            </w:tcBorders>
            <w:vAlign w:val="center"/>
          </w:tcPr>
          <w:p w14:paraId="40E1C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基础减振</w:t>
            </w:r>
            <w:r>
              <w:rPr>
                <w:rFonts w:hint="eastAsia" w:ascii="Times New Roman" w:hAnsi="Times New Roman" w:eastAsia="宋体"/>
                <w:color w:val="000000" w:themeColor="text1"/>
                <w:sz w:val="21"/>
                <w:szCs w:val="21"/>
                <w:highlight w:val="none"/>
                <w:lang w:eastAsia="zh-CN"/>
                <w14:textFill>
                  <w14:solidFill>
                    <w14:schemeClr w14:val="tx1"/>
                  </w14:solidFill>
                </w14:textFill>
              </w:rPr>
              <w:t>、厂房隔声</w:t>
            </w:r>
          </w:p>
        </w:tc>
        <w:tc>
          <w:tcPr>
            <w:tcW w:w="226" w:type="pct"/>
            <w:tcBorders>
              <w:tl2br w:val="nil"/>
              <w:tr2bl w:val="nil"/>
            </w:tcBorders>
            <w:vAlign w:val="center"/>
          </w:tcPr>
          <w:p w14:paraId="5C49F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137</w:t>
            </w:r>
          </w:p>
        </w:tc>
        <w:tc>
          <w:tcPr>
            <w:tcW w:w="231" w:type="pct"/>
            <w:tcBorders>
              <w:tl2br w:val="nil"/>
              <w:tr2bl w:val="nil"/>
            </w:tcBorders>
            <w:vAlign w:val="center"/>
          </w:tcPr>
          <w:p w14:paraId="2B3AFD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112</w:t>
            </w:r>
          </w:p>
        </w:tc>
        <w:tc>
          <w:tcPr>
            <w:tcW w:w="223" w:type="pct"/>
            <w:tcBorders>
              <w:tl2br w:val="nil"/>
              <w:tr2bl w:val="nil"/>
            </w:tcBorders>
            <w:vAlign w:val="center"/>
          </w:tcPr>
          <w:p w14:paraId="4EAF0D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w:t>
            </w:r>
          </w:p>
        </w:tc>
        <w:tc>
          <w:tcPr>
            <w:tcW w:w="279" w:type="pct"/>
            <w:tcBorders>
              <w:tl2br w:val="nil"/>
              <w:tr2bl w:val="nil"/>
            </w:tcBorders>
            <w:vAlign w:val="center"/>
          </w:tcPr>
          <w:p w14:paraId="14522A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6</w:t>
            </w:r>
          </w:p>
        </w:tc>
        <w:tc>
          <w:tcPr>
            <w:tcW w:w="373" w:type="pct"/>
            <w:tcBorders>
              <w:tl2br w:val="nil"/>
              <w:tr2bl w:val="nil"/>
            </w:tcBorders>
            <w:vAlign w:val="center"/>
          </w:tcPr>
          <w:p w14:paraId="2F5E4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81</w:t>
            </w:r>
          </w:p>
        </w:tc>
        <w:tc>
          <w:tcPr>
            <w:tcW w:w="327" w:type="pct"/>
            <w:tcBorders>
              <w:tl2br w:val="nil"/>
              <w:tr2bl w:val="nil"/>
            </w:tcBorders>
            <w:vAlign w:val="center"/>
          </w:tcPr>
          <w:p w14:paraId="3ED0D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昼</w:t>
            </w: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夜</w:t>
            </w:r>
          </w:p>
        </w:tc>
        <w:tc>
          <w:tcPr>
            <w:tcW w:w="448" w:type="pct"/>
            <w:tcBorders>
              <w:tl2br w:val="nil"/>
              <w:tr2bl w:val="nil"/>
            </w:tcBorders>
            <w:vAlign w:val="center"/>
          </w:tcPr>
          <w:p w14:paraId="2AC6E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20</w:t>
            </w:r>
          </w:p>
        </w:tc>
        <w:tc>
          <w:tcPr>
            <w:tcW w:w="377" w:type="pct"/>
            <w:tcBorders>
              <w:tl2br w:val="nil"/>
              <w:tr2bl w:val="nil"/>
            </w:tcBorders>
            <w:vAlign w:val="center"/>
          </w:tcPr>
          <w:p w14:paraId="4D523D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61</w:t>
            </w:r>
          </w:p>
        </w:tc>
        <w:tc>
          <w:tcPr>
            <w:tcW w:w="357" w:type="pct"/>
            <w:tcBorders>
              <w:tl2br w:val="nil"/>
              <w:tr2bl w:val="nil"/>
            </w:tcBorders>
            <w:vAlign w:val="center"/>
          </w:tcPr>
          <w:p w14:paraId="089608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r w14:paraId="61358E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tcBorders>
              <w:tl2br w:val="nil"/>
              <w:tr2bl w:val="nil"/>
            </w:tcBorders>
            <w:vAlign w:val="center"/>
          </w:tcPr>
          <w:p w14:paraId="22499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p>
        </w:tc>
        <w:tc>
          <w:tcPr>
            <w:tcW w:w="305" w:type="pct"/>
            <w:vMerge w:val="continue"/>
            <w:tcBorders>
              <w:tl2br w:val="nil"/>
              <w:tr2bl w:val="nil"/>
            </w:tcBorders>
            <w:shd w:val="clear" w:color="auto" w:fill="auto"/>
            <w:vAlign w:val="center"/>
          </w:tcPr>
          <w:p w14:paraId="5D255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440" w:type="pct"/>
            <w:tcBorders>
              <w:tl2br w:val="nil"/>
              <w:tr2bl w:val="nil"/>
            </w:tcBorders>
            <w:shd w:val="clear" w:color="auto" w:fill="auto"/>
            <w:vAlign w:val="center"/>
          </w:tcPr>
          <w:p w14:paraId="16739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筛分机</w:t>
            </w:r>
          </w:p>
        </w:tc>
        <w:tc>
          <w:tcPr>
            <w:tcW w:w="345" w:type="pct"/>
            <w:tcBorders>
              <w:tl2br w:val="nil"/>
              <w:tr2bl w:val="nil"/>
            </w:tcBorders>
            <w:shd w:val="clear" w:color="auto" w:fill="auto"/>
            <w:vAlign w:val="center"/>
          </w:tcPr>
          <w:p w14:paraId="22C3A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90</w:t>
            </w:r>
          </w:p>
        </w:tc>
        <w:tc>
          <w:tcPr>
            <w:tcW w:w="901" w:type="pct"/>
            <w:vMerge w:val="continue"/>
            <w:tcBorders>
              <w:tl2br w:val="nil"/>
              <w:tr2bl w:val="nil"/>
            </w:tcBorders>
            <w:vAlign w:val="center"/>
          </w:tcPr>
          <w:p w14:paraId="7A029C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226" w:type="pct"/>
            <w:tcBorders>
              <w:tl2br w:val="nil"/>
              <w:tr2bl w:val="nil"/>
            </w:tcBorders>
            <w:vAlign w:val="center"/>
          </w:tcPr>
          <w:p w14:paraId="1042D0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137</w:t>
            </w:r>
          </w:p>
        </w:tc>
        <w:tc>
          <w:tcPr>
            <w:tcW w:w="231" w:type="pct"/>
            <w:tcBorders>
              <w:tl2br w:val="nil"/>
              <w:tr2bl w:val="nil"/>
            </w:tcBorders>
            <w:vAlign w:val="center"/>
          </w:tcPr>
          <w:p w14:paraId="795DA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129</w:t>
            </w:r>
          </w:p>
        </w:tc>
        <w:tc>
          <w:tcPr>
            <w:tcW w:w="223" w:type="pct"/>
            <w:tcBorders>
              <w:tl2br w:val="nil"/>
              <w:tr2bl w:val="nil"/>
            </w:tcBorders>
            <w:vAlign w:val="center"/>
          </w:tcPr>
          <w:p w14:paraId="6EAE3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w:t>
            </w:r>
          </w:p>
        </w:tc>
        <w:tc>
          <w:tcPr>
            <w:tcW w:w="279" w:type="pct"/>
            <w:tcBorders>
              <w:tl2br w:val="nil"/>
              <w:tr2bl w:val="nil"/>
            </w:tcBorders>
            <w:vAlign w:val="center"/>
          </w:tcPr>
          <w:p w14:paraId="0F3EBE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8</w:t>
            </w:r>
          </w:p>
        </w:tc>
        <w:tc>
          <w:tcPr>
            <w:tcW w:w="373" w:type="pct"/>
            <w:tcBorders>
              <w:tl2br w:val="nil"/>
              <w:tr2bl w:val="nil"/>
            </w:tcBorders>
            <w:vAlign w:val="center"/>
          </w:tcPr>
          <w:p w14:paraId="5343E5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74</w:t>
            </w:r>
          </w:p>
        </w:tc>
        <w:tc>
          <w:tcPr>
            <w:tcW w:w="327" w:type="pct"/>
            <w:tcBorders>
              <w:tl2br w:val="nil"/>
              <w:tr2bl w:val="nil"/>
            </w:tcBorders>
            <w:vAlign w:val="center"/>
          </w:tcPr>
          <w:p w14:paraId="7C9F33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昼</w:t>
            </w: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夜</w:t>
            </w:r>
          </w:p>
        </w:tc>
        <w:tc>
          <w:tcPr>
            <w:tcW w:w="448" w:type="pct"/>
            <w:tcBorders>
              <w:tl2br w:val="nil"/>
              <w:tr2bl w:val="nil"/>
            </w:tcBorders>
            <w:vAlign w:val="center"/>
          </w:tcPr>
          <w:p w14:paraId="51C2D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20</w:t>
            </w:r>
          </w:p>
        </w:tc>
        <w:tc>
          <w:tcPr>
            <w:tcW w:w="377" w:type="pct"/>
            <w:tcBorders>
              <w:tl2br w:val="nil"/>
              <w:tr2bl w:val="nil"/>
            </w:tcBorders>
            <w:vAlign w:val="center"/>
          </w:tcPr>
          <w:p w14:paraId="5939F0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54</w:t>
            </w:r>
          </w:p>
        </w:tc>
        <w:tc>
          <w:tcPr>
            <w:tcW w:w="357" w:type="pct"/>
            <w:tcBorders>
              <w:tl2br w:val="nil"/>
              <w:tr2bl w:val="nil"/>
            </w:tcBorders>
            <w:vAlign w:val="center"/>
          </w:tcPr>
          <w:p w14:paraId="7B9D5F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r w14:paraId="64A436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tcBorders>
              <w:tl2br w:val="nil"/>
              <w:tr2bl w:val="nil"/>
            </w:tcBorders>
            <w:vAlign w:val="center"/>
          </w:tcPr>
          <w:p w14:paraId="600D9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w:t>
            </w:r>
          </w:p>
        </w:tc>
        <w:tc>
          <w:tcPr>
            <w:tcW w:w="305" w:type="pct"/>
            <w:vMerge w:val="restart"/>
            <w:tcBorders>
              <w:tl2br w:val="nil"/>
              <w:tr2bl w:val="nil"/>
            </w:tcBorders>
            <w:shd w:val="clear" w:color="auto" w:fill="auto"/>
            <w:vAlign w:val="center"/>
          </w:tcPr>
          <w:p w14:paraId="703C2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高压辊磨车间</w:t>
            </w:r>
          </w:p>
        </w:tc>
        <w:tc>
          <w:tcPr>
            <w:tcW w:w="440" w:type="pct"/>
            <w:tcBorders>
              <w:tl2br w:val="nil"/>
              <w:tr2bl w:val="nil"/>
            </w:tcBorders>
            <w:shd w:val="clear" w:color="auto" w:fill="auto"/>
            <w:vAlign w:val="center"/>
          </w:tcPr>
          <w:p w14:paraId="505102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高压辊磨机</w:t>
            </w:r>
          </w:p>
        </w:tc>
        <w:tc>
          <w:tcPr>
            <w:tcW w:w="345" w:type="pct"/>
            <w:tcBorders>
              <w:tl2br w:val="nil"/>
              <w:tr2bl w:val="nil"/>
            </w:tcBorders>
            <w:shd w:val="clear" w:color="auto" w:fill="auto"/>
            <w:vAlign w:val="center"/>
          </w:tcPr>
          <w:p w14:paraId="6371B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95</w:t>
            </w:r>
          </w:p>
        </w:tc>
        <w:tc>
          <w:tcPr>
            <w:tcW w:w="901" w:type="pct"/>
            <w:vMerge w:val="continue"/>
            <w:tcBorders>
              <w:tl2br w:val="nil"/>
              <w:tr2bl w:val="nil"/>
            </w:tcBorders>
            <w:vAlign w:val="center"/>
          </w:tcPr>
          <w:p w14:paraId="15DBB5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226" w:type="pct"/>
            <w:tcBorders>
              <w:tl2br w:val="nil"/>
              <w:tr2bl w:val="nil"/>
            </w:tcBorders>
            <w:vAlign w:val="center"/>
          </w:tcPr>
          <w:p w14:paraId="657B0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136</w:t>
            </w:r>
          </w:p>
        </w:tc>
        <w:tc>
          <w:tcPr>
            <w:tcW w:w="231" w:type="pct"/>
            <w:tcBorders>
              <w:tl2br w:val="nil"/>
              <w:tr2bl w:val="nil"/>
            </w:tcBorders>
            <w:vAlign w:val="center"/>
          </w:tcPr>
          <w:p w14:paraId="68273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149</w:t>
            </w:r>
          </w:p>
        </w:tc>
        <w:tc>
          <w:tcPr>
            <w:tcW w:w="223" w:type="pct"/>
            <w:tcBorders>
              <w:tl2br w:val="nil"/>
              <w:tr2bl w:val="nil"/>
            </w:tcBorders>
            <w:vAlign w:val="center"/>
          </w:tcPr>
          <w:p w14:paraId="2E2FE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w:t>
            </w:r>
          </w:p>
        </w:tc>
        <w:tc>
          <w:tcPr>
            <w:tcW w:w="279" w:type="pct"/>
            <w:tcBorders>
              <w:tl2br w:val="nil"/>
              <w:tr2bl w:val="nil"/>
            </w:tcBorders>
            <w:vAlign w:val="center"/>
          </w:tcPr>
          <w:p w14:paraId="5630D5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7</w:t>
            </w:r>
          </w:p>
        </w:tc>
        <w:tc>
          <w:tcPr>
            <w:tcW w:w="373" w:type="pct"/>
            <w:tcBorders>
              <w:tl2br w:val="nil"/>
              <w:tr2bl w:val="nil"/>
            </w:tcBorders>
            <w:vAlign w:val="center"/>
          </w:tcPr>
          <w:p w14:paraId="57076A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70</w:t>
            </w:r>
          </w:p>
        </w:tc>
        <w:tc>
          <w:tcPr>
            <w:tcW w:w="327" w:type="pct"/>
            <w:tcBorders>
              <w:tl2br w:val="nil"/>
              <w:tr2bl w:val="nil"/>
            </w:tcBorders>
            <w:vAlign w:val="center"/>
          </w:tcPr>
          <w:p w14:paraId="01CB0C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昼</w:t>
            </w: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夜</w:t>
            </w:r>
          </w:p>
        </w:tc>
        <w:tc>
          <w:tcPr>
            <w:tcW w:w="448" w:type="pct"/>
            <w:tcBorders>
              <w:tl2br w:val="nil"/>
              <w:tr2bl w:val="nil"/>
            </w:tcBorders>
            <w:vAlign w:val="center"/>
          </w:tcPr>
          <w:p w14:paraId="0F38C8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20</w:t>
            </w:r>
          </w:p>
        </w:tc>
        <w:tc>
          <w:tcPr>
            <w:tcW w:w="377" w:type="pct"/>
            <w:tcBorders>
              <w:tl2br w:val="nil"/>
              <w:tr2bl w:val="nil"/>
            </w:tcBorders>
            <w:vAlign w:val="center"/>
          </w:tcPr>
          <w:p w14:paraId="432BA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60</w:t>
            </w:r>
          </w:p>
        </w:tc>
        <w:tc>
          <w:tcPr>
            <w:tcW w:w="357" w:type="pct"/>
            <w:tcBorders>
              <w:tl2br w:val="nil"/>
              <w:tr2bl w:val="nil"/>
            </w:tcBorders>
            <w:vAlign w:val="center"/>
          </w:tcPr>
          <w:p w14:paraId="09811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r w14:paraId="229A1E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tcBorders>
              <w:tl2br w:val="nil"/>
              <w:tr2bl w:val="nil"/>
            </w:tcBorders>
            <w:vAlign w:val="center"/>
          </w:tcPr>
          <w:p w14:paraId="65A27E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w:t>
            </w:r>
          </w:p>
        </w:tc>
        <w:tc>
          <w:tcPr>
            <w:tcW w:w="305" w:type="pct"/>
            <w:vMerge w:val="continue"/>
            <w:tcBorders>
              <w:tl2br w:val="nil"/>
              <w:tr2bl w:val="nil"/>
            </w:tcBorders>
            <w:shd w:val="clear" w:color="auto" w:fill="auto"/>
            <w:vAlign w:val="center"/>
          </w:tcPr>
          <w:p w14:paraId="4E309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440" w:type="pct"/>
            <w:tcBorders>
              <w:tl2br w:val="nil"/>
              <w:tr2bl w:val="nil"/>
            </w:tcBorders>
            <w:shd w:val="clear" w:color="auto" w:fill="auto"/>
            <w:vAlign w:val="center"/>
          </w:tcPr>
          <w:p w14:paraId="2228F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筛分机</w:t>
            </w:r>
          </w:p>
        </w:tc>
        <w:tc>
          <w:tcPr>
            <w:tcW w:w="345" w:type="pct"/>
            <w:tcBorders>
              <w:tl2br w:val="nil"/>
              <w:tr2bl w:val="nil"/>
            </w:tcBorders>
            <w:shd w:val="clear" w:color="auto" w:fill="auto"/>
            <w:vAlign w:val="center"/>
          </w:tcPr>
          <w:p w14:paraId="4EB4AC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90</w:t>
            </w:r>
          </w:p>
        </w:tc>
        <w:tc>
          <w:tcPr>
            <w:tcW w:w="901" w:type="pct"/>
            <w:vMerge w:val="continue"/>
            <w:tcBorders>
              <w:tl2br w:val="nil"/>
              <w:tr2bl w:val="nil"/>
            </w:tcBorders>
            <w:vAlign w:val="center"/>
          </w:tcPr>
          <w:p w14:paraId="75E75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226" w:type="pct"/>
            <w:tcBorders>
              <w:tl2br w:val="nil"/>
              <w:tr2bl w:val="nil"/>
            </w:tcBorders>
            <w:vAlign w:val="center"/>
          </w:tcPr>
          <w:p w14:paraId="203CA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136</w:t>
            </w:r>
          </w:p>
        </w:tc>
        <w:tc>
          <w:tcPr>
            <w:tcW w:w="231" w:type="pct"/>
            <w:tcBorders>
              <w:tl2br w:val="nil"/>
              <w:tr2bl w:val="nil"/>
            </w:tcBorders>
            <w:vAlign w:val="center"/>
          </w:tcPr>
          <w:p w14:paraId="133E1A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161</w:t>
            </w:r>
          </w:p>
        </w:tc>
        <w:tc>
          <w:tcPr>
            <w:tcW w:w="223" w:type="pct"/>
            <w:tcBorders>
              <w:tl2br w:val="nil"/>
              <w:tr2bl w:val="nil"/>
            </w:tcBorders>
            <w:vAlign w:val="center"/>
          </w:tcPr>
          <w:p w14:paraId="213978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w:t>
            </w:r>
          </w:p>
        </w:tc>
        <w:tc>
          <w:tcPr>
            <w:tcW w:w="279" w:type="pct"/>
            <w:tcBorders>
              <w:tl2br w:val="nil"/>
              <w:tr2bl w:val="nil"/>
            </w:tcBorders>
            <w:vAlign w:val="center"/>
          </w:tcPr>
          <w:p w14:paraId="0C0DB1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5</w:t>
            </w:r>
          </w:p>
        </w:tc>
        <w:tc>
          <w:tcPr>
            <w:tcW w:w="373" w:type="pct"/>
            <w:tcBorders>
              <w:tl2br w:val="nil"/>
              <w:tr2bl w:val="nil"/>
            </w:tcBorders>
            <w:vAlign w:val="center"/>
          </w:tcPr>
          <w:p w14:paraId="0FFF55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78</w:t>
            </w:r>
          </w:p>
        </w:tc>
        <w:tc>
          <w:tcPr>
            <w:tcW w:w="327" w:type="pct"/>
            <w:tcBorders>
              <w:tl2br w:val="nil"/>
              <w:tr2bl w:val="nil"/>
            </w:tcBorders>
            <w:vAlign w:val="center"/>
          </w:tcPr>
          <w:p w14:paraId="5FE4B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昼</w:t>
            </w: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夜</w:t>
            </w:r>
          </w:p>
        </w:tc>
        <w:tc>
          <w:tcPr>
            <w:tcW w:w="448" w:type="pct"/>
            <w:tcBorders>
              <w:tl2br w:val="nil"/>
              <w:tr2bl w:val="nil"/>
            </w:tcBorders>
            <w:vAlign w:val="center"/>
          </w:tcPr>
          <w:p w14:paraId="49EEB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20</w:t>
            </w:r>
          </w:p>
        </w:tc>
        <w:tc>
          <w:tcPr>
            <w:tcW w:w="377" w:type="pct"/>
            <w:tcBorders>
              <w:tl2br w:val="nil"/>
              <w:tr2bl w:val="nil"/>
            </w:tcBorders>
            <w:vAlign w:val="center"/>
          </w:tcPr>
          <w:p w14:paraId="4CEA8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58</w:t>
            </w:r>
          </w:p>
        </w:tc>
        <w:tc>
          <w:tcPr>
            <w:tcW w:w="357" w:type="pct"/>
            <w:tcBorders>
              <w:tl2br w:val="nil"/>
              <w:tr2bl w:val="nil"/>
            </w:tcBorders>
            <w:vAlign w:val="center"/>
          </w:tcPr>
          <w:p w14:paraId="343A6A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r w14:paraId="30ACCB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tcBorders>
              <w:tl2br w:val="nil"/>
              <w:tr2bl w:val="nil"/>
            </w:tcBorders>
            <w:vAlign w:val="center"/>
          </w:tcPr>
          <w:p w14:paraId="4F81D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305" w:type="pct"/>
            <w:vMerge w:val="restart"/>
            <w:tcBorders>
              <w:tl2br w:val="nil"/>
              <w:tr2bl w:val="nil"/>
            </w:tcBorders>
            <w:shd w:val="clear" w:color="auto" w:fill="auto"/>
            <w:vAlign w:val="center"/>
          </w:tcPr>
          <w:p w14:paraId="18093C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磨矿车间</w:t>
            </w:r>
          </w:p>
        </w:tc>
        <w:tc>
          <w:tcPr>
            <w:tcW w:w="440" w:type="pct"/>
            <w:tcBorders>
              <w:tl2br w:val="nil"/>
              <w:tr2bl w:val="nil"/>
            </w:tcBorders>
            <w:shd w:val="clear" w:color="auto" w:fill="auto"/>
            <w:vAlign w:val="center"/>
          </w:tcPr>
          <w:p w14:paraId="0AEDEE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磁选机</w:t>
            </w:r>
          </w:p>
        </w:tc>
        <w:tc>
          <w:tcPr>
            <w:tcW w:w="345" w:type="pct"/>
            <w:tcBorders>
              <w:tl2br w:val="nil"/>
              <w:tr2bl w:val="nil"/>
            </w:tcBorders>
            <w:shd w:val="clear" w:color="auto" w:fill="auto"/>
            <w:vAlign w:val="center"/>
          </w:tcPr>
          <w:p w14:paraId="5421FC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90</w:t>
            </w:r>
          </w:p>
        </w:tc>
        <w:tc>
          <w:tcPr>
            <w:tcW w:w="901" w:type="pct"/>
            <w:vMerge w:val="continue"/>
            <w:tcBorders>
              <w:tl2br w:val="nil"/>
              <w:tr2bl w:val="nil"/>
            </w:tcBorders>
            <w:vAlign w:val="center"/>
          </w:tcPr>
          <w:p w14:paraId="0145A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226" w:type="pct"/>
            <w:tcBorders>
              <w:tl2br w:val="nil"/>
              <w:tr2bl w:val="nil"/>
            </w:tcBorders>
            <w:vAlign w:val="center"/>
          </w:tcPr>
          <w:p w14:paraId="0C7E58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120</w:t>
            </w:r>
          </w:p>
        </w:tc>
        <w:tc>
          <w:tcPr>
            <w:tcW w:w="231" w:type="pct"/>
            <w:tcBorders>
              <w:tl2br w:val="nil"/>
              <w:tr2bl w:val="nil"/>
            </w:tcBorders>
            <w:vAlign w:val="center"/>
          </w:tcPr>
          <w:p w14:paraId="4C55E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184</w:t>
            </w:r>
          </w:p>
        </w:tc>
        <w:tc>
          <w:tcPr>
            <w:tcW w:w="223" w:type="pct"/>
            <w:tcBorders>
              <w:tl2br w:val="nil"/>
              <w:tr2bl w:val="nil"/>
            </w:tcBorders>
            <w:vAlign w:val="center"/>
          </w:tcPr>
          <w:p w14:paraId="2DF00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w:t>
            </w:r>
          </w:p>
        </w:tc>
        <w:tc>
          <w:tcPr>
            <w:tcW w:w="279" w:type="pct"/>
            <w:tcBorders>
              <w:tl2br w:val="nil"/>
              <w:tr2bl w:val="nil"/>
            </w:tcBorders>
            <w:vAlign w:val="center"/>
          </w:tcPr>
          <w:p w14:paraId="1D114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12</w:t>
            </w:r>
          </w:p>
        </w:tc>
        <w:tc>
          <w:tcPr>
            <w:tcW w:w="373" w:type="pct"/>
            <w:tcBorders>
              <w:tl2br w:val="nil"/>
              <w:tr2bl w:val="nil"/>
            </w:tcBorders>
            <w:vAlign w:val="center"/>
          </w:tcPr>
          <w:p w14:paraId="544D85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70</w:t>
            </w:r>
          </w:p>
        </w:tc>
        <w:tc>
          <w:tcPr>
            <w:tcW w:w="327" w:type="pct"/>
            <w:tcBorders>
              <w:tl2br w:val="nil"/>
              <w:tr2bl w:val="nil"/>
            </w:tcBorders>
            <w:vAlign w:val="center"/>
          </w:tcPr>
          <w:p w14:paraId="13432C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昼</w:t>
            </w: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夜</w:t>
            </w:r>
          </w:p>
        </w:tc>
        <w:tc>
          <w:tcPr>
            <w:tcW w:w="448" w:type="pct"/>
            <w:tcBorders>
              <w:tl2br w:val="nil"/>
              <w:tr2bl w:val="nil"/>
            </w:tcBorders>
            <w:vAlign w:val="center"/>
          </w:tcPr>
          <w:p w14:paraId="65CCE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20</w:t>
            </w:r>
          </w:p>
        </w:tc>
        <w:tc>
          <w:tcPr>
            <w:tcW w:w="377" w:type="pct"/>
            <w:tcBorders>
              <w:tl2br w:val="nil"/>
              <w:tr2bl w:val="nil"/>
            </w:tcBorders>
            <w:vAlign w:val="center"/>
          </w:tcPr>
          <w:p w14:paraId="49D2C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50</w:t>
            </w:r>
          </w:p>
        </w:tc>
        <w:tc>
          <w:tcPr>
            <w:tcW w:w="357" w:type="pct"/>
            <w:tcBorders>
              <w:tl2br w:val="nil"/>
              <w:tr2bl w:val="nil"/>
            </w:tcBorders>
            <w:vAlign w:val="center"/>
          </w:tcPr>
          <w:p w14:paraId="3F511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r w14:paraId="4CCCEA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tcBorders>
              <w:tl2br w:val="nil"/>
              <w:tr2bl w:val="nil"/>
            </w:tcBorders>
            <w:vAlign w:val="center"/>
          </w:tcPr>
          <w:p w14:paraId="0B6593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w:t>
            </w:r>
          </w:p>
        </w:tc>
        <w:tc>
          <w:tcPr>
            <w:tcW w:w="305" w:type="pct"/>
            <w:vMerge w:val="continue"/>
            <w:tcBorders>
              <w:tl2br w:val="nil"/>
              <w:tr2bl w:val="nil"/>
            </w:tcBorders>
            <w:shd w:val="clear" w:color="auto" w:fill="auto"/>
            <w:vAlign w:val="center"/>
          </w:tcPr>
          <w:p w14:paraId="3453E8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440" w:type="pct"/>
            <w:tcBorders>
              <w:tl2br w:val="nil"/>
              <w:tr2bl w:val="nil"/>
            </w:tcBorders>
            <w:shd w:val="clear" w:color="auto" w:fill="auto"/>
            <w:vAlign w:val="center"/>
          </w:tcPr>
          <w:p w14:paraId="6C9B9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球磨机</w:t>
            </w:r>
          </w:p>
        </w:tc>
        <w:tc>
          <w:tcPr>
            <w:tcW w:w="345" w:type="pct"/>
            <w:tcBorders>
              <w:tl2br w:val="nil"/>
              <w:tr2bl w:val="nil"/>
            </w:tcBorders>
            <w:shd w:val="clear" w:color="auto" w:fill="auto"/>
            <w:vAlign w:val="center"/>
          </w:tcPr>
          <w:p w14:paraId="1B933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95</w:t>
            </w:r>
          </w:p>
        </w:tc>
        <w:tc>
          <w:tcPr>
            <w:tcW w:w="901" w:type="pct"/>
            <w:vMerge w:val="continue"/>
            <w:tcBorders>
              <w:tl2br w:val="nil"/>
              <w:tr2bl w:val="nil"/>
            </w:tcBorders>
            <w:vAlign w:val="center"/>
          </w:tcPr>
          <w:p w14:paraId="40D37A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226" w:type="pct"/>
            <w:tcBorders>
              <w:tl2br w:val="nil"/>
              <w:tr2bl w:val="nil"/>
            </w:tcBorders>
            <w:vAlign w:val="center"/>
          </w:tcPr>
          <w:p w14:paraId="2CE81D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136</w:t>
            </w:r>
          </w:p>
        </w:tc>
        <w:tc>
          <w:tcPr>
            <w:tcW w:w="231" w:type="pct"/>
            <w:tcBorders>
              <w:tl2br w:val="nil"/>
              <w:tr2bl w:val="nil"/>
            </w:tcBorders>
            <w:vAlign w:val="center"/>
          </w:tcPr>
          <w:p w14:paraId="2359A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178</w:t>
            </w:r>
          </w:p>
        </w:tc>
        <w:tc>
          <w:tcPr>
            <w:tcW w:w="223" w:type="pct"/>
            <w:tcBorders>
              <w:tl2br w:val="nil"/>
              <w:tr2bl w:val="nil"/>
            </w:tcBorders>
            <w:vAlign w:val="center"/>
          </w:tcPr>
          <w:p w14:paraId="0620D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w:t>
            </w:r>
          </w:p>
        </w:tc>
        <w:tc>
          <w:tcPr>
            <w:tcW w:w="279" w:type="pct"/>
            <w:tcBorders>
              <w:tl2br w:val="nil"/>
              <w:tr2bl w:val="nil"/>
            </w:tcBorders>
            <w:vAlign w:val="center"/>
          </w:tcPr>
          <w:p w14:paraId="1AA7A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6</w:t>
            </w:r>
          </w:p>
        </w:tc>
        <w:tc>
          <w:tcPr>
            <w:tcW w:w="373" w:type="pct"/>
            <w:tcBorders>
              <w:tl2br w:val="nil"/>
              <w:tr2bl w:val="nil"/>
            </w:tcBorders>
            <w:vAlign w:val="center"/>
          </w:tcPr>
          <w:p w14:paraId="35D457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81</w:t>
            </w:r>
          </w:p>
        </w:tc>
        <w:tc>
          <w:tcPr>
            <w:tcW w:w="327" w:type="pct"/>
            <w:tcBorders>
              <w:tl2br w:val="nil"/>
              <w:tr2bl w:val="nil"/>
            </w:tcBorders>
            <w:vAlign w:val="center"/>
          </w:tcPr>
          <w:p w14:paraId="2BBF1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昼</w:t>
            </w: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夜</w:t>
            </w:r>
          </w:p>
        </w:tc>
        <w:tc>
          <w:tcPr>
            <w:tcW w:w="448" w:type="pct"/>
            <w:tcBorders>
              <w:tl2br w:val="nil"/>
              <w:tr2bl w:val="nil"/>
            </w:tcBorders>
            <w:vAlign w:val="center"/>
          </w:tcPr>
          <w:p w14:paraId="5D8CC9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20</w:t>
            </w:r>
          </w:p>
        </w:tc>
        <w:tc>
          <w:tcPr>
            <w:tcW w:w="377" w:type="pct"/>
            <w:tcBorders>
              <w:tl2br w:val="nil"/>
              <w:tr2bl w:val="nil"/>
            </w:tcBorders>
            <w:vAlign w:val="center"/>
          </w:tcPr>
          <w:p w14:paraId="511022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60</w:t>
            </w:r>
          </w:p>
        </w:tc>
        <w:tc>
          <w:tcPr>
            <w:tcW w:w="999" w:type="dxa"/>
            <w:tcBorders>
              <w:tl2br w:val="nil"/>
              <w:tr2bl w:val="nil"/>
            </w:tcBorders>
            <w:vAlign w:val="center"/>
          </w:tcPr>
          <w:p w14:paraId="19A3D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r w14:paraId="7F9E31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tcBorders>
              <w:tl2br w:val="nil"/>
              <w:tr2bl w:val="nil"/>
            </w:tcBorders>
            <w:vAlign w:val="center"/>
          </w:tcPr>
          <w:p w14:paraId="29D75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7</w:t>
            </w:r>
          </w:p>
        </w:tc>
        <w:tc>
          <w:tcPr>
            <w:tcW w:w="305" w:type="pct"/>
            <w:vMerge w:val="continue"/>
            <w:tcBorders>
              <w:tl2br w:val="nil"/>
              <w:tr2bl w:val="nil"/>
            </w:tcBorders>
            <w:shd w:val="clear" w:color="auto" w:fill="auto"/>
            <w:vAlign w:val="center"/>
          </w:tcPr>
          <w:p w14:paraId="5E8A50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440" w:type="pct"/>
            <w:tcBorders>
              <w:tl2br w:val="nil"/>
              <w:tr2bl w:val="nil"/>
            </w:tcBorders>
            <w:shd w:val="clear" w:color="auto" w:fill="auto"/>
            <w:vAlign w:val="center"/>
          </w:tcPr>
          <w:p w14:paraId="273CE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分级机</w:t>
            </w:r>
          </w:p>
        </w:tc>
        <w:tc>
          <w:tcPr>
            <w:tcW w:w="345" w:type="pct"/>
            <w:tcBorders>
              <w:tl2br w:val="nil"/>
              <w:tr2bl w:val="nil"/>
            </w:tcBorders>
            <w:shd w:val="clear" w:color="auto" w:fill="auto"/>
            <w:vAlign w:val="center"/>
          </w:tcPr>
          <w:p w14:paraId="02FA0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90</w:t>
            </w:r>
          </w:p>
        </w:tc>
        <w:tc>
          <w:tcPr>
            <w:tcW w:w="901" w:type="pct"/>
            <w:vMerge w:val="continue"/>
            <w:tcBorders>
              <w:tl2br w:val="nil"/>
              <w:tr2bl w:val="nil"/>
            </w:tcBorders>
            <w:vAlign w:val="center"/>
          </w:tcPr>
          <w:p w14:paraId="1F924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226" w:type="pct"/>
            <w:tcBorders>
              <w:tl2br w:val="nil"/>
              <w:tr2bl w:val="nil"/>
            </w:tcBorders>
            <w:vAlign w:val="center"/>
          </w:tcPr>
          <w:p w14:paraId="6EA27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99</w:t>
            </w:r>
          </w:p>
        </w:tc>
        <w:tc>
          <w:tcPr>
            <w:tcW w:w="231" w:type="pct"/>
            <w:tcBorders>
              <w:tl2br w:val="nil"/>
              <w:tr2bl w:val="nil"/>
            </w:tcBorders>
            <w:vAlign w:val="center"/>
          </w:tcPr>
          <w:p w14:paraId="14AF6C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184</w:t>
            </w:r>
          </w:p>
        </w:tc>
        <w:tc>
          <w:tcPr>
            <w:tcW w:w="223" w:type="pct"/>
            <w:tcBorders>
              <w:tl2br w:val="nil"/>
              <w:tr2bl w:val="nil"/>
            </w:tcBorders>
            <w:vAlign w:val="center"/>
          </w:tcPr>
          <w:p w14:paraId="6B76F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w:t>
            </w:r>
          </w:p>
        </w:tc>
        <w:tc>
          <w:tcPr>
            <w:tcW w:w="279" w:type="pct"/>
            <w:tcBorders>
              <w:tl2br w:val="nil"/>
              <w:tr2bl w:val="nil"/>
            </w:tcBorders>
            <w:vAlign w:val="center"/>
          </w:tcPr>
          <w:p w14:paraId="6E759D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11</w:t>
            </w:r>
          </w:p>
        </w:tc>
        <w:tc>
          <w:tcPr>
            <w:tcW w:w="373" w:type="pct"/>
            <w:tcBorders>
              <w:tl2br w:val="nil"/>
              <w:tr2bl w:val="nil"/>
            </w:tcBorders>
            <w:vAlign w:val="center"/>
          </w:tcPr>
          <w:p w14:paraId="0A0BB4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71</w:t>
            </w:r>
          </w:p>
        </w:tc>
        <w:tc>
          <w:tcPr>
            <w:tcW w:w="327" w:type="pct"/>
            <w:tcBorders>
              <w:tl2br w:val="nil"/>
              <w:tr2bl w:val="nil"/>
            </w:tcBorders>
            <w:vAlign w:val="center"/>
          </w:tcPr>
          <w:p w14:paraId="3CEC6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昼</w:t>
            </w: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夜</w:t>
            </w:r>
          </w:p>
        </w:tc>
        <w:tc>
          <w:tcPr>
            <w:tcW w:w="448" w:type="pct"/>
            <w:tcBorders>
              <w:tl2br w:val="nil"/>
              <w:tr2bl w:val="nil"/>
            </w:tcBorders>
            <w:vAlign w:val="center"/>
          </w:tcPr>
          <w:p w14:paraId="15878F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20</w:t>
            </w:r>
          </w:p>
        </w:tc>
        <w:tc>
          <w:tcPr>
            <w:tcW w:w="377" w:type="pct"/>
            <w:tcBorders>
              <w:tl2br w:val="nil"/>
              <w:tr2bl w:val="nil"/>
            </w:tcBorders>
            <w:vAlign w:val="center"/>
          </w:tcPr>
          <w:p w14:paraId="4062E7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51</w:t>
            </w:r>
          </w:p>
        </w:tc>
        <w:tc>
          <w:tcPr>
            <w:tcW w:w="999" w:type="dxa"/>
            <w:tcBorders>
              <w:tl2br w:val="nil"/>
              <w:tr2bl w:val="nil"/>
            </w:tcBorders>
            <w:vAlign w:val="center"/>
          </w:tcPr>
          <w:p w14:paraId="60BD8A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r w14:paraId="5EE1D9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tcBorders>
              <w:tl2br w:val="nil"/>
              <w:tr2bl w:val="nil"/>
            </w:tcBorders>
            <w:vAlign w:val="center"/>
          </w:tcPr>
          <w:p w14:paraId="1FDA3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8</w:t>
            </w:r>
          </w:p>
        </w:tc>
        <w:tc>
          <w:tcPr>
            <w:tcW w:w="305" w:type="pct"/>
            <w:vMerge w:val="continue"/>
            <w:tcBorders>
              <w:tl2br w:val="nil"/>
              <w:tr2bl w:val="nil"/>
            </w:tcBorders>
            <w:shd w:val="clear" w:color="auto" w:fill="auto"/>
            <w:vAlign w:val="center"/>
          </w:tcPr>
          <w:p w14:paraId="0DC7A3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440" w:type="pct"/>
            <w:tcBorders>
              <w:tl2br w:val="nil"/>
              <w:tr2bl w:val="nil"/>
            </w:tcBorders>
            <w:shd w:val="clear" w:color="auto" w:fill="auto"/>
            <w:vAlign w:val="center"/>
          </w:tcPr>
          <w:p w14:paraId="31F570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旋流器</w:t>
            </w:r>
          </w:p>
        </w:tc>
        <w:tc>
          <w:tcPr>
            <w:tcW w:w="345" w:type="pct"/>
            <w:tcBorders>
              <w:tl2br w:val="nil"/>
              <w:tr2bl w:val="nil"/>
            </w:tcBorders>
            <w:shd w:val="clear" w:color="auto" w:fill="auto"/>
            <w:vAlign w:val="center"/>
          </w:tcPr>
          <w:p w14:paraId="6870F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80</w:t>
            </w:r>
          </w:p>
        </w:tc>
        <w:tc>
          <w:tcPr>
            <w:tcW w:w="901" w:type="pct"/>
            <w:vMerge w:val="continue"/>
            <w:tcBorders>
              <w:tl2br w:val="nil"/>
              <w:tr2bl w:val="nil"/>
            </w:tcBorders>
            <w:vAlign w:val="center"/>
          </w:tcPr>
          <w:p w14:paraId="587C3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226" w:type="pct"/>
            <w:tcBorders>
              <w:tl2br w:val="nil"/>
              <w:tr2bl w:val="nil"/>
            </w:tcBorders>
            <w:vAlign w:val="center"/>
          </w:tcPr>
          <w:p w14:paraId="122E99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88</w:t>
            </w:r>
          </w:p>
        </w:tc>
        <w:tc>
          <w:tcPr>
            <w:tcW w:w="231" w:type="pct"/>
            <w:tcBorders>
              <w:tl2br w:val="nil"/>
              <w:tr2bl w:val="nil"/>
            </w:tcBorders>
            <w:vAlign w:val="center"/>
          </w:tcPr>
          <w:p w14:paraId="44E479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179</w:t>
            </w:r>
          </w:p>
        </w:tc>
        <w:tc>
          <w:tcPr>
            <w:tcW w:w="223" w:type="pct"/>
            <w:tcBorders>
              <w:tl2br w:val="nil"/>
              <w:tr2bl w:val="nil"/>
            </w:tcBorders>
            <w:vAlign w:val="center"/>
          </w:tcPr>
          <w:p w14:paraId="002B99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w:t>
            </w:r>
          </w:p>
        </w:tc>
        <w:tc>
          <w:tcPr>
            <w:tcW w:w="279" w:type="pct"/>
            <w:tcBorders>
              <w:tl2br w:val="nil"/>
              <w:tr2bl w:val="nil"/>
            </w:tcBorders>
            <w:vAlign w:val="center"/>
          </w:tcPr>
          <w:p w14:paraId="11589B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6</w:t>
            </w:r>
          </w:p>
        </w:tc>
        <w:tc>
          <w:tcPr>
            <w:tcW w:w="373" w:type="pct"/>
            <w:tcBorders>
              <w:tl2br w:val="nil"/>
              <w:tr2bl w:val="nil"/>
            </w:tcBorders>
            <w:vAlign w:val="center"/>
          </w:tcPr>
          <w:p w14:paraId="2162F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66</w:t>
            </w:r>
          </w:p>
        </w:tc>
        <w:tc>
          <w:tcPr>
            <w:tcW w:w="327" w:type="pct"/>
            <w:tcBorders>
              <w:tl2br w:val="nil"/>
              <w:tr2bl w:val="nil"/>
            </w:tcBorders>
            <w:vAlign w:val="center"/>
          </w:tcPr>
          <w:p w14:paraId="692AF7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昼</w:t>
            </w: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夜</w:t>
            </w:r>
          </w:p>
        </w:tc>
        <w:tc>
          <w:tcPr>
            <w:tcW w:w="448" w:type="pct"/>
            <w:tcBorders>
              <w:tl2br w:val="nil"/>
              <w:tr2bl w:val="nil"/>
            </w:tcBorders>
            <w:vAlign w:val="center"/>
          </w:tcPr>
          <w:p w14:paraId="3C7EC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20</w:t>
            </w:r>
          </w:p>
        </w:tc>
        <w:tc>
          <w:tcPr>
            <w:tcW w:w="377" w:type="pct"/>
            <w:tcBorders>
              <w:tl2br w:val="nil"/>
              <w:tr2bl w:val="nil"/>
            </w:tcBorders>
            <w:vAlign w:val="center"/>
          </w:tcPr>
          <w:p w14:paraId="39CFAE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46</w:t>
            </w:r>
          </w:p>
        </w:tc>
        <w:tc>
          <w:tcPr>
            <w:tcW w:w="999" w:type="dxa"/>
            <w:tcBorders>
              <w:tl2br w:val="nil"/>
              <w:tr2bl w:val="nil"/>
            </w:tcBorders>
            <w:vAlign w:val="center"/>
          </w:tcPr>
          <w:p w14:paraId="0D59F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r w14:paraId="7573DA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tcBorders>
              <w:tl2br w:val="nil"/>
              <w:tr2bl w:val="nil"/>
            </w:tcBorders>
            <w:vAlign w:val="center"/>
          </w:tcPr>
          <w:p w14:paraId="6EF9A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w:t>
            </w:r>
          </w:p>
        </w:tc>
        <w:tc>
          <w:tcPr>
            <w:tcW w:w="305" w:type="pct"/>
            <w:vMerge w:val="continue"/>
            <w:tcBorders>
              <w:tl2br w:val="nil"/>
              <w:tr2bl w:val="nil"/>
            </w:tcBorders>
            <w:shd w:val="clear" w:color="auto" w:fill="auto"/>
            <w:vAlign w:val="center"/>
          </w:tcPr>
          <w:p w14:paraId="7B5024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440" w:type="pct"/>
            <w:tcBorders>
              <w:tl2br w:val="nil"/>
              <w:tr2bl w:val="nil"/>
            </w:tcBorders>
            <w:shd w:val="clear" w:color="auto" w:fill="auto"/>
            <w:vAlign w:val="center"/>
          </w:tcPr>
          <w:p w14:paraId="7D73F2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渣浆泵</w:t>
            </w:r>
          </w:p>
        </w:tc>
        <w:tc>
          <w:tcPr>
            <w:tcW w:w="345" w:type="pct"/>
            <w:tcBorders>
              <w:tl2br w:val="nil"/>
              <w:tr2bl w:val="nil"/>
            </w:tcBorders>
            <w:shd w:val="clear" w:color="auto" w:fill="auto"/>
            <w:vAlign w:val="center"/>
          </w:tcPr>
          <w:p w14:paraId="292BE6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85</w:t>
            </w:r>
          </w:p>
        </w:tc>
        <w:tc>
          <w:tcPr>
            <w:tcW w:w="901" w:type="pct"/>
            <w:tcBorders>
              <w:tl2br w:val="nil"/>
              <w:tr2bl w:val="nil"/>
            </w:tcBorders>
            <w:vAlign w:val="center"/>
          </w:tcPr>
          <w:p w14:paraId="6A2E3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基础减振</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消声</w:t>
            </w:r>
            <w:r>
              <w:rPr>
                <w:rFonts w:hint="eastAsia" w:ascii="Times New Roman" w:hAnsi="Times New Roman" w:eastAsia="宋体"/>
                <w:color w:val="000000" w:themeColor="text1"/>
                <w:sz w:val="21"/>
                <w:szCs w:val="21"/>
                <w:highlight w:val="none"/>
                <w:lang w:eastAsia="zh-CN"/>
                <w14:textFill>
                  <w14:solidFill>
                    <w14:schemeClr w14:val="tx1"/>
                  </w14:solidFill>
                </w14:textFill>
              </w:rPr>
              <w:t>、厂房隔声</w:t>
            </w:r>
          </w:p>
        </w:tc>
        <w:tc>
          <w:tcPr>
            <w:tcW w:w="226" w:type="pct"/>
            <w:tcBorders>
              <w:tl2br w:val="nil"/>
              <w:tr2bl w:val="nil"/>
            </w:tcBorders>
            <w:vAlign w:val="center"/>
          </w:tcPr>
          <w:p w14:paraId="41183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88</w:t>
            </w:r>
          </w:p>
        </w:tc>
        <w:tc>
          <w:tcPr>
            <w:tcW w:w="231" w:type="pct"/>
            <w:tcBorders>
              <w:tl2br w:val="nil"/>
              <w:tr2bl w:val="nil"/>
            </w:tcBorders>
            <w:vAlign w:val="center"/>
          </w:tcPr>
          <w:p w14:paraId="74A97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196</w:t>
            </w:r>
          </w:p>
        </w:tc>
        <w:tc>
          <w:tcPr>
            <w:tcW w:w="223" w:type="pct"/>
            <w:tcBorders>
              <w:tl2br w:val="nil"/>
              <w:tr2bl w:val="nil"/>
            </w:tcBorders>
            <w:vAlign w:val="center"/>
          </w:tcPr>
          <w:p w14:paraId="14A3F1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w:t>
            </w:r>
          </w:p>
        </w:tc>
        <w:tc>
          <w:tcPr>
            <w:tcW w:w="279" w:type="pct"/>
            <w:tcBorders>
              <w:tl2br w:val="nil"/>
              <w:tr2bl w:val="nil"/>
            </w:tcBorders>
            <w:vAlign w:val="center"/>
          </w:tcPr>
          <w:p w14:paraId="753F4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6</w:t>
            </w:r>
          </w:p>
        </w:tc>
        <w:tc>
          <w:tcPr>
            <w:tcW w:w="373" w:type="pct"/>
            <w:tcBorders>
              <w:tl2br w:val="nil"/>
              <w:tr2bl w:val="nil"/>
            </w:tcBorders>
            <w:vAlign w:val="center"/>
          </w:tcPr>
          <w:p w14:paraId="042FF5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71</w:t>
            </w:r>
          </w:p>
        </w:tc>
        <w:tc>
          <w:tcPr>
            <w:tcW w:w="327" w:type="pct"/>
            <w:tcBorders>
              <w:tl2br w:val="nil"/>
              <w:tr2bl w:val="nil"/>
            </w:tcBorders>
            <w:vAlign w:val="center"/>
          </w:tcPr>
          <w:p w14:paraId="5E63E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昼</w:t>
            </w: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夜</w:t>
            </w:r>
          </w:p>
        </w:tc>
        <w:tc>
          <w:tcPr>
            <w:tcW w:w="448" w:type="pct"/>
            <w:tcBorders>
              <w:tl2br w:val="nil"/>
              <w:tr2bl w:val="nil"/>
            </w:tcBorders>
            <w:vAlign w:val="center"/>
          </w:tcPr>
          <w:p w14:paraId="6EF8FF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20</w:t>
            </w:r>
          </w:p>
        </w:tc>
        <w:tc>
          <w:tcPr>
            <w:tcW w:w="377" w:type="pct"/>
            <w:tcBorders>
              <w:tl2br w:val="nil"/>
              <w:tr2bl w:val="nil"/>
            </w:tcBorders>
            <w:vAlign w:val="center"/>
          </w:tcPr>
          <w:p w14:paraId="014247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51</w:t>
            </w:r>
          </w:p>
        </w:tc>
        <w:tc>
          <w:tcPr>
            <w:tcW w:w="999" w:type="dxa"/>
            <w:tcBorders>
              <w:tl2br w:val="nil"/>
              <w:tr2bl w:val="nil"/>
            </w:tcBorders>
            <w:vAlign w:val="center"/>
          </w:tcPr>
          <w:p w14:paraId="48AF99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r w14:paraId="62512D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tcBorders>
              <w:tl2br w:val="nil"/>
              <w:tr2bl w:val="nil"/>
            </w:tcBorders>
            <w:vAlign w:val="center"/>
          </w:tcPr>
          <w:p w14:paraId="7FD651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c>
          <w:tcPr>
            <w:tcW w:w="305" w:type="pct"/>
            <w:vMerge w:val="continue"/>
            <w:tcBorders>
              <w:tl2br w:val="nil"/>
              <w:tr2bl w:val="nil"/>
            </w:tcBorders>
            <w:shd w:val="clear" w:color="auto" w:fill="auto"/>
            <w:vAlign w:val="center"/>
          </w:tcPr>
          <w:p w14:paraId="0871F1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440" w:type="pct"/>
            <w:tcBorders>
              <w:tl2br w:val="nil"/>
              <w:tr2bl w:val="nil"/>
            </w:tcBorders>
            <w:shd w:val="clear" w:color="auto" w:fill="auto"/>
            <w:vAlign w:val="center"/>
          </w:tcPr>
          <w:p w14:paraId="35601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过滤机</w:t>
            </w:r>
          </w:p>
        </w:tc>
        <w:tc>
          <w:tcPr>
            <w:tcW w:w="345" w:type="pct"/>
            <w:tcBorders>
              <w:tl2br w:val="nil"/>
              <w:tr2bl w:val="nil"/>
            </w:tcBorders>
            <w:shd w:val="clear" w:color="auto" w:fill="auto"/>
            <w:vAlign w:val="center"/>
          </w:tcPr>
          <w:p w14:paraId="0A006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80</w:t>
            </w:r>
          </w:p>
        </w:tc>
        <w:tc>
          <w:tcPr>
            <w:tcW w:w="901" w:type="pct"/>
            <w:tcBorders>
              <w:tl2br w:val="nil"/>
              <w:tr2bl w:val="nil"/>
            </w:tcBorders>
            <w:vAlign w:val="center"/>
          </w:tcPr>
          <w:p w14:paraId="044EB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基础减振</w:t>
            </w:r>
            <w:r>
              <w:rPr>
                <w:rFonts w:hint="eastAsia" w:ascii="Times New Roman" w:hAnsi="Times New Roman" w:eastAsia="宋体"/>
                <w:color w:val="000000" w:themeColor="text1"/>
                <w:sz w:val="21"/>
                <w:szCs w:val="21"/>
                <w:highlight w:val="none"/>
                <w:lang w:eastAsia="zh-CN"/>
                <w14:textFill>
                  <w14:solidFill>
                    <w14:schemeClr w14:val="tx1"/>
                  </w14:solidFill>
                </w14:textFill>
              </w:rPr>
              <w:t>、厂房隔声</w:t>
            </w:r>
          </w:p>
        </w:tc>
        <w:tc>
          <w:tcPr>
            <w:tcW w:w="226" w:type="pct"/>
            <w:tcBorders>
              <w:tl2br w:val="nil"/>
              <w:tr2bl w:val="nil"/>
            </w:tcBorders>
            <w:vAlign w:val="center"/>
          </w:tcPr>
          <w:p w14:paraId="3FF120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110</w:t>
            </w:r>
          </w:p>
        </w:tc>
        <w:tc>
          <w:tcPr>
            <w:tcW w:w="231" w:type="pct"/>
            <w:tcBorders>
              <w:tl2br w:val="nil"/>
              <w:tr2bl w:val="nil"/>
            </w:tcBorders>
            <w:vAlign w:val="center"/>
          </w:tcPr>
          <w:p w14:paraId="010801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199</w:t>
            </w:r>
          </w:p>
        </w:tc>
        <w:tc>
          <w:tcPr>
            <w:tcW w:w="223" w:type="pct"/>
            <w:tcBorders>
              <w:tl2br w:val="nil"/>
              <w:tr2bl w:val="nil"/>
            </w:tcBorders>
            <w:vAlign w:val="center"/>
          </w:tcPr>
          <w:p w14:paraId="09F53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w:t>
            </w:r>
          </w:p>
        </w:tc>
        <w:tc>
          <w:tcPr>
            <w:tcW w:w="279" w:type="pct"/>
            <w:tcBorders>
              <w:tl2br w:val="nil"/>
              <w:tr2bl w:val="nil"/>
            </w:tcBorders>
            <w:vAlign w:val="center"/>
          </w:tcPr>
          <w:p w14:paraId="5DC93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8</w:t>
            </w:r>
          </w:p>
        </w:tc>
        <w:tc>
          <w:tcPr>
            <w:tcW w:w="373" w:type="pct"/>
            <w:tcBorders>
              <w:tl2br w:val="nil"/>
              <w:tr2bl w:val="nil"/>
            </w:tcBorders>
            <w:vAlign w:val="center"/>
          </w:tcPr>
          <w:p w14:paraId="68910E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64</w:t>
            </w:r>
          </w:p>
        </w:tc>
        <w:tc>
          <w:tcPr>
            <w:tcW w:w="327" w:type="pct"/>
            <w:tcBorders>
              <w:tl2br w:val="nil"/>
              <w:tr2bl w:val="nil"/>
            </w:tcBorders>
            <w:vAlign w:val="center"/>
          </w:tcPr>
          <w:p w14:paraId="12330C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昼</w:t>
            </w: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夜</w:t>
            </w:r>
          </w:p>
        </w:tc>
        <w:tc>
          <w:tcPr>
            <w:tcW w:w="448" w:type="pct"/>
            <w:tcBorders>
              <w:tl2br w:val="nil"/>
              <w:tr2bl w:val="nil"/>
            </w:tcBorders>
            <w:vAlign w:val="center"/>
          </w:tcPr>
          <w:p w14:paraId="1D919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20</w:t>
            </w:r>
          </w:p>
        </w:tc>
        <w:tc>
          <w:tcPr>
            <w:tcW w:w="377" w:type="pct"/>
            <w:tcBorders>
              <w:tl2br w:val="nil"/>
              <w:tr2bl w:val="nil"/>
            </w:tcBorders>
            <w:vAlign w:val="center"/>
          </w:tcPr>
          <w:p w14:paraId="6412F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44</w:t>
            </w:r>
          </w:p>
        </w:tc>
        <w:tc>
          <w:tcPr>
            <w:tcW w:w="999" w:type="dxa"/>
            <w:tcBorders>
              <w:tl2br w:val="nil"/>
              <w:tr2bl w:val="nil"/>
            </w:tcBorders>
            <w:vAlign w:val="center"/>
          </w:tcPr>
          <w:p w14:paraId="0D03C2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r w14:paraId="10B982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tcBorders>
              <w:tl2br w:val="nil"/>
              <w:tr2bl w:val="nil"/>
            </w:tcBorders>
            <w:vAlign w:val="center"/>
          </w:tcPr>
          <w:p w14:paraId="7DB50B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11</w:t>
            </w:r>
          </w:p>
        </w:tc>
        <w:tc>
          <w:tcPr>
            <w:tcW w:w="305" w:type="pct"/>
            <w:vMerge w:val="continue"/>
            <w:tcBorders>
              <w:tl2br w:val="nil"/>
              <w:tr2bl w:val="nil"/>
            </w:tcBorders>
            <w:shd w:val="clear" w:color="auto" w:fill="auto"/>
            <w:vAlign w:val="center"/>
          </w:tcPr>
          <w:p w14:paraId="21BD7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440" w:type="pct"/>
            <w:tcBorders>
              <w:tl2br w:val="nil"/>
              <w:tr2bl w:val="nil"/>
            </w:tcBorders>
            <w:shd w:val="clear" w:color="auto" w:fill="auto"/>
            <w:vAlign w:val="center"/>
          </w:tcPr>
          <w:p w14:paraId="596B62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渣浆泵</w:t>
            </w:r>
          </w:p>
        </w:tc>
        <w:tc>
          <w:tcPr>
            <w:tcW w:w="345" w:type="pct"/>
            <w:tcBorders>
              <w:tl2br w:val="nil"/>
              <w:tr2bl w:val="nil"/>
            </w:tcBorders>
            <w:shd w:val="clear" w:color="auto" w:fill="auto"/>
            <w:vAlign w:val="center"/>
          </w:tcPr>
          <w:p w14:paraId="26A42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85</w:t>
            </w:r>
          </w:p>
        </w:tc>
        <w:tc>
          <w:tcPr>
            <w:tcW w:w="901" w:type="pct"/>
            <w:tcBorders>
              <w:tl2br w:val="nil"/>
              <w:tr2bl w:val="nil"/>
            </w:tcBorders>
            <w:shd w:val="clear" w:color="auto" w:fill="auto"/>
            <w:vAlign w:val="center"/>
          </w:tcPr>
          <w:p w14:paraId="7DF8F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基础减振</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消声</w:t>
            </w:r>
            <w:r>
              <w:rPr>
                <w:rFonts w:hint="eastAsia" w:ascii="Times New Roman" w:hAnsi="Times New Roman" w:eastAsia="宋体"/>
                <w:color w:val="000000" w:themeColor="text1"/>
                <w:sz w:val="21"/>
                <w:szCs w:val="21"/>
                <w:highlight w:val="none"/>
                <w:lang w:eastAsia="zh-CN"/>
                <w14:textFill>
                  <w14:solidFill>
                    <w14:schemeClr w14:val="tx1"/>
                  </w14:solidFill>
                </w14:textFill>
              </w:rPr>
              <w:t>、厂房隔声</w:t>
            </w:r>
          </w:p>
        </w:tc>
        <w:tc>
          <w:tcPr>
            <w:tcW w:w="226" w:type="pct"/>
            <w:tcBorders>
              <w:tl2br w:val="nil"/>
              <w:tr2bl w:val="nil"/>
            </w:tcBorders>
            <w:shd w:val="clear" w:color="auto" w:fill="auto"/>
            <w:vAlign w:val="center"/>
          </w:tcPr>
          <w:p w14:paraId="0626CA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136</w:t>
            </w:r>
          </w:p>
        </w:tc>
        <w:tc>
          <w:tcPr>
            <w:tcW w:w="231" w:type="pct"/>
            <w:tcBorders>
              <w:tl2br w:val="nil"/>
              <w:tr2bl w:val="nil"/>
            </w:tcBorders>
            <w:vAlign w:val="center"/>
          </w:tcPr>
          <w:p w14:paraId="173024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198</w:t>
            </w:r>
          </w:p>
        </w:tc>
        <w:tc>
          <w:tcPr>
            <w:tcW w:w="223" w:type="pct"/>
            <w:tcBorders>
              <w:tl2br w:val="nil"/>
              <w:tr2bl w:val="nil"/>
            </w:tcBorders>
            <w:vAlign w:val="center"/>
          </w:tcPr>
          <w:p w14:paraId="3F02F0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w:t>
            </w:r>
          </w:p>
        </w:tc>
        <w:tc>
          <w:tcPr>
            <w:tcW w:w="279" w:type="pct"/>
            <w:tcBorders>
              <w:tl2br w:val="nil"/>
              <w:tr2bl w:val="nil"/>
            </w:tcBorders>
            <w:vAlign w:val="center"/>
          </w:tcPr>
          <w:p w14:paraId="5FDCD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7</w:t>
            </w:r>
          </w:p>
        </w:tc>
        <w:tc>
          <w:tcPr>
            <w:tcW w:w="373" w:type="pct"/>
            <w:tcBorders>
              <w:tl2br w:val="nil"/>
              <w:tr2bl w:val="nil"/>
            </w:tcBorders>
            <w:vAlign w:val="center"/>
          </w:tcPr>
          <w:p w14:paraId="24F17C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70</w:t>
            </w:r>
          </w:p>
        </w:tc>
        <w:tc>
          <w:tcPr>
            <w:tcW w:w="327" w:type="pct"/>
            <w:tcBorders>
              <w:tl2br w:val="nil"/>
              <w:tr2bl w:val="nil"/>
            </w:tcBorders>
            <w:vAlign w:val="center"/>
          </w:tcPr>
          <w:p w14:paraId="4D3D8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昼</w:t>
            </w: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夜</w:t>
            </w:r>
          </w:p>
        </w:tc>
        <w:tc>
          <w:tcPr>
            <w:tcW w:w="448" w:type="pct"/>
            <w:tcBorders>
              <w:tl2br w:val="nil"/>
              <w:tr2bl w:val="nil"/>
            </w:tcBorders>
            <w:vAlign w:val="center"/>
          </w:tcPr>
          <w:p w14:paraId="16F38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20</w:t>
            </w:r>
          </w:p>
        </w:tc>
        <w:tc>
          <w:tcPr>
            <w:tcW w:w="377" w:type="pct"/>
            <w:tcBorders>
              <w:tl2br w:val="nil"/>
              <w:tr2bl w:val="nil"/>
            </w:tcBorders>
            <w:vAlign w:val="center"/>
          </w:tcPr>
          <w:p w14:paraId="08B69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50</w:t>
            </w:r>
          </w:p>
        </w:tc>
        <w:tc>
          <w:tcPr>
            <w:tcW w:w="999" w:type="dxa"/>
            <w:tcBorders>
              <w:tl2br w:val="nil"/>
              <w:tr2bl w:val="nil"/>
            </w:tcBorders>
            <w:vAlign w:val="center"/>
          </w:tcPr>
          <w:p w14:paraId="581A39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r w14:paraId="0765B1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3" w:type="pct"/>
            <w:tcBorders>
              <w:tl2br w:val="nil"/>
              <w:tr2bl w:val="nil"/>
            </w:tcBorders>
            <w:vAlign w:val="center"/>
          </w:tcPr>
          <w:p w14:paraId="581D59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12</w:t>
            </w:r>
          </w:p>
        </w:tc>
        <w:tc>
          <w:tcPr>
            <w:tcW w:w="305" w:type="pct"/>
            <w:vMerge w:val="continue"/>
            <w:tcBorders>
              <w:tl2br w:val="nil"/>
              <w:tr2bl w:val="nil"/>
            </w:tcBorders>
            <w:shd w:val="clear" w:color="auto" w:fill="auto"/>
            <w:vAlign w:val="center"/>
          </w:tcPr>
          <w:p w14:paraId="02B83E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p>
        </w:tc>
        <w:tc>
          <w:tcPr>
            <w:tcW w:w="440" w:type="pct"/>
            <w:tcBorders>
              <w:tl2br w:val="nil"/>
              <w:tr2bl w:val="nil"/>
            </w:tcBorders>
            <w:shd w:val="clear" w:color="auto" w:fill="auto"/>
            <w:vAlign w:val="center"/>
          </w:tcPr>
          <w:p w14:paraId="17E71A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脱水筛</w:t>
            </w:r>
          </w:p>
        </w:tc>
        <w:tc>
          <w:tcPr>
            <w:tcW w:w="345" w:type="pct"/>
            <w:tcBorders>
              <w:tl2br w:val="nil"/>
              <w:tr2bl w:val="nil"/>
            </w:tcBorders>
            <w:vAlign w:val="center"/>
          </w:tcPr>
          <w:p w14:paraId="62ADA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80</w:t>
            </w:r>
          </w:p>
        </w:tc>
        <w:tc>
          <w:tcPr>
            <w:tcW w:w="901" w:type="pct"/>
            <w:tcBorders>
              <w:tl2br w:val="nil"/>
              <w:tr2bl w:val="nil"/>
            </w:tcBorders>
            <w:vAlign w:val="center"/>
          </w:tcPr>
          <w:p w14:paraId="2EC9A1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基础减振</w:t>
            </w:r>
            <w:r>
              <w:rPr>
                <w:rFonts w:hint="eastAsia" w:ascii="Times New Roman" w:hAnsi="Times New Roman" w:eastAsia="宋体"/>
                <w:color w:val="000000" w:themeColor="text1"/>
                <w:sz w:val="21"/>
                <w:szCs w:val="21"/>
                <w:highlight w:val="none"/>
                <w:lang w:eastAsia="zh-CN"/>
                <w14:textFill>
                  <w14:solidFill>
                    <w14:schemeClr w14:val="tx1"/>
                  </w14:solidFill>
                </w14:textFill>
              </w:rPr>
              <w:t>、厂房隔声</w:t>
            </w:r>
          </w:p>
        </w:tc>
        <w:tc>
          <w:tcPr>
            <w:tcW w:w="226" w:type="pct"/>
            <w:tcBorders>
              <w:tl2br w:val="nil"/>
              <w:tr2bl w:val="nil"/>
            </w:tcBorders>
            <w:vAlign w:val="center"/>
          </w:tcPr>
          <w:p w14:paraId="05E7F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98</w:t>
            </w:r>
          </w:p>
        </w:tc>
        <w:tc>
          <w:tcPr>
            <w:tcW w:w="231" w:type="pct"/>
            <w:tcBorders>
              <w:tl2br w:val="nil"/>
              <w:tr2bl w:val="nil"/>
            </w:tcBorders>
            <w:vAlign w:val="center"/>
          </w:tcPr>
          <w:p w14:paraId="7BF63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201</w:t>
            </w:r>
          </w:p>
        </w:tc>
        <w:tc>
          <w:tcPr>
            <w:tcW w:w="223" w:type="pct"/>
            <w:tcBorders>
              <w:tl2br w:val="nil"/>
              <w:tr2bl w:val="nil"/>
            </w:tcBorders>
            <w:vAlign w:val="center"/>
          </w:tcPr>
          <w:p w14:paraId="0A7D9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w:t>
            </w:r>
          </w:p>
        </w:tc>
        <w:tc>
          <w:tcPr>
            <w:tcW w:w="279" w:type="pct"/>
            <w:tcBorders>
              <w:tl2br w:val="nil"/>
              <w:tr2bl w:val="nil"/>
            </w:tcBorders>
            <w:vAlign w:val="center"/>
          </w:tcPr>
          <w:p w14:paraId="42A3D4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6</w:t>
            </w:r>
          </w:p>
        </w:tc>
        <w:tc>
          <w:tcPr>
            <w:tcW w:w="373" w:type="pct"/>
            <w:tcBorders>
              <w:tl2br w:val="nil"/>
              <w:tr2bl w:val="nil"/>
            </w:tcBorders>
            <w:vAlign w:val="center"/>
          </w:tcPr>
          <w:p w14:paraId="068B9A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66</w:t>
            </w:r>
          </w:p>
        </w:tc>
        <w:tc>
          <w:tcPr>
            <w:tcW w:w="327" w:type="pct"/>
            <w:tcBorders>
              <w:tl2br w:val="nil"/>
              <w:tr2bl w:val="nil"/>
            </w:tcBorders>
            <w:vAlign w:val="center"/>
          </w:tcPr>
          <w:p w14:paraId="6BD4B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昼</w:t>
            </w: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夜</w:t>
            </w:r>
          </w:p>
        </w:tc>
        <w:tc>
          <w:tcPr>
            <w:tcW w:w="448" w:type="pct"/>
            <w:tcBorders>
              <w:tl2br w:val="nil"/>
              <w:tr2bl w:val="nil"/>
            </w:tcBorders>
            <w:vAlign w:val="center"/>
          </w:tcPr>
          <w:p w14:paraId="1431C4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20</w:t>
            </w:r>
          </w:p>
        </w:tc>
        <w:tc>
          <w:tcPr>
            <w:tcW w:w="377" w:type="pct"/>
            <w:tcBorders>
              <w:tl2br w:val="nil"/>
              <w:tr2bl w:val="nil"/>
            </w:tcBorders>
            <w:vAlign w:val="center"/>
          </w:tcPr>
          <w:p w14:paraId="50E502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46</w:t>
            </w:r>
          </w:p>
        </w:tc>
        <w:tc>
          <w:tcPr>
            <w:tcW w:w="999" w:type="dxa"/>
            <w:tcBorders>
              <w:tl2br w:val="nil"/>
              <w:tr2bl w:val="nil"/>
            </w:tcBorders>
            <w:vAlign w:val="center"/>
          </w:tcPr>
          <w:p w14:paraId="1A766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bl>
    <w:p w14:paraId="166EB48E">
      <w:pPr>
        <w:keepNext w:val="0"/>
        <w:keepLines w:val="0"/>
        <w:pageBreakBefore w:val="0"/>
        <w:widowControl w:val="0"/>
        <w:kinsoku/>
        <w:wordWrap/>
        <w:overflowPunct/>
        <w:topLinePunct w:val="0"/>
        <w:autoSpaceDE/>
        <w:autoSpaceDN/>
        <w:bidi w:val="0"/>
        <w:adjustRightInd/>
        <w:snapToGrid/>
        <w:spacing w:line="480" w:lineRule="exact"/>
        <w:ind w:left="0" w:leftChars="0" w:right="283" w:firstLine="0" w:firstLineChars="0"/>
        <w:jc w:val="center"/>
        <w:textAlignment w:val="auto"/>
        <w:rPr>
          <w:rFonts w:hint="default" w:ascii="Times New Roman" w:hAnsi="Times New Roman" w:eastAsia="宋体" w:cs="Times New Roman"/>
          <w:b/>
          <w:bCs/>
          <w:color w:val="000000" w:themeColor="text1"/>
          <w:spacing w:val="0"/>
          <w:w w:val="100"/>
          <w:position w:val="0"/>
          <w:sz w:val="24"/>
          <w:szCs w:val="24"/>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4"/>
          <w:szCs w:val="24"/>
          <w:highlight w:val="none"/>
          <w:lang w:val="zh-CN" w:eastAsia="zh-CN"/>
          <w14:textFill>
            <w14:solidFill>
              <w14:schemeClr w14:val="tx1"/>
            </w14:solidFill>
          </w14:textFill>
        </w:rPr>
        <w:t>表5.</w:t>
      </w:r>
      <w:r>
        <w:rPr>
          <w:rFonts w:hint="eastAsia" w:ascii="Times New Roman" w:hAnsi="Times New Roman" w:cs="Times New Roman"/>
          <w:b/>
          <w:bCs/>
          <w:color w:val="000000" w:themeColor="text1"/>
          <w:spacing w:val="0"/>
          <w:w w:val="100"/>
          <w:positio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w w:val="100"/>
          <w:position w:val="0"/>
          <w:sz w:val="24"/>
          <w:szCs w:val="24"/>
          <w:highlight w:val="none"/>
          <w:lang w:val="zh-CN" w:eastAsia="zh-CN"/>
          <w14:textFill>
            <w14:solidFill>
              <w14:schemeClr w14:val="tx1"/>
            </w14:solidFill>
          </w14:textFill>
        </w:rPr>
        <w:t>-</w:t>
      </w:r>
      <w:r>
        <w:rPr>
          <w:rFonts w:hint="eastAsia" w:cs="Times New Roman"/>
          <w:b/>
          <w:bCs/>
          <w:color w:val="000000" w:themeColor="text1"/>
          <w:spacing w:val="0"/>
          <w:w w:val="100"/>
          <w:position w:val="0"/>
          <w:sz w:val="24"/>
          <w:szCs w:val="24"/>
          <w:highlight w:val="none"/>
          <w:lang w:val="en-US" w:eastAsia="zh-CN"/>
          <w14:textFill>
            <w14:solidFill>
              <w14:schemeClr w14:val="tx1"/>
            </w14:solidFill>
          </w14:textFill>
        </w:rPr>
        <w:t>9</w:t>
      </w:r>
      <w:r>
        <w:rPr>
          <w:rFonts w:hint="eastAsia" w:ascii="Times New Roman" w:hAnsi="Times New Roman" w:cs="Times New Roman"/>
          <w:b/>
          <w:bCs/>
          <w:color w:val="000000" w:themeColor="text1"/>
          <w:spacing w:val="0"/>
          <w:w w:val="100"/>
          <w:positio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w w:val="100"/>
          <w:position w:val="0"/>
          <w:sz w:val="24"/>
          <w:szCs w:val="24"/>
          <w:highlight w:val="none"/>
          <w:lang w:val="zh-CN" w:eastAsia="zh-CN"/>
          <w14:textFill>
            <w14:solidFill>
              <w14:schemeClr w14:val="tx1"/>
            </w14:solidFill>
          </w14:textFill>
        </w:rPr>
        <w:t>噪声源设备及源强表</w:t>
      </w:r>
      <w:r>
        <w:rPr>
          <w:rFonts w:hint="eastAsia" w:cs="Times New Roman"/>
          <w:b/>
          <w:bCs/>
          <w:color w:val="000000" w:themeColor="text1"/>
          <w:spacing w:val="0"/>
          <w:w w:val="100"/>
          <w:position w:val="0"/>
          <w:sz w:val="24"/>
          <w:szCs w:val="24"/>
          <w:highlight w:val="none"/>
          <w:lang w:val="zh-CN" w:eastAsia="zh-CN"/>
          <w14:textFill>
            <w14:solidFill>
              <w14:schemeClr w14:val="tx1"/>
            </w14:solidFill>
          </w14:textFill>
        </w:rPr>
        <w:t>（</w:t>
      </w:r>
      <w:r>
        <w:rPr>
          <w:rFonts w:hint="eastAsia" w:cs="Times New Roman"/>
          <w:b/>
          <w:bCs/>
          <w:color w:val="000000" w:themeColor="text1"/>
          <w:spacing w:val="0"/>
          <w:w w:val="100"/>
          <w:position w:val="0"/>
          <w:sz w:val="24"/>
          <w:szCs w:val="24"/>
          <w:highlight w:val="none"/>
          <w:lang w:val="en-US" w:eastAsia="zh-CN"/>
          <w14:textFill>
            <w14:solidFill>
              <w14:schemeClr w14:val="tx1"/>
            </w14:solidFill>
          </w14:textFill>
        </w:rPr>
        <w:t>室外声源</w:t>
      </w:r>
      <w:r>
        <w:rPr>
          <w:rFonts w:hint="eastAsia" w:cs="Times New Roman"/>
          <w:b/>
          <w:bCs/>
          <w:color w:val="000000" w:themeColor="text1"/>
          <w:spacing w:val="0"/>
          <w:w w:val="100"/>
          <w:position w:val="0"/>
          <w:sz w:val="24"/>
          <w:szCs w:val="24"/>
          <w:highlight w:val="none"/>
          <w:lang w:val="zh-CN" w:eastAsia="zh-CN"/>
          <w14:textFill>
            <w14:solidFill>
              <w14:schemeClr w14:val="tx1"/>
            </w14:solidFill>
          </w14:textFill>
        </w:rPr>
        <w:t>）</w:t>
      </w:r>
    </w:p>
    <w:tbl>
      <w:tblPr>
        <w:tblStyle w:val="3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46"/>
        <w:gridCol w:w="1600"/>
        <w:gridCol w:w="3575"/>
        <w:gridCol w:w="1175"/>
        <w:gridCol w:w="1208"/>
        <w:gridCol w:w="1192"/>
        <w:gridCol w:w="1460"/>
        <w:gridCol w:w="1460"/>
        <w:gridCol w:w="1466"/>
      </w:tblGrid>
      <w:tr w14:paraId="18B664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303" w:type="pct"/>
            <w:vMerge w:val="restart"/>
            <w:tcBorders>
              <w:tl2br w:val="nil"/>
              <w:tr2bl w:val="nil"/>
            </w:tcBorders>
            <w:vAlign w:val="center"/>
          </w:tcPr>
          <w:p w14:paraId="72E7A4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572" w:type="pct"/>
            <w:vMerge w:val="restart"/>
            <w:tcBorders>
              <w:tl2br w:val="nil"/>
              <w:tr2bl w:val="nil"/>
            </w:tcBorders>
            <w:vAlign w:val="center"/>
          </w:tcPr>
          <w:p w14:paraId="4074D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声源</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1278" w:type="pct"/>
            <w:vMerge w:val="restart"/>
            <w:tcBorders>
              <w:tl2br w:val="nil"/>
              <w:tr2bl w:val="nil"/>
            </w:tcBorders>
            <w:vAlign w:val="center"/>
          </w:tcPr>
          <w:p w14:paraId="53F68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声源源强dB（A）</w:t>
            </w:r>
          </w:p>
        </w:tc>
        <w:tc>
          <w:tcPr>
            <w:tcW w:w="1278" w:type="pct"/>
            <w:gridSpan w:val="3"/>
            <w:tcBorders>
              <w:tl2br w:val="nil"/>
              <w:tr2bl w:val="nil"/>
            </w:tcBorders>
            <w:vAlign w:val="center"/>
          </w:tcPr>
          <w:p w14:paraId="194B00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空间相对位置</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/m</w:t>
            </w:r>
          </w:p>
        </w:tc>
        <w:tc>
          <w:tcPr>
            <w:tcW w:w="522" w:type="pct"/>
            <w:vMerge w:val="restart"/>
            <w:tcBorders>
              <w:tl2br w:val="nil"/>
              <w:tr2bl w:val="nil"/>
            </w:tcBorders>
            <w:vAlign w:val="center"/>
          </w:tcPr>
          <w:p w14:paraId="055813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距室内边界距离/m</w:t>
            </w:r>
          </w:p>
        </w:tc>
        <w:tc>
          <w:tcPr>
            <w:tcW w:w="522" w:type="pct"/>
            <w:vMerge w:val="restart"/>
            <w:tcBorders>
              <w:tl2br w:val="nil"/>
              <w:tr2bl w:val="nil"/>
            </w:tcBorders>
            <w:vAlign w:val="center"/>
          </w:tcPr>
          <w:p w14:paraId="36344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声源控制措施</w:t>
            </w:r>
          </w:p>
        </w:tc>
        <w:tc>
          <w:tcPr>
            <w:tcW w:w="524" w:type="pct"/>
            <w:vMerge w:val="restart"/>
            <w:tcBorders>
              <w:tl2br w:val="nil"/>
              <w:tr2bl w:val="nil"/>
            </w:tcBorders>
            <w:vAlign w:val="center"/>
          </w:tcPr>
          <w:p w14:paraId="74416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运行时段</w:t>
            </w:r>
          </w:p>
        </w:tc>
      </w:tr>
      <w:tr w14:paraId="23DB76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303" w:type="pct"/>
            <w:vMerge w:val="continue"/>
            <w:tcBorders>
              <w:tl2br w:val="nil"/>
              <w:tr2bl w:val="nil"/>
            </w:tcBorders>
            <w:vAlign w:val="center"/>
          </w:tcPr>
          <w:p w14:paraId="3E2D7A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572" w:type="pct"/>
            <w:vMerge w:val="continue"/>
            <w:tcBorders>
              <w:tl2br w:val="nil"/>
              <w:tr2bl w:val="nil"/>
            </w:tcBorders>
            <w:vAlign w:val="center"/>
          </w:tcPr>
          <w:p w14:paraId="3B04A6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278" w:type="pct"/>
            <w:vMerge w:val="continue"/>
            <w:tcBorders>
              <w:tl2br w:val="nil"/>
              <w:tr2bl w:val="nil"/>
            </w:tcBorders>
            <w:vAlign w:val="center"/>
          </w:tcPr>
          <w:p w14:paraId="36CCD3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420" w:type="pct"/>
            <w:tcBorders>
              <w:tl2br w:val="nil"/>
              <w:tr2bl w:val="nil"/>
            </w:tcBorders>
            <w:vAlign w:val="center"/>
          </w:tcPr>
          <w:p w14:paraId="564492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X</w:t>
            </w:r>
          </w:p>
        </w:tc>
        <w:tc>
          <w:tcPr>
            <w:tcW w:w="432" w:type="pct"/>
            <w:tcBorders>
              <w:tl2br w:val="nil"/>
              <w:tr2bl w:val="nil"/>
            </w:tcBorders>
            <w:vAlign w:val="center"/>
          </w:tcPr>
          <w:p w14:paraId="29653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Y</w:t>
            </w:r>
          </w:p>
        </w:tc>
        <w:tc>
          <w:tcPr>
            <w:tcW w:w="425" w:type="pct"/>
            <w:tcBorders>
              <w:tl2br w:val="nil"/>
              <w:tr2bl w:val="nil"/>
            </w:tcBorders>
            <w:vAlign w:val="center"/>
          </w:tcPr>
          <w:p w14:paraId="031A02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Z</w:t>
            </w:r>
          </w:p>
        </w:tc>
        <w:tc>
          <w:tcPr>
            <w:tcW w:w="522" w:type="pct"/>
            <w:vMerge w:val="continue"/>
            <w:tcBorders>
              <w:tl2br w:val="nil"/>
              <w:tr2bl w:val="nil"/>
            </w:tcBorders>
            <w:vAlign w:val="center"/>
          </w:tcPr>
          <w:p w14:paraId="09245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522" w:type="pct"/>
            <w:vMerge w:val="continue"/>
            <w:tcBorders>
              <w:tl2br w:val="nil"/>
              <w:tr2bl w:val="nil"/>
            </w:tcBorders>
            <w:vAlign w:val="center"/>
          </w:tcPr>
          <w:p w14:paraId="2729E5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524" w:type="pct"/>
            <w:vMerge w:val="continue"/>
            <w:tcBorders>
              <w:tl2br w:val="nil"/>
              <w:tr2bl w:val="nil"/>
            </w:tcBorders>
            <w:vAlign w:val="center"/>
          </w:tcPr>
          <w:p w14:paraId="6E0771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r>
      <w:tr w14:paraId="6878B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303" w:type="pct"/>
            <w:tcBorders>
              <w:tl2br w:val="nil"/>
              <w:tr2bl w:val="nil"/>
            </w:tcBorders>
            <w:vAlign w:val="center"/>
          </w:tcPr>
          <w:p w14:paraId="0FCE63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572" w:type="pct"/>
            <w:tcBorders>
              <w:tl2br w:val="nil"/>
              <w:tr2bl w:val="nil"/>
            </w:tcBorders>
            <w:shd w:val="clear" w:color="auto" w:fill="auto"/>
            <w:vAlign w:val="center"/>
          </w:tcPr>
          <w:p w14:paraId="5A167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浓密机</w:t>
            </w:r>
          </w:p>
        </w:tc>
        <w:tc>
          <w:tcPr>
            <w:tcW w:w="1278" w:type="pct"/>
            <w:tcBorders>
              <w:tl2br w:val="nil"/>
              <w:tr2bl w:val="nil"/>
            </w:tcBorders>
            <w:vAlign w:val="center"/>
          </w:tcPr>
          <w:p w14:paraId="637B2A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70</w:t>
            </w:r>
          </w:p>
        </w:tc>
        <w:tc>
          <w:tcPr>
            <w:tcW w:w="420" w:type="pct"/>
            <w:tcBorders>
              <w:tl2br w:val="nil"/>
              <w:tr2bl w:val="nil"/>
            </w:tcBorders>
            <w:vAlign w:val="center"/>
          </w:tcPr>
          <w:p w14:paraId="4EAC27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46</w:t>
            </w:r>
          </w:p>
        </w:tc>
        <w:tc>
          <w:tcPr>
            <w:tcW w:w="432" w:type="pct"/>
            <w:tcBorders>
              <w:tl2br w:val="nil"/>
              <w:tr2bl w:val="nil"/>
            </w:tcBorders>
            <w:vAlign w:val="center"/>
          </w:tcPr>
          <w:p w14:paraId="36D9F1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144</w:t>
            </w:r>
          </w:p>
        </w:tc>
        <w:tc>
          <w:tcPr>
            <w:tcW w:w="425" w:type="pct"/>
            <w:tcBorders>
              <w:tl2br w:val="nil"/>
              <w:tr2bl w:val="nil"/>
            </w:tcBorders>
            <w:vAlign w:val="center"/>
          </w:tcPr>
          <w:p w14:paraId="21D31A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1</w:t>
            </w:r>
          </w:p>
        </w:tc>
        <w:tc>
          <w:tcPr>
            <w:tcW w:w="522" w:type="pct"/>
            <w:tcBorders>
              <w:tl2br w:val="nil"/>
              <w:tr2bl w:val="nil"/>
            </w:tcBorders>
            <w:vAlign w:val="center"/>
          </w:tcPr>
          <w:p w14:paraId="206A3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45</w:t>
            </w:r>
          </w:p>
        </w:tc>
        <w:tc>
          <w:tcPr>
            <w:tcW w:w="522" w:type="pct"/>
            <w:tcBorders>
              <w:tl2br w:val="nil"/>
              <w:tr2bl w:val="nil"/>
            </w:tcBorders>
            <w:vAlign w:val="center"/>
          </w:tcPr>
          <w:p w14:paraId="5EE49E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基础减振</w:t>
            </w:r>
          </w:p>
        </w:tc>
        <w:tc>
          <w:tcPr>
            <w:tcW w:w="524" w:type="pct"/>
            <w:tcBorders>
              <w:tl2br w:val="nil"/>
              <w:tr2bl w:val="nil"/>
            </w:tcBorders>
            <w:vAlign w:val="center"/>
          </w:tcPr>
          <w:p w14:paraId="2581C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1"/>
                <w:highlight w:val="none"/>
                <w:lang w:val="en-US" w:eastAsia="zh-CN"/>
                <w14:textFill>
                  <w14:solidFill>
                    <w14:schemeClr w14:val="tx1"/>
                  </w14:solidFill>
                </w14:textFill>
              </w:rPr>
              <w:t>昼夜</w:t>
            </w:r>
          </w:p>
        </w:tc>
      </w:tr>
    </w:tbl>
    <w:p w14:paraId="21539B63">
      <w:pPr>
        <w:overflowPunct w:val="0"/>
        <w:topLinePunct/>
        <w:ind w:firstLine="480"/>
        <w:rPr>
          <w:color w:val="000000" w:themeColor="text1"/>
          <w:kern w:val="0"/>
          <w:highlight w:val="none"/>
          <w:lang w:val="zh-CN"/>
          <w14:textFill>
            <w14:solidFill>
              <w14:schemeClr w14:val="tx1"/>
            </w14:solidFill>
          </w14:textFill>
        </w:rPr>
      </w:pPr>
    </w:p>
    <w:p w14:paraId="2DCCAA23">
      <w:pPr>
        <w:overflowPunct w:val="0"/>
        <w:topLinePunct/>
        <w:ind w:firstLine="480"/>
        <w:rPr>
          <w:rFonts w:hint="eastAsia"/>
          <w:color w:val="000000" w:themeColor="text1"/>
          <w:kern w:val="0"/>
          <w:highlight w:val="none"/>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C52B4E9">
      <w:pPr>
        <w:overflowPunct w:val="0"/>
        <w:topLinePunct/>
        <w:ind w:firstLine="480"/>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highlight w:val="none"/>
          <w14:textFill>
            <w14:solidFill>
              <w14:schemeClr w14:val="tx1"/>
            </w14:solidFill>
          </w14:textFill>
        </w:rPr>
        <w:t>4、</w:t>
      </w:r>
      <w:r>
        <w:rPr>
          <w:color w:val="000000" w:themeColor="text1"/>
          <w:kern w:val="0"/>
          <w:highlight w:val="none"/>
          <w:lang w:val="zh-CN"/>
          <w14:textFill>
            <w14:solidFill>
              <w14:schemeClr w14:val="tx1"/>
            </w14:solidFill>
          </w14:textFill>
        </w:rPr>
        <w:t>预测</w:t>
      </w:r>
      <w:r>
        <w:rPr>
          <w:rFonts w:hint="eastAsia"/>
          <w:color w:val="000000" w:themeColor="text1"/>
          <w:kern w:val="0"/>
          <w:highlight w:val="none"/>
          <w:lang w:val="en-US" w:eastAsia="zh-CN"/>
          <w14:textFill>
            <w14:solidFill>
              <w14:schemeClr w14:val="tx1"/>
            </w14:solidFill>
          </w14:textFill>
        </w:rPr>
        <w:t>点位</w:t>
      </w:r>
    </w:p>
    <w:p w14:paraId="17D2EAB5">
      <w:pPr>
        <w:overflowPunct w:val="0"/>
        <w:topLinePunct/>
        <w:ind w:firstLine="480"/>
        <w:rPr>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本项目选矿厂200m范围内无噪声敏感点，本次声环境影响预测内容为选矿厂厂界环境噪声达标分析，在选矿厂厂界处设</w:t>
      </w:r>
      <w:r>
        <w:rPr>
          <w:rFonts w:hint="eastAsia"/>
          <w:color w:val="000000" w:themeColor="text1"/>
          <w:kern w:val="0"/>
          <w:highlight w:val="none"/>
          <w14:textFill>
            <w14:solidFill>
              <w14:schemeClr w14:val="tx1"/>
            </w14:solidFill>
          </w14:textFill>
        </w:rPr>
        <w:t>4</w:t>
      </w:r>
      <w:r>
        <w:rPr>
          <w:color w:val="000000" w:themeColor="text1"/>
          <w:kern w:val="0"/>
          <w:highlight w:val="none"/>
          <w:lang w:val="zh-CN"/>
          <w14:textFill>
            <w14:solidFill>
              <w14:schemeClr w14:val="tx1"/>
            </w14:solidFill>
          </w14:textFill>
        </w:rPr>
        <w:t>个</w:t>
      </w:r>
      <w:r>
        <w:rPr>
          <w:rFonts w:hint="eastAsia"/>
          <w:color w:val="000000" w:themeColor="text1"/>
          <w:kern w:val="0"/>
          <w:highlight w:val="none"/>
          <w:lang w:val="en-US" w:eastAsia="zh-CN"/>
          <w14:textFill>
            <w14:solidFill>
              <w14:schemeClr w14:val="tx1"/>
            </w14:solidFill>
          </w14:textFill>
        </w:rPr>
        <w:t>厂界</w:t>
      </w:r>
      <w:r>
        <w:rPr>
          <w:color w:val="000000" w:themeColor="text1"/>
          <w:kern w:val="0"/>
          <w:highlight w:val="none"/>
          <w:lang w:val="zh-CN"/>
          <w14:textFill>
            <w14:solidFill>
              <w14:schemeClr w14:val="tx1"/>
            </w14:solidFill>
          </w14:textFill>
        </w:rPr>
        <w:t>噪声预测点。</w:t>
      </w:r>
    </w:p>
    <w:p w14:paraId="4B186100">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5</w:t>
      </w:r>
      <w:r>
        <w:rPr>
          <w:rFonts w:hint="eastAsia"/>
          <w:color w:val="000000" w:themeColor="text1"/>
          <w:kern w:val="0"/>
          <w:highlight w:val="none"/>
          <w14:textFill>
            <w14:solidFill>
              <w14:schemeClr w14:val="tx1"/>
            </w14:solidFill>
          </w14:textFill>
        </w:rPr>
        <w:t>、</w:t>
      </w:r>
      <w:r>
        <w:rPr>
          <w:color w:val="000000" w:themeColor="text1"/>
          <w:kern w:val="0"/>
          <w:highlight w:val="none"/>
          <w:lang w:val="zh-CN"/>
          <w14:textFill>
            <w14:solidFill>
              <w14:schemeClr w14:val="tx1"/>
            </w14:solidFill>
          </w14:textFill>
        </w:rPr>
        <w:t>预测结果</w:t>
      </w:r>
    </w:p>
    <w:p w14:paraId="50809C80">
      <w:pPr>
        <w:overflowPunct w:val="0"/>
        <w:topLinePunct/>
        <w:ind w:firstLine="480"/>
        <w:rPr>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根据上述预测模式和参数，计算四场界的噪声</w:t>
      </w:r>
      <w:r>
        <w:rPr>
          <w:rFonts w:hint="eastAsia"/>
          <w:color w:val="000000" w:themeColor="text1"/>
          <w:kern w:val="0"/>
          <w:highlight w:val="none"/>
          <w14:textFill>
            <w14:solidFill>
              <w14:schemeClr w14:val="tx1"/>
            </w14:solidFill>
          </w14:textFill>
        </w:rPr>
        <w:t>叠加值</w:t>
      </w:r>
      <w:r>
        <w:rPr>
          <w:color w:val="000000" w:themeColor="text1"/>
          <w:kern w:val="0"/>
          <w:highlight w:val="none"/>
          <w:lang w:val="zh-CN"/>
          <w14:textFill>
            <w14:solidFill>
              <w14:schemeClr w14:val="tx1"/>
            </w14:solidFill>
          </w14:textFill>
        </w:rPr>
        <w:t>，噪声预测结果见表</w:t>
      </w:r>
      <w:r>
        <w:rPr>
          <w:color w:val="000000" w:themeColor="text1"/>
          <w:kern w:val="0"/>
          <w:highlight w:val="none"/>
          <w14:textFill>
            <w14:solidFill>
              <w14:schemeClr w14:val="tx1"/>
            </w14:solidFill>
          </w14:textFill>
        </w:rPr>
        <w:t>5.2-</w:t>
      </w:r>
      <w:r>
        <w:rPr>
          <w:rFonts w:hint="eastAsia"/>
          <w:color w:val="000000" w:themeColor="text1"/>
          <w:kern w:val="0"/>
          <w:highlight w:val="none"/>
          <w:lang w:val="en-US" w:eastAsia="zh-CN"/>
          <w14:textFill>
            <w14:solidFill>
              <w14:schemeClr w14:val="tx1"/>
            </w14:solidFill>
          </w14:textFill>
        </w:rPr>
        <w:t>10</w:t>
      </w:r>
      <w:r>
        <w:rPr>
          <w:color w:val="000000" w:themeColor="text1"/>
          <w:kern w:val="0"/>
          <w:highlight w:val="none"/>
          <w:lang w:val="zh-CN"/>
          <w14:textFill>
            <w14:solidFill>
              <w14:schemeClr w14:val="tx1"/>
            </w14:solidFill>
          </w14:textFill>
        </w:rPr>
        <w:t>。</w:t>
      </w:r>
    </w:p>
    <w:p w14:paraId="09EB81F2">
      <w:pPr>
        <w:pStyle w:val="70"/>
        <w:widowControl/>
        <w:tabs>
          <w:tab w:val="left" w:pos="360"/>
          <w:tab w:val="left" w:pos="1620"/>
          <w:tab w:val="clear" w:pos="1119"/>
        </w:tabs>
        <w:overflowPunct w:val="0"/>
        <w:snapToGrid w:val="0"/>
        <w:ind w:left="0" w:leftChars="0" w:firstLine="0" w:firstLineChars="0"/>
        <w:jc w:val="center"/>
        <w:rPr>
          <w:rFonts w:hint="eastAsia"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zh-CN" w:eastAsia="zh-CN"/>
          <w14:textFill>
            <w14:solidFill>
              <w14:schemeClr w14:val="tx1"/>
            </w14:solidFill>
          </w14:textFill>
        </w:rPr>
        <w:t>表</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 xml:space="preserve">5.2-10   </w:t>
      </w:r>
      <w:r>
        <w:rPr>
          <w:rFonts w:hint="eastAsia" w:ascii="Times New Roman" w:hAnsi="Times New Roman" w:cs="Times New Roman"/>
          <w:b/>
          <w:bCs/>
          <w:color w:val="000000" w:themeColor="text1"/>
          <w:sz w:val="24"/>
          <w:highlight w:val="none"/>
          <w:lang w:val="zh-CN" w:eastAsia="zh-CN"/>
          <w14:textFill>
            <w14:solidFill>
              <w14:schemeClr w14:val="tx1"/>
            </w14:solidFill>
          </w14:textFill>
        </w:rPr>
        <w:t xml:space="preserve"> 项目噪声预测结果</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 xml:space="preserve">   单位：dB(A)</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331"/>
        <w:gridCol w:w="1621"/>
        <w:gridCol w:w="1928"/>
        <w:gridCol w:w="1118"/>
        <w:gridCol w:w="1626"/>
      </w:tblGrid>
      <w:tr w14:paraId="3E5B6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blHeader/>
          <w:jc w:val="center"/>
        </w:trPr>
        <w:tc>
          <w:tcPr>
            <w:tcW w:w="2257" w:type="pct"/>
            <w:gridSpan w:val="3"/>
            <w:tcBorders>
              <w:tl2br w:val="nil"/>
              <w:tr2bl w:val="nil"/>
            </w:tcBorders>
            <w:vAlign w:val="center"/>
          </w:tcPr>
          <w:p w14:paraId="5461AE5C">
            <w:pPr>
              <w:pStyle w:val="31"/>
              <w:spacing w:after="0" w:line="360" w:lineRule="exact"/>
              <w:ind w:left="0" w:leftChars="0" w:firstLine="0" w:firstLineChars="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预测点位</w:t>
            </w:r>
          </w:p>
        </w:tc>
        <w:tc>
          <w:tcPr>
            <w:tcW w:w="1131" w:type="pct"/>
            <w:tcBorders>
              <w:tl2br w:val="nil"/>
              <w:tr2bl w:val="nil"/>
            </w:tcBorders>
            <w:vAlign w:val="center"/>
          </w:tcPr>
          <w:p w14:paraId="10E4C08F">
            <w:pPr>
              <w:pStyle w:val="31"/>
              <w:spacing w:after="0" w:line="360" w:lineRule="exact"/>
              <w:ind w:left="0" w:leftChars="0" w:firstLine="0" w:firstLineChars="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贡献值</w:t>
            </w:r>
          </w:p>
        </w:tc>
        <w:tc>
          <w:tcPr>
            <w:tcW w:w="656" w:type="pct"/>
            <w:tcBorders>
              <w:tl2br w:val="nil"/>
              <w:tr2bl w:val="nil"/>
            </w:tcBorders>
            <w:vAlign w:val="center"/>
          </w:tcPr>
          <w:p w14:paraId="65932E2E">
            <w:pPr>
              <w:pStyle w:val="31"/>
              <w:spacing w:after="0" w:line="360" w:lineRule="exact"/>
              <w:ind w:left="0" w:leftChars="0" w:firstLine="0" w:firstLineChars="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标准值</w:t>
            </w:r>
          </w:p>
        </w:tc>
        <w:tc>
          <w:tcPr>
            <w:tcW w:w="954" w:type="pct"/>
            <w:tcBorders>
              <w:tl2br w:val="nil"/>
              <w:tr2bl w:val="nil"/>
            </w:tcBorders>
            <w:vAlign w:val="center"/>
          </w:tcPr>
          <w:p w14:paraId="4FB8B1B4">
            <w:pPr>
              <w:pStyle w:val="31"/>
              <w:spacing w:after="0" w:line="360" w:lineRule="exact"/>
              <w:ind w:left="0" w:leftChars="0" w:firstLine="0" w:firstLineChars="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达标情况</w:t>
            </w:r>
          </w:p>
        </w:tc>
      </w:tr>
      <w:tr w14:paraId="62F33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25" w:type="pct"/>
            <w:vMerge w:val="restart"/>
            <w:tcBorders>
              <w:tl2br w:val="nil"/>
              <w:tr2bl w:val="nil"/>
            </w:tcBorders>
            <w:vAlign w:val="center"/>
          </w:tcPr>
          <w:p w14:paraId="5AF69385">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r>
              <w:rPr>
                <w:color w:val="000000" w:themeColor="text1"/>
                <w:kern w:val="0"/>
                <w:szCs w:val="21"/>
                <w:highlight w:val="none"/>
                <w:lang w:val="zh-CN"/>
                <w14:textFill>
                  <w14:solidFill>
                    <w14:schemeClr w14:val="tx1"/>
                  </w14:solidFill>
                </w14:textFill>
              </w:rPr>
              <w:t>选矿厂</w:t>
            </w:r>
          </w:p>
        </w:tc>
        <w:tc>
          <w:tcPr>
            <w:tcW w:w="781" w:type="pct"/>
            <w:vMerge w:val="restart"/>
            <w:tcBorders>
              <w:tl2br w:val="nil"/>
              <w:tr2bl w:val="nil"/>
            </w:tcBorders>
            <w:vAlign w:val="center"/>
          </w:tcPr>
          <w:p w14:paraId="7C045166">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北</w:t>
            </w:r>
            <w:r>
              <w:rPr>
                <w:color w:val="000000" w:themeColor="text1"/>
                <w:szCs w:val="21"/>
                <w:highlight w:val="none"/>
                <w14:textFill>
                  <w14:solidFill>
                    <w14:schemeClr w14:val="tx1"/>
                  </w14:solidFill>
                </w14:textFill>
              </w:rPr>
              <w:t>厂界</w:t>
            </w:r>
          </w:p>
        </w:tc>
        <w:tc>
          <w:tcPr>
            <w:tcW w:w="951" w:type="pct"/>
            <w:tcBorders>
              <w:tl2br w:val="nil"/>
              <w:tr2bl w:val="nil"/>
            </w:tcBorders>
            <w:vAlign w:val="center"/>
          </w:tcPr>
          <w:p w14:paraId="24A17B29">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w:t>
            </w:r>
          </w:p>
        </w:tc>
        <w:tc>
          <w:tcPr>
            <w:tcW w:w="1131" w:type="pct"/>
            <w:tcBorders>
              <w:tl2br w:val="nil"/>
              <w:tr2bl w:val="nil"/>
            </w:tcBorders>
            <w:vAlign w:val="center"/>
          </w:tcPr>
          <w:p w14:paraId="21C79230">
            <w:pPr>
              <w:pStyle w:val="31"/>
              <w:spacing w:after="0" w:line="360" w:lineRule="exact"/>
              <w:ind w:left="0" w:leftChars="0"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43.5</w:t>
            </w:r>
          </w:p>
        </w:tc>
        <w:tc>
          <w:tcPr>
            <w:tcW w:w="656" w:type="pct"/>
            <w:tcBorders>
              <w:tl2br w:val="nil"/>
              <w:tr2bl w:val="nil"/>
            </w:tcBorders>
            <w:vAlign w:val="center"/>
          </w:tcPr>
          <w:p w14:paraId="170E87F3">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w:t>
            </w:r>
            <w:r>
              <w:rPr>
                <w:color w:val="000000" w:themeColor="text1"/>
                <w:szCs w:val="21"/>
                <w:highlight w:val="none"/>
                <w14:textFill>
                  <w14:solidFill>
                    <w14:schemeClr w14:val="tx1"/>
                  </w14:solidFill>
                </w14:textFill>
              </w:rPr>
              <w:t>0</w:t>
            </w:r>
          </w:p>
        </w:tc>
        <w:tc>
          <w:tcPr>
            <w:tcW w:w="954" w:type="pct"/>
            <w:tcBorders>
              <w:tl2br w:val="nil"/>
              <w:tr2bl w:val="nil"/>
            </w:tcBorders>
            <w:vAlign w:val="center"/>
          </w:tcPr>
          <w:p w14:paraId="1C3F6F90">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14:paraId="4E3EB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25" w:type="pct"/>
            <w:vMerge w:val="continue"/>
            <w:tcBorders>
              <w:tl2br w:val="nil"/>
              <w:tr2bl w:val="nil"/>
            </w:tcBorders>
            <w:vAlign w:val="center"/>
          </w:tcPr>
          <w:p w14:paraId="10221FC7">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p>
        </w:tc>
        <w:tc>
          <w:tcPr>
            <w:tcW w:w="781" w:type="pct"/>
            <w:vMerge w:val="continue"/>
            <w:tcBorders>
              <w:tl2br w:val="nil"/>
              <w:tr2bl w:val="nil"/>
            </w:tcBorders>
            <w:vAlign w:val="center"/>
          </w:tcPr>
          <w:p w14:paraId="01178DF9">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p>
        </w:tc>
        <w:tc>
          <w:tcPr>
            <w:tcW w:w="951" w:type="pct"/>
            <w:tcBorders>
              <w:tl2br w:val="nil"/>
              <w:tr2bl w:val="nil"/>
            </w:tcBorders>
            <w:vAlign w:val="center"/>
          </w:tcPr>
          <w:p w14:paraId="32DA1236">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w:t>
            </w:r>
          </w:p>
        </w:tc>
        <w:tc>
          <w:tcPr>
            <w:tcW w:w="1131" w:type="pct"/>
            <w:tcBorders>
              <w:tl2br w:val="nil"/>
              <w:tr2bl w:val="nil"/>
            </w:tcBorders>
            <w:vAlign w:val="center"/>
          </w:tcPr>
          <w:p w14:paraId="4E765F62">
            <w:pPr>
              <w:pStyle w:val="31"/>
              <w:spacing w:after="0" w:line="360" w:lineRule="exact"/>
              <w:ind w:left="0" w:leftChars="0"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43.5</w:t>
            </w:r>
          </w:p>
        </w:tc>
        <w:tc>
          <w:tcPr>
            <w:tcW w:w="656" w:type="pct"/>
            <w:tcBorders>
              <w:tl2br w:val="nil"/>
              <w:tr2bl w:val="nil"/>
            </w:tcBorders>
            <w:vAlign w:val="center"/>
          </w:tcPr>
          <w:p w14:paraId="24581191">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50</w:t>
            </w:r>
          </w:p>
        </w:tc>
        <w:tc>
          <w:tcPr>
            <w:tcW w:w="954" w:type="pct"/>
            <w:tcBorders>
              <w:tl2br w:val="nil"/>
              <w:tr2bl w:val="nil"/>
            </w:tcBorders>
            <w:vAlign w:val="center"/>
          </w:tcPr>
          <w:p w14:paraId="50E9F5B0">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14:paraId="66339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1" w:hRule="atLeast"/>
          <w:jc w:val="center"/>
        </w:trPr>
        <w:tc>
          <w:tcPr>
            <w:tcW w:w="525" w:type="pct"/>
            <w:vMerge w:val="continue"/>
            <w:tcBorders>
              <w:tl2br w:val="nil"/>
              <w:tr2bl w:val="nil"/>
            </w:tcBorders>
            <w:vAlign w:val="center"/>
          </w:tcPr>
          <w:p w14:paraId="083D7ABC">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p>
        </w:tc>
        <w:tc>
          <w:tcPr>
            <w:tcW w:w="781" w:type="pct"/>
            <w:vMerge w:val="restart"/>
            <w:tcBorders>
              <w:tl2br w:val="nil"/>
              <w:tr2bl w:val="nil"/>
            </w:tcBorders>
            <w:vAlign w:val="center"/>
          </w:tcPr>
          <w:p w14:paraId="46713214">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东</w:t>
            </w:r>
            <w:r>
              <w:rPr>
                <w:color w:val="000000" w:themeColor="text1"/>
                <w:szCs w:val="21"/>
                <w:highlight w:val="none"/>
                <w14:textFill>
                  <w14:solidFill>
                    <w14:schemeClr w14:val="tx1"/>
                  </w14:solidFill>
                </w14:textFill>
              </w:rPr>
              <w:t>厂界</w:t>
            </w:r>
          </w:p>
        </w:tc>
        <w:tc>
          <w:tcPr>
            <w:tcW w:w="951" w:type="pct"/>
            <w:tcBorders>
              <w:tl2br w:val="nil"/>
              <w:tr2bl w:val="nil"/>
            </w:tcBorders>
            <w:vAlign w:val="center"/>
          </w:tcPr>
          <w:p w14:paraId="665C38C4">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w:t>
            </w:r>
          </w:p>
        </w:tc>
        <w:tc>
          <w:tcPr>
            <w:tcW w:w="1131" w:type="pct"/>
            <w:tcBorders>
              <w:tl2br w:val="nil"/>
              <w:tr2bl w:val="nil"/>
            </w:tcBorders>
            <w:vAlign w:val="center"/>
          </w:tcPr>
          <w:p w14:paraId="131003FB">
            <w:pPr>
              <w:pStyle w:val="31"/>
              <w:spacing w:after="0" w:line="360" w:lineRule="exact"/>
              <w:ind w:left="0" w:leftChars="0"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40.2</w:t>
            </w:r>
          </w:p>
        </w:tc>
        <w:tc>
          <w:tcPr>
            <w:tcW w:w="656" w:type="pct"/>
            <w:tcBorders>
              <w:tl2br w:val="nil"/>
              <w:tr2bl w:val="nil"/>
            </w:tcBorders>
            <w:vAlign w:val="center"/>
          </w:tcPr>
          <w:p w14:paraId="63D87B95">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w:t>
            </w:r>
            <w:r>
              <w:rPr>
                <w:color w:val="000000" w:themeColor="text1"/>
                <w:szCs w:val="21"/>
                <w:highlight w:val="none"/>
                <w14:textFill>
                  <w14:solidFill>
                    <w14:schemeClr w14:val="tx1"/>
                  </w14:solidFill>
                </w14:textFill>
              </w:rPr>
              <w:t>0</w:t>
            </w:r>
          </w:p>
        </w:tc>
        <w:tc>
          <w:tcPr>
            <w:tcW w:w="954" w:type="pct"/>
            <w:tcBorders>
              <w:tl2br w:val="nil"/>
              <w:tr2bl w:val="nil"/>
            </w:tcBorders>
            <w:vAlign w:val="center"/>
          </w:tcPr>
          <w:p w14:paraId="7D064C84">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14:paraId="48053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25" w:type="pct"/>
            <w:vMerge w:val="continue"/>
            <w:tcBorders>
              <w:tl2br w:val="nil"/>
              <w:tr2bl w:val="nil"/>
            </w:tcBorders>
            <w:vAlign w:val="center"/>
          </w:tcPr>
          <w:p w14:paraId="6F4AAD73">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p>
        </w:tc>
        <w:tc>
          <w:tcPr>
            <w:tcW w:w="781" w:type="pct"/>
            <w:vMerge w:val="continue"/>
            <w:tcBorders>
              <w:tl2br w:val="nil"/>
              <w:tr2bl w:val="nil"/>
            </w:tcBorders>
            <w:vAlign w:val="center"/>
          </w:tcPr>
          <w:p w14:paraId="12B5BBCB">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p>
        </w:tc>
        <w:tc>
          <w:tcPr>
            <w:tcW w:w="951" w:type="pct"/>
            <w:tcBorders>
              <w:tl2br w:val="nil"/>
              <w:tr2bl w:val="nil"/>
            </w:tcBorders>
            <w:vAlign w:val="center"/>
          </w:tcPr>
          <w:p w14:paraId="56C10734">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w:t>
            </w:r>
          </w:p>
        </w:tc>
        <w:tc>
          <w:tcPr>
            <w:tcW w:w="1131" w:type="pct"/>
            <w:tcBorders>
              <w:tl2br w:val="nil"/>
              <w:tr2bl w:val="nil"/>
            </w:tcBorders>
            <w:vAlign w:val="center"/>
          </w:tcPr>
          <w:p w14:paraId="29430C2D">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40.2</w:t>
            </w:r>
          </w:p>
        </w:tc>
        <w:tc>
          <w:tcPr>
            <w:tcW w:w="656" w:type="pct"/>
            <w:tcBorders>
              <w:tl2br w:val="nil"/>
              <w:tr2bl w:val="nil"/>
            </w:tcBorders>
            <w:vAlign w:val="center"/>
          </w:tcPr>
          <w:p w14:paraId="35888962">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50</w:t>
            </w:r>
          </w:p>
        </w:tc>
        <w:tc>
          <w:tcPr>
            <w:tcW w:w="954" w:type="pct"/>
            <w:tcBorders>
              <w:tl2br w:val="nil"/>
              <w:tr2bl w:val="nil"/>
            </w:tcBorders>
            <w:vAlign w:val="center"/>
          </w:tcPr>
          <w:p w14:paraId="352A2D4E">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14:paraId="70013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25" w:type="pct"/>
            <w:vMerge w:val="continue"/>
            <w:tcBorders>
              <w:tl2br w:val="nil"/>
              <w:tr2bl w:val="nil"/>
            </w:tcBorders>
            <w:vAlign w:val="center"/>
          </w:tcPr>
          <w:p w14:paraId="04C784F3">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p>
        </w:tc>
        <w:tc>
          <w:tcPr>
            <w:tcW w:w="781" w:type="pct"/>
            <w:vMerge w:val="restart"/>
            <w:tcBorders>
              <w:tl2br w:val="nil"/>
              <w:tr2bl w:val="nil"/>
            </w:tcBorders>
            <w:vAlign w:val="center"/>
          </w:tcPr>
          <w:p w14:paraId="23B910B2">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南</w:t>
            </w:r>
            <w:r>
              <w:rPr>
                <w:color w:val="000000" w:themeColor="text1"/>
                <w:szCs w:val="21"/>
                <w:highlight w:val="none"/>
                <w14:textFill>
                  <w14:solidFill>
                    <w14:schemeClr w14:val="tx1"/>
                  </w14:solidFill>
                </w14:textFill>
              </w:rPr>
              <w:t>厂界</w:t>
            </w:r>
          </w:p>
        </w:tc>
        <w:tc>
          <w:tcPr>
            <w:tcW w:w="951" w:type="pct"/>
            <w:tcBorders>
              <w:tl2br w:val="nil"/>
              <w:tr2bl w:val="nil"/>
            </w:tcBorders>
            <w:vAlign w:val="center"/>
          </w:tcPr>
          <w:p w14:paraId="2AEFAE34">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w:t>
            </w:r>
          </w:p>
        </w:tc>
        <w:tc>
          <w:tcPr>
            <w:tcW w:w="1131" w:type="pct"/>
            <w:tcBorders>
              <w:tl2br w:val="nil"/>
              <w:tr2bl w:val="nil"/>
            </w:tcBorders>
            <w:vAlign w:val="center"/>
          </w:tcPr>
          <w:p w14:paraId="65BD27AC">
            <w:pPr>
              <w:pStyle w:val="31"/>
              <w:spacing w:after="0" w:line="360" w:lineRule="exact"/>
              <w:ind w:left="0" w:leftChars="0"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38.1</w:t>
            </w:r>
          </w:p>
        </w:tc>
        <w:tc>
          <w:tcPr>
            <w:tcW w:w="656" w:type="pct"/>
            <w:tcBorders>
              <w:tl2br w:val="nil"/>
              <w:tr2bl w:val="nil"/>
            </w:tcBorders>
            <w:vAlign w:val="center"/>
          </w:tcPr>
          <w:p w14:paraId="7A53D416">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w:t>
            </w:r>
            <w:r>
              <w:rPr>
                <w:color w:val="000000" w:themeColor="text1"/>
                <w:szCs w:val="21"/>
                <w:highlight w:val="none"/>
                <w14:textFill>
                  <w14:solidFill>
                    <w14:schemeClr w14:val="tx1"/>
                  </w14:solidFill>
                </w14:textFill>
              </w:rPr>
              <w:t>0</w:t>
            </w:r>
          </w:p>
        </w:tc>
        <w:tc>
          <w:tcPr>
            <w:tcW w:w="954" w:type="pct"/>
            <w:tcBorders>
              <w:tl2br w:val="nil"/>
              <w:tr2bl w:val="nil"/>
            </w:tcBorders>
            <w:vAlign w:val="center"/>
          </w:tcPr>
          <w:p w14:paraId="249D58FC">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14:paraId="70B51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25" w:type="pct"/>
            <w:vMerge w:val="continue"/>
            <w:tcBorders>
              <w:tl2br w:val="nil"/>
              <w:tr2bl w:val="nil"/>
            </w:tcBorders>
            <w:vAlign w:val="center"/>
          </w:tcPr>
          <w:p w14:paraId="13E08EC7">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p>
        </w:tc>
        <w:tc>
          <w:tcPr>
            <w:tcW w:w="781" w:type="pct"/>
            <w:vMerge w:val="continue"/>
            <w:tcBorders>
              <w:tl2br w:val="nil"/>
              <w:tr2bl w:val="nil"/>
            </w:tcBorders>
            <w:vAlign w:val="center"/>
          </w:tcPr>
          <w:p w14:paraId="70060A65">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p>
        </w:tc>
        <w:tc>
          <w:tcPr>
            <w:tcW w:w="951" w:type="pct"/>
            <w:tcBorders>
              <w:tl2br w:val="nil"/>
              <w:tr2bl w:val="nil"/>
            </w:tcBorders>
            <w:vAlign w:val="center"/>
          </w:tcPr>
          <w:p w14:paraId="3F187E5F">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w:t>
            </w:r>
          </w:p>
        </w:tc>
        <w:tc>
          <w:tcPr>
            <w:tcW w:w="1131" w:type="pct"/>
            <w:tcBorders>
              <w:tl2br w:val="nil"/>
              <w:tr2bl w:val="nil"/>
            </w:tcBorders>
            <w:vAlign w:val="center"/>
          </w:tcPr>
          <w:p w14:paraId="04E526DA">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38.1</w:t>
            </w:r>
          </w:p>
        </w:tc>
        <w:tc>
          <w:tcPr>
            <w:tcW w:w="656" w:type="pct"/>
            <w:tcBorders>
              <w:tl2br w:val="nil"/>
              <w:tr2bl w:val="nil"/>
            </w:tcBorders>
            <w:vAlign w:val="center"/>
          </w:tcPr>
          <w:p w14:paraId="17EA9B7A">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50</w:t>
            </w:r>
          </w:p>
        </w:tc>
        <w:tc>
          <w:tcPr>
            <w:tcW w:w="954" w:type="pct"/>
            <w:tcBorders>
              <w:tl2br w:val="nil"/>
              <w:tr2bl w:val="nil"/>
            </w:tcBorders>
            <w:vAlign w:val="center"/>
          </w:tcPr>
          <w:p w14:paraId="1F61DFEA">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14:paraId="7C44D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25" w:type="pct"/>
            <w:vMerge w:val="continue"/>
            <w:tcBorders>
              <w:tl2br w:val="nil"/>
              <w:tr2bl w:val="nil"/>
            </w:tcBorders>
            <w:vAlign w:val="center"/>
          </w:tcPr>
          <w:p w14:paraId="43986439">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p>
        </w:tc>
        <w:tc>
          <w:tcPr>
            <w:tcW w:w="781" w:type="pct"/>
            <w:vMerge w:val="restart"/>
            <w:tcBorders>
              <w:tl2br w:val="nil"/>
              <w:tr2bl w:val="nil"/>
            </w:tcBorders>
            <w:vAlign w:val="center"/>
          </w:tcPr>
          <w:p w14:paraId="31126070">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西</w:t>
            </w:r>
            <w:r>
              <w:rPr>
                <w:color w:val="000000" w:themeColor="text1"/>
                <w:szCs w:val="21"/>
                <w:highlight w:val="none"/>
                <w14:textFill>
                  <w14:solidFill>
                    <w14:schemeClr w14:val="tx1"/>
                  </w14:solidFill>
                </w14:textFill>
              </w:rPr>
              <w:t>厂界</w:t>
            </w:r>
          </w:p>
        </w:tc>
        <w:tc>
          <w:tcPr>
            <w:tcW w:w="951" w:type="pct"/>
            <w:tcBorders>
              <w:tl2br w:val="nil"/>
              <w:tr2bl w:val="nil"/>
            </w:tcBorders>
            <w:vAlign w:val="center"/>
          </w:tcPr>
          <w:p w14:paraId="5EF3A530">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w:t>
            </w:r>
          </w:p>
        </w:tc>
        <w:tc>
          <w:tcPr>
            <w:tcW w:w="1928" w:type="dxa"/>
            <w:tcBorders>
              <w:tl2br w:val="nil"/>
              <w:tr2bl w:val="nil"/>
            </w:tcBorders>
            <w:vAlign w:val="center"/>
          </w:tcPr>
          <w:p w14:paraId="5C131B12">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44.5</w:t>
            </w:r>
          </w:p>
        </w:tc>
        <w:tc>
          <w:tcPr>
            <w:tcW w:w="656" w:type="pct"/>
            <w:tcBorders>
              <w:tl2br w:val="nil"/>
              <w:tr2bl w:val="nil"/>
            </w:tcBorders>
            <w:vAlign w:val="center"/>
          </w:tcPr>
          <w:p w14:paraId="0E718CE7">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w:t>
            </w:r>
            <w:r>
              <w:rPr>
                <w:color w:val="000000" w:themeColor="text1"/>
                <w:szCs w:val="21"/>
                <w:highlight w:val="none"/>
                <w14:textFill>
                  <w14:solidFill>
                    <w14:schemeClr w14:val="tx1"/>
                  </w14:solidFill>
                </w14:textFill>
              </w:rPr>
              <w:t>0</w:t>
            </w:r>
          </w:p>
        </w:tc>
        <w:tc>
          <w:tcPr>
            <w:tcW w:w="954" w:type="pct"/>
            <w:tcBorders>
              <w:tl2br w:val="nil"/>
              <w:tr2bl w:val="nil"/>
            </w:tcBorders>
            <w:vAlign w:val="center"/>
          </w:tcPr>
          <w:p w14:paraId="50C5C7D0">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14:paraId="1CB3D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25" w:type="pct"/>
            <w:vMerge w:val="continue"/>
            <w:tcBorders>
              <w:tl2br w:val="nil"/>
              <w:tr2bl w:val="nil"/>
            </w:tcBorders>
            <w:vAlign w:val="center"/>
          </w:tcPr>
          <w:p w14:paraId="0E21EEB2">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p>
        </w:tc>
        <w:tc>
          <w:tcPr>
            <w:tcW w:w="781" w:type="pct"/>
            <w:vMerge w:val="continue"/>
            <w:tcBorders>
              <w:tl2br w:val="nil"/>
              <w:tr2bl w:val="nil"/>
            </w:tcBorders>
            <w:vAlign w:val="center"/>
          </w:tcPr>
          <w:p w14:paraId="38C4D38D">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p>
        </w:tc>
        <w:tc>
          <w:tcPr>
            <w:tcW w:w="951" w:type="pct"/>
            <w:tcBorders>
              <w:tl2br w:val="nil"/>
              <w:tr2bl w:val="nil"/>
            </w:tcBorders>
            <w:vAlign w:val="center"/>
          </w:tcPr>
          <w:p w14:paraId="0D12D02D">
            <w:pPr>
              <w:pStyle w:val="31"/>
              <w:spacing w:after="0" w:line="360" w:lineRule="exact"/>
              <w:ind w:left="0" w:leftChars="0"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w:t>
            </w:r>
          </w:p>
        </w:tc>
        <w:tc>
          <w:tcPr>
            <w:tcW w:w="1928" w:type="dxa"/>
            <w:tcBorders>
              <w:tl2br w:val="nil"/>
              <w:tr2bl w:val="nil"/>
            </w:tcBorders>
            <w:vAlign w:val="center"/>
          </w:tcPr>
          <w:p w14:paraId="3E896C4D">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44.5</w:t>
            </w:r>
          </w:p>
        </w:tc>
        <w:tc>
          <w:tcPr>
            <w:tcW w:w="656" w:type="pct"/>
            <w:tcBorders>
              <w:tl2br w:val="nil"/>
              <w:tr2bl w:val="nil"/>
            </w:tcBorders>
            <w:vAlign w:val="center"/>
          </w:tcPr>
          <w:p w14:paraId="3546BB7C">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50</w:t>
            </w:r>
          </w:p>
        </w:tc>
        <w:tc>
          <w:tcPr>
            <w:tcW w:w="954" w:type="pct"/>
            <w:tcBorders>
              <w:tl2br w:val="nil"/>
              <w:tr2bl w:val="nil"/>
            </w:tcBorders>
            <w:vAlign w:val="center"/>
          </w:tcPr>
          <w:p w14:paraId="7661084C">
            <w:pPr>
              <w:pStyle w:val="31"/>
              <w:spacing w:after="0" w:line="360" w:lineRule="exact"/>
              <w:ind w:left="0" w:leftChars="0" w:firstLine="0" w:firstLineChars="0"/>
              <w:jc w:val="center"/>
              <w:rPr>
                <w:color w:val="000000" w:themeColor="text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bl>
    <w:p w14:paraId="2B6AF24E">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w:t>
      </w:r>
      <w:r>
        <w:rPr>
          <w:rFonts w:hint="eastAsia"/>
          <w:color w:val="000000" w:themeColor="text1"/>
          <w:highlight w:val="none"/>
          <w14:textFill>
            <w14:solidFill>
              <w14:schemeClr w14:val="tx1"/>
            </w14:solidFill>
          </w14:textFill>
        </w:rPr>
        <w:t>4.2</w:t>
      </w:r>
      <w:r>
        <w:rPr>
          <w:color w:val="000000" w:themeColor="text1"/>
          <w:kern w:val="0"/>
          <w:highlight w:val="none"/>
          <w:lang w:val="zh-CN"/>
          <w14:textFill>
            <w14:solidFill>
              <w14:schemeClr w14:val="tx1"/>
            </w14:solidFill>
          </w14:textFill>
        </w:rPr>
        <w:t>预测结果分析</w:t>
      </w:r>
    </w:p>
    <w:p w14:paraId="760B7188">
      <w:pPr>
        <w:pStyle w:val="41"/>
        <w:overflowPunct w:val="0"/>
        <w:topLinePunct/>
        <w:spacing w:line="480" w:lineRule="exact"/>
        <w:ind w:firstLine="480"/>
        <w:rPr>
          <w:rFonts w:ascii="宋体" w:hAnsi="宋体"/>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lang w:val="zh-CN"/>
          <w14:textFill>
            <w14:solidFill>
              <w14:schemeClr w14:val="tx1"/>
            </w14:solidFill>
          </w14:textFill>
        </w:rPr>
        <w:t>由预测结果可知，项目运营后，噪声源厂界</w:t>
      </w:r>
      <w:r>
        <w:rPr>
          <w:rFonts w:hint="eastAsia" w:cs="Times New Roman"/>
          <w:color w:val="000000" w:themeColor="text1"/>
          <w:kern w:val="0"/>
          <w:szCs w:val="24"/>
          <w:highlight w:val="none"/>
          <w14:textFill>
            <w14:solidFill>
              <w14:schemeClr w14:val="tx1"/>
            </w14:solidFill>
          </w14:textFill>
        </w:rPr>
        <w:t>昼间</w:t>
      </w:r>
      <w:r>
        <w:rPr>
          <w:rFonts w:hint="eastAsia" w:cs="Times New Roman"/>
          <w:color w:val="000000" w:themeColor="text1"/>
          <w:kern w:val="0"/>
          <w:szCs w:val="24"/>
          <w:highlight w:val="none"/>
          <w:lang w:eastAsia="zh-CN"/>
          <w14:textFill>
            <w14:solidFill>
              <w14:schemeClr w14:val="tx1"/>
            </w14:solidFill>
          </w14:textFill>
        </w:rPr>
        <w:t>、</w:t>
      </w:r>
      <w:r>
        <w:rPr>
          <w:rFonts w:hint="eastAsia" w:cs="Times New Roman"/>
          <w:color w:val="000000" w:themeColor="text1"/>
          <w:kern w:val="0"/>
          <w:szCs w:val="24"/>
          <w:highlight w:val="none"/>
          <w:lang w:val="en-US" w:eastAsia="zh-CN"/>
          <w14:textFill>
            <w14:solidFill>
              <w14:schemeClr w14:val="tx1"/>
            </w14:solidFill>
          </w14:textFill>
        </w:rPr>
        <w:t>夜间</w:t>
      </w:r>
      <w:r>
        <w:rPr>
          <w:rFonts w:cs="Times New Roman"/>
          <w:color w:val="000000" w:themeColor="text1"/>
          <w:kern w:val="0"/>
          <w:szCs w:val="24"/>
          <w:highlight w:val="none"/>
          <w:lang w:val="zh-CN"/>
          <w14:textFill>
            <w14:solidFill>
              <w14:schemeClr w14:val="tx1"/>
            </w14:solidFill>
          </w14:textFill>
        </w:rPr>
        <w:t>噪声</w:t>
      </w:r>
      <w:r>
        <w:rPr>
          <w:rFonts w:hint="eastAsia" w:cs="Times New Roman"/>
          <w:color w:val="000000" w:themeColor="text1"/>
          <w:kern w:val="0"/>
          <w:szCs w:val="24"/>
          <w:highlight w:val="none"/>
          <w14:textFill>
            <w14:solidFill>
              <w14:schemeClr w14:val="tx1"/>
            </w14:solidFill>
          </w14:textFill>
        </w:rPr>
        <w:t>预测</w:t>
      </w:r>
      <w:r>
        <w:rPr>
          <w:rFonts w:cs="Times New Roman"/>
          <w:color w:val="000000" w:themeColor="text1"/>
          <w:kern w:val="0"/>
          <w:szCs w:val="24"/>
          <w:highlight w:val="none"/>
          <w:lang w:val="zh-CN"/>
          <w14:textFill>
            <w14:solidFill>
              <w14:schemeClr w14:val="tx1"/>
            </w14:solidFill>
          </w14:textFill>
        </w:rPr>
        <w:t>值为</w:t>
      </w:r>
      <w:r>
        <w:rPr>
          <w:rFonts w:hint="eastAsia" w:cs="Times New Roman"/>
          <w:color w:val="000000" w:themeColor="text1"/>
          <w:kern w:val="0"/>
          <w:szCs w:val="24"/>
          <w:highlight w:val="none"/>
          <w:lang w:val="en-US" w:eastAsia="zh-CN"/>
          <w14:textFill>
            <w14:solidFill>
              <w14:schemeClr w14:val="tx1"/>
            </w14:solidFill>
          </w14:textFill>
        </w:rPr>
        <w:t>38.1</w:t>
      </w:r>
      <w:r>
        <w:rPr>
          <w:rFonts w:cs="Times New Roman"/>
          <w:color w:val="000000" w:themeColor="text1"/>
          <w:kern w:val="0"/>
          <w:szCs w:val="24"/>
          <w:highlight w:val="none"/>
          <w:lang w:val="zh-CN"/>
          <w14:textFill>
            <w14:solidFill>
              <w14:schemeClr w14:val="tx1"/>
            </w14:solidFill>
          </w14:textFill>
        </w:rPr>
        <w:t>dB</w:t>
      </w:r>
      <w:r>
        <w:rPr>
          <w:rFonts w:hint="eastAsia" w:cs="Times New Roman"/>
          <w:color w:val="000000" w:themeColor="text1"/>
          <w:kern w:val="0"/>
          <w:szCs w:val="24"/>
          <w:highlight w:val="none"/>
          <w:lang w:val="zh-CN"/>
          <w14:textFill>
            <w14:solidFill>
              <w14:schemeClr w14:val="tx1"/>
            </w14:solidFill>
          </w14:textFill>
        </w:rPr>
        <w:t>（</w:t>
      </w:r>
      <w:r>
        <w:rPr>
          <w:rFonts w:cs="Times New Roman"/>
          <w:color w:val="000000" w:themeColor="text1"/>
          <w:kern w:val="0"/>
          <w:szCs w:val="24"/>
          <w:highlight w:val="none"/>
          <w:lang w:val="zh-CN"/>
          <w14:textFill>
            <w14:solidFill>
              <w14:schemeClr w14:val="tx1"/>
            </w14:solidFill>
          </w14:textFill>
        </w:rPr>
        <w:t>A</w:t>
      </w:r>
      <w:r>
        <w:rPr>
          <w:rFonts w:hint="eastAsia" w:cs="Times New Roman"/>
          <w:color w:val="000000" w:themeColor="text1"/>
          <w:kern w:val="0"/>
          <w:szCs w:val="24"/>
          <w:highlight w:val="none"/>
          <w:lang w:val="zh-CN"/>
          <w14:textFill>
            <w14:solidFill>
              <w14:schemeClr w14:val="tx1"/>
            </w14:solidFill>
          </w14:textFill>
        </w:rPr>
        <w:t>）</w:t>
      </w:r>
      <w:r>
        <w:rPr>
          <w:rFonts w:cs="Times New Roman"/>
          <w:color w:val="000000" w:themeColor="text1"/>
          <w:kern w:val="0"/>
          <w:szCs w:val="24"/>
          <w:highlight w:val="none"/>
          <w:lang w:val="zh-CN"/>
          <w14:textFill>
            <w14:solidFill>
              <w14:schemeClr w14:val="tx1"/>
            </w14:solidFill>
          </w14:textFill>
        </w:rPr>
        <w:t>～</w:t>
      </w:r>
      <w:r>
        <w:rPr>
          <w:rFonts w:hint="eastAsia" w:cs="Times New Roman"/>
          <w:color w:val="000000" w:themeColor="text1"/>
          <w:kern w:val="0"/>
          <w:szCs w:val="24"/>
          <w:highlight w:val="none"/>
          <w:lang w:val="en-US" w:eastAsia="zh-CN"/>
          <w14:textFill>
            <w14:solidFill>
              <w14:schemeClr w14:val="tx1"/>
            </w14:solidFill>
          </w14:textFill>
        </w:rPr>
        <w:t>44.5</w:t>
      </w:r>
      <w:r>
        <w:rPr>
          <w:rFonts w:cs="Times New Roman"/>
          <w:color w:val="000000" w:themeColor="text1"/>
          <w:kern w:val="0"/>
          <w:szCs w:val="24"/>
          <w:highlight w:val="none"/>
          <w:lang w:val="zh-CN"/>
          <w14:textFill>
            <w14:solidFill>
              <w14:schemeClr w14:val="tx1"/>
            </w14:solidFill>
          </w14:textFill>
        </w:rPr>
        <w:t>dB</w:t>
      </w:r>
      <w:r>
        <w:rPr>
          <w:rFonts w:hint="eastAsia" w:cs="Times New Roman"/>
          <w:color w:val="000000" w:themeColor="text1"/>
          <w:kern w:val="0"/>
          <w:szCs w:val="24"/>
          <w:highlight w:val="none"/>
          <w:lang w:val="zh-CN"/>
          <w14:textFill>
            <w14:solidFill>
              <w14:schemeClr w14:val="tx1"/>
            </w14:solidFill>
          </w14:textFill>
        </w:rPr>
        <w:t>（</w:t>
      </w:r>
      <w:r>
        <w:rPr>
          <w:rFonts w:cs="Times New Roman"/>
          <w:color w:val="000000" w:themeColor="text1"/>
          <w:kern w:val="0"/>
          <w:szCs w:val="24"/>
          <w:highlight w:val="none"/>
          <w:lang w:val="zh-CN"/>
          <w14:textFill>
            <w14:solidFill>
              <w14:schemeClr w14:val="tx1"/>
            </w14:solidFill>
          </w14:textFill>
        </w:rPr>
        <w:t>A</w:t>
      </w:r>
      <w:r>
        <w:rPr>
          <w:rFonts w:hint="eastAsia" w:cs="Times New Roman"/>
          <w:color w:val="000000" w:themeColor="text1"/>
          <w:kern w:val="0"/>
          <w:szCs w:val="24"/>
          <w:highlight w:val="none"/>
          <w:lang w:val="zh-CN"/>
          <w14:textFill>
            <w14:solidFill>
              <w14:schemeClr w14:val="tx1"/>
            </w14:solidFill>
          </w14:textFill>
        </w:rPr>
        <w:t>）</w:t>
      </w:r>
      <w:r>
        <w:rPr>
          <w:rFonts w:cs="Times New Roman"/>
          <w:color w:val="000000" w:themeColor="text1"/>
          <w:kern w:val="0"/>
          <w:szCs w:val="24"/>
          <w:highlight w:val="none"/>
          <w:lang w:val="zh-CN"/>
          <w14:textFill>
            <w14:solidFill>
              <w14:schemeClr w14:val="tx1"/>
            </w14:solidFill>
          </w14:textFill>
        </w:rPr>
        <w:t>，可满足《工业企业厂界环境噪声排放标准》（GB12348-2008）中</w:t>
      </w:r>
      <w:r>
        <w:rPr>
          <w:rFonts w:cs="Times New Roman"/>
          <w:color w:val="000000" w:themeColor="text1"/>
          <w:kern w:val="0"/>
          <w:szCs w:val="24"/>
          <w:highlight w:val="none"/>
          <w14:textFill>
            <w14:solidFill>
              <w14:schemeClr w14:val="tx1"/>
            </w14:solidFill>
          </w14:textFill>
        </w:rPr>
        <w:t>2</w:t>
      </w:r>
      <w:r>
        <w:rPr>
          <w:rFonts w:cs="Times New Roman"/>
          <w:color w:val="000000" w:themeColor="text1"/>
          <w:kern w:val="0"/>
          <w:szCs w:val="24"/>
          <w:highlight w:val="none"/>
          <w:lang w:val="zh-CN"/>
          <w14:textFill>
            <w14:solidFill>
              <w14:schemeClr w14:val="tx1"/>
            </w14:solidFill>
          </w14:textFill>
        </w:rPr>
        <w:t>类排放标准要求，环评建议建设单位尽可能将产生噪声的设备置于厂区中心，远离厂界，且选用低噪声设备。选矿厂附近200m范围内无居民区等声环境敏感点，经采取隔声、减震等措施后，运营期选矿厂噪声对周围声环境影响较小</w:t>
      </w:r>
      <w:r>
        <w:rPr>
          <w:rFonts w:hint="eastAsia" w:cs="Times New Roman"/>
          <w:color w:val="000000" w:themeColor="text1"/>
          <w:kern w:val="0"/>
          <w:highlight w:val="none"/>
          <w:lang w:val="zh-CN"/>
          <w14:textFill>
            <w14:solidFill>
              <w14:schemeClr w14:val="tx1"/>
            </w14:solidFill>
          </w14:textFill>
        </w:rPr>
        <w:t>。</w:t>
      </w:r>
    </w:p>
    <w:p w14:paraId="51B9B9B7">
      <w:pPr>
        <w:pStyle w:val="70"/>
        <w:widowControl/>
        <w:tabs>
          <w:tab w:val="left" w:pos="360"/>
          <w:tab w:val="left" w:pos="1620"/>
          <w:tab w:val="clear" w:pos="1119"/>
        </w:tabs>
        <w:overflowPunct w:val="0"/>
        <w:snapToGrid w:val="0"/>
        <w:ind w:left="0" w:leftChars="0" w:firstLine="0" w:firstLineChars="0"/>
        <w:jc w:val="center"/>
        <w:rPr>
          <w:rFonts w:hint="eastAsia"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zh-CN" w:eastAsia="zh-CN"/>
          <w14:textFill>
            <w14:solidFill>
              <w14:schemeClr w14:val="tx1"/>
            </w14:solidFill>
          </w14:textFill>
        </w:rPr>
        <w:t>表</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 xml:space="preserve">5.2-11   </w:t>
      </w:r>
      <w:r>
        <w:rPr>
          <w:rFonts w:hint="eastAsia" w:ascii="Times New Roman" w:hAnsi="Times New Roman" w:cs="Times New Roman"/>
          <w:b/>
          <w:bCs/>
          <w:color w:val="000000" w:themeColor="text1"/>
          <w:sz w:val="24"/>
          <w:highlight w:val="none"/>
          <w:lang w:val="zh-CN" w:eastAsia="zh-CN"/>
          <w14:textFill>
            <w14:solidFill>
              <w14:schemeClr w14:val="tx1"/>
            </w14:solidFill>
          </w14:textFill>
        </w:rPr>
        <w:t xml:space="preserve"> </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声环境影响评价自查表</w:t>
      </w:r>
    </w:p>
    <w:tbl>
      <w:tblPr>
        <w:tblStyle w:val="13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62"/>
        <w:gridCol w:w="1467"/>
        <w:gridCol w:w="1000"/>
        <w:gridCol w:w="84"/>
        <w:gridCol w:w="639"/>
        <w:gridCol w:w="90"/>
        <w:gridCol w:w="148"/>
        <w:gridCol w:w="237"/>
        <w:gridCol w:w="363"/>
        <w:gridCol w:w="205"/>
        <w:gridCol w:w="128"/>
        <w:gridCol w:w="68"/>
        <w:gridCol w:w="685"/>
        <w:gridCol w:w="94"/>
        <w:gridCol w:w="302"/>
        <w:gridCol w:w="68"/>
        <w:gridCol w:w="123"/>
        <w:gridCol w:w="598"/>
        <w:gridCol w:w="123"/>
        <w:gridCol w:w="1038"/>
      </w:tblGrid>
      <w:tr w14:paraId="558637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84" w:type="pct"/>
            <w:gridSpan w:val="2"/>
            <w:vAlign w:val="center"/>
          </w:tcPr>
          <w:p w14:paraId="463D5C78">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工作内容</w:t>
            </w:r>
          </w:p>
        </w:tc>
        <w:tc>
          <w:tcPr>
            <w:tcW w:w="3516" w:type="pct"/>
            <w:gridSpan w:val="18"/>
            <w:vAlign w:val="center"/>
          </w:tcPr>
          <w:p w14:paraId="36BA79BE">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自查项目</w:t>
            </w:r>
          </w:p>
        </w:tc>
      </w:tr>
      <w:tr w14:paraId="1B4CD7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Merge w:val="restart"/>
            <w:vAlign w:val="center"/>
          </w:tcPr>
          <w:p w14:paraId="1B5A9D4B">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评价等级与范围</w:t>
            </w:r>
          </w:p>
        </w:tc>
        <w:tc>
          <w:tcPr>
            <w:tcW w:w="861" w:type="pct"/>
            <w:vAlign w:val="center"/>
          </w:tcPr>
          <w:p w14:paraId="7A75187E">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评价等级</w:t>
            </w:r>
          </w:p>
        </w:tc>
        <w:tc>
          <w:tcPr>
            <w:tcW w:w="3516" w:type="pct"/>
            <w:gridSpan w:val="18"/>
            <w:vAlign w:val="center"/>
          </w:tcPr>
          <w:p w14:paraId="675BB264">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一级□</w:t>
            </w:r>
            <w:r>
              <w:rPr>
                <w:rFonts w:hint="eastAsia" w:ascii="Times New Roman" w:hAnsi="Times New Roman" w:eastAsia="宋体"/>
                <w:color w:val="000000" w:themeColor="text1"/>
                <w:sz w:val="21"/>
                <w:szCs w:val="21"/>
                <w:highlight w:val="none"/>
                <w14:textFill>
                  <w14:solidFill>
                    <w14:schemeClr w14:val="tx1"/>
                  </w14:solidFill>
                </w14:textFill>
              </w:rPr>
              <w:t xml:space="preserve">  二级</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 xml:space="preserve">  三级</w:t>
            </w:r>
            <w:r>
              <w:rPr>
                <w:rFonts w:ascii="Times New Roman" w:hAnsi="Times New Roman" w:eastAsia="宋体"/>
                <w:color w:val="000000" w:themeColor="text1"/>
                <w:sz w:val="21"/>
                <w:szCs w:val="21"/>
                <w:highlight w:val="none"/>
                <w14:textFill>
                  <w14:solidFill>
                    <w14:schemeClr w14:val="tx1"/>
                  </w14:solidFill>
                </w14:textFill>
              </w:rPr>
              <w:t>□</w:t>
            </w:r>
          </w:p>
        </w:tc>
      </w:tr>
      <w:tr w14:paraId="62CFCC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Merge w:val="continue"/>
            <w:vAlign w:val="center"/>
          </w:tcPr>
          <w:p w14:paraId="02B4877E">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861" w:type="pct"/>
            <w:vAlign w:val="center"/>
          </w:tcPr>
          <w:p w14:paraId="33A3FB1D">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评价范围</w:t>
            </w:r>
          </w:p>
        </w:tc>
        <w:tc>
          <w:tcPr>
            <w:tcW w:w="3516" w:type="pct"/>
            <w:gridSpan w:val="18"/>
            <w:vAlign w:val="center"/>
          </w:tcPr>
          <w:p w14:paraId="7EAAE078">
            <w:pPr>
              <w:spacing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200m</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 xml:space="preserve">  大于200m</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 xml:space="preserve">  小于200m</w:t>
            </w:r>
            <w:r>
              <w:rPr>
                <w:rFonts w:hint="eastAsia"/>
                <w:color w:val="000000" w:themeColor="text1"/>
                <w:sz w:val="21"/>
                <w:szCs w:val="21"/>
                <w:highlight w:val="none"/>
                <w:lang w:eastAsia="zh-CN"/>
                <w14:textFill>
                  <w14:solidFill>
                    <w14:schemeClr w14:val="tx1"/>
                  </w14:solidFill>
                </w14:textFill>
              </w:rPr>
              <w:t>☑</w:t>
            </w:r>
          </w:p>
        </w:tc>
      </w:tr>
      <w:tr w14:paraId="20D4E5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Align w:val="center"/>
          </w:tcPr>
          <w:p w14:paraId="4652E1FD">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评价因子</w:t>
            </w:r>
          </w:p>
        </w:tc>
        <w:tc>
          <w:tcPr>
            <w:tcW w:w="861" w:type="pct"/>
            <w:vAlign w:val="center"/>
          </w:tcPr>
          <w:p w14:paraId="042F0CBB">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评价因子</w:t>
            </w:r>
          </w:p>
        </w:tc>
        <w:tc>
          <w:tcPr>
            <w:tcW w:w="3516" w:type="pct"/>
            <w:gridSpan w:val="18"/>
            <w:vAlign w:val="center"/>
          </w:tcPr>
          <w:p w14:paraId="223875BC">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等效连续A声级</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 xml:space="preserve">    最大A声级</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 xml:space="preserve">    计权等效连续感觉噪声级</w:t>
            </w:r>
            <w:r>
              <w:rPr>
                <w:rFonts w:ascii="Times New Roman" w:hAnsi="Times New Roman" w:eastAsia="宋体"/>
                <w:color w:val="000000" w:themeColor="text1"/>
                <w:sz w:val="21"/>
                <w:szCs w:val="21"/>
                <w:highlight w:val="none"/>
                <w14:textFill>
                  <w14:solidFill>
                    <w14:schemeClr w14:val="tx1"/>
                  </w14:solidFill>
                </w14:textFill>
              </w:rPr>
              <w:t>□</w:t>
            </w:r>
          </w:p>
        </w:tc>
      </w:tr>
      <w:tr w14:paraId="2F651A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Align w:val="center"/>
          </w:tcPr>
          <w:p w14:paraId="62E93E26">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评价标准</w:t>
            </w:r>
          </w:p>
        </w:tc>
        <w:tc>
          <w:tcPr>
            <w:tcW w:w="861" w:type="pct"/>
            <w:vAlign w:val="center"/>
          </w:tcPr>
          <w:p w14:paraId="73CE6EF1">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评价标准</w:t>
            </w:r>
          </w:p>
        </w:tc>
        <w:tc>
          <w:tcPr>
            <w:tcW w:w="3516" w:type="pct"/>
            <w:gridSpan w:val="18"/>
            <w:vAlign w:val="center"/>
          </w:tcPr>
          <w:p w14:paraId="053FDA4A">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国家标准</w:t>
            </w:r>
            <w:r>
              <w:rPr>
                <w:rFonts w:hint="eastAsia" w:ascii="Times New Roman" w:hAnsi="Times New Roman" w:eastAsia="宋体"/>
                <w:color w:val="000000" w:themeColor="text1"/>
                <w:sz w:val="21"/>
                <w:szCs w:val="21"/>
                <w:highlight w:val="none"/>
                <w14:textFill>
                  <w14:solidFill>
                    <w14:schemeClr w14:val="tx1"/>
                  </w14:solidFill>
                </w14:textFill>
              </w:rPr>
              <w:t>√  地方标准</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 xml:space="preserve"> 国外标准</w:t>
            </w:r>
            <w:r>
              <w:rPr>
                <w:rFonts w:ascii="Times New Roman" w:hAnsi="Times New Roman" w:eastAsia="宋体"/>
                <w:color w:val="000000" w:themeColor="text1"/>
                <w:sz w:val="21"/>
                <w:szCs w:val="21"/>
                <w:highlight w:val="none"/>
                <w14:textFill>
                  <w14:solidFill>
                    <w14:schemeClr w14:val="tx1"/>
                  </w14:solidFill>
                </w14:textFill>
              </w:rPr>
              <w:t>□</w:t>
            </w:r>
          </w:p>
        </w:tc>
      </w:tr>
      <w:tr w14:paraId="026064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Merge w:val="restart"/>
            <w:vAlign w:val="center"/>
          </w:tcPr>
          <w:p w14:paraId="5145A279">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现状评价</w:t>
            </w:r>
          </w:p>
        </w:tc>
        <w:tc>
          <w:tcPr>
            <w:tcW w:w="861" w:type="pct"/>
            <w:vAlign w:val="center"/>
          </w:tcPr>
          <w:p w14:paraId="735DD4B9">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环境功能区</w:t>
            </w:r>
          </w:p>
        </w:tc>
        <w:tc>
          <w:tcPr>
            <w:tcW w:w="587" w:type="pct"/>
            <w:vAlign w:val="center"/>
          </w:tcPr>
          <w:p w14:paraId="04DC879F">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0类区</w:t>
            </w:r>
            <w:r>
              <w:rPr>
                <w:rFonts w:ascii="Times New Roman" w:hAnsi="Times New Roman" w:eastAsia="宋体"/>
                <w:color w:val="000000" w:themeColor="text1"/>
                <w:sz w:val="21"/>
                <w:szCs w:val="21"/>
                <w:highlight w:val="none"/>
                <w14:textFill>
                  <w14:solidFill>
                    <w14:schemeClr w14:val="tx1"/>
                  </w14:solidFill>
                </w14:textFill>
              </w:rPr>
              <w:t>□</w:t>
            </w:r>
          </w:p>
        </w:tc>
        <w:tc>
          <w:tcPr>
            <w:tcW w:w="564" w:type="pct"/>
            <w:gridSpan w:val="4"/>
            <w:vAlign w:val="center"/>
          </w:tcPr>
          <w:p w14:paraId="61286386">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1类区</w:t>
            </w:r>
            <w:r>
              <w:rPr>
                <w:rFonts w:ascii="Times New Roman" w:hAnsi="Times New Roman" w:eastAsia="宋体"/>
                <w:color w:val="000000" w:themeColor="text1"/>
                <w:sz w:val="21"/>
                <w:szCs w:val="21"/>
                <w:highlight w:val="none"/>
                <w14:textFill>
                  <w14:solidFill>
                    <w14:schemeClr w14:val="tx1"/>
                  </w14:solidFill>
                </w14:textFill>
              </w:rPr>
              <w:t>□</w:t>
            </w:r>
          </w:p>
        </w:tc>
        <w:tc>
          <w:tcPr>
            <w:tcW w:w="547" w:type="pct"/>
            <w:gridSpan w:val="4"/>
            <w:vAlign w:val="center"/>
          </w:tcPr>
          <w:p w14:paraId="32865647">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2类区</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497" w:type="pct"/>
            <w:gridSpan w:val="3"/>
            <w:vAlign w:val="center"/>
          </w:tcPr>
          <w:p w14:paraId="3F2FABA9">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3类区</w:t>
            </w:r>
            <w:r>
              <w:rPr>
                <w:rFonts w:ascii="Times New Roman" w:hAnsi="Times New Roman" w:eastAsia="宋体"/>
                <w:color w:val="000000" w:themeColor="text1"/>
                <w:sz w:val="21"/>
                <w:szCs w:val="21"/>
                <w:highlight w:val="none"/>
                <w14:textFill>
                  <w14:solidFill>
                    <w14:schemeClr w14:val="tx1"/>
                  </w14:solidFill>
                </w14:textFill>
              </w:rPr>
              <w:t>□</w:t>
            </w:r>
          </w:p>
        </w:tc>
        <w:tc>
          <w:tcPr>
            <w:tcW w:w="640" w:type="pct"/>
            <w:gridSpan w:val="4"/>
            <w:vAlign w:val="center"/>
          </w:tcPr>
          <w:p w14:paraId="6ACE3ADD">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4a类区</w:t>
            </w:r>
            <w:r>
              <w:rPr>
                <w:rFonts w:ascii="Times New Roman" w:hAnsi="Times New Roman" w:eastAsia="宋体"/>
                <w:color w:val="000000" w:themeColor="text1"/>
                <w:sz w:val="21"/>
                <w:szCs w:val="21"/>
                <w:highlight w:val="none"/>
                <w14:textFill>
                  <w14:solidFill>
                    <w14:schemeClr w14:val="tx1"/>
                  </w14:solidFill>
                </w14:textFill>
              </w:rPr>
              <w:t>□</w:t>
            </w:r>
          </w:p>
        </w:tc>
        <w:tc>
          <w:tcPr>
            <w:tcW w:w="681" w:type="pct"/>
            <w:gridSpan w:val="2"/>
            <w:vAlign w:val="center"/>
          </w:tcPr>
          <w:p w14:paraId="6B062E25">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4b类区</w:t>
            </w:r>
            <w:r>
              <w:rPr>
                <w:rFonts w:ascii="Times New Roman" w:hAnsi="Times New Roman" w:eastAsia="宋体"/>
                <w:color w:val="000000" w:themeColor="text1"/>
                <w:sz w:val="21"/>
                <w:szCs w:val="21"/>
                <w:highlight w:val="none"/>
                <w14:textFill>
                  <w14:solidFill>
                    <w14:schemeClr w14:val="tx1"/>
                  </w14:solidFill>
                </w14:textFill>
              </w:rPr>
              <w:t>□</w:t>
            </w:r>
          </w:p>
        </w:tc>
      </w:tr>
      <w:tr w14:paraId="2CC1D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Merge w:val="continue"/>
            <w:vAlign w:val="center"/>
          </w:tcPr>
          <w:p w14:paraId="5C3DBD4D">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861" w:type="pct"/>
            <w:vAlign w:val="center"/>
          </w:tcPr>
          <w:p w14:paraId="65DE56E2">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评价年度</w:t>
            </w:r>
          </w:p>
        </w:tc>
        <w:tc>
          <w:tcPr>
            <w:tcW w:w="1011" w:type="pct"/>
            <w:gridSpan w:val="3"/>
            <w:vAlign w:val="center"/>
          </w:tcPr>
          <w:p w14:paraId="047B6C86">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初期□</w:t>
            </w:r>
          </w:p>
        </w:tc>
        <w:tc>
          <w:tcPr>
            <w:tcW w:w="687" w:type="pct"/>
            <w:gridSpan w:val="6"/>
            <w:vAlign w:val="center"/>
          </w:tcPr>
          <w:p w14:paraId="3B6CC2C1">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近期□</w:t>
            </w:r>
          </w:p>
        </w:tc>
        <w:tc>
          <w:tcPr>
            <w:tcW w:w="786" w:type="pct"/>
            <w:gridSpan w:val="6"/>
            <w:vAlign w:val="center"/>
          </w:tcPr>
          <w:p w14:paraId="2B37C771">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中期□</w:t>
            </w:r>
          </w:p>
        </w:tc>
        <w:tc>
          <w:tcPr>
            <w:tcW w:w="1031" w:type="pct"/>
            <w:gridSpan w:val="3"/>
            <w:vAlign w:val="center"/>
          </w:tcPr>
          <w:p w14:paraId="66FFBA43">
            <w:pPr>
              <w:spacing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远期</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r>
      <w:tr w14:paraId="12F053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Merge w:val="continue"/>
            <w:vAlign w:val="center"/>
          </w:tcPr>
          <w:p w14:paraId="25855244">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861" w:type="pct"/>
            <w:vAlign w:val="center"/>
          </w:tcPr>
          <w:p w14:paraId="4D109624">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现状调查方法</w:t>
            </w:r>
          </w:p>
        </w:tc>
        <w:tc>
          <w:tcPr>
            <w:tcW w:w="1011" w:type="pct"/>
            <w:gridSpan w:val="3"/>
            <w:vAlign w:val="center"/>
          </w:tcPr>
          <w:p w14:paraId="0903A84E">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现场实测法</w:t>
            </w: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1401" w:type="pct"/>
            <w:gridSpan w:val="11"/>
            <w:vAlign w:val="center"/>
          </w:tcPr>
          <w:p w14:paraId="7A4E9057">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现场实测加模型计算法□</w:t>
            </w:r>
          </w:p>
        </w:tc>
        <w:tc>
          <w:tcPr>
            <w:tcW w:w="1103" w:type="pct"/>
            <w:gridSpan w:val="4"/>
            <w:vAlign w:val="center"/>
          </w:tcPr>
          <w:p w14:paraId="051B0C3D">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收集资料□</w:t>
            </w:r>
          </w:p>
        </w:tc>
      </w:tr>
      <w:tr w14:paraId="7F6FC5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Merge w:val="continue"/>
            <w:vAlign w:val="center"/>
          </w:tcPr>
          <w:p w14:paraId="10498E7A">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861" w:type="pct"/>
            <w:vAlign w:val="center"/>
          </w:tcPr>
          <w:p w14:paraId="256560C5">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现状评价</w:t>
            </w:r>
          </w:p>
        </w:tc>
        <w:tc>
          <w:tcPr>
            <w:tcW w:w="1011" w:type="pct"/>
            <w:gridSpan w:val="3"/>
            <w:vAlign w:val="center"/>
          </w:tcPr>
          <w:p w14:paraId="2D4E9D62">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达标百分比</w:t>
            </w:r>
          </w:p>
        </w:tc>
        <w:tc>
          <w:tcPr>
            <w:tcW w:w="2505" w:type="pct"/>
            <w:gridSpan w:val="15"/>
            <w:vAlign w:val="center"/>
          </w:tcPr>
          <w:p w14:paraId="0650D2B4">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1</w:t>
            </w:r>
            <w:r>
              <w:rPr>
                <w:rFonts w:ascii="Times New Roman" w:hAnsi="Times New Roman" w:eastAsia="宋体"/>
                <w:color w:val="000000" w:themeColor="text1"/>
                <w:sz w:val="21"/>
                <w:szCs w:val="21"/>
                <w:highlight w:val="none"/>
                <w14:textFill>
                  <w14:solidFill>
                    <w14:schemeClr w14:val="tx1"/>
                  </w14:solidFill>
                </w14:textFill>
              </w:rPr>
              <w:t>00</w:t>
            </w:r>
            <w:r>
              <w:rPr>
                <w:rFonts w:hint="eastAsia" w:ascii="Times New Roman" w:hAnsi="Times New Roman" w:eastAsia="宋体"/>
                <w:color w:val="000000" w:themeColor="text1"/>
                <w:sz w:val="21"/>
                <w:szCs w:val="21"/>
                <w:highlight w:val="none"/>
                <w14:textFill>
                  <w14:solidFill>
                    <w14:schemeClr w14:val="tx1"/>
                  </w14:solidFill>
                </w14:textFill>
              </w:rPr>
              <w:t>%</w:t>
            </w:r>
          </w:p>
        </w:tc>
      </w:tr>
      <w:tr w14:paraId="416E01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Align w:val="center"/>
          </w:tcPr>
          <w:p w14:paraId="491E9950">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噪声源调查</w:t>
            </w:r>
          </w:p>
        </w:tc>
        <w:tc>
          <w:tcPr>
            <w:tcW w:w="861" w:type="pct"/>
            <w:vAlign w:val="center"/>
          </w:tcPr>
          <w:p w14:paraId="28E0FC57">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噪声源调查方法</w:t>
            </w:r>
          </w:p>
        </w:tc>
        <w:tc>
          <w:tcPr>
            <w:tcW w:w="1290" w:type="pct"/>
            <w:gridSpan w:val="6"/>
            <w:vAlign w:val="center"/>
          </w:tcPr>
          <w:p w14:paraId="5EA67A67">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现场实测□</w:t>
            </w:r>
          </w:p>
        </w:tc>
        <w:tc>
          <w:tcPr>
            <w:tcW w:w="850" w:type="pct"/>
            <w:gridSpan w:val="5"/>
            <w:vAlign w:val="center"/>
          </w:tcPr>
          <w:p w14:paraId="1FCB149F">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已有资料</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1376" w:type="pct"/>
            <w:gridSpan w:val="7"/>
            <w:vAlign w:val="center"/>
          </w:tcPr>
          <w:p w14:paraId="5970973A">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研究成果□</w:t>
            </w:r>
          </w:p>
        </w:tc>
      </w:tr>
      <w:tr w14:paraId="4DF3D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Merge w:val="restart"/>
            <w:vAlign w:val="center"/>
          </w:tcPr>
          <w:p w14:paraId="59A71A88">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声环境影响预测与评价</w:t>
            </w:r>
          </w:p>
        </w:tc>
        <w:tc>
          <w:tcPr>
            <w:tcW w:w="861" w:type="pct"/>
            <w:vAlign w:val="center"/>
          </w:tcPr>
          <w:p w14:paraId="789A6B6F">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预测模型</w:t>
            </w:r>
          </w:p>
        </w:tc>
        <w:tc>
          <w:tcPr>
            <w:tcW w:w="3516" w:type="pct"/>
            <w:gridSpan w:val="18"/>
            <w:vAlign w:val="center"/>
          </w:tcPr>
          <w:p w14:paraId="4BA1C825">
            <w:pPr>
              <w:spacing w:line="240" w:lineRule="auto"/>
              <w:ind w:firstLine="0" w:firstLineChars="0"/>
              <w:rPr>
                <w:rFonts w:ascii="Times New Roman" w:hAnsi="Times New Roman" w:eastAsia="宋体"/>
                <w:color w:val="000000" w:themeColor="text1"/>
                <w:sz w:val="21"/>
                <w:szCs w:val="21"/>
                <w:highlight w:val="none"/>
                <w:u w:val="single" w:color="FF0000"/>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导则推荐模型</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 xml:space="preserve">                   其他</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u w:val="single" w:color="000000"/>
                <w14:textFill>
                  <w14:solidFill>
                    <w14:schemeClr w14:val="tx1"/>
                  </w14:solidFill>
                </w14:textFill>
              </w:rPr>
              <w:t xml:space="preserve">                    </w:t>
            </w:r>
          </w:p>
        </w:tc>
      </w:tr>
      <w:tr w14:paraId="16EC35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Merge w:val="continue"/>
            <w:vAlign w:val="center"/>
          </w:tcPr>
          <w:p w14:paraId="1275B410">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861" w:type="pct"/>
            <w:vAlign w:val="center"/>
          </w:tcPr>
          <w:p w14:paraId="76C81917">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预测范围</w:t>
            </w:r>
          </w:p>
        </w:tc>
        <w:tc>
          <w:tcPr>
            <w:tcW w:w="1290" w:type="pct"/>
            <w:gridSpan w:val="6"/>
            <w:vAlign w:val="center"/>
          </w:tcPr>
          <w:p w14:paraId="5E479B4B">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200m</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850" w:type="pct"/>
            <w:gridSpan w:val="5"/>
            <w:vAlign w:val="center"/>
          </w:tcPr>
          <w:p w14:paraId="28A28493">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大于</w:t>
            </w:r>
            <w:r>
              <w:rPr>
                <w:rFonts w:hint="eastAsia" w:ascii="Times New Roman" w:hAnsi="Times New Roman" w:eastAsia="宋体"/>
                <w:color w:val="000000" w:themeColor="text1"/>
                <w:sz w:val="21"/>
                <w:szCs w:val="21"/>
                <w:highlight w:val="none"/>
                <w14:textFill>
                  <w14:solidFill>
                    <w14:schemeClr w14:val="tx1"/>
                  </w14:solidFill>
                </w14:textFill>
              </w:rPr>
              <w:t>200m</w:t>
            </w:r>
            <w:r>
              <w:rPr>
                <w:rFonts w:ascii="Times New Roman" w:hAnsi="Times New Roman" w:eastAsia="宋体"/>
                <w:color w:val="000000" w:themeColor="text1"/>
                <w:sz w:val="21"/>
                <w:szCs w:val="21"/>
                <w:highlight w:val="none"/>
                <w14:textFill>
                  <w14:solidFill>
                    <w14:schemeClr w14:val="tx1"/>
                  </w14:solidFill>
                </w14:textFill>
              </w:rPr>
              <w:t>□</w:t>
            </w:r>
          </w:p>
        </w:tc>
        <w:tc>
          <w:tcPr>
            <w:tcW w:w="1376" w:type="pct"/>
            <w:gridSpan w:val="7"/>
            <w:vAlign w:val="center"/>
          </w:tcPr>
          <w:p w14:paraId="105D7248">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小于</w:t>
            </w:r>
            <w:r>
              <w:rPr>
                <w:rFonts w:hint="eastAsia" w:ascii="Times New Roman" w:hAnsi="Times New Roman" w:eastAsia="宋体"/>
                <w:color w:val="000000" w:themeColor="text1"/>
                <w:sz w:val="21"/>
                <w:szCs w:val="21"/>
                <w:highlight w:val="none"/>
                <w14:textFill>
                  <w14:solidFill>
                    <w14:schemeClr w14:val="tx1"/>
                  </w14:solidFill>
                </w14:textFill>
              </w:rPr>
              <w:t>200m</w:t>
            </w:r>
            <w:r>
              <w:rPr>
                <w:rFonts w:ascii="Times New Roman" w:hAnsi="Times New Roman" w:eastAsia="宋体"/>
                <w:color w:val="000000" w:themeColor="text1"/>
                <w:sz w:val="21"/>
                <w:szCs w:val="21"/>
                <w:highlight w:val="none"/>
                <w14:textFill>
                  <w14:solidFill>
                    <w14:schemeClr w14:val="tx1"/>
                  </w14:solidFill>
                </w14:textFill>
              </w:rPr>
              <w:t>□</w:t>
            </w:r>
          </w:p>
        </w:tc>
      </w:tr>
      <w:tr w14:paraId="31F527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Merge w:val="continue"/>
            <w:vAlign w:val="center"/>
          </w:tcPr>
          <w:p w14:paraId="7657097E">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861" w:type="pct"/>
            <w:vAlign w:val="center"/>
          </w:tcPr>
          <w:p w14:paraId="084F1248">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预测因子</w:t>
            </w:r>
          </w:p>
        </w:tc>
        <w:tc>
          <w:tcPr>
            <w:tcW w:w="3516" w:type="pct"/>
            <w:gridSpan w:val="18"/>
            <w:vAlign w:val="center"/>
          </w:tcPr>
          <w:p w14:paraId="01ACE901">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等效连续A声级</w:t>
            </w:r>
            <w:r>
              <w:rPr>
                <w:rFonts w:hint="eastAsia" w:ascii="Times New Roman" w:hAnsi="Times New Roman" w:eastAsia="宋体"/>
                <w:color w:val="000000" w:themeColor="text1"/>
                <w:sz w:val="21"/>
                <w:szCs w:val="21"/>
                <w:highlight w:val="none"/>
                <w14:textFill>
                  <w14:solidFill>
                    <w14:schemeClr w14:val="tx1"/>
                  </w14:solidFill>
                </w14:textFill>
              </w:rPr>
              <w:t>√ 最大A声级</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 xml:space="preserve">  计权等效连续感觉噪声级</w:t>
            </w:r>
            <w:r>
              <w:rPr>
                <w:rFonts w:ascii="Times New Roman" w:hAnsi="Times New Roman" w:eastAsia="宋体"/>
                <w:color w:val="000000" w:themeColor="text1"/>
                <w:sz w:val="21"/>
                <w:szCs w:val="21"/>
                <w:highlight w:val="none"/>
                <w14:textFill>
                  <w14:solidFill>
                    <w14:schemeClr w14:val="tx1"/>
                  </w14:solidFill>
                </w14:textFill>
              </w:rPr>
              <w:t>□</w:t>
            </w:r>
          </w:p>
        </w:tc>
      </w:tr>
      <w:tr w14:paraId="66012F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Merge w:val="continue"/>
            <w:vAlign w:val="center"/>
          </w:tcPr>
          <w:p w14:paraId="680E0191">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861" w:type="pct"/>
            <w:vAlign w:val="center"/>
          </w:tcPr>
          <w:p w14:paraId="43486506">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厂界噪声贡献值</w:t>
            </w:r>
          </w:p>
        </w:tc>
        <w:tc>
          <w:tcPr>
            <w:tcW w:w="1738" w:type="pct"/>
            <w:gridSpan w:val="10"/>
            <w:vAlign w:val="center"/>
          </w:tcPr>
          <w:p w14:paraId="0C57DF39">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w:t>
            </w: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1778" w:type="pct"/>
            <w:gridSpan w:val="8"/>
            <w:vAlign w:val="center"/>
          </w:tcPr>
          <w:p w14:paraId="478792AF">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不达标□</w:t>
            </w:r>
          </w:p>
        </w:tc>
      </w:tr>
      <w:tr w14:paraId="5C90A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Merge w:val="continue"/>
            <w:vAlign w:val="center"/>
          </w:tcPr>
          <w:p w14:paraId="35077055">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861" w:type="pct"/>
            <w:vAlign w:val="center"/>
          </w:tcPr>
          <w:p w14:paraId="6513F0A9">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声环境保护目标处噪声值</w:t>
            </w:r>
          </w:p>
        </w:tc>
        <w:tc>
          <w:tcPr>
            <w:tcW w:w="1738" w:type="pct"/>
            <w:gridSpan w:val="10"/>
            <w:vAlign w:val="center"/>
          </w:tcPr>
          <w:p w14:paraId="3567F9EE">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w:t>
            </w:r>
          </w:p>
        </w:tc>
        <w:tc>
          <w:tcPr>
            <w:tcW w:w="1778" w:type="pct"/>
            <w:gridSpan w:val="8"/>
            <w:vAlign w:val="center"/>
          </w:tcPr>
          <w:p w14:paraId="32D2A312">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不达标□</w:t>
            </w:r>
          </w:p>
        </w:tc>
      </w:tr>
      <w:tr w14:paraId="23596F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Merge w:val="restart"/>
            <w:vAlign w:val="center"/>
          </w:tcPr>
          <w:p w14:paraId="1A00D8BE">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环境监测计划</w:t>
            </w:r>
          </w:p>
        </w:tc>
        <w:tc>
          <w:tcPr>
            <w:tcW w:w="861" w:type="pct"/>
            <w:vAlign w:val="center"/>
          </w:tcPr>
          <w:p w14:paraId="23259C53">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排放监测</w:t>
            </w:r>
          </w:p>
        </w:tc>
        <w:tc>
          <w:tcPr>
            <w:tcW w:w="636" w:type="pct"/>
            <w:gridSpan w:val="2"/>
            <w:vAlign w:val="center"/>
          </w:tcPr>
          <w:p w14:paraId="7A66F26A">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厂界监测</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867" w:type="pct"/>
            <w:gridSpan w:val="5"/>
            <w:vAlign w:val="center"/>
          </w:tcPr>
          <w:p w14:paraId="323168F4">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固定位置监测□</w:t>
            </w:r>
          </w:p>
        </w:tc>
        <w:tc>
          <w:tcPr>
            <w:tcW w:w="692" w:type="pct"/>
            <w:gridSpan w:val="5"/>
            <w:vAlign w:val="center"/>
          </w:tcPr>
          <w:p w14:paraId="02D9E593">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自动监测□</w:t>
            </w:r>
          </w:p>
        </w:tc>
        <w:tc>
          <w:tcPr>
            <w:tcW w:w="712" w:type="pct"/>
            <w:gridSpan w:val="5"/>
            <w:vAlign w:val="center"/>
          </w:tcPr>
          <w:p w14:paraId="62A99845">
            <w:pPr>
              <w:spacing w:line="240" w:lineRule="auto"/>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手动监测</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609" w:type="pct"/>
            <w:vAlign w:val="center"/>
          </w:tcPr>
          <w:p w14:paraId="39857385">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无监测□</w:t>
            </w:r>
          </w:p>
        </w:tc>
      </w:tr>
      <w:tr w14:paraId="5B3BDC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Merge w:val="continue"/>
            <w:vAlign w:val="center"/>
          </w:tcPr>
          <w:p w14:paraId="08D7DFFC">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861" w:type="pct"/>
            <w:vAlign w:val="center"/>
          </w:tcPr>
          <w:p w14:paraId="109243A2">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声环境保护目标处噪声监测</w:t>
            </w:r>
          </w:p>
        </w:tc>
        <w:tc>
          <w:tcPr>
            <w:tcW w:w="1064" w:type="pct"/>
            <w:gridSpan w:val="4"/>
            <w:vAlign w:val="center"/>
          </w:tcPr>
          <w:p w14:paraId="712AEE68">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监测因子</w:t>
            </w:r>
            <w:r>
              <w:rPr>
                <w:rFonts w:hint="eastAsia" w:ascii="Times New Roman" w:hAnsi="Times New Roman" w:eastAsia="宋体"/>
                <w:color w:val="000000" w:themeColor="text1"/>
                <w:sz w:val="21"/>
                <w:szCs w:val="21"/>
                <w:highlight w:val="none"/>
                <w14:textFill>
                  <w14:solidFill>
                    <w14:schemeClr w14:val="tx1"/>
                  </w14:solidFill>
                </w14:textFill>
              </w:rPr>
              <w:t>：（厂界噪声）</w:t>
            </w:r>
          </w:p>
        </w:tc>
        <w:tc>
          <w:tcPr>
            <w:tcW w:w="1308" w:type="pct"/>
            <w:gridSpan w:val="9"/>
            <w:vAlign w:val="center"/>
          </w:tcPr>
          <w:p w14:paraId="703931B1">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监测点位数</w:t>
            </w:r>
            <w:r>
              <w:rPr>
                <w:rFonts w:hint="eastAsia" w:ascii="Times New Roman" w:hAnsi="Times New Roman" w:eastAsia="宋体"/>
                <w:color w:val="000000" w:themeColor="text1"/>
                <w:sz w:val="21"/>
                <w:szCs w:val="21"/>
                <w:highlight w:val="none"/>
                <w14:textFill>
                  <w14:solidFill>
                    <w14:schemeClr w14:val="tx1"/>
                  </w14:solidFill>
                </w14:textFill>
              </w:rPr>
              <w:t xml:space="preserve">：（ </w:t>
            </w:r>
            <w:r>
              <w:rPr>
                <w:rFonts w:ascii="Times New Roman" w:hAnsi="Times New Roman" w:eastAsia="宋体"/>
                <w:color w:val="000000" w:themeColor="text1"/>
                <w:sz w:val="21"/>
                <w:szCs w:val="21"/>
                <w:highlight w:val="none"/>
                <w14:textFill>
                  <w14:solidFill>
                    <w14:schemeClr w14:val="tx1"/>
                  </w14:solidFill>
                </w14:textFill>
              </w:rPr>
              <w:t>4</w:t>
            </w:r>
            <w:r>
              <w:rPr>
                <w:rFonts w:hint="eastAsia" w:ascii="Times New Roman" w:hAnsi="Times New Roman" w:eastAsia="宋体"/>
                <w:color w:val="000000" w:themeColor="text1"/>
                <w:sz w:val="21"/>
                <w:szCs w:val="21"/>
                <w:highlight w:val="none"/>
                <w14:textFill>
                  <w14:solidFill>
                    <w14:schemeClr w14:val="tx1"/>
                  </w14:solidFill>
                </w14:textFill>
              </w:rPr>
              <w:t xml:space="preserve"> ）</w:t>
            </w:r>
          </w:p>
        </w:tc>
        <w:tc>
          <w:tcPr>
            <w:tcW w:w="1144" w:type="pct"/>
            <w:gridSpan w:val="5"/>
            <w:vAlign w:val="center"/>
          </w:tcPr>
          <w:p w14:paraId="62EF1618">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无监测□</w:t>
            </w:r>
          </w:p>
        </w:tc>
      </w:tr>
      <w:tr w14:paraId="03535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23" w:type="pct"/>
            <w:vAlign w:val="center"/>
          </w:tcPr>
          <w:p w14:paraId="39E4E22D">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评价结论</w:t>
            </w:r>
          </w:p>
        </w:tc>
        <w:tc>
          <w:tcPr>
            <w:tcW w:w="861" w:type="pct"/>
            <w:vAlign w:val="center"/>
          </w:tcPr>
          <w:p w14:paraId="1E49B971">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环境影响</w:t>
            </w:r>
          </w:p>
        </w:tc>
        <w:tc>
          <w:tcPr>
            <w:tcW w:w="1623" w:type="pct"/>
            <w:gridSpan w:val="8"/>
            <w:vAlign w:val="center"/>
          </w:tcPr>
          <w:p w14:paraId="79734E62">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可行</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1893" w:type="pct"/>
            <w:gridSpan w:val="10"/>
            <w:vAlign w:val="center"/>
          </w:tcPr>
          <w:p w14:paraId="64DD401A">
            <w:pPr>
              <w:spacing w:line="240" w:lineRule="auto"/>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不可行□</w:t>
            </w:r>
          </w:p>
        </w:tc>
      </w:tr>
      <w:tr w14:paraId="03427F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20"/>
            <w:vAlign w:val="center"/>
          </w:tcPr>
          <w:p w14:paraId="0B2C804E">
            <w:pPr>
              <w:spacing w:line="240" w:lineRule="auto"/>
              <w:ind w:firstLine="0" w:firstLineChars="0"/>
              <w:jc w:val="left"/>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注</w:t>
            </w:r>
            <w:r>
              <w:rPr>
                <w:rFonts w:hint="eastAsia"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”为勾选项，可</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 “（  ）”为内容填写项。</w:t>
            </w:r>
          </w:p>
        </w:tc>
      </w:tr>
    </w:tbl>
    <w:p w14:paraId="2803CC5E">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2.5运营期固体废物环境影响分析</w:t>
      </w:r>
      <w:bookmarkEnd w:id="753"/>
      <w:bookmarkEnd w:id="754"/>
      <w:bookmarkEnd w:id="755"/>
    </w:p>
    <w:p w14:paraId="6C3744B6">
      <w:pPr>
        <w:overflowPunct w:val="0"/>
        <w:topLinePunct/>
        <w:ind w:firstLine="480"/>
        <w:rPr>
          <w:rFonts w:hint="eastAsia" w:eastAsia="宋体"/>
          <w:color w:val="000000" w:themeColor="text1"/>
          <w:kern w:val="0"/>
          <w:highlight w:val="none"/>
          <w:lang w:eastAsia="zh-CN"/>
          <w14:textFill>
            <w14:solidFill>
              <w14:schemeClr w14:val="tx1"/>
            </w14:solidFill>
          </w14:textFill>
        </w:rPr>
      </w:pPr>
      <w:bookmarkStart w:id="757" w:name="_Toc30610"/>
      <w:bookmarkStart w:id="758" w:name="_Toc23050"/>
      <w:bookmarkStart w:id="759" w:name="_Toc28226"/>
      <w:r>
        <w:rPr>
          <w:rFonts w:hint="eastAsia"/>
          <w:color w:val="000000" w:themeColor="text1"/>
          <w:kern w:val="0"/>
          <w:highlight w:val="none"/>
          <w14:textFill>
            <w14:solidFill>
              <w14:schemeClr w14:val="tx1"/>
            </w14:solidFill>
          </w14:textFill>
        </w:rPr>
        <w:t>本项目运营期固体废物主要来源于选矿工序产生的尾矿砂、</w:t>
      </w:r>
      <w:r>
        <w:rPr>
          <w:rFonts w:hint="eastAsia"/>
          <w:color w:val="000000" w:themeColor="text1"/>
          <w:kern w:val="0"/>
          <w:highlight w:val="none"/>
          <w:lang w:eastAsia="zh-CN"/>
          <w14:textFill>
            <w14:solidFill>
              <w14:schemeClr w14:val="tx1"/>
            </w14:solidFill>
          </w14:textFill>
        </w:rPr>
        <w:t>干选废石</w:t>
      </w:r>
      <w:r>
        <w:rPr>
          <w:rFonts w:hint="eastAsia"/>
          <w:color w:val="000000" w:themeColor="text1"/>
          <w:kern w:val="0"/>
          <w:highlight w:val="none"/>
          <w14:textFill>
            <w14:solidFill>
              <w14:schemeClr w14:val="tx1"/>
            </w14:solidFill>
          </w14:textFill>
        </w:rPr>
        <w:t>、除尘灰（除尘器收集的粉尘）、生活</w:t>
      </w:r>
      <w:r>
        <w:rPr>
          <w:rFonts w:hint="eastAsia"/>
          <w:color w:val="000000" w:themeColor="text1"/>
          <w:highlight w:val="none"/>
          <w14:textFill>
            <w14:solidFill>
              <w14:schemeClr w14:val="tx1"/>
            </w14:solidFill>
          </w14:textFill>
        </w:rPr>
        <w:t>污水处理设施底泥、</w:t>
      </w:r>
      <w:r>
        <w:rPr>
          <w:rFonts w:hint="eastAsia"/>
          <w:color w:val="000000" w:themeColor="text1"/>
          <w:kern w:val="0"/>
          <w:highlight w:val="none"/>
          <w14:textFill>
            <w14:solidFill>
              <w14:schemeClr w14:val="tx1"/>
            </w14:solidFill>
          </w14:textFill>
        </w:rPr>
        <w:t>废布袋、循环水池底泥、生活垃圾及少量废机油、废油桶</w:t>
      </w:r>
      <w:r>
        <w:rPr>
          <w:rFonts w:hint="eastAsia"/>
          <w:color w:val="000000" w:themeColor="text1"/>
          <w:kern w:val="0"/>
          <w:highlight w:val="none"/>
          <w:lang w:val="en-US" w:eastAsia="zh-CN"/>
          <w14:textFill>
            <w14:solidFill>
              <w14:schemeClr w14:val="tx1"/>
            </w14:solidFill>
          </w14:textFill>
        </w:rPr>
        <w:t>等。</w:t>
      </w:r>
    </w:p>
    <w:p w14:paraId="6D12C063">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1</w:t>
      </w:r>
      <w:r>
        <w:rPr>
          <w:rFonts w:hint="eastAsia"/>
          <w:color w:val="000000" w:themeColor="text1"/>
          <w:kern w:val="0"/>
          <w:highlight w:val="none"/>
          <w14:textFill>
            <w14:solidFill>
              <w14:schemeClr w14:val="tx1"/>
            </w14:solidFill>
          </w14:textFill>
        </w:rPr>
        <w:t>）尾矿砂</w:t>
      </w:r>
    </w:p>
    <w:p w14:paraId="242B73B9">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本项目尾矿主要为磨矿选别过程中产生的尾矿砂</w:t>
      </w:r>
      <w:r>
        <w:rPr>
          <w:rFonts w:hint="eastAsia"/>
          <w:color w:val="000000" w:themeColor="text1"/>
          <w:kern w:val="0"/>
          <w:highlight w:val="none"/>
          <w:lang w:val="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固体废物代码：081-001-S05</w:t>
      </w:r>
      <w:r>
        <w:rPr>
          <w:rFonts w:hint="eastAsia"/>
          <w:color w:val="000000" w:themeColor="text1"/>
          <w:kern w:val="0"/>
          <w:highlight w:val="none"/>
          <w:lang w:val="zh-CN"/>
          <w14:textFill>
            <w14:solidFill>
              <w14:schemeClr w14:val="tx1"/>
            </w14:solidFill>
          </w14:textFill>
        </w:rPr>
        <w:t>）</w:t>
      </w:r>
      <w:r>
        <w:rPr>
          <w:rFonts w:hint="eastAsia"/>
          <w:color w:val="000000" w:themeColor="text1"/>
          <w:kern w:val="0"/>
          <w:highlight w:val="none"/>
          <w14:textFill>
            <w14:solidFill>
              <w14:schemeClr w14:val="tx1"/>
            </w14:solidFill>
          </w14:textFill>
        </w:rPr>
        <w:t>。</w:t>
      </w:r>
    </w:p>
    <w:p w14:paraId="2F82E672">
      <w:pPr>
        <w:overflowPunct w:val="0"/>
        <w:topLinePunct/>
        <w:ind w:firstLine="480"/>
        <w:rPr>
          <w:rFonts w:hint="eastAsia"/>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为了解尾矿砂的性质，建设单位于2</w:t>
      </w:r>
      <w:r>
        <w:rPr>
          <w:color w:val="000000" w:themeColor="text1"/>
          <w:kern w:val="0"/>
          <w:highlight w:val="none"/>
          <w14:textFill>
            <w14:solidFill>
              <w14:schemeClr w14:val="tx1"/>
            </w14:solidFill>
          </w14:textFill>
        </w:rPr>
        <w:t>022</w:t>
      </w:r>
      <w:r>
        <w:rPr>
          <w:rFonts w:hint="eastAsia"/>
          <w:color w:val="000000" w:themeColor="text1"/>
          <w:kern w:val="0"/>
          <w:highlight w:val="none"/>
          <w14:textFill>
            <w14:solidFill>
              <w14:schemeClr w14:val="tx1"/>
            </w14:solidFill>
          </w14:textFill>
        </w:rPr>
        <w:t>年</w:t>
      </w:r>
      <w:r>
        <w:rPr>
          <w:rFonts w:hint="eastAsia"/>
          <w:color w:val="000000" w:themeColor="text1"/>
          <w:kern w:val="0"/>
          <w:highlight w:val="none"/>
          <w:lang w:val="en-US" w:eastAsia="zh-CN"/>
          <w14:textFill>
            <w14:solidFill>
              <w14:schemeClr w14:val="tx1"/>
            </w14:solidFill>
          </w14:textFill>
        </w:rPr>
        <w:t>12</w:t>
      </w:r>
      <w:r>
        <w:rPr>
          <w:rFonts w:hint="eastAsia"/>
          <w:color w:val="000000" w:themeColor="text1"/>
          <w:kern w:val="0"/>
          <w:highlight w:val="none"/>
          <w14:textFill>
            <w14:solidFill>
              <w14:schemeClr w14:val="tx1"/>
            </w14:solidFill>
          </w14:textFill>
        </w:rPr>
        <w:t>月委托</w:t>
      </w:r>
      <w:r>
        <w:rPr>
          <w:rFonts w:hint="eastAsia"/>
          <w:color w:val="000000" w:themeColor="text1"/>
          <w:kern w:val="0"/>
          <w:highlight w:val="none"/>
          <w:lang w:val="en-US" w:eastAsia="zh-CN"/>
          <w14:textFill>
            <w14:solidFill>
              <w14:schemeClr w14:val="tx1"/>
            </w14:solidFill>
          </w14:textFill>
        </w:rPr>
        <w:t>新疆环疆绿源环保科技</w:t>
      </w:r>
      <w:r>
        <w:rPr>
          <w:rFonts w:hint="eastAsia"/>
          <w:color w:val="000000" w:themeColor="text1"/>
          <w:kern w:val="0"/>
          <w:highlight w:val="none"/>
          <w14:textFill>
            <w14:solidFill>
              <w14:schemeClr w14:val="tx1"/>
            </w14:solidFill>
          </w14:textFill>
        </w:rPr>
        <w:t>有限公司</w:t>
      </w:r>
      <w:r>
        <w:rPr>
          <w:rFonts w:hint="eastAsia"/>
          <w:color w:val="000000" w:themeColor="text1"/>
          <w:kern w:val="0"/>
          <w:highlight w:val="none"/>
          <w:lang w:val="en-US" w:eastAsia="zh-CN"/>
          <w14:textFill>
            <w14:solidFill>
              <w14:schemeClr w14:val="tx1"/>
            </w14:solidFill>
          </w14:textFill>
        </w:rPr>
        <w:t>对尾矿砂</w:t>
      </w:r>
      <w:r>
        <w:rPr>
          <w:rFonts w:hint="eastAsia"/>
          <w:color w:val="000000" w:themeColor="text1"/>
          <w:kern w:val="0"/>
          <w:highlight w:val="none"/>
          <w14:textFill>
            <w14:solidFill>
              <w14:schemeClr w14:val="tx1"/>
            </w14:solidFill>
          </w14:textFill>
        </w:rPr>
        <w:t>进行浸出毒性鉴别分析（浸出毒性检测报告见附件）。根据该分析结果，对照《危险废物鉴别标准 浸出毒性鉴别》</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14:textFill>
            <w14:solidFill>
              <w14:schemeClr w14:val="tx1"/>
            </w14:solidFill>
          </w14:textFill>
        </w:rPr>
        <w:t>GB5085.3-2007</w:t>
      </w:r>
      <w:r>
        <w:rPr>
          <w:rFonts w:hint="eastAsia"/>
          <w:color w:val="000000" w:themeColor="text1"/>
          <w:kern w:val="0"/>
          <w:highlight w:val="none"/>
          <w:lang w:eastAsia="zh-CN"/>
          <w14:textFill>
            <w14:solidFill>
              <w14:schemeClr w14:val="tx1"/>
            </w14:solidFill>
          </w14:textFill>
        </w:rPr>
        <w:t>）和</w:t>
      </w: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危险废物鉴别标准 腐蚀性鉴别</w:t>
      </w: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14:textFill>
            <w14:solidFill>
              <w14:schemeClr w14:val="tx1"/>
            </w14:solidFill>
          </w14:textFill>
        </w:rPr>
        <w:t>GB508</w:t>
      </w:r>
      <w:r>
        <w:rPr>
          <w:rFonts w:hint="eastAsia"/>
          <w:color w:val="000000" w:themeColor="text1"/>
          <w:kern w:val="0"/>
          <w:highlight w:val="none"/>
          <w:lang w:val="en-US" w:eastAsia="zh-CN"/>
          <w14:textFill>
            <w14:solidFill>
              <w14:schemeClr w14:val="tx1"/>
            </w14:solidFill>
          </w14:textFill>
        </w:rPr>
        <w:t>5</w:t>
      </w:r>
      <w:r>
        <w:rPr>
          <w:rFonts w:hint="eastAsia"/>
          <w:color w:val="000000" w:themeColor="text1"/>
          <w:kern w:val="0"/>
          <w:highlight w:val="none"/>
          <w14:textFill>
            <w14:solidFill>
              <w14:schemeClr w14:val="tx1"/>
            </w14:solidFill>
          </w14:textFill>
        </w:rPr>
        <w:t>.1-1997）中的鉴别标准进行分析判断尾矿砂的性质，对照《污水综合排放标准》（GB8978-1996）中最高允许排放浓度来确定固体废物类别，具体分析详见表5.2-</w:t>
      </w:r>
      <w:r>
        <w:rPr>
          <w:rFonts w:hint="eastAsia"/>
          <w:color w:val="000000" w:themeColor="text1"/>
          <w:kern w:val="0"/>
          <w:highlight w:val="none"/>
          <w:lang w:val="en-US" w:eastAsia="zh-CN"/>
          <w14:textFill>
            <w14:solidFill>
              <w14:schemeClr w14:val="tx1"/>
            </w14:solidFill>
          </w14:textFill>
        </w:rPr>
        <w:t>12</w:t>
      </w:r>
      <w:r>
        <w:rPr>
          <w:rFonts w:hint="eastAsia"/>
          <w:color w:val="000000" w:themeColor="text1"/>
          <w:kern w:val="0"/>
          <w:highlight w:val="none"/>
          <w14:textFill>
            <w14:solidFill>
              <w14:schemeClr w14:val="tx1"/>
            </w14:solidFill>
          </w14:textFill>
        </w:rPr>
        <w:t>。</w:t>
      </w:r>
    </w:p>
    <w:p w14:paraId="6DF95830">
      <w:pPr>
        <w:overflowPunct w:val="0"/>
        <w:topLinePunct/>
        <w:ind w:firstLine="480"/>
        <w:rPr>
          <w:rFonts w:hint="eastAsia"/>
          <w:color w:val="000000" w:themeColor="text1"/>
          <w:kern w:val="0"/>
          <w:highlight w:val="none"/>
          <w14:textFill>
            <w14:solidFill>
              <w14:schemeClr w14:val="tx1"/>
            </w14:solidFill>
          </w14:textFill>
        </w:rPr>
      </w:pPr>
    </w:p>
    <w:p w14:paraId="49E7344D">
      <w:pPr>
        <w:overflowPunct w:val="0"/>
        <w:topLinePunct/>
        <w:ind w:firstLine="480"/>
        <w:rPr>
          <w:rFonts w:hint="eastAsia"/>
          <w:color w:val="000000" w:themeColor="text1"/>
          <w:kern w:val="0"/>
          <w:highlight w:val="none"/>
          <w14:textFill>
            <w14:solidFill>
              <w14:schemeClr w14:val="tx1"/>
            </w14:solidFill>
          </w14:textFill>
        </w:rPr>
      </w:pPr>
    </w:p>
    <w:p w14:paraId="08A6C8ED">
      <w:pPr>
        <w:overflowPunct w:val="0"/>
        <w:topLinePunct/>
        <w:ind w:firstLine="480"/>
        <w:rPr>
          <w:rFonts w:hint="eastAsia"/>
          <w:color w:val="000000" w:themeColor="text1"/>
          <w:kern w:val="0"/>
          <w:highlight w:val="none"/>
          <w14:textFill>
            <w14:solidFill>
              <w14:schemeClr w14:val="tx1"/>
            </w14:solidFill>
          </w14:textFill>
        </w:rPr>
      </w:pPr>
    </w:p>
    <w:p w14:paraId="5984B4BA">
      <w:pPr>
        <w:overflowPunct w:val="0"/>
        <w:topLinePunct/>
        <w:ind w:firstLine="480"/>
        <w:rPr>
          <w:rFonts w:hint="eastAsia"/>
          <w:color w:val="000000" w:themeColor="text1"/>
          <w:kern w:val="0"/>
          <w:highlight w:val="none"/>
          <w14:textFill>
            <w14:solidFill>
              <w14:schemeClr w14:val="tx1"/>
            </w14:solidFill>
          </w14:textFill>
        </w:rPr>
      </w:pPr>
    </w:p>
    <w:p w14:paraId="50B1C858">
      <w:pPr>
        <w:ind w:left="0" w:leftChars="0" w:firstLine="0" w:firstLineChars="0"/>
        <w:jc w:val="center"/>
        <w:rPr>
          <w:b/>
          <w:bCs/>
          <w:color w:val="000000" w:themeColor="text1"/>
          <w:highlight w:val="none"/>
          <w:lang w:val="zh-CN"/>
          <w14:textFill>
            <w14:solidFill>
              <w14:schemeClr w14:val="tx1"/>
            </w14:solidFill>
          </w14:textFill>
        </w:rPr>
      </w:pPr>
      <w:r>
        <w:rPr>
          <w:rFonts w:hint="eastAsia"/>
          <w:b/>
          <w:bCs/>
          <w:color w:val="000000" w:themeColor="text1"/>
          <w:highlight w:val="none"/>
          <w:lang w:val="zh-CN"/>
          <w14:textFill>
            <w14:solidFill>
              <w14:schemeClr w14:val="tx1"/>
            </w14:solidFill>
          </w14:textFill>
        </w:rPr>
        <w:t>表5.2-</w:t>
      </w:r>
      <w:r>
        <w:rPr>
          <w:rFonts w:hint="eastAsia"/>
          <w:b/>
          <w:bCs/>
          <w:color w:val="000000" w:themeColor="text1"/>
          <w:highlight w:val="none"/>
          <w:lang w:val="en-US" w:eastAsia="zh-CN"/>
          <w14:textFill>
            <w14:solidFill>
              <w14:schemeClr w14:val="tx1"/>
            </w14:solidFill>
          </w14:textFill>
        </w:rPr>
        <w:t>12</w:t>
      </w:r>
      <w:r>
        <w:rPr>
          <w:b/>
          <w:bCs/>
          <w:color w:val="000000" w:themeColor="text1"/>
          <w:highlight w:val="none"/>
          <w:lang w:val="zh-CN"/>
          <w14:textFill>
            <w14:solidFill>
              <w14:schemeClr w14:val="tx1"/>
            </w14:solidFill>
          </w14:textFill>
        </w:rPr>
        <w:t xml:space="preserve">    </w:t>
      </w:r>
      <w:r>
        <w:rPr>
          <w:rFonts w:hint="eastAsia"/>
          <w:b/>
          <w:bCs/>
          <w:color w:val="000000" w:themeColor="text1"/>
          <w:highlight w:val="none"/>
          <w:lang w:val="zh-CN"/>
          <w14:textFill>
            <w14:solidFill>
              <w14:schemeClr w14:val="tx1"/>
            </w14:solidFill>
          </w14:textFill>
        </w:rPr>
        <w:t>尾矿砂浸出试验结果</w:t>
      </w:r>
    </w:p>
    <w:tbl>
      <w:tblPr>
        <w:tblStyle w:val="32"/>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82"/>
        <w:gridCol w:w="1127"/>
        <w:gridCol w:w="852"/>
        <w:gridCol w:w="900"/>
        <w:gridCol w:w="2928"/>
        <w:gridCol w:w="2133"/>
      </w:tblGrid>
      <w:tr w14:paraId="6B8CE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2" w:type="dxa"/>
            <w:vAlign w:val="center"/>
          </w:tcPr>
          <w:p w14:paraId="23EB6D66">
            <w:pPr>
              <w:tabs>
                <w:tab w:val="left" w:pos="576"/>
              </w:tabs>
              <w:spacing w:line="360" w:lineRule="exact"/>
              <w:ind w:left="-72" w:leftChars="-30" w:right="-72" w:rightChars="-30" w:firstLine="0" w:firstLineChars="0"/>
              <w:jc w:val="center"/>
              <w:rPr>
                <w:b/>
                <w:snapToGrid w:val="0"/>
                <w:color w:val="000000" w:themeColor="text1"/>
                <w:kern w:val="0"/>
                <w:sz w:val="21"/>
                <w:highlight w:val="none"/>
                <w14:textFill>
                  <w14:solidFill>
                    <w14:schemeClr w14:val="tx1"/>
                  </w14:solidFill>
                </w14:textFill>
              </w:rPr>
            </w:pPr>
            <w:r>
              <w:rPr>
                <w:rFonts w:hint="eastAsia"/>
                <w:b/>
                <w:snapToGrid w:val="0"/>
                <w:color w:val="000000" w:themeColor="text1"/>
                <w:kern w:val="0"/>
                <w:sz w:val="21"/>
                <w:highlight w:val="none"/>
                <w:lang w:bidi="ar"/>
                <w14:textFill>
                  <w14:solidFill>
                    <w14:schemeClr w14:val="tx1"/>
                  </w14:solidFill>
                </w14:textFill>
              </w:rPr>
              <w:t>序号</w:t>
            </w:r>
          </w:p>
        </w:tc>
        <w:tc>
          <w:tcPr>
            <w:tcW w:w="1127" w:type="dxa"/>
            <w:vAlign w:val="center"/>
          </w:tcPr>
          <w:p w14:paraId="0B531107">
            <w:pPr>
              <w:tabs>
                <w:tab w:val="left" w:pos="576"/>
              </w:tabs>
              <w:spacing w:line="360" w:lineRule="exact"/>
              <w:ind w:left="-72" w:leftChars="-30" w:right="-72" w:rightChars="-30" w:firstLine="0" w:firstLineChars="0"/>
              <w:jc w:val="center"/>
              <w:rPr>
                <w:b/>
                <w:snapToGrid w:val="0"/>
                <w:color w:val="000000" w:themeColor="text1"/>
                <w:kern w:val="0"/>
                <w:sz w:val="21"/>
                <w:highlight w:val="none"/>
                <w14:textFill>
                  <w14:solidFill>
                    <w14:schemeClr w14:val="tx1"/>
                  </w14:solidFill>
                </w14:textFill>
              </w:rPr>
            </w:pPr>
            <w:r>
              <w:rPr>
                <w:rFonts w:hint="eastAsia"/>
                <w:b/>
                <w:snapToGrid w:val="0"/>
                <w:color w:val="000000" w:themeColor="text1"/>
                <w:kern w:val="0"/>
                <w:sz w:val="21"/>
                <w:highlight w:val="none"/>
                <w:lang w:bidi="ar"/>
                <w14:textFill>
                  <w14:solidFill>
                    <w14:schemeClr w14:val="tx1"/>
                  </w14:solidFill>
                </w14:textFill>
              </w:rPr>
              <w:t>监测项目</w:t>
            </w:r>
          </w:p>
        </w:tc>
        <w:tc>
          <w:tcPr>
            <w:tcW w:w="852" w:type="dxa"/>
            <w:vAlign w:val="center"/>
          </w:tcPr>
          <w:p w14:paraId="79F055C0">
            <w:pPr>
              <w:tabs>
                <w:tab w:val="left" w:pos="576"/>
              </w:tabs>
              <w:spacing w:line="360" w:lineRule="exact"/>
              <w:ind w:left="-72" w:leftChars="-30" w:right="-72" w:rightChars="-30" w:firstLine="0" w:firstLineChars="0"/>
              <w:jc w:val="center"/>
              <w:rPr>
                <w:b/>
                <w:snapToGrid w:val="0"/>
                <w:color w:val="000000" w:themeColor="text1"/>
                <w:kern w:val="0"/>
                <w:sz w:val="21"/>
                <w:highlight w:val="none"/>
                <w:lang w:bidi="ar"/>
                <w14:textFill>
                  <w14:solidFill>
                    <w14:schemeClr w14:val="tx1"/>
                  </w14:solidFill>
                </w14:textFill>
              </w:rPr>
            </w:pPr>
            <w:r>
              <w:rPr>
                <w:rFonts w:hint="eastAsia"/>
                <w:b/>
                <w:snapToGrid w:val="0"/>
                <w:color w:val="000000" w:themeColor="text1"/>
                <w:kern w:val="0"/>
                <w:sz w:val="21"/>
                <w:highlight w:val="none"/>
                <w:lang w:bidi="ar"/>
                <w14:textFill>
                  <w14:solidFill>
                    <w14:schemeClr w14:val="tx1"/>
                  </w14:solidFill>
                </w14:textFill>
              </w:rPr>
              <w:t>单位</w:t>
            </w:r>
          </w:p>
        </w:tc>
        <w:tc>
          <w:tcPr>
            <w:tcW w:w="900" w:type="dxa"/>
            <w:vAlign w:val="center"/>
          </w:tcPr>
          <w:p w14:paraId="12CF4432">
            <w:pPr>
              <w:tabs>
                <w:tab w:val="left" w:pos="576"/>
              </w:tabs>
              <w:spacing w:line="360" w:lineRule="exact"/>
              <w:ind w:left="-72" w:leftChars="-30" w:right="-72" w:rightChars="-30" w:firstLine="0" w:firstLineChars="0"/>
              <w:jc w:val="center"/>
              <w:rPr>
                <w:b/>
                <w:snapToGrid w:val="0"/>
                <w:color w:val="000000" w:themeColor="text1"/>
                <w:kern w:val="0"/>
                <w:sz w:val="21"/>
                <w:highlight w:val="none"/>
                <w14:textFill>
                  <w14:solidFill>
                    <w14:schemeClr w14:val="tx1"/>
                  </w14:solidFill>
                </w14:textFill>
              </w:rPr>
            </w:pPr>
            <w:r>
              <w:rPr>
                <w:rFonts w:hint="eastAsia"/>
                <w:b/>
                <w:snapToGrid w:val="0"/>
                <w:color w:val="000000" w:themeColor="text1"/>
                <w:kern w:val="0"/>
                <w:sz w:val="21"/>
                <w:highlight w:val="none"/>
                <w:lang w:bidi="ar"/>
                <w14:textFill>
                  <w14:solidFill>
                    <w14:schemeClr w14:val="tx1"/>
                  </w14:solidFill>
                </w14:textFill>
              </w:rPr>
              <w:t>监测值</w:t>
            </w:r>
          </w:p>
        </w:tc>
        <w:tc>
          <w:tcPr>
            <w:tcW w:w="2928" w:type="dxa"/>
            <w:vAlign w:val="center"/>
          </w:tcPr>
          <w:p w14:paraId="181E99FF">
            <w:pPr>
              <w:tabs>
                <w:tab w:val="left" w:pos="576"/>
              </w:tabs>
              <w:spacing w:line="360" w:lineRule="exact"/>
              <w:ind w:left="-72" w:leftChars="-30" w:right="-72" w:rightChars="-30" w:firstLine="0" w:firstLineChars="0"/>
              <w:jc w:val="center"/>
              <w:rPr>
                <w:b/>
                <w:snapToGrid w:val="0"/>
                <w:color w:val="000000" w:themeColor="text1"/>
                <w:kern w:val="0"/>
                <w:sz w:val="21"/>
                <w:highlight w:val="none"/>
                <w14:textFill>
                  <w14:solidFill>
                    <w14:schemeClr w14:val="tx1"/>
                  </w14:solidFill>
                </w14:textFill>
              </w:rPr>
            </w:pPr>
            <w:r>
              <w:rPr>
                <w:rFonts w:hint="eastAsia"/>
                <w:b/>
                <w:snapToGrid w:val="0"/>
                <w:color w:val="000000" w:themeColor="text1"/>
                <w:kern w:val="0"/>
                <w:sz w:val="21"/>
                <w:highlight w:val="none"/>
                <w:lang w:bidi="ar"/>
                <w14:textFill>
                  <w14:solidFill>
                    <w14:schemeClr w14:val="tx1"/>
                  </w14:solidFill>
                </w14:textFill>
              </w:rPr>
              <w:t>《危险废物鉴别标准-浸出毒性鉴别》（</w:t>
            </w:r>
            <w:r>
              <w:rPr>
                <w:b/>
                <w:snapToGrid w:val="0"/>
                <w:color w:val="000000" w:themeColor="text1"/>
                <w:kern w:val="0"/>
                <w:sz w:val="21"/>
                <w:highlight w:val="none"/>
                <w:lang w:bidi="ar"/>
                <w14:textFill>
                  <w14:solidFill>
                    <w14:schemeClr w14:val="tx1"/>
                  </w14:solidFill>
                </w14:textFill>
              </w:rPr>
              <w:t>GB5085.3-2007</w:t>
            </w:r>
            <w:r>
              <w:rPr>
                <w:rFonts w:hint="eastAsia"/>
                <w:b/>
                <w:snapToGrid w:val="0"/>
                <w:color w:val="000000" w:themeColor="text1"/>
                <w:kern w:val="0"/>
                <w:sz w:val="21"/>
                <w:highlight w:val="none"/>
                <w:lang w:bidi="ar"/>
                <w14:textFill>
                  <w14:solidFill>
                    <w14:schemeClr w14:val="tx1"/>
                  </w14:solidFill>
                </w14:textFill>
              </w:rPr>
              <w:t>）</w:t>
            </w:r>
          </w:p>
        </w:tc>
        <w:tc>
          <w:tcPr>
            <w:tcW w:w="2133" w:type="dxa"/>
            <w:vAlign w:val="center"/>
          </w:tcPr>
          <w:p w14:paraId="33B5E026">
            <w:pPr>
              <w:tabs>
                <w:tab w:val="left" w:pos="576"/>
              </w:tabs>
              <w:spacing w:line="360" w:lineRule="exact"/>
              <w:ind w:left="-72" w:leftChars="-30" w:right="-72" w:rightChars="-30" w:firstLine="0" w:firstLineChars="0"/>
              <w:jc w:val="center"/>
              <w:rPr>
                <w:b/>
                <w:snapToGrid w:val="0"/>
                <w:color w:val="000000" w:themeColor="text1"/>
                <w:kern w:val="0"/>
                <w:sz w:val="21"/>
                <w:highlight w:val="none"/>
                <w14:textFill>
                  <w14:solidFill>
                    <w14:schemeClr w14:val="tx1"/>
                  </w14:solidFill>
                </w14:textFill>
              </w:rPr>
            </w:pPr>
            <w:r>
              <w:rPr>
                <w:rFonts w:hint="eastAsia"/>
                <w:b/>
                <w:snapToGrid w:val="0"/>
                <w:color w:val="000000" w:themeColor="text1"/>
                <w:kern w:val="0"/>
                <w:sz w:val="21"/>
                <w:highlight w:val="none"/>
                <w:lang w:bidi="ar"/>
                <w14:textFill>
                  <w14:solidFill>
                    <w14:schemeClr w14:val="tx1"/>
                  </w14:solidFill>
                </w14:textFill>
              </w:rPr>
              <w:t>《污水综合排放标准》（</w:t>
            </w:r>
            <w:r>
              <w:rPr>
                <w:b/>
                <w:snapToGrid w:val="0"/>
                <w:color w:val="000000" w:themeColor="text1"/>
                <w:kern w:val="0"/>
                <w:sz w:val="21"/>
                <w:highlight w:val="none"/>
                <w:lang w:bidi="ar"/>
                <w14:textFill>
                  <w14:solidFill>
                    <w14:schemeClr w14:val="tx1"/>
                  </w14:solidFill>
                </w14:textFill>
              </w:rPr>
              <w:t>GB8978-1996</w:t>
            </w:r>
            <w:r>
              <w:rPr>
                <w:rFonts w:hint="eastAsia"/>
                <w:b/>
                <w:snapToGrid w:val="0"/>
                <w:color w:val="000000" w:themeColor="text1"/>
                <w:kern w:val="0"/>
                <w:sz w:val="21"/>
                <w:highlight w:val="none"/>
                <w:lang w:bidi="ar"/>
                <w14:textFill>
                  <w14:solidFill>
                    <w14:schemeClr w14:val="tx1"/>
                  </w14:solidFill>
                </w14:textFill>
              </w:rPr>
              <w:t>）</w:t>
            </w:r>
          </w:p>
        </w:tc>
      </w:tr>
      <w:tr w14:paraId="14314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82" w:type="dxa"/>
            <w:vAlign w:val="center"/>
          </w:tcPr>
          <w:p w14:paraId="5D5C59D0">
            <w:pPr>
              <w:tabs>
                <w:tab w:val="left" w:pos="576"/>
              </w:tabs>
              <w:spacing w:line="360" w:lineRule="exact"/>
              <w:ind w:firstLine="0" w:firstLineChars="0"/>
              <w:jc w:val="center"/>
              <w:rPr>
                <w:snapToGrid w:val="0"/>
                <w:color w:val="000000" w:themeColor="text1"/>
                <w:kern w:val="0"/>
                <w:sz w:val="21"/>
                <w:highlight w:val="none"/>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1</w:t>
            </w:r>
          </w:p>
        </w:tc>
        <w:tc>
          <w:tcPr>
            <w:tcW w:w="1127" w:type="dxa"/>
            <w:vAlign w:val="center"/>
          </w:tcPr>
          <w:p w14:paraId="1197DDCE">
            <w:pPr>
              <w:tabs>
                <w:tab w:val="left" w:pos="576"/>
              </w:tabs>
              <w:spacing w:line="360" w:lineRule="exact"/>
              <w:ind w:firstLine="0" w:firstLineChars="0"/>
              <w:jc w:val="center"/>
              <w:rPr>
                <w:snapToGrid w:val="0"/>
                <w:color w:val="000000" w:themeColor="text1"/>
                <w:kern w:val="0"/>
                <w:sz w:val="21"/>
                <w:highlight w:val="none"/>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pH</w:t>
            </w:r>
          </w:p>
        </w:tc>
        <w:tc>
          <w:tcPr>
            <w:tcW w:w="852" w:type="dxa"/>
            <w:vAlign w:val="center"/>
          </w:tcPr>
          <w:p w14:paraId="6324E9FD">
            <w:pPr>
              <w:tabs>
                <w:tab w:val="left" w:pos="576"/>
              </w:tabs>
              <w:spacing w:line="360" w:lineRule="exact"/>
              <w:ind w:firstLine="0" w:firstLineChars="0"/>
              <w:jc w:val="center"/>
              <w:rPr>
                <w:snapToGrid w:val="0"/>
                <w:color w:val="000000" w:themeColor="text1"/>
                <w:kern w:val="0"/>
                <w:sz w:val="21"/>
                <w:highlight w:val="none"/>
                <w:lang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无量纲</w:t>
            </w:r>
          </w:p>
        </w:tc>
        <w:tc>
          <w:tcPr>
            <w:tcW w:w="900" w:type="dxa"/>
            <w:vAlign w:val="center"/>
          </w:tcPr>
          <w:p w14:paraId="63A7BD52">
            <w:pPr>
              <w:tabs>
                <w:tab w:val="left" w:pos="576"/>
              </w:tabs>
              <w:spacing w:line="360" w:lineRule="exact"/>
              <w:ind w:firstLine="0" w:firstLineChars="0"/>
              <w:jc w:val="center"/>
              <w:rPr>
                <w:rFonts w:hint="default" w:eastAsia="宋体"/>
                <w:snapToGrid w:val="0"/>
                <w:color w:val="000000" w:themeColor="text1"/>
                <w:kern w:val="0"/>
                <w:sz w:val="21"/>
                <w:highlight w:val="none"/>
                <w:lang w:val="en-US" w:eastAsia="zh-CN"/>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8.92</w:t>
            </w:r>
          </w:p>
        </w:tc>
        <w:tc>
          <w:tcPr>
            <w:tcW w:w="2928" w:type="dxa"/>
            <w:vAlign w:val="center"/>
          </w:tcPr>
          <w:p w14:paraId="0C847902">
            <w:pPr>
              <w:tabs>
                <w:tab w:val="left" w:pos="576"/>
              </w:tabs>
              <w:spacing w:line="360" w:lineRule="exact"/>
              <w:ind w:firstLine="0" w:firstLineChars="0"/>
              <w:jc w:val="center"/>
              <w:rPr>
                <w:snapToGrid w:val="0"/>
                <w:color w:val="000000" w:themeColor="text1"/>
                <w:kern w:val="0"/>
                <w:sz w:val="21"/>
                <w:highlight w:val="none"/>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≥12.5</w:t>
            </w:r>
            <w:r>
              <w:rPr>
                <w:rFonts w:hint="eastAsia"/>
                <w:snapToGrid w:val="0"/>
                <w:color w:val="000000" w:themeColor="text1"/>
                <w:kern w:val="0"/>
                <w:sz w:val="21"/>
                <w:highlight w:val="none"/>
                <w:lang w:bidi="ar"/>
                <w14:textFill>
                  <w14:solidFill>
                    <w14:schemeClr w14:val="tx1"/>
                  </w14:solidFill>
                </w14:textFill>
              </w:rPr>
              <w:t>、</w:t>
            </w:r>
            <w:r>
              <w:rPr>
                <w:snapToGrid w:val="0"/>
                <w:color w:val="000000" w:themeColor="text1"/>
                <w:kern w:val="0"/>
                <w:sz w:val="21"/>
                <w:highlight w:val="none"/>
                <w:lang w:bidi="ar"/>
                <w14:textFill>
                  <w14:solidFill>
                    <w14:schemeClr w14:val="tx1"/>
                  </w14:solidFill>
                </w14:textFill>
              </w:rPr>
              <w:t>≤2.0</w:t>
            </w:r>
          </w:p>
        </w:tc>
        <w:tc>
          <w:tcPr>
            <w:tcW w:w="2133" w:type="dxa"/>
            <w:vAlign w:val="center"/>
          </w:tcPr>
          <w:p w14:paraId="2C6B698A">
            <w:pPr>
              <w:tabs>
                <w:tab w:val="left" w:pos="576"/>
              </w:tabs>
              <w:spacing w:line="360" w:lineRule="exact"/>
              <w:ind w:firstLine="0" w:firstLineChars="0"/>
              <w:jc w:val="center"/>
              <w:rPr>
                <w:snapToGrid w:val="0"/>
                <w:color w:val="000000" w:themeColor="text1"/>
                <w:kern w:val="0"/>
                <w:sz w:val="21"/>
                <w:highlight w:val="none"/>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6~9</w:t>
            </w:r>
          </w:p>
        </w:tc>
      </w:tr>
      <w:tr w14:paraId="11F95A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dxa"/>
            <w:vAlign w:val="center"/>
          </w:tcPr>
          <w:p w14:paraId="3FF88BA8">
            <w:pPr>
              <w:tabs>
                <w:tab w:val="left" w:pos="576"/>
              </w:tabs>
              <w:spacing w:line="360" w:lineRule="exact"/>
              <w:ind w:firstLine="0" w:firstLineChars="0"/>
              <w:jc w:val="center"/>
              <w:rPr>
                <w:snapToGrid w:val="0"/>
                <w:color w:val="000000" w:themeColor="text1"/>
                <w:kern w:val="0"/>
                <w:sz w:val="21"/>
                <w:highlight w:val="none"/>
                <w:lang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2</w:t>
            </w:r>
          </w:p>
        </w:tc>
        <w:tc>
          <w:tcPr>
            <w:tcW w:w="1127" w:type="dxa"/>
            <w:vAlign w:val="center"/>
          </w:tcPr>
          <w:p w14:paraId="1E271BA7">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六价铬</w:t>
            </w:r>
          </w:p>
        </w:tc>
        <w:tc>
          <w:tcPr>
            <w:tcW w:w="852" w:type="dxa"/>
            <w:vAlign w:val="center"/>
          </w:tcPr>
          <w:p w14:paraId="24CA81C4">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mg/L</w:t>
            </w:r>
          </w:p>
        </w:tc>
        <w:tc>
          <w:tcPr>
            <w:tcW w:w="900" w:type="dxa"/>
            <w:vAlign w:val="center"/>
          </w:tcPr>
          <w:p w14:paraId="221C1DDF">
            <w:pPr>
              <w:tabs>
                <w:tab w:val="left" w:pos="576"/>
              </w:tabs>
              <w:spacing w:line="360" w:lineRule="exact"/>
              <w:ind w:firstLine="0" w:firstLineChars="0"/>
              <w:jc w:val="center"/>
              <w:rPr>
                <w:rFonts w:hint="default"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0.004L</w:t>
            </w:r>
          </w:p>
        </w:tc>
        <w:tc>
          <w:tcPr>
            <w:tcW w:w="2928" w:type="dxa"/>
            <w:vAlign w:val="center"/>
          </w:tcPr>
          <w:p w14:paraId="0FF72D20">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5</w:t>
            </w:r>
          </w:p>
        </w:tc>
        <w:tc>
          <w:tcPr>
            <w:tcW w:w="2133" w:type="dxa"/>
            <w:vAlign w:val="center"/>
          </w:tcPr>
          <w:p w14:paraId="4B775327">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0.5</w:t>
            </w:r>
          </w:p>
        </w:tc>
      </w:tr>
      <w:tr w14:paraId="24503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dxa"/>
            <w:vAlign w:val="center"/>
          </w:tcPr>
          <w:p w14:paraId="32886F31">
            <w:pPr>
              <w:tabs>
                <w:tab w:val="left" w:pos="576"/>
              </w:tabs>
              <w:spacing w:line="360" w:lineRule="exact"/>
              <w:ind w:firstLine="0" w:firstLineChars="0"/>
              <w:jc w:val="center"/>
              <w:rPr>
                <w:snapToGrid w:val="0"/>
                <w:color w:val="000000" w:themeColor="text1"/>
                <w:kern w:val="0"/>
                <w:sz w:val="21"/>
                <w:highlight w:val="none"/>
                <w:lang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3</w:t>
            </w:r>
          </w:p>
        </w:tc>
        <w:tc>
          <w:tcPr>
            <w:tcW w:w="1127" w:type="dxa"/>
            <w:vAlign w:val="center"/>
          </w:tcPr>
          <w:p w14:paraId="59F876E4">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汞</w:t>
            </w:r>
          </w:p>
        </w:tc>
        <w:tc>
          <w:tcPr>
            <w:tcW w:w="852" w:type="dxa"/>
            <w:vAlign w:val="center"/>
          </w:tcPr>
          <w:p w14:paraId="19DC5839">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m</w:t>
            </w:r>
            <w:r>
              <w:rPr>
                <w:snapToGrid w:val="0"/>
                <w:color w:val="000000" w:themeColor="text1"/>
                <w:kern w:val="0"/>
                <w:sz w:val="21"/>
                <w:highlight w:val="none"/>
                <w:lang w:bidi="ar"/>
                <w14:textFill>
                  <w14:solidFill>
                    <w14:schemeClr w14:val="tx1"/>
                  </w14:solidFill>
                </w14:textFill>
              </w:rPr>
              <w:t>g/L</w:t>
            </w:r>
          </w:p>
        </w:tc>
        <w:tc>
          <w:tcPr>
            <w:tcW w:w="900" w:type="dxa"/>
            <w:vAlign w:val="center"/>
          </w:tcPr>
          <w:p w14:paraId="2CEAFD2D">
            <w:pPr>
              <w:tabs>
                <w:tab w:val="left" w:pos="576"/>
              </w:tabs>
              <w:spacing w:line="360" w:lineRule="exact"/>
              <w:ind w:firstLine="0" w:firstLineChars="0"/>
              <w:jc w:val="center"/>
              <w:rPr>
                <w:rFonts w:hint="default"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0.00003</w:t>
            </w:r>
          </w:p>
        </w:tc>
        <w:tc>
          <w:tcPr>
            <w:tcW w:w="2928" w:type="dxa"/>
            <w:vAlign w:val="center"/>
          </w:tcPr>
          <w:p w14:paraId="3651797A">
            <w:pPr>
              <w:tabs>
                <w:tab w:val="left" w:pos="576"/>
              </w:tabs>
              <w:spacing w:line="360" w:lineRule="exact"/>
              <w:ind w:firstLine="0" w:firstLineChars="0"/>
              <w:jc w:val="center"/>
              <w:rPr>
                <w:rFonts w:hint="default"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sz w:val="21"/>
                <w:szCs w:val="21"/>
                <w:highlight w:val="none"/>
                <w:lang w:val="en-US" w:eastAsia="zh-CN" w:bidi="ar"/>
                <w14:textFill>
                  <w14:solidFill>
                    <w14:schemeClr w14:val="tx1"/>
                  </w14:solidFill>
                </w14:textFill>
              </w:rPr>
              <w:t>0.1</w:t>
            </w:r>
          </w:p>
        </w:tc>
        <w:tc>
          <w:tcPr>
            <w:tcW w:w="2133" w:type="dxa"/>
            <w:vAlign w:val="center"/>
          </w:tcPr>
          <w:p w14:paraId="5131750C">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0.05</w:t>
            </w:r>
          </w:p>
        </w:tc>
      </w:tr>
      <w:tr w14:paraId="4867B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dxa"/>
            <w:vAlign w:val="center"/>
          </w:tcPr>
          <w:p w14:paraId="27937384">
            <w:pPr>
              <w:tabs>
                <w:tab w:val="left" w:pos="576"/>
              </w:tabs>
              <w:spacing w:line="360" w:lineRule="exact"/>
              <w:ind w:firstLine="0" w:firstLineChars="0"/>
              <w:jc w:val="center"/>
              <w:rPr>
                <w:snapToGrid w:val="0"/>
                <w:color w:val="000000" w:themeColor="text1"/>
                <w:kern w:val="0"/>
                <w:sz w:val="21"/>
                <w:highlight w:val="none"/>
                <w:lang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4</w:t>
            </w:r>
          </w:p>
        </w:tc>
        <w:tc>
          <w:tcPr>
            <w:tcW w:w="1127" w:type="dxa"/>
            <w:vAlign w:val="center"/>
          </w:tcPr>
          <w:p w14:paraId="55934FF3">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镉</w:t>
            </w:r>
          </w:p>
        </w:tc>
        <w:tc>
          <w:tcPr>
            <w:tcW w:w="852" w:type="dxa"/>
            <w:vAlign w:val="center"/>
          </w:tcPr>
          <w:p w14:paraId="2DED3932">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mg/L</w:t>
            </w:r>
          </w:p>
        </w:tc>
        <w:tc>
          <w:tcPr>
            <w:tcW w:w="900" w:type="dxa"/>
            <w:vAlign w:val="center"/>
          </w:tcPr>
          <w:p w14:paraId="0B713B9C">
            <w:pPr>
              <w:tabs>
                <w:tab w:val="left" w:pos="576"/>
              </w:tabs>
              <w:spacing w:line="360" w:lineRule="exact"/>
              <w:ind w:firstLine="0" w:firstLineChars="0"/>
              <w:jc w:val="center"/>
              <w:rPr>
                <w:rFonts w:hint="default"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0.01L</w:t>
            </w:r>
          </w:p>
        </w:tc>
        <w:tc>
          <w:tcPr>
            <w:tcW w:w="2928" w:type="dxa"/>
            <w:vAlign w:val="center"/>
          </w:tcPr>
          <w:p w14:paraId="429FB04B">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1</w:t>
            </w:r>
          </w:p>
        </w:tc>
        <w:tc>
          <w:tcPr>
            <w:tcW w:w="2133" w:type="dxa"/>
            <w:vAlign w:val="center"/>
          </w:tcPr>
          <w:p w14:paraId="097F002E">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0.1</w:t>
            </w:r>
          </w:p>
        </w:tc>
      </w:tr>
      <w:tr w14:paraId="1F6A54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dxa"/>
            <w:vAlign w:val="center"/>
          </w:tcPr>
          <w:p w14:paraId="5A4FA1C7">
            <w:pPr>
              <w:tabs>
                <w:tab w:val="left" w:pos="576"/>
              </w:tabs>
              <w:spacing w:line="360" w:lineRule="exact"/>
              <w:ind w:firstLine="0" w:firstLineChars="0"/>
              <w:jc w:val="center"/>
              <w:rPr>
                <w:snapToGrid w:val="0"/>
                <w:color w:val="000000" w:themeColor="text1"/>
                <w:kern w:val="0"/>
                <w:sz w:val="21"/>
                <w:highlight w:val="none"/>
                <w:lang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5</w:t>
            </w:r>
          </w:p>
        </w:tc>
        <w:tc>
          <w:tcPr>
            <w:tcW w:w="1127" w:type="dxa"/>
            <w:vAlign w:val="center"/>
          </w:tcPr>
          <w:p w14:paraId="14C11247">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铬</w:t>
            </w:r>
          </w:p>
        </w:tc>
        <w:tc>
          <w:tcPr>
            <w:tcW w:w="852" w:type="dxa"/>
            <w:vAlign w:val="center"/>
          </w:tcPr>
          <w:p w14:paraId="60699FF7">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mg/L</w:t>
            </w:r>
          </w:p>
        </w:tc>
        <w:tc>
          <w:tcPr>
            <w:tcW w:w="900" w:type="dxa"/>
            <w:vAlign w:val="center"/>
          </w:tcPr>
          <w:p w14:paraId="3D316C58">
            <w:pPr>
              <w:tabs>
                <w:tab w:val="left" w:pos="576"/>
              </w:tabs>
              <w:spacing w:line="360" w:lineRule="exact"/>
              <w:ind w:firstLine="0" w:firstLineChars="0"/>
              <w:jc w:val="center"/>
              <w:rPr>
                <w:rFonts w:hint="default"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0.02L</w:t>
            </w:r>
          </w:p>
        </w:tc>
        <w:tc>
          <w:tcPr>
            <w:tcW w:w="2928" w:type="dxa"/>
            <w:vAlign w:val="center"/>
          </w:tcPr>
          <w:p w14:paraId="70023287">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15</w:t>
            </w:r>
          </w:p>
        </w:tc>
        <w:tc>
          <w:tcPr>
            <w:tcW w:w="2133" w:type="dxa"/>
            <w:vAlign w:val="center"/>
          </w:tcPr>
          <w:p w14:paraId="24F91740">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1.5</w:t>
            </w:r>
          </w:p>
        </w:tc>
      </w:tr>
      <w:tr w14:paraId="11B07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dxa"/>
            <w:vAlign w:val="center"/>
          </w:tcPr>
          <w:p w14:paraId="479DE19F">
            <w:pPr>
              <w:tabs>
                <w:tab w:val="left" w:pos="576"/>
              </w:tabs>
              <w:spacing w:line="360" w:lineRule="exact"/>
              <w:ind w:firstLine="0" w:firstLineChars="0"/>
              <w:jc w:val="center"/>
              <w:rPr>
                <w:snapToGrid w:val="0"/>
                <w:color w:val="000000" w:themeColor="text1"/>
                <w:kern w:val="0"/>
                <w:sz w:val="21"/>
                <w:highlight w:val="none"/>
                <w:lang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6</w:t>
            </w:r>
          </w:p>
        </w:tc>
        <w:tc>
          <w:tcPr>
            <w:tcW w:w="1127" w:type="dxa"/>
            <w:vAlign w:val="center"/>
          </w:tcPr>
          <w:p w14:paraId="0E2EAE20">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镍</w:t>
            </w:r>
          </w:p>
        </w:tc>
        <w:tc>
          <w:tcPr>
            <w:tcW w:w="852" w:type="dxa"/>
            <w:vAlign w:val="center"/>
          </w:tcPr>
          <w:p w14:paraId="462F40D6">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mg/L</w:t>
            </w:r>
          </w:p>
        </w:tc>
        <w:tc>
          <w:tcPr>
            <w:tcW w:w="900" w:type="dxa"/>
            <w:vAlign w:val="center"/>
          </w:tcPr>
          <w:p w14:paraId="24EF9BB5">
            <w:pPr>
              <w:tabs>
                <w:tab w:val="left" w:pos="576"/>
              </w:tabs>
              <w:spacing w:line="360" w:lineRule="exact"/>
              <w:ind w:firstLine="0" w:firstLineChars="0"/>
              <w:jc w:val="center"/>
              <w:rPr>
                <w:rFonts w:hint="default"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0.02L</w:t>
            </w:r>
          </w:p>
        </w:tc>
        <w:tc>
          <w:tcPr>
            <w:tcW w:w="2928" w:type="dxa"/>
            <w:vAlign w:val="center"/>
          </w:tcPr>
          <w:p w14:paraId="58B1B4FB">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5</w:t>
            </w:r>
          </w:p>
        </w:tc>
        <w:tc>
          <w:tcPr>
            <w:tcW w:w="2133" w:type="dxa"/>
            <w:vAlign w:val="center"/>
          </w:tcPr>
          <w:p w14:paraId="57A05738">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1</w:t>
            </w:r>
          </w:p>
        </w:tc>
      </w:tr>
      <w:tr w14:paraId="7DB22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dxa"/>
            <w:vAlign w:val="center"/>
          </w:tcPr>
          <w:p w14:paraId="13156234">
            <w:pPr>
              <w:tabs>
                <w:tab w:val="left" w:pos="576"/>
              </w:tabs>
              <w:spacing w:line="360" w:lineRule="exact"/>
              <w:ind w:firstLine="0" w:firstLineChars="0"/>
              <w:jc w:val="center"/>
              <w:rPr>
                <w:snapToGrid w:val="0"/>
                <w:color w:val="000000" w:themeColor="text1"/>
                <w:kern w:val="0"/>
                <w:sz w:val="21"/>
                <w:highlight w:val="none"/>
                <w:lang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7</w:t>
            </w:r>
          </w:p>
        </w:tc>
        <w:tc>
          <w:tcPr>
            <w:tcW w:w="1127" w:type="dxa"/>
            <w:vAlign w:val="center"/>
          </w:tcPr>
          <w:p w14:paraId="2B3197BE">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铍</w:t>
            </w:r>
          </w:p>
        </w:tc>
        <w:tc>
          <w:tcPr>
            <w:tcW w:w="852" w:type="dxa"/>
            <w:vAlign w:val="center"/>
          </w:tcPr>
          <w:p w14:paraId="7ADB73B6">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mg/L</w:t>
            </w:r>
          </w:p>
        </w:tc>
        <w:tc>
          <w:tcPr>
            <w:tcW w:w="900" w:type="dxa"/>
            <w:vAlign w:val="center"/>
          </w:tcPr>
          <w:p w14:paraId="58996AFA">
            <w:pPr>
              <w:tabs>
                <w:tab w:val="left" w:pos="576"/>
              </w:tabs>
              <w:spacing w:line="360" w:lineRule="exact"/>
              <w:ind w:firstLine="0" w:firstLineChars="0"/>
              <w:jc w:val="center"/>
              <w:rPr>
                <w:rFonts w:hint="default"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0.004L</w:t>
            </w:r>
          </w:p>
        </w:tc>
        <w:tc>
          <w:tcPr>
            <w:tcW w:w="2928" w:type="dxa"/>
            <w:vAlign w:val="center"/>
          </w:tcPr>
          <w:p w14:paraId="26A0A875">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0.02</w:t>
            </w:r>
          </w:p>
        </w:tc>
        <w:tc>
          <w:tcPr>
            <w:tcW w:w="2133" w:type="dxa"/>
            <w:vAlign w:val="center"/>
          </w:tcPr>
          <w:p w14:paraId="067642D8">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0.005</w:t>
            </w:r>
          </w:p>
        </w:tc>
      </w:tr>
      <w:tr w14:paraId="3C8B7D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dxa"/>
            <w:vAlign w:val="center"/>
          </w:tcPr>
          <w:p w14:paraId="4E4F86AD">
            <w:pPr>
              <w:tabs>
                <w:tab w:val="left" w:pos="576"/>
              </w:tabs>
              <w:spacing w:line="360" w:lineRule="exact"/>
              <w:ind w:firstLine="0" w:firstLineChars="0"/>
              <w:jc w:val="center"/>
              <w:rPr>
                <w:snapToGrid w:val="0"/>
                <w:color w:val="000000" w:themeColor="text1"/>
                <w:kern w:val="0"/>
                <w:sz w:val="21"/>
                <w:highlight w:val="none"/>
                <w:lang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8</w:t>
            </w:r>
          </w:p>
        </w:tc>
        <w:tc>
          <w:tcPr>
            <w:tcW w:w="1127" w:type="dxa"/>
            <w:vAlign w:val="center"/>
          </w:tcPr>
          <w:p w14:paraId="1D9187A9">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铅</w:t>
            </w:r>
          </w:p>
        </w:tc>
        <w:tc>
          <w:tcPr>
            <w:tcW w:w="852" w:type="dxa"/>
            <w:vAlign w:val="center"/>
          </w:tcPr>
          <w:p w14:paraId="6491E684">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mg/L</w:t>
            </w:r>
          </w:p>
        </w:tc>
        <w:tc>
          <w:tcPr>
            <w:tcW w:w="900" w:type="dxa"/>
            <w:vAlign w:val="center"/>
          </w:tcPr>
          <w:p w14:paraId="7E487F84">
            <w:pPr>
              <w:tabs>
                <w:tab w:val="left" w:pos="576"/>
              </w:tabs>
              <w:spacing w:line="360" w:lineRule="exact"/>
              <w:ind w:firstLine="0" w:firstLineChars="0"/>
              <w:jc w:val="center"/>
              <w:rPr>
                <w:rFonts w:hint="default"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0.03L</w:t>
            </w:r>
          </w:p>
        </w:tc>
        <w:tc>
          <w:tcPr>
            <w:tcW w:w="2928" w:type="dxa"/>
            <w:vAlign w:val="center"/>
          </w:tcPr>
          <w:p w14:paraId="3F39A13C">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5</w:t>
            </w:r>
          </w:p>
        </w:tc>
        <w:tc>
          <w:tcPr>
            <w:tcW w:w="2133" w:type="dxa"/>
            <w:vAlign w:val="center"/>
          </w:tcPr>
          <w:p w14:paraId="7307008E">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1</w:t>
            </w:r>
          </w:p>
        </w:tc>
      </w:tr>
      <w:tr w14:paraId="2C887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dxa"/>
            <w:vAlign w:val="center"/>
          </w:tcPr>
          <w:p w14:paraId="49FE09CD">
            <w:pPr>
              <w:tabs>
                <w:tab w:val="left" w:pos="576"/>
              </w:tabs>
              <w:spacing w:line="360" w:lineRule="exact"/>
              <w:ind w:firstLine="0" w:firstLineChars="0"/>
              <w:jc w:val="center"/>
              <w:rPr>
                <w:snapToGrid w:val="0"/>
                <w:color w:val="000000" w:themeColor="text1"/>
                <w:kern w:val="0"/>
                <w:sz w:val="21"/>
                <w:highlight w:val="none"/>
                <w:lang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9</w:t>
            </w:r>
          </w:p>
        </w:tc>
        <w:tc>
          <w:tcPr>
            <w:tcW w:w="1127" w:type="dxa"/>
            <w:vAlign w:val="center"/>
          </w:tcPr>
          <w:p w14:paraId="021CA57C">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砷</w:t>
            </w:r>
          </w:p>
        </w:tc>
        <w:tc>
          <w:tcPr>
            <w:tcW w:w="852" w:type="dxa"/>
            <w:vAlign w:val="center"/>
          </w:tcPr>
          <w:p w14:paraId="7B19A858">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m</w:t>
            </w:r>
            <w:r>
              <w:rPr>
                <w:snapToGrid w:val="0"/>
                <w:color w:val="000000" w:themeColor="text1"/>
                <w:kern w:val="0"/>
                <w:sz w:val="21"/>
                <w:highlight w:val="none"/>
                <w:lang w:bidi="ar"/>
                <w14:textFill>
                  <w14:solidFill>
                    <w14:schemeClr w14:val="tx1"/>
                  </w14:solidFill>
                </w14:textFill>
              </w:rPr>
              <w:t>g/L</w:t>
            </w:r>
          </w:p>
        </w:tc>
        <w:tc>
          <w:tcPr>
            <w:tcW w:w="900" w:type="dxa"/>
            <w:vAlign w:val="center"/>
          </w:tcPr>
          <w:p w14:paraId="71FF4FC5">
            <w:pPr>
              <w:tabs>
                <w:tab w:val="left" w:pos="576"/>
              </w:tabs>
              <w:spacing w:line="360" w:lineRule="exact"/>
              <w:ind w:firstLine="0" w:firstLineChars="0"/>
              <w:jc w:val="center"/>
              <w:rPr>
                <w:rFonts w:hint="default"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0.0002</w:t>
            </w:r>
          </w:p>
        </w:tc>
        <w:tc>
          <w:tcPr>
            <w:tcW w:w="2928" w:type="dxa"/>
            <w:vAlign w:val="center"/>
          </w:tcPr>
          <w:p w14:paraId="6FF4B6E2">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5</w:t>
            </w:r>
          </w:p>
        </w:tc>
        <w:tc>
          <w:tcPr>
            <w:tcW w:w="2133" w:type="dxa"/>
            <w:vAlign w:val="center"/>
          </w:tcPr>
          <w:p w14:paraId="1E94478E">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500</w:t>
            </w:r>
          </w:p>
        </w:tc>
      </w:tr>
      <w:tr w14:paraId="78A1F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dxa"/>
            <w:vAlign w:val="center"/>
          </w:tcPr>
          <w:p w14:paraId="6FDD5061">
            <w:pPr>
              <w:tabs>
                <w:tab w:val="left" w:pos="576"/>
              </w:tabs>
              <w:spacing w:line="360" w:lineRule="exact"/>
              <w:ind w:firstLine="0" w:firstLineChars="0"/>
              <w:jc w:val="center"/>
              <w:rPr>
                <w:snapToGrid w:val="0"/>
                <w:color w:val="000000" w:themeColor="text1"/>
                <w:kern w:val="0"/>
                <w:sz w:val="21"/>
                <w:highlight w:val="none"/>
                <w:lang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10</w:t>
            </w:r>
          </w:p>
        </w:tc>
        <w:tc>
          <w:tcPr>
            <w:tcW w:w="1127" w:type="dxa"/>
            <w:vAlign w:val="center"/>
          </w:tcPr>
          <w:p w14:paraId="388EB12D">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铜</w:t>
            </w:r>
          </w:p>
        </w:tc>
        <w:tc>
          <w:tcPr>
            <w:tcW w:w="852" w:type="dxa"/>
            <w:vAlign w:val="center"/>
          </w:tcPr>
          <w:p w14:paraId="354A9BDD">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mg/L</w:t>
            </w:r>
          </w:p>
        </w:tc>
        <w:tc>
          <w:tcPr>
            <w:tcW w:w="900" w:type="dxa"/>
            <w:vAlign w:val="center"/>
          </w:tcPr>
          <w:p w14:paraId="0062C5BA">
            <w:pPr>
              <w:tabs>
                <w:tab w:val="left" w:pos="576"/>
              </w:tabs>
              <w:spacing w:line="360" w:lineRule="exact"/>
              <w:ind w:firstLine="0" w:firstLineChars="0"/>
              <w:jc w:val="center"/>
              <w:rPr>
                <w:rFonts w:hint="default"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0.01L</w:t>
            </w:r>
          </w:p>
        </w:tc>
        <w:tc>
          <w:tcPr>
            <w:tcW w:w="2928" w:type="dxa"/>
            <w:vAlign w:val="center"/>
          </w:tcPr>
          <w:p w14:paraId="5735D713">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100</w:t>
            </w:r>
          </w:p>
        </w:tc>
        <w:tc>
          <w:tcPr>
            <w:tcW w:w="2133" w:type="dxa"/>
            <w:vAlign w:val="center"/>
          </w:tcPr>
          <w:p w14:paraId="6AB40820">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0.5</w:t>
            </w:r>
          </w:p>
        </w:tc>
      </w:tr>
      <w:tr w14:paraId="5CB6B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dxa"/>
            <w:vAlign w:val="center"/>
          </w:tcPr>
          <w:p w14:paraId="6ECBFE74">
            <w:pPr>
              <w:tabs>
                <w:tab w:val="left" w:pos="576"/>
              </w:tabs>
              <w:spacing w:line="360" w:lineRule="exact"/>
              <w:ind w:firstLine="0" w:firstLineChars="0"/>
              <w:jc w:val="center"/>
              <w:rPr>
                <w:snapToGrid w:val="0"/>
                <w:color w:val="000000" w:themeColor="text1"/>
                <w:kern w:val="0"/>
                <w:sz w:val="21"/>
                <w:highlight w:val="none"/>
                <w:lang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11</w:t>
            </w:r>
          </w:p>
        </w:tc>
        <w:tc>
          <w:tcPr>
            <w:tcW w:w="1127" w:type="dxa"/>
            <w:vAlign w:val="center"/>
          </w:tcPr>
          <w:p w14:paraId="537DF832">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锌</w:t>
            </w:r>
          </w:p>
        </w:tc>
        <w:tc>
          <w:tcPr>
            <w:tcW w:w="852" w:type="dxa"/>
            <w:vAlign w:val="center"/>
          </w:tcPr>
          <w:p w14:paraId="6126EF8D">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mg/L</w:t>
            </w:r>
          </w:p>
        </w:tc>
        <w:tc>
          <w:tcPr>
            <w:tcW w:w="900" w:type="dxa"/>
            <w:vAlign w:val="center"/>
          </w:tcPr>
          <w:p w14:paraId="211A9FFD">
            <w:pPr>
              <w:tabs>
                <w:tab w:val="left" w:pos="576"/>
              </w:tabs>
              <w:spacing w:line="360" w:lineRule="exact"/>
              <w:ind w:firstLine="0" w:firstLineChars="0"/>
              <w:jc w:val="center"/>
              <w:rPr>
                <w:rFonts w:hint="default"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0.02</w:t>
            </w:r>
          </w:p>
        </w:tc>
        <w:tc>
          <w:tcPr>
            <w:tcW w:w="2928" w:type="dxa"/>
            <w:vAlign w:val="center"/>
          </w:tcPr>
          <w:p w14:paraId="4C98C7BE">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100</w:t>
            </w:r>
          </w:p>
        </w:tc>
        <w:tc>
          <w:tcPr>
            <w:tcW w:w="2133" w:type="dxa"/>
            <w:vAlign w:val="center"/>
          </w:tcPr>
          <w:p w14:paraId="5F8F422E">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2000</w:t>
            </w:r>
          </w:p>
        </w:tc>
      </w:tr>
      <w:tr w14:paraId="6A3907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dxa"/>
            <w:vAlign w:val="center"/>
          </w:tcPr>
          <w:p w14:paraId="1D600899">
            <w:pPr>
              <w:tabs>
                <w:tab w:val="left" w:pos="576"/>
              </w:tabs>
              <w:spacing w:line="360" w:lineRule="exact"/>
              <w:ind w:firstLine="0" w:firstLineChars="0"/>
              <w:jc w:val="center"/>
              <w:rPr>
                <w:snapToGrid w:val="0"/>
                <w:color w:val="000000" w:themeColor="text1"/>
                <w:kern w:val="0"/>
                <w:sz w:val="21"/>
                <w:highlight w:val="none"/>
                <w:lang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12</w:t>
            </w:r>
          </w:p>
        </w:tc>
        <w:tc>
          <w:tcPr>
            <w:tcW w:w="1127" w:type="dxa"/>
            <w:vAlign w:val="center"/>
          </w:tcPr>
          <w:p w14:paraId="0422664B">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银</w:t>
            </w:r>
          </w:p>
        </w:tc>
        <w:tc>
          <w:tcPr>
            <w:tcW w:w="852" w:type="dxa"/>
            <w:vAlign w:val="center"/>
          </w:tcPr>
          <w:p w14:paraId="5A395BF6">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snapToGrid w:val="0"/>
                <w:color w:val="000000" w:themeColor="text1"/>
                <w:kern w:val="0"/>
                <w:sz w:val="21"/>
                <w:highlight w:val="none"/>
                <w:lang w:bidi="ar"/>
                <w14:textFill>
                  <w14:solidFill>
                    <w14:schemeClr w14:val="tx1"/>
                  </w14:solidFill>
                </w14:textFill>
              </w:rPr>
              <w:t>mg/L</w:t>
            </w:r>
          </w:p>
        </w:tc>
        <w:tc>
          <w:tcPr>
            <w:tcW w:w="900" w:type="dxa"/>
            <w:vAlign w:val="center"/>
          </w:tcPr>
          <w:p w14:paraId="35CDA439">
            <w:pPr>
              <w:tabs>
                <w:tab w:val="left" w:pos="576"/>
              </w:tabs>
              <w:spacing w:line="360" w:lineRule="exact"/>
              <w:ind w:firstLine="0" w:firstLineChars="0"/>
              <w:jc w:val="center"/>
              <w:rPr>
                <w:rFonts w:hint="default"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val="en-US" w:eastAsia="zh-CN" w:bidi="ar"/>
                <w14:textFill>
                  <w14:solidFill>
                    <w14:schemeClr w14:val="tx1"/>
                  </w14:solidFill>
                </w14:textFill>
              </w:rPr>
              <w:t>0.01L</w:t>
            </w:r>
          </w:p>
        </w:tc>
        <w:tc>
          <w:tcPr>
            <w:tcW w:w="2928" w:type="dxa"/>
            <w:vAlign w:val="center"/>
          </w:tcPr>
          <w:p w14:paraId="3C92EC4A">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5</w:t>
            </w:r>
          </w:p>
        </w:tc>
        <w:tc>
          <w:tcPr>
            <w:tcW w:w="2133" w:type="dxa"/>
            <w:vAlign w:val="center"/>
          </w:tcPr>
          <w:p w14:paraId="576D780C">
            <w:pPr>
              <w:tabs>
                <w:tab w:val="left" w:pos="576"/>
              </w:tabs>
              <w:spacing w:line="360" w:lineRule="exact"/>
              <w:ind w:firstLine="0" w:firstLineChars="0"/>
              <w:jc w:val="center"/>
              <w:rPr>
                <w:rFonts w:ascii="Times New Roman" w:hAnsi="Times New Roman" w:eastAsia="宋体" w:cs="Times New Roman"/>
                <w:snapToGrid w:val="0"/>
                <w:color w:val="000000" w:themeColor="text1"/>
                <w:kern w:val="0"/>
                <w:sz w:val="21"/>
                <w:szCs w:val="24"/>
                <w:highlight w:val="none"/>
                <w:lang w:val="en-US" w:eastAsia="zh-CN" w:bidi="ar"/>
                <w14:textFill>
                  <w14:solidFill>
                    <w14:schemeClr w14:val="tx1"/>
                  </w14:solidFill>
                </w14:textFill>
              </w:rPr>
            </w:pPr>
            <w:r>
              <w:rPr>
                <w:rFonts w:hint="eastAsia"/>
                <w:snapToGrid w:val="0"/>
                <w:color w:val="000000" w:themeColor="text1"/>
                <w:kern w:val="0"/>
                <w:sz w:val="21"/>
                <w:highlight w:val="none"/>
                <w:lang w:bidi="ar"/>
                <w14:textFill>
                  <w14:solidFill>
                    <w14:schemeClr w14:val="tx1"/>
                  </w14:solidFill>
                </w14:textFill>
              </w:rPr>
              <w:t>0.5</w:t>
            </w:r>
          </w:p>
        </w:tc>
      </w:tr>
    </w:tbl>
    <w:p w14:paraId="17622BA4">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通过对本项目选矿试验尾矿砂样品分析结果可知，该尾矿砂样品不属于有浸出毒性特征的危险废物，属于《一般工业固体废物贮存和填埋污染控制标准》（GB18599-2020）中规定的</w:t>
      </w:r>
      <w:r>
        <w:rPr>
          <w:color w:val="000000" w:themeColor="text1"/>
          <w:kern w:val="0"/>
          <w:highlight w:val="none"/>
          <w14:textFill>
            <w14:solidFill>
              <w14:schemeClr w14:val="tx1"/>
            </w14:solidFill>
          </w14:textFill>
        </w:rPr>
        <w:t>Ⅰ</w:t>
      </w:r>
      <w:r>
        <w:rPr>
          <w:rFonts w:hint="eastAsia"/>
          <w:color w:val="000000" w:themeColor="text1"/>
          <w:kern w:val="0"/>
          <w:highlight w:val="none"/>
          <w14:textFill>
            <w14:solidFill>
              <w14:schemeClr w14:val="tx1"/>
            </w14:solidFill>
          </w14:textFill>
        </w:rPr>
        <w:t>类一般工业固体废物。</w:t>
      </w:r>
    </w:p>
    <w:p w14:paraId="743E1F58">
      <w:pPr>
        <w:pStyle w:val="41"/>
        <w:overflowPunct w:val="0"/>
        <w:topLinePunct/>
        <w:spacing w:line="480" w:lineRule="exact"/>
        <w:ind w:firstLine="480"/>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highlight w:val="none"/>
          <w14:textFill>
            <w14:solidFill>
              <w14:schemeClr w14:val="tx1"/>
            </w14:solidFill>
          </w14:textFill>
        </w:rPr>
        <w:t>本项目尾矿砂产生量为</w:t>
      </w:r>
      <w:r>
        <w:rPr>
          <w:rFonts w:hint="eastAsia"/>
          <w:color w:val="000000" w:themeColor="text1"/>
          <w:kern w:val="0"/>
          <w:highlight w:val="none"/>
          <w:lang w:val="en-US" w:eastAsia="zh-CN"/>
          <w14:textFill>
            <w14:solidFill>
              <w14:schemeClr w14:val="tx1"/>
            </w14:solidFill>
          </w14:textFill>
        </w:rPr>
        <w:t>45.25</w:t>
      </w:r>
      <w:r>
        <w:rPr>
          <w:rFonts w:hint="eastAsia"/>
          <w:color w:val="000000" w:themeColor="text1"/>
          <w:kern w:val="0"/>
          <w:highlight w:val="none"/>
          <w14:textFill>
            <w14:solidFill>
              <w14:schemeClr w14:val="tx1"/>
            </w14:solidFill>
          </w14:textFill>
        </w:rPr>
        <w:t>万t/a。本次评价要求企业将尾矿综合利用</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与当地建筑材料生产企业合作，将</w:t>
      </w:r>
      <w:r>
        <w:rPr>
          <w:rFonts w:hint="eastAsia"/>
          <w:color w:val="000000" w:themeColor="text1"/>
          <w:kern w:val="0"/>
          <w:highlight w:val="none"/>
          <w14:textFill>
            <w14:solidFill>
              <w14:schemeClr w14:val="tx1"/>
            </w14:solidFill>
          </w14:textFill>
        </w:rPr>
        <w:t>约</w:t>
      </w:r>
      <w:r>
        <w:rPr>
          <w:rFonts w:hint="eastAsia"/>
          <w:color w:val="000000" w:themeColor="text1"/>
          <w:kern w:val="0"/>
          <w:highlight w:val="none"/>
          <w:lang w:val="en-US" w:eastAsia="zh-CN"/>
          <w14:textFill>
            <w14:solidFill>
              <w14:schemeClr w14:val="tx1"/>
            </w14:solidFill>
          </w14:textFill>
        </w:rPr>
        <w:t>9.1</w:t>
      </w:r>
      <w:r>
        <w:rPr>
          <w:rFonts w:hint="eastAsia"/>
          <w:color w:val="000000" w:themeColor="text1"/>
          <w:kern w:val="0"/>
          <w:highlight w:val="none"/>
          <w14:textFill>
            <w14:solidFill>
              <w14:schemeClr w14:val="tx1"/>
            </w14:solidFill>
          </w14:textFill>
        </w:rPr>
        <w:t>万t</w:t>
      </w:r>
      <w:r>
        <w:rPr>
          <w:color w:val="000000" w:themeColor="text1"/>
          <w:kern w:val="0"/>
          <w:highlight w:val="none"/>
          <w14:textFill>
            <w14:solidFill>
              <w14:schemeClr w14:val="tx1"/>
            </w14:solidFill>
          </w14:textFill>
        </w:rPr>
        <w:t>/a</w:t>
      </w:r>
      <w:r>
        <w:rPr>
          <w:rFonts w:hint="eastAsia"/>
          <w:color w:val="000000" w:themeColor="text1"/>
          <w:kern w:val="0"/>
          <w:highlight w:val="none"/>
          <w14:textFill>
            <w14:solidFill>
              <w14:schemeClr w14:val="tx1"/>
            </w14:solidFill>
          </w14:textFill>
        </w:rPr>
        <w:t>用于</w:t>
      </w:r>
      <w:r>
        <w:rPr>
          <w:rFonts w:hint="eastAsia"/>
          <w:color w:val="000000" w:themeColor="text1"/>
          <w:kern w:val="0"/>
          <w:highlight w:val="none"/>
          <w:lang w:val="en-US" w:eastAsia="zh-CN"/>
          <w14:textFill>
            <w14:solidFill>
              <w14:schemeClr w14:val="tx1"/>
            </w14:solidFill>
          </w14:textFill>
        </w:rPr>
        <w:t>建筑材料生产，</w:t>
      </w:r>
      <w:r>
        <w:rPr>
          <w:rFonts w:hint="eastAsia"/>
          <w:color w:val="000000" w:themeColor="text1"/>
          <w:kern w:val="0"/>
          <w:highlight w:val="none"/>
          <w14:textFill>
            <w14:solidFill>
              <w14:schemeClr w14:val="tx1"/>
            </w14:solidFill>
          </w14:textFill>
        </w:rPr>
        <w:t>尾矿砂的综合利用率达到2</w:t>
      </w:r>
      <w:r>
        <w:rPr>
          <w:color w:val="000000" w:themeColor="text1"/>
          <w:kern w:val="0"/>
          <w:highlight w:val="none"/>
          <w14:textFill>
            <w14:solidFill>
              <w14:schemeClr w14:val="tx1"/>
            </w14:solidFill>
          </w14:textFill>
        </w:rPr>
        <w:t>0%</w:t>
      </w:r>
      <w:r>
        <w:rPr>
          <w:rFonts w:hint="eastAsia"/>
          <w:color w:val="000000" w:themeColor="text1"/>
          <w:kern w:val="0"/>
          <w:highlight w:val="none"/>
          <w14:textFill>
            <w14:solidFill>
              <w14:schemeClr w14:val="tx1"/>
            </w14:solidFill>
          </w14:textFill>
        </w:rPr>
        <w:t>以上</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14:textFill>
            <w14:solidFill>
              <w14:schemeClr w14:val="tx1"/>
            </w14:solidFill>
          </w14:textFill>
        </w:rPr>
        <w:t>其余</w:t>
      </w:r>
      <w:r>
        <w:rPr>
          <w:rFonts w:hint="eastAsia"/>
          <w:color w:val="000000" w:themeColor="text1"/>
          <w:kern w:val="0"/>
          <w:highlight w:val="none"/>
          <w:lang w:val="en-US" w:eastAsia="zh-CN"/>
          <w14:textFill>
            <w14:solidFill>
              <w14:schemeClr w14:val="tx1"/>
            </w14:solidFill>
          </w14:textFill>
        </w:rPr>
        <w:t>尾砂</w:t>
      </w:r>
      <w:r>
        <w:rPr>
          <w:rFonts w:hint="eastAsia"/>
          <w:color w:val="000000" w:themeColor="text1"/>
          <w:kern w:val="0"/>
          <w:highlight w:val="none"/>
          <w14:textFill>
            <w14:solidFill>
              <w14:schemeClr w14:val="tx1"/>
            </w14:solidFill>
          </w14:textFill>
        </w:rPr>
        <w:t>堆存至尾矿库内</w:t>
      </w:r>
      <w:r>
        <w:rPr>
          <w:rFonts w:hint="eastAsia"/>
          <w:color w:val="000000" w:themeColor="text1"/>
          <w:kern w:val="0"/>
          <w:highlight w:val="none"/>
          <w:lang w:eastAsia="zh-CN"/>
          <w14:textFill>
            <w14:solidFill>
              <w14:schemeClr w14:val="tx1"/>
            </w14:solidFill>
          </w14:textFill>
        </w:rPr>
        <w:t>。</w:t>
      </w:r>
    </w:p>
    <w:p w14:paraId="6EDEDAEA">
      <w:pPr>
        <w:pStyle w:val="41"/>
        <w:overflowPunct w:val="0"/>
        <w:topLinePunct/>
        <w:spacing w:line="480" w:lineRule="exa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本项目尾矿库属于</w:t>
      </w:r>
      <w:r>
        <w:rPr>
          <w:rFonts w:hint="eastAsia"/>
          <w:color w:val="000000" w:themeColor="text1"/>
          <w:kern w:val="0"/>
          <w:highlight w:val="none"/>
          <w:lang w:val="en-US" w:eastAsia="zh-CN"/>
          <w14:textFill>
            <w14:solidFill>
              <w14:schemeClr w14:val="tx1"/>
            </w14:solidFill>
          </w14:textFill>
        </w:rPr>
        <w:t>四</w:t>
      </w:r>
      <w:r>
        <w:rPr>
          <w:rFonts w:hint="eastAsia"/>
          <w:color w:val="000000" w:themeColor="text1"/>
          <w:kern w:val="0"/>
          <w:highlight w:val="none"/>
          <w14:textFill>
            <w14:solidFill>
              <w14:schemeClr w14:val="tx1"/>
            </w14:solidFill>
          </w14:textFill>
        </w:rPr>
        <w:t>等库，总库容</w:t>
      </w:r>
      <w:r>
        <w:rPr>
          <w:rFonts w:hint="eastAsia"/>
          <w:color w:val="000000" w:themeColor="text1"/>
          <w:highlight w:val="none"/>
          <w:lang w:val="en-US" w:eastAsia="zh-CN"/>
          <w14:textFill>
            <w14:solidFill>
              <w14:schemeClr w14:val="tx1"/>
            </w14:solidFill>
          </w14:textFill>
        </w:rPr>
        <w:t>527.55</w:t>
      </w:r>
      <w:r>
        <w:rPr>
          <w:rFonts w:hint="eastAsia"/>
          <w:color w:val="000000" w:themeColor="text1"/>
          <w:kern w:val="0"/>
          <w:highlight w:val="none"/>
          <w14:textFill>
            <w14:solidFill>
              <w14:schemeClr w14:val="tx1"/>
            </w14:solidFill>
          </w14:textFill>
        </w:rPr>
        <w:t>万m</w:t>
      </w:r>
      <w:r>
        <w:rPr>
          <w:rFonts w:hint="eastAsia"/>
          <w:color w:val="000000" w:themeColor="text1"/>
          <w:kern w:val="0"/>
          <w:highlight w:val="none"/>
          <w:vertAlign w:val="superscript"/>
          <w14:textFill>
            <w14:solidFill>
              <w14:schemeClr w14:val="tx1"/>
            </w14:solidFill>
          </w14:textFill>
        </w:rPr>
        <w:t>3</w:t>
      </w:r>
      <w:r>
        <w:rPr>
          <w:rFonts w:hint="eastAsia"/>
          <w:color w:val="000000" w:themeColor="text1"/>
          <w:kern w:val="0"/>
          <w:highlight w:val="none"/>
          <w14:textFill>
            <w14:solidFill>
              <w14:schemeClr w14:val="tx1"/>
            </w14:solidFill>
          </w14:textFill>
        </w:rPr>
        <w:t>，有效库容为</w:t>
      </w:r>
      <w:r>
        <w:rPr>
          <w:rFonts w:hint="eastAsia"/>
          <w:color w:val="000000" w:themeColor="text1"/>
          <w:highlight w:val="none"/>
          <w:lang w:val="en-US" w:eastAsia="zh-CN"/>
          <w14:textFill>
            <w14:solidFill>
              <w14:schemeClr w14:val="tx1"/>
            </w14:solidFill>
          </w14:textFill>
        </w:rPr>
        <w:t>501.17</w:t>
      </w:r>
      <w:r>
        <w:rPr>
          <w:rFonts w:hint="eastAsia"/>
          <w:color w:val="000000" w:themeColor="text1"/>
          <w:kern w:val="0"/>
          <w:highlight w:val="none"/>
          <w14:textFill>
            <w14:solidFill>
              <w14:schemeClr w14:val="tx1"/>
            </w14:solidFill>
          </w14:textFill>
        </w:rPr>
        <w:t>万m</w:t>
      </w:r>
      <w:r>
        <w:rPr>
          <w:rFonts w:hint="eastAsia"/>
          <w:color w:val="000000" w:themeColor="text1"/>
          <w:kern w:val="0"/>
          <w:highlight w:val="none"/>
          <w:vertAlign w:val="superscript"/>
          <w14:textFill>
            <w14:solidFill>
              <w14:schemeClr w14:val="tx1"/>
            </w14:solidFill>
          </w14:textFill>
        </w:rPr>
        <w:t>3</w:t>
      </w:r>
      <w:r>
        <w:rPr>
          <w:rFonts w:hint="eastAsia"/>
          <w:color w:val="000000" w:themeColor="text1"/>
          <w:kern w:val="0"/>
          <w:highlight w:val="none"/>
          <w14:textFill>
            <w14:solidFill>
              <w14:schemeClr w14:val="tx1"/>
            </w14:solidFill>
          </w14:textFill>
        </w:rPr>
        <w:t>，</w:t>
      </w:r>
      <w:r>
        <w:rPr>
          <w:rFonts w:hint="eastAsia" w:cs="Times New Roman"/>
          <w:color w:val="000000" w:themeColor="text1"/>
          <w:szCs w:val="21"/>
          <w:highlight w:val="none"/>
          <w:lang w:bidi="ar"/>
          <w14:textFill>
            <w14:solidFill>
              <w14:schemeClr w14:val="tx1"/>
            </w14:solidFill>
          </w14:textFill>
        </w:rPr>
        <w:t>采用干式堆存</w:t>
      </w:r>
      <w:r>
        <w:rPr>
          <w:rFonts w:hint="eastAsia" w:cs="Times New Roman"/>
          <w:color w:val="000000" w:themeColor="text1"/>
          <w:szCs w:val="21"/>
          <w:highlight w:val="none"/>
          <w:lang w:eastAsia="zh-CN" w:bidi="ar"/>
          <w14:textFill>
            <w14:solidFill>
              <w14:schemeClr w14:val="tx1"/>
            </w14:solidFill>
          </w14:textFill>
        </w:rPr>
        <w:t>、</w:t>
      </w:r>
      <w:r>
        <w:rPr>
          <w:rFonts w:hint="eastAsia" w:cs="Times New Roman"/>
          <w:color w:val="000000" w:themeColor="text1"/>
          <w:szCs w:val="21"/>
          <w:highlight w:val="none"/>
          <w:lang w:val="en-US" w:eastAsia="zh-CN" w:bidi="ar"/>
          <w14:textFill>
            <w14:solidFill>
              <w14:schemeClr w14:val="tx1"/>
            </w14:solidFill>
          </w14:textFill>
        </w:rPr>
        <w:t>分层堆排</w:t>
      </w:r>
      <w:r>
        <w:rPr>
          <w:rFonts w:hint="eastAsia" w:cs="Times New Roman"/>
          <w:color w:val="000000" w:themeColor="text1"/>
          <w:szCs w:val="21"/>
          <w:highlight w:val="none"/>
          <w:lang w:bidi="ar"/>
          <w14:textFill>
            <w14:solidFill>
              <w14:schemeClr w14:val="tx1"/>
            </w14:solidFill>
          </w14:textFill>
        </w:rPr>
        <w:t>。尾矿库设计单位应按照</w:t>
      </w:r>
      <w:r>
        <w:rPr>
          <w:rFonts w:hint="eastAsia" w:cs="Times New Roman"/>
          <w:color w:val="000000" w:themeColor="text1"/>
          <w:kern w:val="0"/>
          <w:highlight w:val="none"/>
          <w:lang w:bidi="ar"/>
          <w14:textFill>
            <w14:solidFill>
              <w14:schemeClr w14:val="tx1"/>
            </w14:solidFill>
          </w14:textFill>
        </w:rPr>
        <w:t>第</w:t>
      </w:r>
      <w:r>
        <w:rPr>
          <w:rFonts w:cs="Times New Roman"/>
          <w:color w:val="000000" w:themeColor="text1"/>
          <w:kern w:val="0"/>
          <w:highlight w:val="none"/>
          <w14:textFill>
            <w14:solidFill>
              <w14:schemeClr w14:val="tx1"/>
            </w14:solidFill>
          </w14:textFill>
        </w:rPr>
        <w:fldChar w:fldCharType="begin"/>
      </w:r>
      <w:r>
        <w:rPr>
          <w:rFonts w:cs="Times New Roman"/>
          <w:color w:val="000000" w:themeColor="text1"/>
          <w:kern w:val="0"/>
          <w:highlight w:val="none"/>
          <w14:textFill>
            <w14:solidFill>
              <w14:schemeClr w14:val="tx1"/>
            </w14:solidFill>
          </w14:textFill>
        </w:rPr>
        <w:instrText xml:space="preserve"> = 1 \* ROMAN \* MERGEFORMAT </w:instrText>
      </w:r>
      <w:r>
        <w:rPr>
          <w:rFonts w:cs="Times New Roman"/>
          <w:color w:val="000000" w:themeColor="text1"/>
          <w:kern w:val="0"/>
          <w:highlight w:val="none"/>
          <w14:textFill>
            <w14:solidFill>
              <w14:schemeClr w14:val="tx1"/>
            </w14:solidFill>
          </w14:textFill>
        </w:rPr>
        <w:fldChar w:fldCharType="separate"/>
      </w:r>
      <w:r>
        <w:rPr>
          <w:color w:val="000000" w:themeColor="text1"/>
          <w:highlight w:val="none"/>
          <w14:textFill>
            <w14:solidFill>
              <w14:schemeClr w14:val="tx1"/>
            </w14:solidFill>
          </w14:textFill>
        </w:rPr>
        <w:t>I</w:t>
      </w:r>
      <w:r>
        <w:rPr>
          <w:rFonts w:cs="Times New Roman"/>
          <w:color w:val="000000" w:themeColor="text1"/>
          <w:kern w:val="0"/>
          <w:highlight w:val="none"/>
          <w14:textFill>
            <w14:solidFill>
              <w14:schemeClr w14:val="tx1"/>
            </w14:solidFill>
          </w14:textFill>
        </w:rPr>
        <w:fldChar w:fldCharType="end"/>
      </w:r>
      <w:r>
        <w:rPr>
          <w:rFonts w:hint="eastAsia" w:cs="Times New Roman"/>
          <w:color w:val="000000" w:themeColor="text1"/>
          <w:kern w:val="0"/>
          <w:highlight w:val="none"/>
          <w:lang w:bidi="ar"/>
          <w14:textFill>
            <w14:solidFill>
              <w14:schemeClr w14:val="tx1"/>
            </w14:solidFill>
          </w14:textFill>
        </w:rPr>
        <w:t>类一般工业固体废物处置场设计，对尾矿砂贮存、处置按照第</w:t>
      </w:r>
      <w:r>
        <w:rPr>
          <w:rFonts w:cs="Times New Roman"/>
          <w:color w:val="000000" w:themeColor="text1"/>
          <w:kern w:val="0"/>
          <w:highlight w:val="none"/>
          <w14:textFill>
            <w14:solidFill>
              <w14:schemeClr w14:val="tx1"/>
            </w14:solidFill>
          </w14:textFill>
        </w:rPr>
        <w:fldChar w:fldCharType="begin"/>
      </w:r>
      <w:r>
        <w:rPr>
          <w:rFonts w:cs="Times New Roman"/>
          <w:color w:val="000000" w:themeColor="text1"/>
          <w:kern w:val="0"/>
          <w:highlight w:val="none"/>
          <w14:textFill>
            <w14:solidFill>
              <w14:schemeClr w14:val="tx1"/>
            </w14:solidFill>
          </w14:textFill>
        </w:rPr>
        <w:instrText xml:space="preserve"> = 1 \* ROMAN \* MERGEFORMAT </w:instrText>
      </w:r>
      <w:r>
        <w:rPr>
          <w:rFonts w:cs="Times New Roman"/>
          <w:color w:val="000000" w:themeColor="text1"/>
          <w:kern w:val="0"/>
          <w:highlight w:val="none"/>
          <w14:textFill>
            <w14:solidFill>
              <w14:schemeClr w14:val="tx1"/>
            </w14:solidFill>
          </w14:textFill>
        </w:rPr>
        <w:fldChar w:fldCharType="separate"/>
      </w:r>
      <w:r>
        <w:rPr>
          <w:color w:val="000000" w:themeColor="text1"/>
          <w:highlight w:val="none"/>
          <w14:textFill>
            <w14:solidFill>
              <w14:schemeClr w14:val="tx1"/>
            </w14:solidFill>
          </w14:textFill>
        </w:rPr>
        <w:t>I</w:t>
      </w:r>
      <w:r>
        <w:rPr>
          <w:rFonts w:cs="Times New Roman"/>
          <w:color w:val="000000" w:themeColor="text1"/>
          <w:kern w:val="0"/>
          <w:highlight w:val="none"/>
          <w14:textFill>
            <w14:solidFill>
              <w14:schemeClr w14:val="tx1"/>
            </w14:solidFill>
          </w14:textFill>
        </w:rPr>
        <w:fldChar w:fldCharType="end"/>
      </w:r>
      <w:r>
        <w:rPr>
          <w:rFonts w:hint="eastAsia" w:cs="Times New Roman"/>
          <w:color w:val="000000" w:themeColor="text1"/>
          <w:kern w:val="0"/>
          <w:highlight w:val="none"/>
          <w:lang w:bidi="ar"/>
          <w14:textFill>
            <w14:solidFill>
              <w14:schemeClr w14:val="tx1"/>
            </w14:solidFill>
          </w14:textFill>
        </w:rPr>
        <w:t>类一般工业固体废物的要求进行。</w:t>
      </w:r>
    </w:p>
    <w:p w14:paraId="55A72079">
      <w:pPr>
        <w:overflowPunct w:val="0"/>
        <w:topLinePunct/>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本项目尾矿处置措施符合《一般工业固体废物贮存和填埋污染控制标准》（</w:t>
      </w:r>
      <w:r>
        <w:rPr>
          <w:color w:val="000000" w:themeColor="text1"/>
          <w:kern w:val="0"/>
          <w:highlight w:val="none"/>
          <w:lang w:bidi="ar"/>
          <w14:textFill>
            <w14:solidFill>
              <w14:schemeClr w14:val="tx1"/>
            </w14:solidFill>
          </w14:textFill>
        </w:rPr>
        <w:t>GB18599-2020</w:t>
      </w:r>
      <w:r>
        <w:rPr>
          <w:rFonts w:hint="eastAsia"/>
          <w:color w:val="000000" w:themeColor="text1"/>
          <w:kern w:val="0"/>
          <w:highlight w:val="none"/>
          <w:lang w:bidi="ar"/>
          <w14:textFill>
            <w14:solidFill>
              <w14:schemeClr w14:val="tx1"/>
            </w14:solidFill>
          </w14:textFill>
        </w:rPr>
        <w:t>）的要求。</w:t>
      </w:r>
    </w:p>
    <w:p w14:paraId="7F20FFBA">
      <w:pPr>
        <w:pStyle w:val="41"/>
        <w:overflowPunct w:val="0"/>
        <w:topLinePunct/>
        <w:spacing w:line="480" w:lineRule="exact"/>
        <w:ind w:firstLine="480"/>
        <w:rPr>
          <w:rFonts w:hint="eastAsia"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（2）</w:t>
      </w:r>
      <w:r>
        <w:rPr>
          <w:rFonts w:hint="eastAsia"/>
          <w:color w:val="000000" w:themeColor="text1"/>
          <w:kern w:val="0"/>
          <w:highlight w:val="none"/>
          <w:lang w:eastAsia="zh-CN"/>
          <w14:textFill>
            <w14:solidFill>
              <w14:schemeClr w14:val="tx1"/>
            </w14:solidFill>
          </w14:textFill>
        </w:rPr>
        <w:t>干选废石</w:t>
      </w:r>
    </w:p>
    <w:p w14:paraId="609775AC">
      <w:pPr>
        <w:pStyle w:val="41"/>
        <w:overflowPunct w:val="0"/>
        <w:topLinePunct/>
        <w:spacing w:line="480" w:lineRule="exact"/>
        <w:ind w:firstLine="480"/>
        <w:rPr>
          <w:rFonts w:hint="default" w:eastAsia="宋体" w:cs="Times New Roman"/>
          <w:color w:val="000000" w:themeColor="text1"/>
          <w:szCs w:val="24"/>
          <w:highlight w:val="none"/>
          <w:lang w:val="en-US" w:eastAsia="zh-CN"/>
          <w14:textFill>
            <w14:solidFill>
              <w14:schemeClr w14:val="tx1"/>
            </w14:solidFill>
          </w14:textFill>
        </w:rPr>
      </w:pPr>
      <w:r>
        <w:rPr>
          <w:rFonts w:hint="eastAsia" w:cs="Times New Roman"/>
          <w:color w:val="000000" w:themeColor="text1"/>
          <w:szCs w:val="24"/>
          <w:highlight w:val="none"/>
          <w:lang w:eastAsia="zh-CN"/>
          <w14:textFill>
            <w14:solidFill>
              <w14:schemeClr w14:val="tx1"/>
            </w14:solidFill>
          </w14:textFill>
        </w:rPr>
        <w:t>本项目干选工序会产生废石，废石产生量为</w:t>
      </w:r>
      <w:r>
        <w:rPr>
          <w:rFonts w:hint="eastAsia" w:cs="Times New Roman"/>
          <w:color w:val="000000" w:themeColor="text1"/>
          <w:szCs w:val="24"/>
          <w:highlight w:val="none"/>
          <w:lang w:val="en-US" w:eastAsia="zh-CN"/>
          <w14:textFill>
            <w14:solidFill>
              <w14:schemeClr w14:val="tx1"/>
            </w14:solidFill>
          </w14:textFill>
        </w:rPr>
        <w:t>14.75万t/a，</w:t>
      </w:r>
      <w:r>
        <w:rPr>
          <w:color w:val="000000" w:themeColor="text1"/>
          <w:kern w:val="0"/>
          <w:highlight w:val="none"/>
          <w:lang w:val="zh-CN"/>
          <w14:textFill>
            <w14:solidFill>
              <w14:schemeClr w14:val="tx1"/>
            </w14:solidFill>
          </w14:textFill>
        </w:rPr>
        <w:t>为一般固体废物</w:t>
      </w:r>
      <w:r>
        <w:rPr>
          <w:rFonts w:hint="eastAsia"/>
          <w:color w:val="000000" w:themeColor="text1"/>
          <w:kern w:val="0"/>
          <w:highlight w:val="none"/>
          <w:lang w:val="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固体废物代码：</w:t>
      </w:r>
      <w:r>
        <w:rPr>
          <w:rFonts w:hint="eastAsia"/>
          <w:color w:val="000000" w:themeColor="text1"/>
          <w:kern w:val="0"/>
          <w:highlight w:val="none"/>
          <w:lang w:val="zh-CN"/>
          <w14:textFill>
            <w14:solidFill>
              <w14:schemeClr w14:val="tx1"/>
            </w14:solidFill>
          </w14:textFill>
        </w:rPr>
        <w:t>900-099-S59）</w:t>
      </w:r>
      <w:r>
        <w:rPr>
          <w:rFonts w:hint="eastAsia" w:cs="Times New Roman"/>
          <w:color w:val="000000" w:themeColor="text1"/>
          <w:szCs w:val="24"/>
          <w:highlight w:val="none"/>
          <w:lang w:val="en-US" w:eastAsia="zh-CN"/>
          <w14:textFill>
            <w14:solidFill>
              <w14:schemeClr w14:val="tx1"/>
            </w14:solidFill>
          </w14:textFill>
        </w:rPr>
        <w:t>，运至采矿区废石堆场堆放。</w:t>
      </w:r>
    </w:p>
    <w:p w14:paraId="11FC0FAA">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3</w:t>
      </w:r>
      <w:r>
        <w:rPr>
          <w:rFonts w:hint="eastAsia"/>
          <w:color w:val="000000" w:themeColor="text1"/>
          <w:kern w:val="0"/>
          <w:highlight w:val="none"/>
          <w14:textFill>
            <w14:solidFill>
              <w14:schemeClr w14:val="tx1"/>
            </w14:solidFill>
          </w14:textFill>
        </w:rPr>
        <w:t>）除尘灰</w:t>
      </w:r>
    </w:p>
    <w:p w14:paraId="3A1A8A32">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w:t>
      </w:r>
      <w:r>
        <w:rPr>
          <w:rFonts w:hint="eastAsia"/>
          <w:color w:val="000000" w:themeColor="text1"/>
          <w:kern w:val="0"/>
          <w:highlight w:val="none"/>
          <w:lang w:val="en-US" w:eastAsia="zh-CN"/>
          <w14:textFill>
            <w14:solidFill>
              <w14:schemeClr w14:val="tx1"/>
            </w14:solidFill>
          </w14:textFill>
        </w:rPr>
        <w:t>破碎筛分干选工</w:t>
      </w:r>
      <w:r>
        <w:rPr>
          <w:rFonts w:hint="eastAsia"/>
          <w:color w:val="000000" w:themeColor="text1"/>
          <w:kern w:val="0"/>
          <w:highlight w:val="none"/>
          <w:lang w:eastAsia="zh-CN"/>
          <w14:textFill>
            <w14:solidFill>
              <w14:schemeClr w14:val="tx1"/>
            </w14:solidFill>
          </w14:textFill>
        </w:rPr>
        <w:t>段</w:t>
      </w:r>
      <w:r>
        <w:rPr>
          <w:rFonts w:hint="eastAsia"/>
          <w:color w:val="000000" w:themeColor="text1"/>
          <w:kern w:val="0"/>
          <w:highlight w:val="none"/>
          <w14:textFill>
            <w14:solidFill>
              <w14:schemeClr w14:val="tx1"/>
            </w14:solidFill>
          </w14:textFill>
        </w:rPr>
        <w:t>配套除尘器收集的粉尘灰产生量为</w:t>
      </w:r>
      <w:r>
        <w:rPr>
          <w:rFonts w:hint="eastAsia"/>
          <w:color w:val="000000" w:themeColor="text1"/>
          <w:kern w:val="0"/>
          <w:highlight w:val="none"/>
          <w:lang w:val="en-US" w:eastAsia="zh-CN"/>
          <w14:textFill>
            <w14:solidFill>
              <w14:schemeClr w14:val="tx1"/>
            </w14:solidFill>
          </w14:textFill>
        </w:rPr>
        <w:t>446.53</w:t>
      </w:r>
      <w:r>
        <w:rPr>
          <w:rFonts w:hint="eastAsia"/>
          <w:color w:val="000000" w:themeColor="text1"/>
          <w:kern w:val="0"/>
          <w:highlight w:val="none"/>
          <w14:textFill>
            <w14:solidFill>
              <w14:schemeClr w14:val="tx1"/>
            </w14:solidFill>
          </w14:textFill>
        </w:rPr>
        <w:t>t/a；</w:t>
      </w:r>
      <w:r>
        <w:rPr>
          <w:rFonts w:hint="eastAsia"/>
          <w:color w:val="000000" w:themeColor="text1"/>
          <w:kern w:val="0"/>
          <w:highlight w:val="none"/>
          <w:lang w:val="en-US" w:eastAsia="zh-CN"/>
          <w14:textFill>
            <w14:solidFill>
              <w14:schemeClr w14:val="tx1"/>
            </w14:solidFill>
          </w14:textFill>
        </w:rPr>
        <w:t>磁选</w:t>
      </w:r>
      <w:r>
        <w:rPr>
          <w:rFonts w:hint="eastAsia"/>
          <w:color w:val="000000" w:themeColor="text1"/>
          <w:kern w:val="0"/>
          <w:highlight w:val="none"/>
          <w:lang w:eastAsia="zh-CN"/>
          <w14:textFill>
            <w14:solidFill>
              <w14:schemeClr w14:val="tx1"/>
            </w14:solidFill>
          </w14:textFill>
        </w:rPr>
        <w:t>工段配套</w:t>
      </w:r>
      <w:r>
        <w:rPr>
          <w:rFonts w:hint="eastAsia"/>
          <w:color w:val="000000" w:themeColor="text1"/>
          <w:kern w:val="0"/>
          <w:highlight w:val="none"/>
          <w14:textFill>
            <w14:solidFill>
              <w14:schemeClr w14:val="tx1"/>
            </w14:solidFill>
          </w14:textFill>
        </w:rPr>
        <w:t>除尘器收集的粉尘灰产生量为</w:t>
      </w:r>
      <w:r>
        <w:rPr>
          <w:rFonts w:hint="eastAsia"/>
          <w:color w:val="000000" w:themeColor="text1"/>
          <w:kern w:val="0"/>
          <w:highlight w:val="none"/>
          <w:lang w:val="en-US" w:eastAsia="zh-CN"/>
          <w14:textFill>
            <w14:solidFill>
              <w14:schemeClr w14:val="tx1"/>
            </w14:solidFill>
          </w14:textFill>
        </w:rPr>
        <w:t>1156.94</w:t>
      </w:r>
      <w:r>
        <w:rPr>
          <w:rFonts w:hint="eastAsia"/>
          <w:color w:val="000000" w:themeColor="text1"/>
          <w:kern w:val="0"/>
          <w:highlight w:val="none"/>
          <w14:textFill>
            <w14:solidFill>
              <w14:schemeClr w14:val="tx1"/>
            </w14:solidFill>
          </w14:textFill>
        </w:rPr>
        <w:t>t/a</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除尘灰的量合计为1603.37</w:t>
      </w:r>
      <w:r>
        <w:rPr>
          <w:rFonts w:hint="eastAsia"/>
          <w:color w:val="000000" w:themeColor="text1"/>
          <w:kern w:val="0"/>
          <w:highlight w:val="none"/>
          <w14:textFill>
            <w14:solidFill>
              <w14:schemeClr w14:val="tx1"/>
            </w14:solidFill>
          </w14:textFill>
        </w:rPr>
        <w:t>t/a</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干选、</w:t>
      </w:r>
      <w:r>
        <w:rPr>
          <w:rFonts w:hint="eastAsia"/>
          <w:color w:val="000000" w:themeColor="text1"/>
          <w:kern w:val="0"/>
          <w:highlight w:val="none"/>
          <w14:textFill>
            <w14:solidFill>
              <w14:schemeClr w14:val="tx1"/>
            </w14:solidFill>
          </w14:textFill>
        </w:rPr>
        <w:t>辊磨、磨矿收集的粉尘</w:t>
      </w:r>
      <w:r>
        <w:rPr>
          <w:rFonts w:hint="eastAsia"/>
          <w:color w:val="000000" w:themeColor="text1"/>
          <w:kern w:val="0"/>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固体废物代码：</w:t>
      </w:r>
      <w:r>
        <w:rPr>
          <w:rFonts w:hint="eastAsia"/>
          <w:color w:val="000000" w:themeColor="text1"/>
          <w:kern w:val="0"/>
          <w:highlight w:val="none"/>
          <w:lang w:eastAsia="zh-CN"/>
          <w14:textFill>
            <w14:solidFill>
              <w14:schemeClr w14:val="tx1"/>
            </w14:solidFill>
          </w14:textFill>
        </w:rPr>
        <w:t>900-099-S59）</w:t>
      </w:r>
      <w:r>
        <w:rPr>
          <w:rFonts w:hint="eastAsia"/>
          <w:color w:val="000000" w:themeColor="text1"/>
          <w:kern w:val="0"/>
          <w:highlight w:val="none"/>
          <w14:textFill>
            <w14:solidFill>
              <w14:schemeClr w14:val="tx1"/>
            </w14:solidFill>
          </w14:textFill>
        </w:rPr>
        <w:t>灰含较高的磁铁矿物，</w:t>
      </w:r>
      <w:r>
        <w:rPr>
          <w:color w:val="000000" w:themeColor="text1"/>
          <w:highlight w:val="none"/>
          <w14:textFill>
            <w14:solidFill>
              <w14:schemeClr w14:val="tx1"/>
            </w14:solidFill>
          </w14:textFill>
        </w:rPr>
        <w:t>通过除尘器灰斗</w:t>
      </w:r>
      <w:r>
        <w:rPr>
          <w:rFonts w:hint="eastAsia"/>
          <w:color w:val="000000" w:themeColor="text1"/>
          <w:highlight w:val="none"/>
          <w14:textFill>
            <w14:solidFill>
              <w14:schemeClr w14:val="tx1"/>
            </w14:solidFill>
          </w14:textFill>
        </w:rPr>
        <w:t>收集后</w:t>
      </w:r>
      <w:r>
        <w:rPr>
          <w:rFonts w:hint="eastAsia"/>
          <w:color w:val="000000" w:themeColor="text1"/>
          <w:kern w:val="0"/>
          <w:highlight w:val="none"/>
          <w14:textFill>
            <w14:solidFill>
              <w14:schemeClr w14:val="tx1"/>
            </w14:solidFill>
          </w14:textFill>
        </w:rPr>
        <w:t>回用于选矿生产</w:t>
      </w:r>
      <w:r>
        <w:rPr>
          <w:rFonts w:hint="eastAsia"/>
          <w:color w:val="000000" w:themeColor="text1"/>
          <w:highlight w:val="none"/>
          <w14:textFill>
            <w14:solidFill>
              <w14:schemeClr w14:val="tx1"/>
            </w14:solidFill>
          </w14:textFill>
        </w:rPr>
        <w:t>。</w:t>
      </w:r>
    </w:p>
    <w:p w14:paraId="7FFCAAA2">
      <w:pPr>
        <w:overflowPunct w:val="0"/>
        <w:topLinePunct/>
        <w:ind w:firstLine="480"/>
        <w:rPr>
          <w:color w:val="000000" w:themeColor="text1"/>
          <w:kern w:val="0"/>
          <w:highlight w:val="none"/>
          <w14:textFill>
            <w14:solidFill>
              <w14:schemeClr w14:val="tx1"/>
            </w14:solidFill>
          </w14:textFill>
        </w:rPr>
      </w:pP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4</w:t>
      </w:r>
      <w:r>
        <w:rPr>
          <w:rFonts w:hint="eastAsia" w:cs="Times New Roman"/>
          <w:bCs/>
          <w:color w:val="000000" w:themeColor="text1"/>
          <w:szCs w:val="24"/>
          <w:highlight w:val="none"/>
          <w:lang w:eastAsia="zh-CN"/>
          <w14:textFill>
            <w14:solidFill>
              <w14:schemeClr w14:val="tx1"/>
            </w14:solidFill>
          </w14:textFill>
        </w:rPr>
        <w:t>）</w:t>
      </w:r>
      <w:r>
        <w:rPr>
          <w:rFonts w:hint="eastAsia"/>
          <w:color w:val="000000" w:themeColor="text1"/>
          <w:kern w:val="0"/>
          <w:highlight w:val="none"/>
          <w14:textFill>
            <w14:solidFill>
              <w14:schemeClr w14:val="tx1"/>
            </w14:solidFill>
          </w14:textFill>
        </w:rPr>
        <w:t>生活</w:t>
      </w:r>
      <w:r>
        <w:rPr>
          <w:rFonts w:hint="eastAsia"/>
          <w:color w:val="000000" w:themeColor="text1"/>
          <w:highlight w:val="none"/>
          <w14:textFill>
            <w14:solidFill>
              <w14:schemeClr w14:val="tx1"/>
            </w14:solidFill>
          </w14:textFill>
        </w:rPr>
        <w:t>污水处理设施底泥</w:t>
      </w:r>
    </w:p>
    <w:p w14:paraId="6E5074AA">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kern w:val="0"/>
          <w:highlight w:val="none"/>
          <w14:textFill>
            <w14:solidFill>
              <w14:schemeClr w14:val="tx1"/>
            </w14:solidFill>
          </w14:textFill>
        </w:rPr>
        <w:t>本项目运营期间，用于处理生活污水的地埋式一体化污水处理设施底部会沉积部分污泥，含水率较高</w:t>
      </w:r>
      <w:r>
        <w:rPr>
          <w:color w:val="000000" w:themeColor="text1"/>
          <w:highlight w:val="none"/>
          <w14:textFill>
            <w14:solidFill>
              <w14:schemeClr w14:val="tx1"/>
            </w14:solidFill>
          </w14:textFill>
        </w:rPr>
        <w:t>运营期生活污水处理设施底泥产生量为</w:t>
      </w:r>
      <w:r>
        <w:rPr>
          <w:rFonts w:hint="eastAsia"/>
          <w:color w:val="000000" w:themeColor="text1"/>
          <w:highlight w:val="none"/>
          <w:lang w:val="en-US" w:eastAsia="zh-CN"/>
          <w14:textFill>
            <w14:solidFill>
              <w14:schemeClr w14:val="tx1"/>
            </w14:solidFill>
          </w14:textFill>
        </w:rPr>
        <w:t>1.05</w:t>
      </w:r>
      <w:r>
        <w:rPr>
          <w:rFonts w:hint="eastAsia"/>
          <w:color w:val="000000" w:themeColor="text1"/>
          <w:highlight w:val="none"/>
          <w14:textFill>
            <w14:solidFill>
              <w14:schemeClr w14:val="tx1"/>
            </w14:solidFill>
          </w14:textFill>
        </w:rPr>
        <w:t>t/a</w:t>
      </w:r>
      <w:r>
        <w:rPr>
          <w:rFonts w:hint="eastAsia"/>
          <w:color w:val="000000" w:themeColor="text1"/>
          <w:highlight w:val="none"/>
          <w:lang w:eastAsia="zh-CN"/>
          <w14:textFill>
            <w14:solidFill>
              <w14:schemeClr w14:val="tx1"/>
            </w14:solidFill>
          </w14:textFill>
        </w:rPr>
        <w:t>。</w:t>
      </w:r>
    </w:p>
    <w:p w14:paraId="3F8B7D36">
      <w:pPr>
        <w:overflowPunct w:val="0"/>
        <w:topLinePunct/>
        <w:ind w:firstLine="480"/>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生活污水处理设施底泥</w:t>
      </w:r>
      <w:r>
        <w:rPr>
          <w:rFonts w:hint="eastAsia"/>
          <w:color w:val="000000" w:themeColor="text1"/>
          <w:kern w:val="0"/>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固体废物代码：900-099-S07</w:t>
      </w:r>
      <w:r>
        <w:rPr>
          <w:rFonts w:hint="eastAsia"/>
          <w:color w:val="000000" w:themeColor="text1"/>
          <w:kern w:val="0"/>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定期拉运至</w:t>
      </w:r>
      <w:r>
        <w:rPr>
          <w:rFonts w:hint="eastAsia"/>
          <w:color w:val="000000" w:themeColor="text1"/>
          <w:highlight w:val="none"/>
          <w:lang w:eastAsia="zh-CN"/>
          <w14:textFill>
            <w14:solidFill>
              <w14:schemeClr w14:val="tx1"/>
            </w14:solidFill>
          </w14:textFill>
        </w:rPr>
        <w:t>周边</w:t>
      </w:r>
      <w:r>
        <w:rPr>
          <w:rFonts w:hint="eastAsia"/>
          <w:color w:val="000000" w:themeColor="text1"/>
          <w:highlight w:val="none"/>
          <w14:textFill>
            <w14:solidFill>
              <w14:schemeClr w14:val="tx1"/>
            </w14:solidFill>
          </w14:textFill>
        </w:rPr>
        <w:t>一般工业固体废物填埋场填埋处置。</w:t>
      </w:r>
    </w:p>
    <w:p w14:paraId="646D654C">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5</w:t>
      </w:r>
      <w:r>
        <w:rPr>
          <w:rFonts w:hint="eastAsia"/>
          <w:color w:val="000000" w:themeColor="text1"/>
          <w:kern w:val="0"/>
          <w:highlight w:val="none"/>
          <w14:textFill>
            <w14:solidFill>
              <w14:schemeClr w14:val="tx1"/>
            </w14:solidFill>
          </w14:textFill>
        </w:rPr>
        <w:t>）废布袋</w:t>
      </w:r>
    </w:p>
    <w:p w14:paraId="495C8E73">
      <w:pPr>
        <w:overflowPunct w:val="0"/>
        <w:topLinePunct/>
        <w:ind w:firstLine="480"/>
        <w:rPr>
          <w:rFonts w:hint="eastAsia"/>
          <w:color w:val="000000" w:themeColor="text1"/>
          <w:kern w:val="0"/>
          <w:highlight w:val="none"/>
          <w:lang w:eastAsia="zh-CN"/>
          <w14:textFill>
            <w14:solidFill>
              <w14:schemeClr w14:val="tx1"/>
            </w14:solidFill>
          </w14:textFill>
        </w:rPr>
      </w:pPr>
      <w:r>
        <w:rPr>
          <w:rFonts w:hint="eastAsia"/>
          <w:color w:val="000000" w:themeColor="text1"/>
          <w:kern w:val="0"/>
          <w:highlight w:val="none"/>
          <w14:textFill>
            <w14:solidFill>
              <w14:schemeClr w14:val="tx1"/>
            </w14:solidFill>
          </w14:textFill>
        </w:rPr>
        <w:t>根据项目需要采取布袋除尘器作为环保处理措施手段，运行过程中破损或遇水后糊袋</w:t>
      </w:r>
      <w:r>
        <w:rPr>
          <w:rFonts w:hint="eastAsia"/>
          <w:color w:val="000000" w:themeColor="text1"/>
          <w:kern w:val="0"/>
          <w:highlight w:val="none"/>
          <w:lang w:val="en-US" w:eastAsia="zh-CN"/>
          <w14:textFill>
            <w14:solidFill>
              <w14:schemeClr w14:val="tx1"/>
            </w14:solidFill>
          </w14:textFill>
        </w:rPr>
        <w:t>时</w:t>
      </w:r>
      <w:r>
        <w:rPr>
          <w:rFonts w:hint="eastAsia"/>
          <w:color w:val="000000" w:themeColor="text1"/>
          <w:kern w:val="0"/>
          <w:highlight w:val="none"/>
          <w14:textFill>
            <w14:solidFill>
              <w14:schemeClr w14:val="tx1"/>
            </w14:solidFill>
          </w14:textFill>
        </w:rPr>
        <w:t>需要更换布袋。本项目废布袋产生量约为0.5t/a</w:t>
      </w:r>
      <w:r>
        <w:rPr>
          <w:rFonts w:hint="eastAsia"/>
          <w:color w:val="000000" w:themeColor="text1"/>
          <w:kern w:val="0"/>
          <w:highlight w:val="none"/>
          <w:lang w:eastAsia="zh-CN"/>
          <w14:textFill>
            <w14:solidFill>
              <w14:schemeClr w14:val="tx1"/>
            </w14:solidFill>
          </w14:textFill>
        </w:rPr>
        <w:t>。</w:t>
      </w:r>
    </w:p>
    <w:p w14:paraId="5AB62F78">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废布袋</w:t>
      </w:r>
      <w:r>
        <w:rPr>
          <w:rFonts w:hint="eastAsia"/>
          <w:color w:val="000000" w:themeColor="text1"/>
          <w:kern w:val="0"/>
          <w:highlight w:val="none"/>
          <w14:textFill>
            <w14:solidFill>
              <w14:schemeClr w14:val="tx1"/>
            </w14:solidFill>
          </w14:textFill>
        </w:rPr>
        <w:t>属于一般固体废物</w:t>
      </w:r>
      <w:r>
        <w:rPr>
          <w:rFonts w:hint="eastAsia"/>
          <w:color w:val="000000" w:themeColor="text1"/>
          <w:kern w:val="0"/>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固体废物代码：900-009-S59</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14:textFill>
            <w14:solidFill>
              <w14:schemeClr w14:val="tx1"/>
            </w14:solidFill>
          </w14:textFill>
        </w:rPr>
        <w:t>，集中收集后定期拉运至一般工业固体废物填埋场进行处置。</w:t>
      </w:r>
    </w:p>
    <w:p w14:paraId="66CB266C">
      <w:pPr>
        <w:pStyle w:val="41"/>
        <w:overflowPunct w:val="0"/>
        <w:topLinePunct/>
        <w:spacing w:line="480" w:lineRule="exact"/>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6</w:t>
      </w:r>
      <w:r>
        <w:rPr>
          <w:rFonts w:hint="eastAsia" w:cs="Times New Roman"/>
          <w:bCs/>
          <w:color w:val="000000" w:themeColor="text1"/>
          <w:szCs w:val="24"/>
          <w:highlight w:val="none"/>
          <w14:textFill>
            <w14:solidFill>
              <w14:schemeClr w14:val="tx1"/>
            </w14:solidFill>
          </w14:textFill>
        </w:rPr>
        <w:t>）循环水池底泥</w:t>
      </w:r>
    </w:p>
    <w:p w14:paraId="01ACB69E">
      <w:pPr>
        <w:pStyle w:val="41"/>
        <w:overflowPunct w:val="0"/>
        <w:topLinePunct/>
        <w:spacing w:line="480" w:lineRule="exact"/>
        <w:ind w:firstLine="480"/>
        <w:rPr>
          <w:rFonts w:cs="Times New Roman"/>
          <w:bCs/>
          <w:color w:val="000000" w:themeColor="text1"/>
          <w:szCs w:val="24"/>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w:t>
      </w:r>
      <w:r>
        <w:rPr>
          <w:rFonts w:cs="Times New Roman"/>
          <w:color w:val="000000" w:themeColor="text1"/>
          <w:highlight w:val="none"/>
          <w14:textFill>
            <w14:solidFill>
              <w14:schemeClr w14:val="tx1"/>
            </w14:solidFill>
          </w14:textFill>
        </w:rPr>
        <w:t>运营期</w:t>
      </w:r>
      <w:r>
        <w:rPr>
          <w:rFonts w:hint="eastAsia" w:cs="Times New Roman"/>
          <w:bCs/>
          <w:color w:val="000000" w:themeColor="text1"/>
          <w:szCs w:val="24"/>
          <w:highlight w:val="none"/>
          <w14:textFill>
            <w14:solidFill>
              <w14:schemeClr w14:val="tx1"/>
            </w14:solidFill>
          </w14:textFill>
        </w:rPr>
        <w:t>循环水池底泥产生量约</w:t>
      </w:r>
      <w:r>
        <w:rPr>
          <w:rFonts w:hint="eastAsia" w:cs="Times New Roman"/>
          <w:bCs/>
          <w:color w:val="000000" w:themeColor="text1"/>
          <w:szCs w:val="24"/>
          <w:highlight w:val="none"/>
          <w:lang w:val="en-US" w:eastAsia="zh-CN"/>
          <w14:textFill>
            <w14:solidFill>
              <w14:schemeClr w14:val="tx1"/>
            </w14:solidFill>
          </w14:textFill>
        </w:rPr>
        <w:t>92</w:t>
      </w:r>
      <w:r>
        <w:rPr>
          <w:rFonts w:hint="eastAsia" w:cs="Times New Roman"/>
          <w:bCs/>
          <w:color w:val="000000" w:themeColor="text1"/>
          <w:szCs w:val="24"/>
          <w:highlight w:val="none"/>
          <w14:textFill>
            <w14:solidFill>
              <w14:schemeClr w14:val="tx1"/>
            </w14:solidFill>
          </w14:textFill>
        </w:rPr>
        <w:t>t/a</w:t>
      </w: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固体废物代码：900-099-S07</w:t>
      </w:r>
      <w:r>
        <w:rPr>
          <w:rFonts w:hint="eastAsia" w:cs="Times New Roman"/>
          <w:bCs/>
          <w:color w:val="000000" w:themeColor="text1"/>
          <w:szCs w:val="24"/>
          <w:highlight w:val="none"/>
          <w14:textFill>
            <w14:solidFill>
              <w14:schemeClr w14:val="tx1"/>
            </w14:solidFill>
          </w14:textFill>
        </w:rPr>
        <w:t>。循环水池定期清理，底泥可返回生产工序回用于选矿，不外排。</w:t>
      </w:r>
    </w:p>
    <w:p w14:paraId="4F9D5AE8">
      <w:pPr>
        <w:pStyle w:val="41"/>
        <w:overflowPunct w:val="0"/>
        <w:topLinePunct/>
        <w:spacing w:line="480" w:lineRule="exact"/>
        <w:ind w:firstLine="480"/>
        <w:rPr>
          <w:rFonts w:cs="Times New Roman"/>
          <w:bCs/>
          <w:color w:val="000000" w:themeColor="text1"/>
          <w:szCs w:val="24"/>
          <w:highlight w:val="none"/>
          <w14:textFill>
            <w14:solidFill>
              <w14:schemeClr w14:val="tx1"/>
            </w14:solidFill>
          </w14:textFill>
        </w:rPr>
      </w:pP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7</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14:textFill>
            <w14:solidFill>
              <w14:schemeClr w14:val="tx1"/>
            </w14:solidFill>
          </w14:textFill>
        </w:rPr>
        <w:t>生活垃圾</w:t>
      </w:r>
    </w:p>
    <w:p w14:paraId="7D5A979B">
      <w:pPr>
        <w:pStyle w:val="41"/>
        <w:overflowPunct w:val="0"/>
        <w:topLinePunct/>
        <w:spacing w:line="480" w:lineRule="exact"/>
        <w:ind w:firstLine="480"/>
        <w:rPr>
          <w:rFonts w:cs="Times New Roman"/>
          <w:bCs/>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kern w:val="0"/>
          <w:highlight w:val="none"/>
          <w14:textFill>
            <w14:solidFill>
              <w14:schemeClr w14:val="tx1"/>
            </w14:solidFill>
          </w14:textFill>
        </w:rPr>
        <w:t>生活垃圾产生量为</w:t>
      </w:r>
      <w:r>
        <w:rPr>
          <w:rFonts w:hint="eastAsia"/>
          <w:color w:val="000000" w:themeColor="text1"/>
          <w:kern w:val="0"/>
          <w:highlight w:val="none"/>
          <w:lang w:val="en-US" w:eastAsia="zh-CN"/>
          <w14:textFill>
            <w14:solidFill>
              <w14:schemeClr w14:val="tx1"/>
            </w14:solidFill>
          </w14:textFill>
        </w:rPr>
        <w:t>50</w:t>
      </w:r>
      <w:r>
        <w:rPr>
          <w:color w:val="000000" w:themeColor="text1"/>
          <w:kern w:val="0"/>
          <w:highlight w:val="none"/>
          <w14:textFill>
            <w14:solidFill>
              <w14:schemeClr w14:val="tx1"/>
            </w14:solidFill>
          </w14:textFill>
        </w:rPr>
        <w:t>kg/d</w:t>
      </w: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15</w:t>
      </w:r>
      <w:r>
        <w:rPr>
          <w:color w:val="000000" w:themeColor="text1"/>
          <w:kern w:val="0"/>
          <w:highlight w:val="none"/>
          <w14:textFill>
            <w14:solidFill>
              <w14:schemeClr w14:val="tx1"/>
            </w14:solidFill>
          </w14:textFill>
        </w:rPr>
        <w:t>t/a</w:t>
      </w:r>
      <w:r>
        <w:rPr>
          <w:rFonts w:hint="eastAsia"/>
          <w:color w:val="000000" w:themeColor="text1"/>
          <w:kern w:val="0"/>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固体废物代码：900-099-S64</w:t>
      </w:r>
      <w:r>
        <w:rPr>
          <w:rFonts w:hint="eastAsia" w:cs="Times New Roman"/>
          <w:bCs/>
          <w:color w:val="000000" w:themeColor="text1"/>
          <w:szCs w:val="24"/>
          <w:highlight w:val="none"/>
          <w14:textFill>
            <w14:solidFill>
              <w14:schemeClr w14:val="tx1"/>
            </w14:solidFill>
          </w14:textFill>
        </w:rPr>
        <w:t>。</w:t>
      </w:r>
      <w:r>
        <w:rPr>
          <w:rFonts w:hint="eastAsia"/>
          <w:color w:val="000000" w:themeColor="text1"/>
          <w:kern w:val="0"/>
          <w:highlight w:val="none"/>
          <w14:textFill>
            <w14:solidFill>
              <w14:schemeClr w14:val="tx1"/>
            </w14:solidFill>
          </w14:textFill>
        </w:rPr>
        <w:t>生活垃圾集中收集后，</w:t>
      </w:r>
      <w:r>
        <w:rPr>
          <w:rFonts w:hint="eastAsia"/>
          <w:color w:val="000000" w:themeColor="text1"/>
          <w:kern w:val="0"/>
          <w:highlight w:val="none"/>
          <w:lang w:val="en-US" w:eastAsia="zh-CN"/>
          <w14:textFill>
            <w14:solidFill>
              <w14:schemeClr w14:val="tx1"/>
            </w14:solidFill>
          </w14:textFill>
        </w:rPr>
        <w:t>定期清运至哈密市伊州区雅满苏镇生活垃圾转运站处理</w:t>
      </w:r>
      <w:r>
        <w:rPr>
          <w:rFonts w:hint="eastAsia"/>
          <w:color w:val="000000" w:themeColor="text1"/>
          <w:kern w:val="0"/>
          <w:highlight w:val="none"/>
          <w14:textFill>
            <w14:solidFill>
              <w14:schemeClr w14:val="tx1"/>
            </w14:solidFill>
          </w14:textFill>
        </w:rPr>
        <w:t>。</w:t>
      </w:r>
    </w:p>
    <w:p w14:paraId="142B9CB2">
      <w:pPr>
        <w:pStyle w:val="41"/>
        <w:overflowPunct w:val="0"/>
        <w:topLinePunct/>
        <w:spacing w:line="480" w:lineRule="exact"/>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8</w:t>
      </w:r>
      <w:r>
        <w:rPr>
          <w:rFonts w:hint="eastAsia" w:cs="Times New Roman"/>
          <w:bCs/>
          <w:color w:val="000000" w:themeColor="text1"/>
          <w:szCs w:val="24"/>
          <w:highlight w:val="none"/>
          <w14:textFill>
            <w14:solidFill>
              <w14:schemeClr w14:val="tx1"/>
            </w14:solidFill>
          </w14:textFill>
        </w:rPr>
        <w:t>）</w:t>
      </w:r>
      <w:r>
        <w:rPr>
          <w:rFonts w:hint="eastAsia"/>
          <w:color w:val="000000" w:themeColor="text1"/>
          <w:kern w:val="0"/>
          <w:highlight w:val="none"/>
          <w14:textFill>
            <w14:solidFill>
              <w14:schemeClr w14:val="tx1"/>
            </w14:solidFill>
          </w14:textFill>
        </w:rPr>
        <w:t>废机油及废油桶</w:t>
      </w:r>
    </w:p>
    <w:p w14:paraId="48BD0AFB">
      <w:pPr>
        <w:pStyle w:val="41"/>
        <w:overflowPunct w:val="0"/>
        <w:topLinePunct/>
        <w:spacing w:line="480" w:lineRule="exact"/>
        <w:ind w:firstLine="480"/>
        <w:rPr>
          <w:rFonts w:hint="eastAsia"/>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项目运营过程中会产生少量废机油及废油桶，产生量约</w:t>
      </w:r>
      <w:r>
        <w:rPr>
          <w:rFonts w:hint="eastAsia"/>
          <w:color w:val="000000" w:themeColor="text1"/>
          <w:kern w:val="0"/>
          <w:highlight w:val="none"/>
          <w:lang w:val="en-US" w:eastAsia="zh-CN"/>
          <w14:textFill>
            <w14:solidFill>
              <w14:schemeClr w14:val="tx1"/>
            </w14:solidFill>
          </w14:textFill>
        </w:rPr>
        <w:t>为1.5</w:t>
      </w:r>
      <w:r>
        <w:rPr>
          <w:rFonts w:hint="eastAsia"/>
          <w:color w:val="000000" w:themeColor="text1"/>
          <w:kern w:val="0"/>
          <w:highlight w:val="none"/>
          <w14:textFill>
            <w14:solidFill>
              <w14:schemeClr w14:val="tx1"/>
            </w14:solidFill>
          </w14:textFill>
        </w:rPr>
        <w:t>t/a，属于危险废物（</w:t>
      </w:r>
      <w:r>
        <w:rPr>
          <w:color w:val="000000" w:themeColor="text1"/>
          <w:kern w:val="0"/>
          <w:highlight w:val="none"/>
          <w14:textFill>
            <w14:solidFill>
              <w14:schemeClr w14:val="tx1"/>
            </w14:solidFill>
          </w14:textFill>
        </w:rPr>
        <w:t>HW08</w:t>
      </w:r>
      <w:r>
        <w:rPr>
          <w:rFonts w:hint="eastAsia"/>
          <w:color w:val="000000" w:themeColor="text1"/>
          <w:kern w:val="0"/>
          <w:highlight w:val="none"/>
          <w14:textFill>
            <w14:solidFill>
              <w14:schemeClr w14:val="tx1"/>
            </w14:solidFill>
          </w14:textFill>
        </w:rPr>
        <w:t>）。</w:t>
      </w:r>
    </w:p>
    <w:p w14:paraId="5EA0199B">
      <w:pPr>
        <w:pStyle w:val="41"/>
        <w:overflowPunct w:val="0"/>
        <w:topLinePunct/>
        <w:spacing w:line="480" w:lineRule="exact"/>
        <w:ind w:firstLine="48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color w:val="000000" w:themeColor="text1"/>
          <w:kern w:val="0"/>
          <w:highlight w:val="none"/>
          <w14:textFill>
            <w14:solidFill>
              <w14:schemeClr w14:val="tx1"/>
            </w14:solidFill>
          </w14:textFill>
        </w:rPr>
        <w:t>废机油</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危废代码：900-217-08</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14:textFill>
            <w14:solidFill>
              <w14:schemeClr w14:val="tx1"/>
            </w14:solidFill>
          </w14:textFill>
        </w:rPr>
        <w:t>及废油桶</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危废代码：900-249-08</w:t>
      </w:r>
      <w:r>
        <w:rPr>
          <w:rFonts w:hint="eastAsia"/>
          <w:color w:val="000000" w:themeColor="text1"/>
          <w:kern w:val="0"/>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eastAsia="zh-CN"/>
          <w14:textFill>
            <w14:solidFill>
              <w14:schemeClr w14:val="tx1"/>
            </w14:solidFill>
          </w14:textFill>
        </w:rPr>
        <w:t>依托</w:t>
      </w:r>
      <w:r>
        <w:rPr>
          <w:rFonts w:hint="eastAsia" w:cs="Times New Roman"/>
          <w:color w:val="000000" w:themeColor="text1"/>
          <w:highlight w:val="none"/>
          <w:lang w:val="en-US" w:eastAsia="zh-CN"/>
          <w14:textFill>
            <w14:solidFill>
              <w14:schemeClr w14:val="tx1"/>
            </w14:solidFill>
          </w14:textFill>
        </w:rPr>
        <w:t>采</w:t>
      </w:r>
      <w:r>
        <w:rPr>
          <w:rFonts w:hint="eastAsia" w:ascii="Times New Roman" w:hAnsi="Times New Roman" w:cs="Times New Roman"/>
          <w:color w:val="000000" w:themeColor="text1"/>
          <w:highlight w:val="none"/>
          <w:lang w:eastAsia="zh-CN"/>
          <w14:textFill>
            <w14:solidFill>
              <w14:schemeClr w14:val="tx1"/>
            </w14:solidFill>
          </w14:textFill>
        </w:rPr>
        <w:t>矿区</w:t>
      </w:r>
      <w:r>
        <w:rPr>
          <w:rFonts w:hint="eastAsia" w:ascii="Times New Roman" w:hAnsi="Times New Roman" w:cs="Times New Roman"/>
          <w:color w:val="000000" w:themeColor="text1"/>
          <w:highlight w:val="none"/>
          <w:lang w:val="en-US" w:eastAsia="zh-CN"/>
          <w14:textFill>
            <w14:solidFill>
              <w14:schemeClr w14:val="tx1"/>
            </w14:solidFill>
          </w14:textFill>
        </w:rPr>
        <w:t>现有的</w:t>
      </w:r>
      <w:r>
        <w:rPr>
          <w:rFonts w:hint="eastAsia" w:cs="Times New Roman"/>
          <w:color w:val="000000" w:themeColor="text1"/>
          <w:highlight w:val="none"/>
          <w:lang w:eastAsia="zh-CN"/>
          <w14:textFill>
            <w14:solidFill>
              <w14:schemeClr w14:val="tx1"/>
            </w14:solidFill>
          </w14:textFill>
        </w:rPr>
        <w:t>危废贮存点</w:t>
      </w:r>
      <w:r>
        <w:rPr>
          <w:rFonts w:hint="eastAsia" w:ascii="Times New Roman" w:hAnsi="Times New Roman" w:cs="Times New Roman"/>
          <w:color w:val="000000" w:themeColor="text1"/>
          <w:highlight w:val="none"/>
          <w:lang w:eastAsia="zh-CN"/>
          <w14:textFill>
            <w14:solidFill>
              <w14:schemeClr w14:val="tx1"/>
            </w14:solidFill>
          </w14:textFill>
        </w:rPr>
        <w:t>贮</w:t>
      </w:r>
      <w:r>
        <w:rPr>
          <w:rFonts w:hint="eastAsia" w:ascii="Times New Roman" w:hAnsi="Times New Roman" w:cs="Times New Roman"/>
          <w:color w:val="000000" w:themeColor="text1"/>
          <w:highlight w:val="none"/>
          <w14:textFill>
            <w14:solidFill>
              <w14:schemeClr w14:val="tx1"/>
            </w14:solidFill>
          </w14:textFill>
        </w:rPr>
        <w:t>存</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委托有资质单位处置。</w:t>
      </w:r>
    </w:p>
    <w:p w14:paraId="6AC5A3D5">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综上，本项目各项固体废物均得到妥善处置，在满足以上要求的前提下，本项目各项固体废物对项目区及周边环境影响较小。</w:t>
      </w:r>
    </w:p>
    <w:bookmarkEnd w:id="757"/>
    <w:bookmarkEnd w:id="758"/>
    <w:bookmarkEnd w:id="759"/>
    <w:p w14:paraId="3D76AA3F">
      <w:pPr>
        <w:pStyle w:val="4"/>
        <w:rPr>
          <w:color w:val="000000" w:themeColor="text1"/>
          <w:highlight w:val="none"/>
          <w14:textFill>
            <w14:solidFill>
              <w14:schemeClr w14:val="tx1"/>
            </w14:solidFill>
          </w14:textFill>
        </w:rPr>
      </w:pPr>
      <w:bookmarkStart w:id="760" w:name="_Toc15280"/>
      <w:bookmarkStart w:id="761" w:name="_Toc27346"/>
      <w:bookmarkStart w:id="762" w:name="_Toc32314"/>
      <w:bookmarkStart w:id="763" w:name="_Toc13048"/>
      <w:bookmarkStart w:id="764" w:name="_Toc107414666"/>
      <w:bookmarkStart w:id="765" w:name="_Toc10123"/>
      <w:bookmarkStart w:id="766" w:name="_Toc32160"/>
      <w:bookmarkStart w:id="767" w:name="_Toc107413899"/>
      <w:bookmarkStart w:id="768" w:name="_Toc9717"/>
      <w:bookmarkStart w:id="769" w:name="_Toc107413900"/>
      <w:bookmarkStart w:id="770" w:name="_Toc25110"/>
      <w:bookmarkStart w:id="771" w:name="_Toc21783"/>
      <w:bookmarkStart w:id="772" w:name="_Toc107414667"/>
      <w:bookmarkStart w:id="773" w:name="_Toc15541"/>
      <w:bookmarkStart w:id="774" w:name="_Toc29060"/>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2.6运营期土壤环境影响分析</w:t>
      </w:r>
    </w:p>
    <w:p w14:paraId="56AFD6E5">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5.2.6.1</w:t>
      </w:r>
      <w:r>
        <w:rPr>
          <w:rFonts w:hint="eastAsia"/>
          <w:color w:val="000000" w:themeColor="text1"/>
          <w:highlight w:val="none"/>
          <w14:textFill>
            <w14:solidFill>
              <w14:schemeClr w14:val="tx1"/>
            </w14:solidFill>
          </w14:textFill>
        </w:rPr>
        <w:t>土壤环境的影响识别</w:t>
      </w:r>
    </w:p>
    <w:p w14:paraId="1A4306E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（1）建设项目所属行业识别</w:t>
      </w:r>
    </w:p>
    <w:p w14:paraId="3D17ABD8">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本项目为</w:t>
      </w:r>
      <w:r>
        <w:rPr>
          <w:rFonts w:hint="eastAsia"/>
          <w:color w:val="000000" w:themeColor="text1"/>
          <w:highlight w:val="none"/>
          <w:lang w:eastAsia="zh-CN"/>
          <w14:textFill>
            <w14:solidFill>
              <w14:schemeClr w14:val="tx1"/>
            </w14:solidFill>
          </w14:textFill>
        </w:rPr>
        <w:t>M1033铁矿</w:t>
      </w:r>
      <w:r>
        <w:rPr>
          <w:color w:val="000000" w:themeColor="text1"/>
          <w:highlight w:val="none"/>
          <w14:textFill>
            <w14:solidFill>
              <w14:schemeClr w14:val="tx1"/>
            </w14:solidFill>
          </w14:textFill>
        </w:rPr>
        <w:t>采选，根据</w:t>
      </w:r>
      <w:r>
        <w:rPr>
          <w:color w:val="000000" w:themeColor="text1"/>
          <w:highlight w:val="none"/>
          <w:lang w:val="zh-CN"/>
          <w14:textFill>
            <w14:solidFill>
              <w14:schemeClr w14:val="tx1"/>
            </w14:solidFill>
          </w14:textFill>
        </w:rPr>
        <w:t xml:space="preserve">《环境影响评价技术导则 </w:t>
      </w:r>
      <w:r>
        <w:rPr>
          <w:color w:val="000000" w:themeColor="text1"/>
          <w:highlight w:val="none"/>
          <w14:textFill>
            <w14:solidFill>
              <w14:schemeClr w14:val="tx1"/>
            </w14:solidFill>
          </w14:textFill>
        </w:rPr>
        <w:t>土壤环境</w:t>
      </w:r>
      <w:r>
        <w:rPr>
          <w:color w:val="000000" w:themeColor="text1"/>
          <w:highlight w:val="none"/>
          <w:lang w:val="zh-CN"/>
          <w14:textFill>
            <w14:solidFill>
              <w14:schemeClr w14:val="tx1"/>
            </w14:solidFill>
          </w14:textFill>
        </w:rPr>
        <w:t>（</w:t>
      </w:r>
      <w:r>
        <w:rPr>
          <w:color w:val="000000" w:themeColor="text1"/>
          <w:highlight w:val="none"/>
          <w14:textFill>
            <w14:solidFill>
              <w14:schemeClr w14:val="tx1"/>
            </w14:solidFill>
          </w14:textFill>
        </w:rPr>
        <w:t>试行</w:t>
      </w:r>
      <w:r>
        <w:rPr>
          <w:color w:val="000000" w:themeColor="text1"/>
          <w:highlight w:val="none"/>
          <w:lang w:val="zh-CN"/>
          <w14:textFill>
            <w14:solidFill>
              <w14:schemeClr w14:val="tx1"/>
            </w14:solidFill>
          </w14:textFill>
        </w:rPr>
        <w:t>）》（HJ</w:t>
      </w:r>
      <w:r>
        <w:rPr>
          <w:color w:val="000000" w:themeColor="text1"/>
          <w:highlight w:val="none"/>
          <w14:textFill>
            <w14:solidFill>
              <w14:schemeClr w14:val="tx1"/>
            </w14:solidFill>
          </w14:textFill>
        </w:rPr>
        <w:t>964-2018</w:t>
      </w:r>
      <w:r>
        <w:rPr>
          <w:color w:val="000000" w:themeColor="text1"/>
          <w:highlight w:val="none"/>
          <w:lang w:val="zh-CN"/>
          <w14:textFill>
            <w14:solidFill>
              <w14:schemeClr w14:val="tx1"/>
            </w14:solidFill>
          </w14:textFill>
        </w:rPr>
        <w:t>）附录A，</w:t>
      </w:r>
      <w:r>
        <w:rPr>
          <w:color w:val="000000" w:themeColor="text1"/>
          <w:highlight w:val="none"/>
          <w14:textFill>
            <w14:solidFill>
              <w14:schemeClr w14:val="tx1"/>
            </w14:solidFill>
          </w14:textFill>
        </w:rPr>
        <w:t>为Ⅰ类项目。本项目</w:t>
      </w:r>
      <w:r>
        <w:rPr>
          <w:rFonts w:hint="eastAsia"/>
          <w:color w:val="000000" w:themeColor="text1"/>
          <w:highlight w:val="none"/>
          <w14:textFill>
            <w14:solidFill>
              <w14:schemeClr w14:val="tx1"/>
            </w14:solidFill>
          </w14:textFill>
        </w:rPr>
        <w:t>选矿厂及尾矿库属于污染影响型</w:t>
      </w:r>
      <w:r>
        <w:rPr>
          <w:color w:val="000000" w:themeColor="text1"/>
          <w:highlight w:val="none"/>
          <w14:textFill>
            <w14:solidFill>
              <w14:schemeClr w14:val="tx1"/>
            </w14:solidFill>
          </w14:textFill>
        </w:rPr>
        <w:t>，土壤环境影响评价工作等级为</w:t>
      </w:r>
      <w:r>
        <w:rPr>
          <w:rFonts w:hint="eastAsia"/>
          <w:color w:val="000000" w:themeColor="text1"/>
          <w:highlight w:val="none"/>
          <w:lang w:val="en-US" w:eastAsia="zh-CN"/>
          <w14:textFill>
            <w14:solidFill>
              <w14:schemeClr w14:val="tx1"/>
            </w14:solidFill>
          </w14:textFill>
        </w:rPr>
        <w:t>二</w:t>
      </w:r>
      <w:r>
        <w:rPr>
          <w:color w:val="000000" w:themeColor="text1"/>
          <w:highlight w:val="none"/>
          <w14:textFill>
            <w14:solidFill>
              <w14:schemeClr w14:val="tx1"/>
            </w14:solidFill>
          </w14:textFill>
        </w:rPr>
        <w:t>级。</w:t>
      </w:r>
    </w:p>
    <w:p w14:paraId="31368FB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（2）土壤环境影响类型、影响途径、影响源与影响因子识别</w:t>
      </w:r>
    </w:p>
    <w:p w14:paraId="4A225BA4">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运营期环境影响识别主要针对排放的大气污染物、废水污染物等</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本项目主要包括选矿厂、尾矿库</w:t>
      </w:r>
      <w:r>
        <w:rPr>
          <w:rFonts w:hint="eastAsia"/>
          <w:color w:val="000000" w:themeColor="text1"/>
          <w:highlight w:val="none"/>
          <w:lang w:val="en-US" w:eastAsia="zh-CN"/>
          <w14:textFill>
            <w14:solidFill>
              <w14:schemeClr w14:val="tx1"/>
            </w14:solidFill>
          </w14:textFill>
        </w:rPr>
        <w:t>运营期</w:t>
      </w:r>
      <w:r>
        <w:rPr>
          <w:color w:val="000000" w:themeColor="text1"/>
          <w:highlight w:val="none"/>
          <w14:textFill>
            <w14:solidFill>
              <w14:schemeClr w14:val="tx1"/>
            </w14:solidFill>
          </w14:textFill>
        </w:rPr>
        <w:t>对土壤产生的影响。</w:t>
      </w:r>
    </w:p>
    <w:p w14:paraId="0D482F88">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本项目对土壤的影响类型和途径及影响因子见表5.2-</w:t>
      </w: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5.2-</w:t>
      </w:r>
      <w:r>
        <w:rPr>
          <w:rFonts w:hint="eastAsia"/>
          <w:color w:val="000000" w:themeColor="text1"/>
          <w:highlight w:val="none"/>
          <w:lang w:val="en-US" w:eastAsia="zh-CN"/>
          <w14:textFill>
            <w14:solidFill>
              <w14:schemeClr w14:val="tx1"/>
            </w14:solidFill>
          </w14:textFill>
        </w:rPr>
        <w:t>14</w:t>
      </w:r>
      <w:r>
        <w:rPr>
          <w:color w:val="000000" w:themeColor="text1"/>
          <w:highlight w:val="none"/>
          <w14:textFill>
            <w14:solidFill>
              <w14:schemeClr w14:val="tx1"/>
            </w14:solidFill>
          </w14:textFill>
        </w:rPr>
        <w:t>。</w:t>
      </w:r>
    </w:p>
    <w:p w14:paraId="6786DD77">
      <w:pPr>
        <w:tabs>
          <w:tab w:val="left" w:pos="1214"/>
        </w:tabs>
        <w:ind w:firstLine="0" w:firstLineChars="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表5.2-</w:t>
      </w:r>
      <w:r>
        <w:rPr>
          <w:rFonts w:hint="eastAsia"/>
          <w:b/>
          <w:color w:val="000000" w:themeColor="text1"/>
          <w:highlight w:val="none"/>
          <w:lang w:val="en-US" w:eastAsia="zh-CN"/>
          <w14:textFill>
            <w14:solidFill>
              <w14:schemeClr w14:val="tx1"/>
            </w14:solidFill>
          </w14:textFill>
        </w:rPr>
        <w:t>13</w:t>
      </w:r>
      <w:r>
        <w:rPr>
          <w:b/>
          <w:color w:val="000000" w:themeColor="text1"/>
          <w:highlight w:val="none"/>
          <w14:textFill>
            <w14:solidFill>
              <w14:schemeClr w14:val="tx1"/>
            </w14:solidFill>
          </w14:textFill>
        </w:rPr>
        <w:t xml:space="preserve">    土壤环境影响类型与影响途径表</w:t>
      </w:r>
    </w:p>
    <w:tbl>
      <w:tblPr>
        <w:tblStyle w:val="32"/>
        <w:tblW w:w="833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221"/>
        <w:gridCol w:w="1212"/>
        <w:gridCol w:w="1048"/>
        <w:gridCol w:w="945"/>
        <w:gridCol w:w="610"/>
        <w:gridCol w:w="502"/>
        <w:gridCol w:w="590"/>
        <w:gridCol w:w="650"/>
        <w:gridCol w:w="555"/>
      </w:tblGrid>
      <w:tr w14:paraId="0E0912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blHeader/>
          <w:jc w:val="center"/>
        </w:trPr>
        <w:tc>
          <w:tcPr>
            <w:tcW w:w="2221" w:type="dxa"/>
            <w:vMerge w:val="restart"/>
            <w:tcBorders>
              <w:tl2br w:val="nil"/>
              <w:tr2bl w:val="nil"/>
            </w:tcBorders>
            <w:vAlign w:val="center"/>
          </w:tcPr>
          <w:p w14:paraId="2D713174">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不同时段</w:t>
            </w:r>
          </w:p>
        </w:tc>
        <w:tc>
          <w:tcPr>
            <w:tcW w:w="3815" w:type="dxa"/>
            <w:gridSpan w:val="4"/>
            <w:tcBorders>
              <w:tl2br w:val="nil"/>
              <w:tr2bl w:val="nil"/>
            </w:tcBorders>
            <w:vAlign w:val="center"/>
          </w:tcPr>
          <w:p w14:paraId="58525FAC">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污染影响型</w:t>
            </w:r>
          </w:p>
        </w:tc>
        <w:tc>
          <w:tcPr>
            <w:tcW w:w="2297" w:type="dxa"/>
            <w:gridSpan w:val="4"/>
            <w:tcBorders>
              <w:tl2br w:val="nil"/>
              <w:tr2bl w:val="nil"/>
            </w:tcBorders>
            <w:vAlign w:val="center"/>
          </w:tcPr>
          <w:p w14:paraId="218D52C8">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生态影响型</w:t>
            </w:r>
          </w:p>
        </w:tc>
      </w:tr>
      <w:tr w14:paraId="0210FF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tblHeader/>
          <w:jc w:val="center"/>
        </w:trPr>
        <w:tc>
          <w:tcPr>
            <w:tcW w:w="2221" w:type="dxa"/>
            <w:vMerge w:val="continue"/>
            <w:tcBorders>
              <w:tl2br w:val="nil"/>
              <w:tr2bl w:val="nil"/>
            </w:tcBorders>
            <w:vAlign w:val="center"/>
          </w:tcPr>
          <w:p w14:paraId="2B82D010">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p>
        </w:tc>
        <w:tc>
          <w:tcPr>
            <w:tcW w:w="1212" w:type="dxa"/>
            <w:tcBorders>
              <w:tl2br w:val="nil"/>
              <w:tr2bl w:val="nil"/>
            </w:tcBorders>
            <w:vAlign w:val="center"/>
          </w:tcPr>
          <w:p w14:paraId="77037299">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大气沉降</w:t>
            </w:r>
          </w:p>
        </w:tc>
        <w:tc>
          <w:tcPr>
            <w:tcW w:w="1048" w:type="dxa"/>
            <w:tcBorders>
              <w:tl2br w:val="nil"/>
              <w:tr2bl w:val="nil"/>
            </w:tcBorders>
            <w:vAlign w:val="center"/>
          </w:tcPr>
          <w:p w14:paraId="1E27929A">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地面漫流</w:t>
            </w:r>
          </w:p>
        </w:tc>
        <w:tc>
          <w:tcPr>
            <w:tcW w:w="945" w:type="dxa"/>
            <w:tcBorders>
              <w:tl2br w:val="nil"/>
              <w:tr2bl w:val="nil"/>
            </w:tcBorders>
            <w:vAlign w:val="center"/>
          </w:tcPr>
          <w:p w14:paraId="6522D87E">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垂直入渗</w:t>
            </w:r>
          </w:p>
        </w:tc>
        <w:tc>
          <w:tcPr>
            <w:tcW w:w="610" w:type="dxa"/>
            <w:tcBorders>
              <w:tl2br w:val="nil"/>
              <w:tr2bl w:val="nil"/>
            </w:tcBorders>
            <w:vAlign w:val="center"/>
          </w:tcPr>
          <w:p w14:paraId="459DD790">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其他</w:t>
            </w:r>
          </w:p>
        </w:tc>
        <w:tc>
          <w:tcPr>
            <w:tcW w:w="502" w:type="dxa"/>
            <w:tcBorders>
              <w:tl2br w:val="nil"/>
              <w:tr2bl w:val="nil"/>
            </w:tcBorders>
            <w:vAlign w:val="center"/>
          </w:tcPr>
          <w:p w14:paraId="7BAB3304">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盐化</w:t>
            </w:r>
          </w:p>
        </w:tc>
        <w:tc>
          <w:tcPr>
            <w:tcW w:w="590" w:type="dxa"/>
            <w:tcBorders>
              <w:tl2br w:val="nil"/>
              <w:tr2bl w:val="nil"/>
            </w:tcBorders>
            <w:vAlign w:val="center"/>
          </w:tcPr>
          <w:p w14:paraId="089E6800">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碱化</w:t>
            </w:r>
          </w:p>
        </w:tc>
        <w:tc>
          <w:tcPr>
            <w:tcW w:w="650" w:type="dxa"/>
            <w:tcBorders>
              <w:tl2br w:val="nil"/>
              <w:tr2bl w:val="nil"/>
            </w:tcBorders>
            <w:vAlign w:val="center"/>
          </w:tcPr>
          <w:p w14:paraId="112D4BEB">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酸化</w:t>
            </w:r>
          </w:p>
        </w:tc>
        <w:tc>
          <w:tcPr>
            <w:tcW w:w="555" w:type="dxa"/>
            <w:tcBorders>
              <w:tl2br w:val="nil"/>
              <w:tr2bl w:val="nil"/>
            </w:tcBorders>
            <w:vAlign w:val="center"/>
          </w:tcPr>
          <w:p w14:paraId="11F42747">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其他</w:t>
            </w:r>
          </w:p>
        </w:tc>
      </w:tr>
      <w:tr w14:paraId="229B7A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2221" w:type="dxa"/>
            <w:tcBorders>
              <w:tl2br w:val="nil"/>
              <w:tr2bl w:val="nil"/>
            </w:tcBorders>
            <w:vAlign w:val="center"/>
          </w:tcPr>
          <w:p w14:paraId="101226A0">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选矿厂</w:t>
            </w:r>
          </w:p>
        </w:tc>
        <w:tc>
          <w:tcPr>
            <w:tcW w:w="1212" w:type="dxa"/>
            <w:tcBorders>
              <w:tl2br w:val="nil"/>
              <w:tr2bl w:val="nil"/>
            </w:tcBorders>
            <w:vAlign w:val="center"/>
          </w:tcPr>
          <w:p w14:paraId="332FAD79">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048" w:type="dxa"/>
            <w:tcBorders>
              <w:tl2br w:val="nil"/>
              <w:tr2bl w:val="nil"/>
            </w:tcBorders>
            <w:vAlign w:val="center"/>
          </w:tcPr>
          <w:p w14:paraId="73CAEC0B">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p>
        </w:tc>
        <w:tc>
          <w:tcPr>
            <w:tcW w:w="945" w:type="dxa"/>
            <w:tcBorders>
              <w:tl2br w:val="nil"/>
              <w:tr2bl w:val="nil"/>
            </w:tcBorders>
            <w:vAlign w:val="center"/>
          </w:tcPr>
          <w:p w14:paraId="7F94B5D1">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610" w:type="dxa"/>
            <w:tcBorders>
              <w:tl2br w:val="nil"/>
              <w:tr2bl w:val="nil"/>
            </w:tcBorders>
            <w:vAlign w:val="center"/>
          </w:tcPr>
          <w:p w14:paraId="0CEF7DDE">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p>
        </w:tc>
        <w:tc>
          <w:tcPr>
            <w:tcW w:w="502" w:type="dxa"/>
            <w:tcBorders>
              <w:tl2br w:val="nil"/>
              <w:tr2bl w:val="nil"/>
            </w:tcBorders>
            <w:vAlign w:val="center"/>
          </w:tcPr>
          <w:p w14:paraId="0DA8BB51">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p>
        </w:tc>
        <w:tc>
          <w:tcPr>
            <w:tcW w:w="590" w:type="dxa"/>
            <w:tcBorders>
              <w:tl2br w:val="nil"/>
              <w:tr2bl w:val="nil"/>
            </w:tcBorders>
            <w:vAlign w:val="center"/>
          </w:tcPr>
          <w:p w14:paraId="49103744">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p>
        </w:tc>
        <w:tc>
          <w:tcPr>
            <w:tcW w:w="650" w:type="dxa"/>
            <w:tcBorders>
              <w:tl2br w:val="nil"/>
              <w:tr2bl w:val="nil"/>
            </w:tcBorders>
            <w:vAlign w:val="center"/>
          </w:tcPr>
          <w:p w14:paraId="1442CFCB">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p>
        </w:tc>
        <w:tc>
          <w:tcPr>
            <w:tcW w:w="555" w:type="dxa"/>
            <w:tcBorders>
              <w:tl2br w:val="nil"/>
              <w:tr2bl w:val="nil"/>
            </w:tcBorders>
            <w:vAlign w:val="center"/>
          </w:tcPr>
          <w:p w14:paraId="65715B7C">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p>
        </w:tc>
      </w:tr>
      <w:tr w14:paraId="3E71F6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2221" w:type="dxa"/>
            <w:tcBorders>
              <w:tl2br w:val="nil"/>
              <w:tr2bl w:val="nil"/>
            </w:tcBorders>
            <w:vAlign w:val="center"/>
          </w:tcPr>
          <w:p w14:paraId="6E0FD9BE">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尾矿库</w:t>
            </w:r>
          </w:p>
        </w:tc>
        <w:tc>
          <w:tcPr>
            <w:tcW w:w="1212" w:type="dxa"/>
            <w:tcBorders>
              <w:tl2br w:val="nil"/>
              <w:tr2bl w:val="nil"/>
            </w:tcBorders>
            <w:vAlign w:val="center"/>
          </w:tcPr>
          <w:p w14:paraId="612F1483">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048" w:type="dxa"/>
            <w:tcBorders>
              <w:tl2br w:val="nil"/>
              <w:tr2bl w:val="nil"/>
            </w:tcBorders>
            <w:vAlign w:val="center"/>
          </w:tcPr>
          <w:p w14:paraId="1D70C621">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945" w:type="dxa"/>
            <w:tcBorders>
              <w:tl2br w:val="nil"/>
              <w:tr2bl w:val="nil"/>
            </w:tcBorders>
            <w:vAlign w:val="center"/>
          </w:tcPr>
          <w:p w14:paraId="1C869DA3">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610" w:type="dxa"/>
            <w:tcBorders>
              <w:tl2br w:val="nil"/>
              <w:tr2bl w:val="nil"/>
            </w:tcBorders>
            <w:vAlign w:val="center"/>
          </w:tcPr>
          <w:p w14:paraId="2E49D591">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p>
        </w:tc>
        <w:tc>
          <w:tcPr>
            <w:tcW w:w="502" w:type="dxa"/>
            <w:tcBorders>
              <w:tl2br w:val="nil"/>
              <w:tr2bl w:val="nil"/>
            </w:tcBorders>
            <w:vAlign w:val="center"/>
          </w:tcPr>
          <w:p w14:paraId="38012BFB">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p>
        </w:tc>
        <w:tc>
          <w:tcPr>
            <w:tcW w:w="590" w:type="dxa"/>
            <w:tcBorders>
              <w:tl2br w:val="nil"/>
              <w:tr2bl w:val="nil"/>
            </w:tcBorders>
            <w:vAlign w:val="center"/>
          </w:tcPr>
          <w:p w14:paraId="068C55A2">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p>
        </w:tc>
        <w:tc>
          <w:tcPr>
            <w:tcW w:w="650" w:type="dxa"/>
            <w:tcBorders>
              <w:tl2br w:val="nil"/>
              <w:tr2bl w:val="nil"/>
            </w:tcBorders>
            <w:vAlign w:val="center"/>
          </w:tcPr>
          <w:p w14:paraId="0AA311CB">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p>
        </w:tc>
        <w:tc>
          <w:tcPr>
            <w:tcW w:w="555" w:type="dxa"/>
            <w:tcBorders>
              <w:tl2br w:val="nil"/>
              <w:tr2bl w:val="nil"/>
            </w:tcBorders>
            <w:vAlign w:val="center"/>
          </w:tcPr>
          <w:p w14:paraId="5277005D">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p>
        </w:tc>
      </w:tr>
      <w:tr w14:paraId="09CBB7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8333" w:type="dxa"/>
            <w:gridSpan w:val="9"/>
            <w:tcBorders>
              <w:tl2br w:val="nil"/>
              <w:tr2bl w:val="nil"/>
            </w:tcBorders>
            <w:vAlign w:val="center"/>
          </w:tcPr>
          <w:p w14:paraId="0F8945C0">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注：在可能产生的土壤环境影响类型处打“√”</w:t>
            </w:r>
          </w:p>
        </w:tc>
      </w:tr>
    </w:tbl>
    <w:p w14:paraId="543EEA3A">
      <w:pPr>
        <w:tabs>
          <w:tab w:val="left" w:pos="1214"/>
        </w:tabs>
        <w:ind w:firstLine="0" w:firstLineChars="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表5.2-</w:t>
      </w:r>
      <w:r>
        <w:rPr>
          <w:rFonts w:hint="eastAsia"/>
          <w:b/>
          <w:color w:val="000000" w:themeColor="text1"/>
          <w:highlight w:val="none"/>
          <w:lang w:val="en-US" w:eastAsia="zh-CN"/>
          <w14:textFill>
            <w14:solidFill>
              <w14:schemeClr w14:val="tx1"/>
            </w14:solidFill>
          </w14:textFill>
        </w:rPr>
        <w:t>14</w:t>
      </w:r>
      <w:r>
        <w:rPr>
          <w:b/>
          <w:color w:val="000000" w:themeColor="text1"/>
          <w:highlight w:val="none"/>
          <w14:textFill>
            <w14:solidFill>
              <w14:schemeClr w14:val="tx1"/>
            </w14:solidFill>
          </w14:textFill>
        </w:rPr>
        <w:t xml:space="preserve">    污染影响型建设项目土壤影响源及影响因子识别表</w:t>
      </w:r>
    </w:p>
    <w:tbl>
      <w:tblPr>
        <w:tblStyle w:val="32"/>
        <w:tblW w:w="833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0"/>
        <w:gridCol w:w="1608"/>
        <w:gridCol w:w="1056"/>
        <w:gridCol w:w="3256"/>
        <w:gridCol w:w="924"/>
        <w:gridCol w:w="522"/>
      </w:tblGrid>
      <w:tr w14:paraId="461B08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970" w:type="dxa"/>
            <w:tcBorders>
              <w:tl2br w:val="nil"/>
              <w:tr2bl w:val="nil"/>
            </w:tcBorders>
            <w:vAlign w:val="center"/>
          </w:tcPr>
          <w:p w14:paraId="04FDC699">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污染源</w:t>
            </w:r>
          </w:p>
        </w:tc>
        <w:tc>
          <w:tcPr>
            <w:tcW w:w="1608" w:type="dxa"/>
            <w:tcBorders>
              <w:tl2br w:val="nil"/>
              <w:tr2bl w:val="nil"/>
            </w:tcBorders>
            <w:vAlign w:val="center"/>
          </w:tcPr>
          <w:p w14:paraId="6927F52D">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工艺流程/节点</w:t>
            </w:r>
          </w:p>
        </w:tc>
        <w:tc>
          <w:tcPr>
            <w:tcW w:w="1056" w:type="dxa"/>
            <w:tcBorders>
              <w:tl2br w:val="nil"/>
              <w:tr2bl w:val="nil"/>
            </w:tcBorders>
            <w:vAlign w:val="center"/>
          </w:tcPr>
          <w:p w14:paraId="5052C58D">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污染途径</w:t>
            </w:r>
          </w:p>
        </w:tc>
        <w:tc>
          <w:tcPr>
            <w:tcW w:w="3256" w:type="dxa"/>
            <w:tcBorders>
              <w:tl2br w:val="nil"/>
              <w:tr2bl w:val="nil"/>
            </w:tcBorders>
            <w:vAlign w:val="center"/>
          </w:tcPr>
          <w:p w14:paraId="1D451D55">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全部污染物指标</w:t>
            </w:r>
          </w:p>
        </w:tc>
        <w:tc>
          <w:tcPr>
            <w:tcW w:w="924" w:type="dxa"/>
            <w:tcBorders>
              <w:tl2br w:val="nil"/>
              <w:tr2bl w:val="nil"/>
            </w:tcBorders>
            <w:vAlign w:val="center"/>
          </w:tcPr>
          <w:p w14:paraId="72D8F5C8">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特征因子</w:t>
            </w:r>
          </w:p>
        </w:tc>
        <w:tc>
          <w:tcPr>
            <w:tcW w:w="522" w:type="dxa"/>
            <w:tcBorders>
              <w:tl2br w:val="nil"/>
              <w:tr2bl w:val="nil"/>
            </w:tcBorders>
            <w:vAlign w:val="center"/>
          </w:tcPr>
          <w:p w14:paraId="595DCE83">
            <w:pPr>
              <w:pStyle w:val="45"/>
              <w:spacing w:before="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14:paraId="00F0AE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tcBorders>
              <w:tl2br w:val="nil"/>
              <w:tr2bl w:val="nil"/>
            </w:tcBorders>
            <w:vAlign w:val="center"/>
          </w:tcPr>
          <w:p w14:paraId="609E6BC1">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选矿厂</w:t>
            </w:r>
          </w:p>
        </w:tc>
        <w:tc>
          <w:tcPr>
            <w:tcW w:w="1608" w:type="dxa"/>
            <w:tcBorders>
              <w:tl2br w:val="nil"/>
              <w:tr2bl w:val="nil"/>
            </w:tcBorders>
            <w:vAlign w:val="center"/>
          </w:tcPr>
          <w:p w14:paraId="330C5C90">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废水管线泄漏</w:t>
            </w:r>
          </w:p>
        </w:tc>
        <w:tc>
          <w:tcPr>
            <w:tcW w:w="1056" w:type="dxa"/>
            <w:tcBorders>
              <w:tl2br w:val="nil"/>
              <w:tr2bl w:val="nil"/>
            </w:tcBorders>
            <w:vAlign w:val="center"/>
          </w:tcPr>
          <w:p w14:paraId="7AA242F7">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垂直入渗</w:t>
            </w:r>
          </w:p>
        </w:tc>
        <w:tc>
          <w:tcPr>
            <w:tcW w:w="3256" w:type="dxa"/>
            <w:tcBorders>
              <w:tl2br w:val="nil"/>
              <w:tr2bl w:val="nil"/>
            </w:tcBorders>
            <w:vAlign w:val="center"/>
          </w:tcPr>
          <w:p w14:paraId="0603E8AB">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pH、砷、镉、六价铬、铜、铅、汞、镍、锌</w:t>
            </w:r>
          </w:p>
        </w:tc>
        <w:tc>
          <w:tcPr>
            <w:tcW w:w="924" w:type="dxa"/>
            <w:tcBorders>
              <w:tl2br w:val="nil"/>
              <w:tr2bl w:val="nil"/>
            </w:tcBorders>
            <w:vAlign w:val="center"/>
          </w:tcPr>
          <w:p w14:paraId="56C525D8">
            <w:pPr>
              <w:pStyle w:val="45"/>
              <w:spacing w:before="0"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砷</w:t>
            </w:r>
          </w:p>
        </w:tc>
        <w:tc>
          <w:tcPr>
            <w:tcW w:w="522" w:type="dxa"/>
            <w:tcBorders>
              <w:tl2br w:val="nil"/>
              <w:tr2bl w:val="nil"/>
            </w:tcBorders>
            <w:vAlign w:val="center"/>
          </w:tcPr>
          <w:p w14:paraId="6283D6EC">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777639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tcBorders>
              <w:tl2br w:val="nil"/>
              <w:tr2bl w:val="nil"/>
            </w:tcBorders>
            <w:vAlign w:val="center"/>
          </w:tcPr>
          <w:p w14:paraId="3AB52496">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w:t>
            </w:r>
          </w:p>
        </w:tc>
        <w:tc>
          <w:tcPr>
            <w:tcW w:w="1608" w:type="dxa"/>
            <w:tcBorders>
              <w:tl2br w:val="nil"/>
              <w:tr2bl w:val="nil"/>
            </w:tcBorders>
            <w:vAlign w:val="center"/>
          </w:tcPr>
          <w:p w14:paraId="53527A54">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尾矿库溃坝</w:t>
            </w:r>
          </w:p>
        </w:tc>
        <w:tc>
          <w:tcPr>
            <w:tcW w:w="1056" w:type="dxa"/>
            <w:tcBorders>
              <w:tl2br w:val="nil"/>
              <w:tr2bl w:val="nil"/>
            </w:tcBorders>
            <w:vAlign w:val="center"/>
          </w:tcPr>
          <w:p w14:paraId="6320048F">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地面漫流</w:t>
            </w:r>
          </w:p>
        </w:tc>
        <w:tc>
          <w:tcPr>
            <w:tcW w:w="3256" w:type="dxa"/>
            <w:tcBorders>
              <w:tl2br w:val="nil"/>
              <w:tr2bl w:val="nil"/>
            </w:tcBorders>
            <w:vAlign w:val="center"/>
          </w:tcPr>
          <w:p w14:paraId="4079B29A">
            <w:pPr>
              <w:pStyle w:val="45"/>
              <w:spacing w:before="0" w:line="360" w:lineRule="exac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pH、砷、镉、六价铬、铜、铅、汞、镍、锌</w:t>
            </w:r>
          </w:p>
        </w:tc>
        <w:tc>
          <w:tcPr>
            <w:tcW w:w="924" w:type="dxa"/>
            <w:tcBorders>
              <w:tl2br w:val="nil"/>
              <w:tr2bl w:val="nil"/>
            </w:tcBorders>
            <w:vAlign w:val="center"/>
          </w:tcPr>
          <w:p w14:paraId="1DE8264F">
            <w:pPr>
              <w:pStyle w:val="45"/>
              <w:spacing w:before="0" w:line="360" w:lineRule="exact"/>
              <w:ind w:firstLine="0" w:firstLineChars="0"/>
              <w:jc w:val="center"/>
              <w:rPr>
                <w:bCs/>
                <w:color w:val="000000" w:themeColor="text1"/>
                <w:sz w:val="21"/>
                <w:szCs w:val="21"/>
                <w:highlight w:val="none"/>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砷</w:t>
            </w:r>
          </w:p>
        </w:tc>
        <w:tc>
          <w:tcPr>
            <w:tcW w:w="522" w:type="dxa"/>
            <w:tcBorders>
              <w:tl2br w:val="nil"/>
              <w:tr2bl w:val="nil"/>
            </w:tcBorders>
            <w:vAlign w:val="center"/>
          </w:tcPr>
          <w:p w14:paraId="10EC55BF">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3FD75A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tcBorders>
              <w:tl2br w:val="nil"/>
              <w:tr2bl w:val="nil"/>
            </w:tcBorders>
            <w:vAlign w:val="center"/>
          </w:tcPr>
          <w:p w14:paraId="4B5A8361">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w:t>
            </w:r>
          </w:p>
        </w:tc>
        <w:tc>
          <w:tcPr>
            <w:tcW w:w="1608" w:type="dxa"/>
            <w:tcBorders>
              <w:tl2br w:val="nil"/>
              <w:tr2bl w:val="nil"/>
            </w:tcBorders>
            <w:vAlign w:val="center"/>
          </w:tcPr>
          <w:p w14:paraId="589AD468">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渗滤液下渗</w:t>
            </w:r>
          </w:p>
        </w:tc>
        <w:tc>
          <w:tcPr>
            <w:tcW w:w="1056" w:type="dxa"/>
            <w:tcBorders>
              <w:tl2br w:val="nil"/>
              <w:tr2bl w:val="nil"/>
            </w:tcBorders>
            <w:vAlign w:val="center"/>
          </w:tcPr>
          <w:p w14:paraId="6C8883EB">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垂直入渗</w:t>
            </w:r>
          </w:p>
        </w:tc>
        <w:tc>
          <w:tcPr>
            <w:tcW w:w="3256" w:type="dxa"/>
            <w:tcBorders>
              <w:tl2br w:val="nil"/>
              <w:tr2bl w:val="nil"/>
            </w:tcBorders>
            <w:vAlign w:val="center"/>
          </w:tcPr>
          <w:p w14:paraId="3DC2C1E7">
            <w:pPr>
              <w:pStyle w:val="45"/>
              <w:spacing w:before="0" w:line="360" w:lineRule="exact"/>
              <w:ind w:firstLine="0" w:firstLineChars="0"/>
              <w:jc w:val="center"/>
              <w:rPr>
                <w:bCs/>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pH、砷、镉、六价铬、铜、铅、汞、镍、锌</w:t>
            </w:r>
          </w:p>
        </w:tc>
        <w:tc>
          <w:tcPr>
            <w:tcW w:w="924" w:type="dxa"/>
            <w:tcBorders>
              <w:tl2br w:val="nil"/>
              <w:tr2bl w:val="nil"/>
            </w:tcBorders>
            <w:vAlign w:val="center"/>
          </w:tcPr>
          <w:p w14:paraId="1E19C9D6">
            <w:pPr>
              <w:pStyle w:val="45"/>
              <w:spacing w:before="0" w:line="360" w:lineRule="exact"/>
              <w:ind w:firstLine="0" w:firstLineChars="0"/>
              <w:jc w:val="center"/>
              <w:rPr>
                <w:bCs/>
                <w:color w:val="000000" w:themeColor="text1"/>
                <w:sz w:val="21"/>
                <w:szCs w:val="21"/>
                <w:highlight w:val="none"/>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砷</w:t>
            </w:r>
          </w:p>
        </w:tc>
        <w:tc>
          <w:tcPr>
            <w:tcW w:w="522" w:type="dxa"/>
            <w:tcBorders>
              <w:tl2br w:val="nil"/>
              <w:tr2bl w:val="nil"/>
            </w:tcBorders>
            <w:vAlign w:val="center"/>
          </w:tcPr>
          <w:p w14:paraId="6485AC2C">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1B0AAF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tcBorders>
              <w:tl2br w:val="nil"/>
              <w:tr2bl w:val="nil"/>
            </w:tcBorders>
            <w:vAlign w:val="center"/>
          </w:tcPr>
          <w:p w14:paraId="5B486CCA">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w:t>
            </w:r>
          </w:p>
        </w:tc>
        <w:tc>
          <w:tcPr>
            <w:tcW w:w="1608" w:type="dxa"/>
            <w:tcBorders>
              <w:tl2br w:val="nil"/>
              <w:tr2bl w:val="nil"/>
            </w:tcBorders>
            <w:vAlign w:val="center"/>
          </w:tcPr>
          <w:p w14:paraId="4ADDB466">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尾矿库扬尘</w:t>
            </w:r>
          </w:p>
        </w:tc>
        <w:tc>
          <w:tcPr>
            <w:tcW w:w="1056" w:type="dxa"/>
            <w:tcBorders>
              <w:tl2br w:val="nil"/>
              <w:tr2bl w:val="nil"/>
            </w:tcBorders>
            <w:vAlign w:val="center"/>
          </w:tcPr>
          <w:p w14:paraId="758F7062">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大气沉降</w:t>
            </w:r>
          </w:p>
        </w:tc>
        <w:tc>
          <w:tcPr>
            <w:tcW w:w="3256" w:type="dxa"/>
            <w:tcBorders>
              <w:tl2br w:val="nil"/>
              <w:tr2bl w:val="nil"/>
            </w:tcBorders>
            <w:vAlign w:val="center"/>
          </w:tcPr>
          <w:p w14:paraId="5F4817F3">
            <w:pPr>
              <w:pStyle w:val="45"/>
              <w:spacing w:before="0"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颗粒物</w:t>
            </w:r>
          </w:p>
        </w:tc>
        <w:tc>
          <w:tcPr>
            <w:tcW w:w="924" w:type="dxa"/>
            <w:tcBorders>
              <w:tl2br w:val="nil"/>
              <w:tr2bl w:val="nil"/>
            </w:tcBorders>
            <w:vAlign w:val="center"/>
          </w:tcPr>
          <w:p w14:paraId="00038B6A">
            <w:pPr>
              <w:pStyle w:val="45"/>
              <w:spacing w:before="0"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颗粒物</w:t>
            </w:r>
          </w:p>
        </w:tc>
        <w:tc>
          <w:tcPr>
            <w:tcW w:w="522" w:type="dxa"/>
            <w:tcBorders>
              <w:tl2br w:val="nil"/>
              <w:tr2bl w:val="nil"/>
            </w:tcBorders>
            <w:vAlign w:val="center"/>
          </w:tcPr>
          <w:p w14:paraId="6EB5E47B">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bl>
    <w:p w14:paraId="2A1FB263">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5.2.6.2预测评价范围、时段和预测情景设置</w:t>
      </w:r>
    </w:p>
    <w:p w14:paraId="7238D4E1">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项目的预测评价范围与调查评价范围一致，详情如下：</w:t>
      </w:r>
    </w:p>
    <w:p w14:paraId="38A94A89">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本项目选矿</w:t>
      </w:r>
      <w:r>
        <w:rPr>
          <w:rFonts w:hint="eastAsia" w:cs="Times New Roman"/>
          <w:color w:val="000000" w:themeColor="text1"/>
          <w:szCs w:val="24"/>
          <w:highlight w:val="none"/>
          <w:lang w:val="en-US" w:eastAsia="zh-CN"/>
          <w14:textFill>
            <w14:solidFill>
              <w14:schemeClr w14:val="tx1"/>
            </w14:solidFill>
          </w14:textFill>
        </w:rPr>
        <w:t>厂</w:t>
      </w:r>
      <w:r>
        <w:rPr>
          <w:rFonts w:cs="Times New Roman"/>
          <w:color w:val="000000" w:themeColor="text1"/>
          <w:szCs w:val="24"/>
          <w:highlight w:val="none"/>
          <w14:textFill>
            <w14:solidFill>
              <w14:schemeClr w14:val="tx1"/>
            </w14:solidFill>
          </w14:textFill>
        </w:rPr>
        <w:t>土壤评价范围为项目区选矿工业场地内全部及项目区选矿工业场地外</w:t>
      </w:r>
      <w:r>
        <w:rPr>
          <w:rFonts w:hint="eastAsia" w:cs="Times New Roman"/>
          <w:color w:val="000000" w:themeColor="text1"/>
          <w:szCs w:val="24"/>
          <w:highlight w:val="none"/>
          <w:lang w:val="en-US" w:eastAsia="zh-CN"/>
          <w14:textFill>
            <w14:solidFill>
              <w14:schemeClr w14:val="tx1"/>
            </w14:solidFill>
          </w14:textFill>
        </w:rPr>
        <w:t>0.2</w:t>
      </w:r>
      <w:r>
        <w:rPr>
          <w:rFonts w:cs="Times New Roman"/>
          <w:color w:val="000000" w:themeColor="text1"/>
          <w:szCs w:val="24"/>
          <w:highlight w:val="none"/>
          <w14:textFill>
            <w14:solidFill>
              <w14:schemeClr w14:val="tx1"/>
            </w14:solidFill>
          </w14:textFill>
        </w:rPr>
        <w:t>km范围内。</w:t>
      </w:r>
    </w:p>
    <w:p w14:paraId="5F150277">
      <w:pPr>
        <w:pStyle w:val="10"/>
        <w:widowControl w:val="0"/>
        <w:overflowPunct w:val="0"/>
        <w:topLinePunct/>
        <w:spacing w:after="0"/>
        <w:ind w:firstLine="480"/>
        <w:jc w:val="both"/>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本次评价</w:t>
      </w:r>
      <w:r>
        <w:rPr>
          <w:rFonts w:ascii="Times New Roman" w:hAnsi="Times New Roman" w:cs="Times New Roman"/>
          <w:color w:val="000000" w:themeColor="text1"/>
          <w:highlight w:val="none"/>
          <w14:textFill>
            <w14:solidFill>
              <w14:schemeClr w14:val="tx1"/>
            </w14:solidFill>
          </w14:textFill>
        </w:rPr>
        <w:t>重点分析运营期选矿厂废水管线</w:t>
      </w:r>
      <w:r>
        <w:rPr>
          <w:rFonts w:hint="eastAsia" w:ascii="Times New Roman" w:hAnsi="Times New Roman" w:cs="Times New Roman"/>
          <w:color w:val="000000" w:themeColor="text1"/>
          <w:highlight w:val="none"/>
          <w:lang w:eastAsia="zh-CN"/>
          <w14:textFill>
            <w14:solidFill>
              <w14:schemeClr w14:val="tx1"/>
            </w14:solidFill>
          </w14:textFill>
        </w:rPr>
        <w:t>泄漏</w:t>
      </w:r>
      <w:r>
        <w:rPr>
          <w:rFonts w:ascii="Times New Roman" w:hAnsi="Times New Roman" w:cs="Times New Roman"/>
          <w:color w:val="000000" w:themeColor="text1"/>
          <w:highlight w:val="none"/>
          <w14:textFill>
            <w14:solidFill>
              <w14:schemeClr w14:val="tx1"/>
            </w14:solidFill>
          </w14:textFill>
        </w:rPr>
        <w:t>的废水对周边区域土壤环境的影响</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重点考虑</w:t>
      </w:r>
      <w:r>
        <w:rPr>
          <w:rFonts w:ascii="Times New Roman" w:hAnsi="Times New Roman" w:cs="Times New Roman"/>
          <w:color w:val="000000" w:themeColor="text1"/>
          <w:highlight w:val="none"/>
          <w14:textFill>
            <w14:solidFill>
              <w14:schemeClr w14:val="tx1"/>
            </w14:solidFill>
          </w14:textFill>
        </w:rPr>
        <w:t>尾矿砂中重金属等物质通过入渗的形式渗入周边土壤的土壤污染途径</w:t>
      </w:r>
      <w:r>
        <w:rPr>
          <w:rFonts w:hint="eastAsia" w:ascii="Times New Roman" w:hAnsi="Times New Roman" w:cs="Times New Roman"/>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大气污染物沉降污染途径。</w:t>
      </w:r>
    </w:p>
    <w:p w14:paraId="746C4EA0">
      <w:pPr>
        <w:pStyle w:val="10"/>
        <w:widowControl w:val="0"/>
        <w:overflowPunct w:val="0"/>
        <w:topLinePunct/>
        <w:spacing w:after="0"/>
        <w:ind w:firstLine="480"/>
        <w:jc w:val="both"/>
        <w:rPr>
          <w:rFonts w:ascii="Times New Roman" w:hAnsi="Times New Roman" w:cs="Times New Roman"/>
          <w:color w:val="000000" w:themeColor="text1"/>
          <w:highlight w:val="none"/>
          <w14:textFill>
            <w14:solidFill>
              <w14:schemeClr w14:val="tx1"/>
            </w14:solidFill>
          </w14:textFill>
        </w:rPr>
      </w:pPr>
    </w:p>
    <w:p w14:paraId="72194EF6">
      <w:pPr>
        <w:pStyle w:val="10"/>
        <w:widowControl w:val="0"/>
        <w:overflowPunct w:val="0"/>
        <w:topLinePunct/>
        <w:spacing w:after="0"/>
        <w:ind w:firstLine="480"/>
        <w:jc w:val="both"/>
        <w:rPr>
          <w:rFonts w:ascii="Times New Roman" w:hAnsi="Times New Roman" w:cs="Times New Roman"/>
          <w:color w:val="000000" w:themeColor="text1"/>
          <w:highlight w:val="none"/>
          <w14:textFill>
            <w14:solidFill>
              <w14:schemeClr w14:val="tx1"/>
            </w14:solidFill>
          </w14:textFill>
        </w:rPr>
      </w:pPr>
    </w:p>
    <w:p w14:paraId="5D036041">
      <w:pPr>
        <w:adjustRightInd w:val="0"/>
        <w:snapToGrid w:val="0"/>
        <w:ind w:firstLine="0" w:firstLineChars="0"/>
        <w:jc w:val="center"/>
        <w:rPr>
          <w:b/>
          <w:snapToGrid w:val="0"/>
          <w:color w:val="000000" w:themeColor="text1"/>
          <w:kern w:val="0"/>
          <w:highlight w:val="none"/>
          <w14:textFill>
            <w14:solidFill>
              <w14:schemeClr w14:val="tx1"/>
            </w14:solidFill>
          </w14:textFill>
        </w:rPr>
      </w:pPr>
      <w:r>
        <w:rPr>
          <w:b/>
          <w:snapToGrid w:val="0"/>
          <w:color w:val="000000" w:themeColor="text1"/>
          <w:kern w:val="0"/>
          <w:highlight w:val="none"/>
          <w14:textFill>
            <w14:solidFill>
              <w14:schemeClr w14:val="tx1"/>
            </w14:solidFill>
          </w14:textFill>
        </w:rPr>
        <w:t>表5.2-</w:t>
      </w:r>
      <w:r>
        <w:rPr>
          <w:rFonts w:hint="eastAsia"/>
          <w:b/>
          <w:snapToGrid w:val="0"/>
          <w:color w:val="000000" w:themeColor="text1"/>
          <w:kern w:val="0"/>
          <w:highlight w:val="none"/>
          <w:lang w:val="en-US" w:eastAsia="zh-CN"/>
          <w14:textFill>
            <w14:solidFill>
              <w14:schemeClr w14:val="tx1"/>
            </w14:solidFill>
          </w14:textFill>
        </w:rPr>
        <w:t>15</w:t>
      </w:r>
      <w:r>
        <w:rPr>
          <w:b/>
          <w:snapToGrid w:val="0"/>
          <w:color w:val="000000" w:themeColor="text1"/>
          <w:kern w:val="0"/>
          <w:highlight w:val="none"/>
          <w14:textFill>
            <w14:solidFill>
              <w14:schemeClr w14:val="tx1"/>
            </w14:solidFill>
          </w14:textFill>
        </w:rPr>
        <w:t xml:space="preserve">   土壤污染途径分析表</w:t>
      </w:r>
    </w:p>
    <w:tbl>
      <w:tblPr>
        <w:tblStyle w:val="33"/>
        <w:tblW w:w="85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499"/>
        <w:gridCol w:w="4593"/>
        <w:gridCol w:w="1324"/>
      </w:tblGrid>
      <w:tr w14:paraId="02D70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1B268F08">
            <w:pPr>
              <w:pStyle w:val="45"/>
              <w:spacing w:line="360" w:lineRule="exact"/>
              <w:ind w:firstLine="0" w:firstLineChars="0"/>
              <w:jc w:val="center"/>
              <w:rPr>
                <w:b/>
                <w:bCs/>
                <w:color w:val="000000" w:themeColor="text1"/>
                <w:spacing w:val="-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污染源</w:t>
            </w:r>
          </w:p>
        </w:tc>
        <w:tc>
          <w:tcPr>
            <w:tcW w:w="1499" w:type="dxa"/>
            <w:tcBorders>
              <w:tl2br w:val="nil"/>
              <w:tr2bl w:val="nil"/>
            </w:tcBorders>
            <w:vAlign w:val="center"/>
          </w:tcPr>
          <w:p w14:paraId="41E218AC">
            <w:pPr>
              <w:pStyle w:val="45"/>
              <w:spacing w:line="360" w:lineRule="exact"/>
              <w:ind w:firstLine="0" w:firstLineChars="0"/>
              <w:jc w:val="center"/>
              <w:rPr>
                <w:b/>
                <w:bCs/>
                <w:color w:val="000000" w:themeColor="text1"/>
                <w:spacing w:val="-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非正常工况</w:t>
            </w:r>
          </w:p>
        </w:tc>
        <w:tc>
          <w:tcPr>
            <w:tcW w:w="4593" w:type="dxa"/>
            <w:tcBorders>
              <w:tl2br w:val="nil"/>
              <w:tr2bl w:val="nil"/>
            </w:tcBorders>
            <w:vAlign w:val="center"/>
          </w:tcPr>
          <w:p w14:paraId="498886DA">
            <w:pPr>
              <w:pStyle w:val="45"/>
              <w:spacing w:line="360" w:lineRule="exact"/>
              <w:ind w:firstLine="0" w:firstLineChars="0"/>
              <w:jc w:val="center"/>
              <w:rPr>
                <w:b/>
                <w:bCs/>
                <w:color w:val="000000" w:themeColor="text1"/>
                <w:spacing w:val="-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潜在污染途径</w:t>
            </w:r>
          </w:p>
        </w:tc>
        <w:tc>
          <w:tcPr>
            <w:tcW w:w="1324" w:type="dxa"/>
            <w:tcBorders>
              <w:tl2br w:val="nil"/>
              <w:tr2bl w:val="nil"/>
            </w:tcBorders>
            <w:vAlign w:val="center"/>
          </w:tcPr>
          <w:p w14:paraId="166F249A">
            <w:pPr>
              <w:pStyle w:val="45"/>
              <w:spacing w:line="360" w:lineRule="exact"/>
              <w:ind w:firstLine="0" w:firstLineChars="0"/>
              <w:jc w:val="center"/>
              <w:rPr>
                <w:b/>
                <w:bCs/>
                <w:color w:val="000000" w:themeColor="text1"/>
                <w:spacing w:val="-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主要污染物</w:t>
            </w:r>
          </w:p>
        </w:tc>
      </w:tr>
      <w:tr w14:paraId="3EB3E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6258FC6D">
            <w:pPr>
              <w:pStyle w:val="45"/>
              <w:spacing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选矿</w:t>
            </w:r>
            <w:r>
              <w:rPr>
                <w:rFonts w:hint="eastAsia"/>
                <w:color w:val="000000" w:themeColor="text1"/>
                <w:spacing w:val="-1"/>
                <w:sz w:val="21"/>
                <w:szCs w:val="21"/>
                <w:highlight w:val="none"/>
                <w14:textFill>
                  <w14:solidFill>
                    <w14:schemeClr w14:val="tx1"/>
                  </w14:solidFill>
                </w14:textFill>
              </w:rPr>
              <w:t>厂</w:t>
            </w:r>
          </w:p>
        </w:tc>
        <w:tc>
          <w:tcPr>
            <w:tcW w:w="1499" w:type="dxa"/>
            <w:tcBorders>
              <w:tl2br w:val="nil"/>
              <w:tr2bl w:val="nil"/>
            </w:tcBorders>
            <w:vAlign w:val="center"/>
          </w:tcPr>
          <w:p w14:paraId="3DF68307">
            <w:pPr>
              <w:pStyle w:val="45"/>
              <w:spacing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选矿废水输送管线破裂</w:t>
            </w:r>
          </w:p>
        </w:tc>
        <w:tc>
          <w:tcPr>
            <w:tcW w:w="4593" w:type="dxa"/>
            <w:tcBorders>
              <w:tl2br w:val="nil"/>
              <w:tr2bl w:val="nil"/>
            </w:tcBorders>
            <w:vAlign w:val="center"/>
          </w:tcPr>
          <w:p w14:paraId="46C8FE27">
            <w:pPr>
              <w:pStyle w:val="45"/>
              <w:spacing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选矿废水输送管线破裂，造成污染物</w:t>
            </w:r>
            <w:r>
              <w:rPr>
                <w:rFonts w:hint="eastAsia"/>
                <w:color w:val="000000" w:themeColor="text1"/>
                <w:spacing w:val="-1"/>
                <w:sz w:val="21"/>
                <w:szCs w:val="21"/>
                <w:highlight w:val="none"/>
                <w:lang w:eastAsia="zh-CN"/>
                <w14:textFill>
                  <w14:solidFill>
                    <w14:schemeClr w14:val="tx1"/>
                  </w14:solidFill>
                </w14:textFill>
              </w:rPr>
              <w:t>泄漏</w:t>
            </w:r>
            <w:r>
              <w:rPr>
                <w:color w:val="000000" w:themeColor="text1"/>
                <w:spacing w:val="-1"/>
                <w:sz w:val="21"/>
                <w:szCs w:val="21"/>
                <w:highlight w:val="none"/>
                <w14:textFill>
                  <w14:solidFill>
                    <w14:schemeClr w14:val="tx1"/>
                  </w14:solidFill>
                </w14:textFill>
              </w:rPr>
              <w:t>通过入渗途径进入周边土壤环境造成污染</w:t>
            </w:r>
          </w:p>
        </w:tc>
        <w:tc>
          <w:tcPr>
            <w:tcW w:w="1324" w:type="dxa"/>
            <w:tcBorders>
              <w:tl2br w:val="nil"/>
              <w:tr2bl w:val="nil"/>
            </w:tcBorders>
            <w:vAlign w:val="center"/>
          </w:tcPr>
          <w:p w14:paraId="1B30A3B6">
            <w:pPr>
              <w:pStyle w:val="45"/>
              <w:spacing w:line="360" w:lineRule="exact"/>
              <w:ind w:firstLine="0" w:firstLineChars="0"/>
              <w:jc w:val="center"/>
              <w:rPr>
                <w:rFonts w:hint="eastAsia" w:eastAsia="宋体"/>
                <w:color w:val="000000" w:themeColor="text1"/>
                <w:spacing w:val="-1"/>
                <w:sz w:val="21"/>
                <w:szCs w:val="21"/>
                <w:highlight w:val="none"/>
                <w:lang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砷</w:t>
            </w:r>
          </w:p>
        </w:tc>
      </w:tr>
      <w:tr w14:paraId="6F74AA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49959A4C">
            <w:pPr>
              <w:pStyle w:val="45"/>
              <w:spacing w:before="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w:t>
            </w:r>
          </w:p>
        </w:tc>
        <w:tc>
          <w:tcPr>
            <w:tcW w:w="1499" w:type="dxa"/>
            <w:tcBorders>
              <w:tl2br w:val="nil"/>
              <w:tr2bl w:val="nil"/>
            </w:tcBorders>
            <w:vAlign w:val="center"/>
          </w:tcPr>
          <w:p w14:paraId="05ACD0C5">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尾矿库溃坝</w:t>
            </w:r>
          </w:p>
        </w:tc>
        <w:tc>
          <w:tcPr>
            <w:tcW w:w="4593" w:type="dxa"/>
            <w:tcBorders>
              <w:tl2br w:val="nil"/>
              <w:tr2bl w:val="nil"/>
            </w:tcBorders>
            <w:vAlign w:val="center"/>
          </w:tcPr>
          <w:p w14:paraId="32C0AB57">
            <w:pPr>
              <w:pStyle w:val="45"/>
              <w:spacing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尾矿库溃坝，造成污染物经地面径流进入周围土壤环境造成污染</w:t>
            </w:r>
          </w:p>
        </w:tc>
        <w:tc>
          <w:tcPr>
            <w:tcW w:w="1324" w:type="dxa"/>
            <w:tcBorders>
              <w:tl2br w:val="nil"/>
              <w:tr2bl w:val="nil"/>
            </w:tcBorders>
            <w:vAlign w:val="center"/>
          </w:tcPr>
          <w:p w14:paraId="62CB359B">
            <w:pPr>
              <w:pStyle w:val="45"/>
              <w:spacing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砷</w:t>
            </w:r>
          </w:p>
        </w:tc>
      </w:tr>
      <w:tr w14:paraId="5FF32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370144F6">
            <w:pPr>
              <w:pStyle w:val="45"/>
              <w:spacing w:before="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w:t>
            </w:r>
          </w:p>
        </w:tc>
        <w:tc>
          <w:tcPr>
            <w:tcW w:w="1499" w:type="dxa"/>
            <w:tcBorders>
              <w:tl2br w:val="nil"/>
              <w:tr2bl w:val="nil"/>
            </w:tcBorders>
            <w:vAlign w:val="center"/>
          </w:tcPr>
          <w:p w14:paraId="74D2F643">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防渗膜破裂</w:t>
            </w:r>
          </w:p>
        </w:tc>
        <w:tc>
          <w:tcPr>
            <w:tcW w:w="4593" w:type="dxa"/>
            <w:tcBorders>
              <w:tl2br w:val="nil"/>
              <w:tr2bl w:val="nil"/>
            </w:tcBorders>
            <w:vAlign w:val="center"/>
          </w:tcPr>
          <w:p w14:paraId="1586C5A3">
            <w:pPr>
              <w:pStyle w:val="45"/>
              <w:spacing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尾矿库防渗膜破裂，造成污染物通过裂缝下渗，进入土壤，造成污染</w:t>
            </w:r>
          </w:p>
        </w:tc>
        <w:tc>
          <w:tcPr>
            <w:tcW w:w="1324" w:type="dxa"/>
            <w:tcBorders>
              <w:tl2br w:val="nil"/>
              <w:tr2bl w:val="nil"/>
            </w:tcBorders>
            <w:vAlign w:val="center"/>
          </w:tcPr>
          <w:p w14:paraId="28B73E94">
            <w:pPr>
              <w:pStyle w:val="45"/>
              <w:spacing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砷</w:t>
            </w:r>
          </w:p>
        </w:tc>
      </w:tr>
      <w:tr w14:paraId="4A83E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4786042D">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w:t>
            </w:r>
          </w:p>
        </w:tc>
        <w:tc>
          <w:tcPr>
            <w:tcW w:w="1499" w:type="dxa"/>
            <w:tcBorders>
              <w:tl2br w:val="nil"/>
              <w:tr2bl w:val="nil"/>
            </w:tcBorders>
            <w:vAlign w:val="center"/>
          </w:tcPr>
          <w:p w14:paraId="515F6A13">
            <w:pPr>
              <w:pStyle w:val="45"/>
              <w:spacing w:before="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尾矿库扬尘</w:t>
            </w:r>
          </w:p>
        </w:tc>
        <w:tc>
          <w:tcPr>
            <w:tcW w:w="4593" w:type="dxa"/>
            <w:tcBorders>
              <w:tl2br w:val="nil"/>
              <w:tr2bl w:val="nil"/>
            </w:tcBorders>
            <w:vAlign w:val="center"/>
          </w:tcPr>
          <w:p w14:paraId="6392AD99">
            <w:pPr>
              <w:pStyle w:val="45"/>
              <w:spacing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通过大气沉降飘入表层土壤，造成表层土壤污染</w:t>
            </w:r>
          </w:p>
        </w:tc>
        <w:tc>
          <w:tcPr>
            <w:tcW w:w="1324" w:type="dxa"/>
            <w:tcBorders>
              <w:tl2br w:val="nil"/>
              <w:tr2bl w:val="nil"/>
            </w:tcBorders>
            <w:vAlign w:val="center"/>
          </w:tcPr>
          <w:p w14:paraId="6ACB152C">
            <w:pPr>
              <w:pStyle w:val="45"/>
              <w:spacing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颗粒物</w:t>
            </w:r>
          </w:p>
        </w:tc>
      </w:tr>
    </w:tbl>
    <w:p w14:paraId="062F8441">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5.2.6.3预测评价因子及标准</w:t>
      </w:r>
    </w:p>
    <w:p w14:paraId="35373AFE">
      <w:pPr>
        <w:pStyle w:val="41"/>
        <w:overflowPunct w:val="0"/>
        <w:topLinePunct/>
        <w:spacing w:line="480" w:lineRule="exact"/>
        <w:ind w:firstLine="480"/>
        <w:rPr>
          <w:rFonts w:cs="Times New Roman"/>
          <w:bCs/>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预测因子：根据</w:t>
      </w:r>
      <w:r>
        <w:rPr>
          <w:rFonts w:hint="eastAsia"/>
          <w:color w:val="000000" w:themeColor="text1"/>
          <w:sz w:val="24"/>
          <w:szCs w:val="24"/>
          <w:highlight w:val="none"/>
          <w14:textFill>
            <w14:solidFill>
              <w14:schemeClr w14:val="tx1"/>
            </w14:solidFill>
          </w14:textFill>
        </w:rPr>
        <w:t>新疆环疆绿源环保科技有限公司</w:t>
      </w:r>
      <w:r>
        <w:rPr>
          <w:rFonts w:hint="eastAsia" w:cs="Times New Roman"/>
          <w:color w:val="000000" w:themeColor="text1"/>
          <w:szCs w:val="24"/>
          <w:highlight w:val="none"/>
          <w14:textFill>
            <w14:solidFill>
              <w14:schemeClr w14:val="tx1"/>
            </w14:solidFill>
          </w14:textFill>
        </w:rPr>
        <w:t>出具的</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M1033采矿及哈密市西成矿业有限责任公司选矿厂采矿扩建工程检测报告</w:t>
      </w:r>
      <w:r>
        <w:rPr>
          <w:rFonts w:hint="eastAsia" w:cs="Times New Roman"/>
          <w:color w:val="000000" w:themeColor="text1"/>
          <w:szCs w:val="24"/>
          <w:highlight w:val="none"/>
          <w:lang w:eastAsia="zh-CN"/>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（详见附件）</w:t>
      </w:r>
      <w:r>
        <w:rPr>
          <w:rFonts w:hint="eastAsia"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固体废物监测结果中</w:t>
      </w:r>
      <w:r>
        <w:rPr>
          <w:rFonts w:hint="eastAsia" w:cs="Times New Roman"/>
          <w:color w:val="000000" w:themeColor="text1"/>
          <w:szCs w:val="24"/>
          <w:highlight w:val="none"/>
          <w14:textFill>
            <w14:solidFill>
              <w14:schemeClr w14:val="tx1"/>
            </w14:solidFill>
          </w14:textFill>
        </w:rPr>
        <w:t>标准指数最大的因子为</w:t>
      </w:r>
      <w:r>
        <w:rPr>
          <w:rFonts w:hint="eastAsia" w:cs="Times New Roman"/>
          <w:color w:val="000000" w:themeColor="text1"/>
          <w:szCs w:val="24"/>
          <w:highlight w:val="none"/>
          <w:lang w:val="en-US" w:eastAsia="zh-CN"/>
          <w14:textFill>
            <w14:solidFill>
              <w14:schemeClr w14:val="tx1"/>
            </w14:solidFill>
          </w14:textFill>
        </w:rPr>
        <w:t>砷</w:t>
      </w:r>
      <w:r>
        <w:rPr>
          <w:rFonts w:hint="eastAsia" w:cs="Times New Roman"/>
          <w:color w:val="000000" w:themeColor="text1"/>
          <w:szCs w:val="24"/>
          <w:highlight w:val="none"/>
          <w14:textFill>
            <w14:solidFill>
              <w14:schemeClr w14:val="tx1"/>
            </w14:solidFill>
          </w14:textFill>
        </w:rPr>
        <w:t>，因此非正常工况下，项目潜在污染源对土壤环境影响最大的</w:t>
      </w:r>
      <w:r>
        <w:rPr>
          <w:rFonts w:hint="eastAsia" w:cs="Times New Roman"/>
          <w:color w:val="000000" w:themeColor="text1"/>
          <w:szCs w:val="24"/>
          <w:highlight w:val="none"/>
          <w:lang w:val="en-US" w:eastAsia="zh-CN"/>
          <w14:textFill>
            <w14:solidFill>
              <w14:schemeClr w14:val="tx1"/>
            </w14:solidFill>
          </w14:textFill>
        </w:rPr>
        <w:t>因子</w:t>
      </w:r>
      <w:r>
        <w:rPr>
          <w:rFonts w:hint="eastAsia" w:cs="Times New Roman"/>
          <w:color w:val="000000" w:themeColor="text1"/>
          <w:szCs w:val="24"/>
          <w:highlight w:val="none"/>
          <w14:textFill>
            <w14:solidFill>
              <w14:schemeClr w14:val="tx1"/>
            </w14:solidFill>
          </w14:textFill>
        </w:rPr>
        <w:t>为</w:t>
      </w:r>
      <w:r>
        <w:rPr>
          <w:rFonts w:hint="eastAsia" w:cs="Times New Roman"/>
          <w:color w:val="000000" w:themeColor="text1"/>
          <w:szCs w:val="24"/>
          <w:highlight w:val="none"/>
          <w:lang w:val="en-US" w:eastAsia="zh-CN"/>
          <w14:textFill>
            <w14:solidFill>
              <w14:schemeClr w14:val="tx1"/>
            </w14:solidFill>
          </w14:textFill>
        </w:rPr>
        <w:t>砷</w:t>
      </w:r>
      <w:r>
        <w:rPr>
          <w:rFonts w:hint="eastAsia" w:cs="Times New Roman"/>
          <w:color w:val="000000" w:themeColor="text1"/>
          <w:szCs w:val="24"/>
          <w:highlight w:val="none"/>
          <w14:textFill>
            <w14:solidFill>
              <w14:schemeClr w14:val="tx1"/>
            </w14:solidFill>
          </w14:textFill>
        </w:rPr>
        <w:t>，因此选取</w:t>
      </w:r>
      <w:r>
        <w:rPr>
          <w:rFonts w:hint="eastAsia" w:cs="Times New Roman"/>
          <w:color w:val="000000" w:themeColor="text1"/>
          <w:szCs w:val="24"/>
          <w:highlight w:val="none"/>
          <w:lang w:val="en-US" w:eastAsia="zh-CN"/>
          <w14:textFill>
            <w14:solidFill>
              <w14:schemeClr w14:val="tx1"/>
            </w14:solidFill>
          </w14:textFill>
        </w:rPr>
        <w:t>砷</w:t>
      </w:r>
      <w:r>
        <w:rPr>
          <w:rFonts w:hint="eastAsia" w:cs="Times New Roman"/>
          <w:color w:val="000000" w:themeColor="text1"/>
          <w:szCs w:val="24"/>
          <w:highlight w:val="none"/>
          <w14:textFill>
            <w14:solidFill>
              <w14:schemeClr w14:val="tx1"/>
            </w14:solidFill>
          </w14:textFill>
        </w:rPr>
        <w:t>作为预测评价因子，预测源强为</w:t>
      </w:r>
      <w:r>
        <w:rPr>
          <w:rFonts w:hint="eastAsia" w:cs="Times New Roman"/>
          <w:color w:val="000000" w:themeColor="text1"/>
          <w:szCs w:val="24"/>
          <w:highlight w:val="none"/>
          <w:lang w:val="en-US" w:eastAsia="zh-CN"/>
          <w14:textFill>
            <w14:solidFill>
              <w14:schemeClr w14:val="tx1"/>
            </w14:solidFill>
          </w14:textFill>
        </w:rPr>
        <w:t>0.2</w:t>
      </w:r>
      <w:r>
        <w:rPr>
          <w:rFonts w:cs="Times New Roman"/>
          <w:color w:val="000000" w:themeColor="text1"/>
          <w:szCs w:val="24"/>
          <w:highlight w:val="none"/>
          <w14:textFill>
            <w14:solidFill>
              <w14:schemeClr w14:val="tx1"/>
            </w14:solidFill>
          </w14:textFill>
        </w:rPr>
        <w:t>μ</w:t>
      </w:r>
      <w:r>
        <w:rPr>
          <w:rFonts w:hint="eastAsia" w:cs="Times New Roman"/>
          <w:color w:val="000000" w:themeColor="text1"/>
          <w:szCs w:val="24"/>
          <w:highlight w:val="none"/>
          <w14:textFill>
            <w14:solidFill>
              <w14:schemeClr w14:val="tx1"/>
            </w14:solidFill>
          </w14:textFill>
        </w:rPr>
        <w:t>g/L。</w:t>
      </w:r>
    </w:p>
    <w:p w14:paraId="0848FD96">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评价标准：</w:t>
      </w:r>
      <w:r>
        <w:rPr>
          <w:rFonts w:cs="Times New Roman"/>
          <w:color w:val="000000" w:themeColor="text1"/>
          <w:szCs w:val="24"/>
          <w:highlight w:val="none"/>
          <w14:textFill>
            <w14:solidFill>
              <w14:schemeClr w14:val="tx1"/>
            </w14:solidFill>
          </w14:textFill>
        </w:rPr>
        <w:t>本项目区域为建设用地中的第二类用地，根据《土壤环境质量 建设用地土壤污染风险管控标准（试行）》（GB36600-2018）中第二类用地的筛选值进行土壤污染风险筛查。</w:t>
      </w:r>
    </w:p>
    <w:p w14:paraId="15142EFD">
      <w:pPr>
        <w:pStyle w:val="5"/>
        <w:ind w:firstLine="482"/>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5.2.6.4</w:t>
      </w:r>
      <w:r>
        <w:rPr>
          <w:rFonts w:hint="eastAsia"/>
          <w:color w:val="000000" w:themeColor="text1"/>
          <w:highlight w:val="none"/>
          <w:lang w:val="en-US" w:eastAsia="zh-CN"/>
          <w14:textFill>
            <w14:solidFill>
              <w14:schemeClr w14:val="tx1"/>
            </w14:solidFill>
          </w14:textFill>
        </w:rPr>
        <w:t>污染影响分析</w:t>
      </w:r>
    </w:p>
    <w:p w14:paraId="147BF13A">
      <w:pPr>
        <w:pStyle w:val="41"/>
        <w:keepNext w:val="0"/>
        <w:keepLines w:val="0"/>
        <w:pageBreakBefore w:val="0"/>
        <w:widowControl w:val="0"/>
        <w:kinsoku/>
        <w:wordWrap/>
        <w:overflowPunct w:val="0"/>
        <w:topLinePunct/>
        <w:autoSpaceDE/>
        <w:autoSpaceDN/>
        <w:bidi w:val="0"/>
        <w:snapToGrid/>
        <w:spacing w:line="480" w:lineRule="exact"/>
        <w:ind w:firstLine="480"/>
        <w:rPr>
          <w:rFonts w:cs="Times New Roman"/>
          <w:color w:val="000000" w:themeColor="text1"/>
          <w:szCs w:val="24"/>
          <w:highlight w:val="none"/>
          <w14:textFill>
            <w14:solidFill>
              <w14:schemeClr w14:val="tx1"/>
            </w14:solidFill>
          </w14:textFill>
        </w:rPr>
      </w:pP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）地面漫流土壤污染环境影响分析</w:t>
      </w:r>
    </w:p>
    <w:p w14:paraId="76368D11">
      <w:pPr>
        <w:keepNext w:val="0"/>
        <w:keepLines w:val="0"/>
        <w:pageBreakBefore w:val="0"/>
        <w:widowControl w:val="0"/>
        <w:kinsoku/>
        <w:wordWrap/>
        <w:autoSpaceDE/>
        <w:autoSpaceDN/>
        <w:bidi w:val="0"/>
        <w:snapToGrid/>
        <w:spacing w:line="480" w:lineRule="exact"/>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地面漫流对土壤的影响主要为</w:t>
      </w:r>
      <w:r>
        <w:rPr>
          <w:rFonts w:hint="eastAsia"/>
          <w:color w:val="000000" w:themeColor="text1"/>
          <w:lang w:val="en-US" w:eastAsia="zh-CN"/>
          <w14:textFill>
            <w14:solidFill>
              <w14:schemeClr w14:val="tx1"/>
            </w14:solidFill>
          </w14:textFill>
        </w:rPr>
        <w:t>尾矿库溃坝事故造成废水</w:t>
      </w:r>
      <w:r>
        <w:rPr>
          <w:rFonts w:hint="default"/>
          <w:color w:val="000000" w:themeColor="text1"/>
          <w:lang w:val="en-US" w:eastAsia="zh-CN"/>
          <w14:textFill>
            <w14:solidFill>
              <w14:schemeClr w14:val="tx1"/>
            </w14:solidFill>
          </w14:textFill>
        </w:rPr>
        <w:t>地面漫流。</w:t>
      </w:r>
    </w:p>
    <w:p w14:paraId="1B5F2694">
      <w:pPr>
        <w:pStyle w:val="41"/>
        <w:keepNext w:val="0"/>
        <w:keepLines w:val="0"/>
        <w:pageBreakBefore w:val="0"/>
        <w:widowControl w:val="0"/>
        <w:kinsoku/>
        <w:wordWrap/>
        <w:overflowPunct w:val="0"/>
        <w:topLinePunct/>
        <w:autoSpaceDE/>
        <w:autoSpaceDN/>
        <w:bidi w:val="0"/>
        <w:snapToGrid/>
        <w:spacing w:line="480" w:lineRule="exact"/>
        <w:ind w:firstLine="480"/>
        <w:rPr>
          <w:rFonts w:hint="default" w:eastAsia="宋体" w:cs="Times New Roman"/>
          <w:color w:val="000000" w:themeColor="text1"/>
          <w:szCs w:val="24"/>
          <w:highlight w:val="none"/>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根据土壤环境质量现状监测结果，</w:t>
      </w:r>
      <w:r>
        <w:rPr>
          <w:rFonts w:hint="eastAsia"/>
          <w:color w:val="000000" w:themeColor="text1"/>
          <w:lang w:val="en-US" w:eastAsia="zh-CN"/>
          <w14:textFill>
            <w14:solidFill>
              <w14:schemeClr w14:val="tx1"/>
            </w14:solidFill>
          </w14:textFill>
        </w:rPr>
        <w:t>项目区</w:t>
      </w:r>
      <w:r>
        <w:rPr>
          <w:rFonts w:hint="default"/>
          <w:color w:val="000000" w:themeColor="text1"/>
          <w:lang w:val="en-US" w:eastAsia="zh-CN"/>
          <w14:textFill>
            <w14:solidFill>
              <w14:schemeClr w14:val="tx1"/>
            </w14:solidFill>
          </w14:textFill>
        </w:rPr>
        <w:t>范围内土壤</w:t>
      </w:r>
      <w:r>
        <w:rPr>
          <w:rFonts w:hint="eastAsia"/>
          <w:color w:val="000000" w:themeColor="text1"/>
          <w:lang w:val="en-US" w:eastAsia="zh-CN"/>
          <w14:textFill>
            <w14:solidFill>
              <w14:schemeClr w14:val="tx1"/>
            </w14:solidFill>
          </w14:textFill>
        </w:rPr>
        <w:t>中砷含量</w:t>
      </w:r>
      <w:r>
        <w:rPr>
          <w:rFonts w:hint="default"/>
          <w:color w:val="000000" w:themeColor="text1"/>
          <w:lang w:val="en-US" w:eastAsia="zh-CN"/>
          <w14:textFill>
            <w14:solidFill>
              <w14:schemeClr w14:val="tx1"/>
            </w14:solidFill>
          </w14:textFill>
        </w:rPr>
        <w:t>本底值在</w:t>
      </w:r>
      <w:r>
        <w:rPr>
          <w:rFonts w:hint="eastAsia"/>
          <w:color w:val="000000" w:themeColor="text1"/>
          <w:lang w:val="en-US" w:eastAsia="zh-CN"/>
          <w14:textFill>
            <w14:solidFill>
              <w14:schemeClr w14:val="tx1"/>
            </w14:solidFill>
          </w14:textFill>
        </w:rPr>
        <w:t>6.33~9.66</w:t>
      </w:r>
      <w:r>
        <w:rPr>
          <w:rFonts w:hint="default"/>
          <w:color w:val="000000" w:themeColor="text1"/>
          <w:lang w:val="en-US" w:eastAsia="zh-CN"/>
          <w14:textFill>
            <w14:solidFill>
              <w14:schemeClr w14:val="tx1"/>
            </w14:solidFill>
          </w14:textFill>
        </w:rPr>
        <w:t>mg/kg，</w:t>
      </w:r>
      <w:r>
        <w:rPr>
          <w:rFonts w:hint="eastAsia"/>
          <w:color w:val="000000" w:themeColor="text1"/>
          <w:lang w:val="en-US" w:eastAsia="zh-CN"/>
          <w14:textFill>
            <w14:solidFill>
              <w14:schemeClr w14:val="tx1"/>
            </w14:solidFill>
          </w14:textFill>
        </w:rPr>
        <w:t>尾矿中的砷</w:t>
      </w:r>
      <w:r>
        <w:rPr>
          <w:rFonts w:hint="default"/>
          <w:color w:val="000000" w:themeColor="text1"/>
          <w:lang w:val="en-US" w:eastAsia="zh-CN"/>
          <w14:textFill>
            <w14:solidFill>
              <w14:schemeClr w14:val="tx1"/>
            </w14:solidFill>
          </w14:textFill>
        </w:rPr>
        <w:t>含量</w:t>
      </w:r>
      <w:r>
        <w:rPr>
          <w:rFonts w:hint="eastAsia"/>
          <w:color w:val="000000" w:themeColor="text1"/>
          <w:lang w:val="en-US" w:eastAsia="zh-CN"/>
          <w14:textFill>
            <w14:solidFill>
              <w14:schemeClr w14:val="tx1"/>
            </w14:solidFill>
          </w14:textFill>
        </w:rPr>
        <w:t>仅0.2</w:t>
      </w:r>
      <w:r>
        <w:rPr>
          <w:rFonts w:hint="default" w:ascii="Times New Roman" w:hAnsi="Times New Roman" w:cs="Times New Roman"/>
          <w:color w:val="000000" w:themeColor="text1"/>
          <w:lang w:val="en-US" w:eastAsia="zh-CN"/>
          <w14:textFill>
            <w14:solidFill>
              <w14:schemeClr w14:val="tx1"/>
            </w14:solidFill>
          </w14:textFill>
        </w:rPr>
        <w:t>μg</w:t>
      </w:r>
      <w:r>
        <w:rPr>
          <w:rFonts w:hint="eastAsia"/>
          <w:color w:val="000000" w:themeColor="text1"/>
          <w:lang w:val="en-US" w:eastAsia="zh-CN"/>
          <w14:textFill>
            <w14:solidFill>
              <w14:schemeClr w14:val="tx1"/>
            </w14:solidFill>
          </w14:textFill>
        </w:rPr>
        <w:t>/kg，远低于</w:t>
      </w:r>
      <w:r>
        <w:rPr>
          <w:rFonts w:hint="default"/>
          <w:color w:val="000000" w:themeColor="text1"/>
          <w:lang w:val="en-US" w:eastAsia="zh-CN"/>
          <w14:textFill>
            <w14:solidFill>
              <w14:schemeClr w14:val="tx1"/>
            </w14:solidFill>
          </w14:textFill>
        </w:rPr>
        <w:t>土壤</w:t>
      </w:r>
      <w:r>
        <w:rPr>
          <w:rFonts w:hint="eastAsia"/>
          <w:color w:val="000000" w:themeColor="text1"/>
          <w:lang w:val="en-US" w:eastAsia="zh-CN"/>
          <w14:textFill>
            <w14:solidFill>
              <w14:schemeClr w14:val="tx1"/>
            </w14:solidFill>
          </w14:textFill>
        </w:rPr>
        <w:t>中砷含量</w:t>
      </w:r>
      <w:r>
        <w:rPr>
          <w:rFonts w:hint="default"/>
          <w:color w:val="000000" w:themeColor="text1"/>
          <w:lang w:val="en-US" w:eastAsia="zh-CN"/>
          <w14:textFill>
            <w14:solidFill>
              <w14:schemeClr w14:val="tx1"/>
            </w14:solidFill>
          </w14:textFill>
        </w:rPr>
        <w:t>本底值</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因此</w:t>
      </w:r>
      <w:r>
        <w:rPr>
          <w:rFonts w:hint="eastAsia"/>
          <w:color w:val="000000" w:themeColor="text1"/>
          <w:lang w:val="en-US" w:eastAsia="zh-CN"/>
          <w14:textFill>
            <w14:solidFill>
              <w14:schemeClr w14:val="tx1"/>
            </w14:solidFill>
          </w14:textFill>
        </w:rPr>
        <w:t>事故状态下</w:t>
      </w:r>
      <w:r>
        <w:rPr>
          <w:rFonts w:hint="default"/>
          <w:color w:val="000000" w:themeColor="text1"/>
          <w:lang w:val="en-US" w:eastAsia="zh-CN"/>
          <w14:textFill>
            <w14:solidFill>
              <w14:schemeClr w14:val="tx1"/>
            </w14:solidFill>
          </w14:textFill>
        </w:rPr>
        <w:t>地表漫流不会对土壤造成</w:t>
      </w:r>
      <w:r>
        <w:rPr>
          <w:rFonts w:hint="eastAsia"/>
          <w:color w:val="000000" w:themeColor="text1"/>
          <w:lang w:val="en-US" w:eastAsia="zh-CN"/>
          <w14:textFill>
            <w14:solidFill>
              <w14:schemeClr w14:val="tx1"/>
            </w14:solidFill>
          </w14:textFill>
        </w:rPr>
        <w:t>砷</w:t>
      </w:r>
      <w:r>
        <w:rPr>
          <w:rFonts w:hint="default"/>
          <w:color w:val="000000" w:themeColor="text1"/>
          <w:lang w:val="en-US" w:eastAsia="zh-CN"/>
          <w14:textFill>
            <w14:solidFill>
              <w14:schemeClr w14:val="tx1"/>
            </w14:solidFill>
          </w14:textFill>
        </w:rPr>
        <w:t>污染。</w:t>
      </w:r>
    </w:p>
    <w:p w14:paraId="6D3FF92F">
      <w:pPr>
        <w:keepNext w:val="0"/>
        <w:keepLines w:val="0"/>
        <w:pageBreakBefore w:val="0"/>
        <w:widowControl w:val="0"/>
        <w:kinsoku/>
        <w:wordWrap/>
        <w:autoSpaceDE/>
        <w:autoSpaceDN/>
        <w:bidi w:val="0"/>
        <w:snapToGrid/>
        <w:spacing w:line="480" w:lineRule="exac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大气沉降</w:t>
      </w:r>
      <w:r>
        <w:rPr>
          <w:rFonts w:hint="eastAsia" w:ascii="Times New Roman" w:hAnsi="Times New Roman" w:eastAsia="宋体"/>
          <w:color w:val="000000" w:themeColor="text1"/>
          <w:sz w:val="24"/>
          <w:lang w:val="en-US" w:eastAsia="zh-CN"/>
          <w14:textFill>
            <w14:solidFill>
              <w14:schemeClr w14:val="tx1"/>
            </w14:solidFill>
          </w14:textFill>
        </w:rPr>
        <w:t>对土壤的污染影响</w:t>
      </w:r>
      <w:r>
        <w:rPr>
          <w:rFonts w:hint="eastAsia" w:ascii="Times New Roman" w:hAnsi="Times New Roman" w:eastAsia="宋体"/>
          <w:color w:val="000000" w:themeColor="text1"/>
          <w:sz w:val="24"/>
          <w:lang w:eastAsia="zh-CN"/>
          <w14:textFill>
            <w14:solidFill>
              <w14:schemeClr w14:val="tx1"/>
            </w14:solidFill>
          </w14:textFill>
        </w:rPr>
        <w:t>预测</w:t>
      </w:r>
    </w:p>
    <w:p w14:paraId="3FAEEFB2">
      <w:pPr>
        <w:keepNext w:val="0"/>
        <w:keepLines w:val="0"/>
        <w:pageBreakBefore w:val="0"/>
        <w:widowControl w:val="0"/>
        <w:kinsoku/>
        <w:wordWrap/>
        <w:autoSpaceDE/>
        <w:autoSpaceDN/>
        <w:bidi w:val="0"/>
        <w:snapToGrid/>
        <w:spacing w:line="480" w:lineRule="exac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本次评价选取《环境影响评价技术导则</w:t>
      </w:r>
      <w:r>
        <w:rPr>
          <w:rFonts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14:textFill>
            <w14:solidFill>
              <w14:schemeClr w14:val="tx1"/>
            </w14:solidFill>
          </w14:textFill>
        </w:rPr>
        <w:t>土壤环境（试行）》（</w:t>
      </w:r>
      <w:r>
        <w:rPr>
          <w:rFonts w:ascii="Times New Roman" w:hAnsi="Times New Roman" w:eastAsia="宋体"/>
          <w:color w:val="000000" w:themeColor="text1"/>
          <w:sz w:val="24"/>
          <w14:textFill>
            <w14:solidFill>
              <w14:schemeClr w14:val="tx1"/>
            </w14:solidFill>
          </w14:textFill>
        </w:rPr>
        <w:t>HJ964-2018</w:t>
      </w:r>
      <w:r>
        <w:rPr>
          <w:rFonts w:hint="eastAsia" w:ascii="Times New Roman" w:hAnsi="Times New Roman" w:eastAsia="宋体"/>
          <w:color w:val="000000" w:themeColor="text1"/>
          <w:sz w:val="24"/>
          <w14:textFill>
            <w14:solidFill>
              <w14:schemeClr w14:val="tx1"/>
            </w14:solidFill>
          </w14:textFill>
        </w:rPr>
        <w:t>）中附录</w:t>
      </w:r>
      <w:r>
        <w:rPr>
          <w:rFonts w:ascii="Times New Roman" w:hAnsi="Times New Roman" w:eastAsia="宋体"/>
          <w:color w:val="000000" w:themeColor="text1"/>
          <w:sz w:val="24"/>
          <w14:textFill>
            <w14:solidFill>
              <w14:schemeClr w14:val="tx1"/>
            </w14:solidFill>
          </w14:textFill>
        </w:rPr>
        <w:t>E</w:t>
      </w:r>
      <w:r>
        <w:rPr>
          <w:rFonts w:hint="eastAsia" w:ascii="Times New Roman" w:hAnsi="Times New Roman" w:eastAsia="宋体"/>
          <w:color w:val="000000" w:themeColor="text1"/>
          <w:sz w:val="24"/>
          <w14:textFill>
            <w14:solidFill>
              <w14:schemeClr w14:val="tx1"/>
            </w14:solidFill>
          </w14:textFill>
        </w:rPr>
        <w:t>推荐土壤环境影响预测方法一，该方法适用于某种物质可概化为以面源形式进入土壤环境的影响预测，包括大气沉降物质进入土壤环境引起的影响，较为符合本项目可能发生的土壤污染途径分析结果。具体方法如下：</w:t>
      </w:r>
    </w:p>
    <w:p w14:paraId="11F3D318">
      <w:pPr>
        <w:pStyle w:val="41"/>
        <w:keepNext w:val="0"/>
        <w:keepLines w:val="0"/>
        <w:pageBreakBefore w:val="0"/>
        <w:widowControl w:val="0"/>
        <w:kinsoku/>
        <w:wordWrap/>
        <w:overflowPunct w:val="0"/>
        <w:topLinePunct/>
        <w:autoSpaceDE/>
        <w:autoSpaceDN/>
        <w:bidi w:val="0"/>
        <w:snapToGrid/>
        <w:spacing w:line="480" w:lineRule="exact"/>
        <w:ind w:firstLine="480"/>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lang w:val="en-US" w:eastAsia="zh-CN"/>
          <w14:textFill>
            <w14:solidFill>
              <w14:schemeClr w14:val="tx1"/>
            </w14:solidFill>
          </w14:textFill>
        </w:rPr>
        <w:t>1）</w:t>
      </w:r>
      <w:r>
        <w:rPr>
          <w:rFonts w:ascii="Times New Roman" w:hAnsi="Times New Roman" w:eastAsia="宋体"/>
          <w:color w:val="000000" w:themeColor="text1"/>
          <w:sz w:val="24"/>
          <w14:textFill>
            <w14:solidFill>
              <w14:schemeClr w14:val="tx1"/>
            </w14:solidFill>
          </w14:textFill>
        </w:rPr>
        <w:t>单位质量土壤中某种物质的增量可用下式计算：</w:t>
      </w:r>
    </w:p>
    <w:p w14:paraId="4CFB8EA1">
      <w:pPr>
        <w:pStyle w:val="40"/>
        <w:keepNext w:val="0"/>
        <w:keepLines w:val="0"/>
        <w:pageBreakBefore w:val="0"/>
        <w:widowControl w:val="0"/>
        <w:kinsoku/>
        <w:wordWrap/>
        <w:autoSpaceDE/>
        <w:autoSpaceDN/>
        <w:bidi w:val="0"/>
        <w:snapToGrid/>
        <w:spacing w:line="480" w:lineRule="exact"/>
        <w:jc w:val="center"/>
        <w:rPr>
          <w:rFonts w:hint="default" w:ascii="Times New Roman" w:hAnsi="Times New Roman" w:eastAsia="宋体"/>
          <w:color w:val="000000" w:themeColor="text1"/>
          <w:sz w:val="24"/>
          <w:lang w:val="en-US" w:eastAsia="zh-CN"/>
          <w14:textFill>
            <w14:solidFill>
              <w14:schemeClr w14:val="tx1"/>
            </w14:solidFill>
          </w14:textFill>
        </w:rPr>
      </w:pPr>
      <w:r>
        <w:rPr>
          <w:rFonts w:ascii="Times New Roman" w:hAnsi="Times New Roman" w:eastAsia="宋体" w:cs="Cambria Math"/>
          <w:color w:val="000000" w:themeColor="text1"/>
          <w:sz w:val="24"/>
          <w:highlight w:val="none"/>
          <w14:textFill>
            <w14:solidFill>
              <w14:schemeClr w14:val="tx1"/>
            </w14:solidFill>
          </w14:textFill>
        </w:rPr>
        <w:t>△</w:t>
      </w:r>
      <w:r>
        <w:rPr>
          <w:rFonts w:ascii="Times New Roman" w:hAnsi="Times New Roman" w:eastAsia="宋体" w:cs="Times New Roman"/>
          <w:i/>
          <w:iCs/>
          <w:color w:val="000000" w:themeColor="text1"/>
          <w:sz w:val="24"/>
          <w:highlight w:val="none"/>
          <w14:textFill>
            <w14:solidFill>
              <w14:schemeClr w14:val="tx1"/>
            </w14:solidFill>
          </w14:textFill>
        </w:rPr>
        <w:t>S</w:t>
      </w:r>
      <w:r>
        <w:rPr>
          <w:rFonts w:hint="eastAsia" w:ascii="Times New Roman" w:hAnsi="Times New Roman" w:eastAsia="宋体" w:cs="Times New Roman"/>
          <w:i/>
          <w:iCs/>
          <w:color w:val="000000" w:themeColor="text1"/>
          <w:sz w:val="24"/>
          <w:highlight w:val="none"/>
          <w:lang w:val="en-US" w:eastAsia="zh-CN"/>
          <w14:textFill>
            <w14:solidFill>
              <w14:schemeClr w14:val="tx1"/>
            </w14:solidFill>
          </w14:textFill>
        </w:rPr>
        <w:t>=n</w:t>
      </w:r>
      <w:r>
        <w:rPr>
          <w:rFonts w:hint="eastAsia" w:ascii="Times New Roman" w:hAnsi="Times New Roman" w:eastAsia="宋体" w:cs="Times New Roman"/>
          <w:i w:val="0"/>
          <w:iC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i/>
          <w:iCs/>
          <w:color w:val="000000" w:themeColor="text1"/>
          <w:sz w:val="24"/>
          <w:highlight w:val="none"/>
          <w:lang w:val="en-US" w:eastAsia="zh-CN"/>
          <w14:textFill>
            <w14:solidFill>
              <w14:schemeClr w14:val="tx1"/>
            </w14:solidFill>
          </w14:textFill>
        </w:rPr>
        <w:t>I</w:t>
      </w:r>
      <w:r>
        <w:rPr>
          <w:rFonts w:hint="eastAsia" w:ascii="Times New Roman" w:hAnsi="Times New Roman" w:eastAsia="宋体" w:cs="Times New Roman"/>
          <w:i/>
          <w:iCs/>
          <w:color w:val="000000" w:themeColor="text1"/>
          <w:sz w:val="24"/>
          <w:highlight w:val="none"/>
          <w:vertAlign w:val="subscript"/>
          <w:lang w:val="en-US" w:eastAsia="zh-CN"/>
          <w14:textFill>
            <w14:solidFill>
              <w14:schemeClr w14:val="tx1"/>
            </w14:solidFill>
          </w14:textFill>
        </w:rPr>
        <w:t>s</w:t>
      </w:r>
      <w:r>
        <w:rPr>
          <w:rFonts w:hint="eastAsia" w:ascii="Times New Roman" w:hAnsi="Times New Roman" w:eastAsia="宋体" w:cs="Times New Roman"/>
          <w:i w:val="0"/>
          <w:iC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i/>
          <w:iCs/>
          <w:color w:val="000000" w:themeColor="text1"/>
          <w:sz w:val="24"/>
          <w:highlight w:val="none"/>
          <w:lang w:val="en-US" w:eastAsia="zh-CN"/>
          <w14:textFill>
            <w14:solidFill>
              <w14:schemeClr w14:val="tx1"/>
            </w14:solidFill>
          </w14:textFill>
        </w:rPr>
        <w:t>L</w:t>
      </w:r>
      <w:r>
        <w:rPr>
          <w:rFonts w:hint="eastAsia" w:ascii="Times New Roman" w:hAnsi="Times New Roman" w:eastAsia="宋体" w:cs="Times New Roman"/>
          <w:i/>
          <w:iCs/>
          <w:color w:val="000000" w:themeColor="text1"/>
          <w:sz w:val="24"/>
          <w:highlight w:val="none"/>
          <w:vertAlign w:val="subscript"/>
          <w:lang w:val="en-US" w:eastAsia="zh-CN"/>
          <w14:textFill>
            <w14:solidFill>
              <w14:schemeClr w14:val="tx1"/>
            </w14:solidFill>
          </w14:textFill>
        </w:rPr>
        <w:t>s</w:t>
      </w:r>
      <w:r>
        <w:rPr>
          <w:rFonts w:hint="eastAsia" w:ascii="Times New Roman" w:hAnsi="Times New Roman" w:eastAsia="宋体" w:cs="Times New Roman"/>
          <w:i w:val="0"/>
          <w:iC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i/>
          <w:iCs/>
          <w:color w:val="000000" w:themeColor="text1"/>
          <w:sz w:val="24"/>
          <w:highlight w:val="none"/>
          <w:lang w:val="en-US" w:eastAsia="zh-CN"/>
          <w14:textFill>
            <w14:solidFill>
              <w14:schemeClr w14:val="tx1"/>
            </w14:solidFill>
          </w14:textFill>
        </w:rPr>
        <w:t>R</w:t>
      </w:r>
      <w:r>
        <w:rPr>
          <w:rFonts w:hint="eastAsia" w:ascii="Times New Roman" w:hAnsi="Times New Roman" w:eastAsia="宋体" w:cs="Times New Roman"/>
          <w:i/>
          <w:iCs/>
          <w:color w:val="000000" w:themeColor="text1"/>
          <w:sz w:val="24"/>
          <w:highlight w:val="none"/>
          <w:vertAlign w:val="subscript"/>
          <w:lang w:val="en-US" w:eastAsia="zh-CN"/>
          <w14:textFill>
            <w14:solidFill>
              <w14:schemeClr w14:val="tx1"/>
            </w14:solidFill>
          </w14:textFill>
        </w:rPr>
        <w:t>s</w:t>
      </w:r>
      <w:r>
        <w:rPr>
          <w:rFonts w:hint="eastAsia" w:ascii="Times New Roman" w:hAnsi="Times New Roman" w:eastAsia="宋体" w:cs="Times New Roman"/>
          <w:i w:val="0"/>
          <w:iCs w:val="0"/>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i/>
          <w:iCs/>
          <w:color w:val="000000" w:themeColor="text1"/>
          <w:sz w:val="24"/>
          <w:highlight w:val="none"/>
          <w:lang w:val="en-US" w:eastAsia="zh-CN"/>
          <w14:textFill>
            <w14:solidFill>
              <w14:schemeClr w14:val="tx1"/>
            </w14:solidFill>
          </w14:textFill>
        </w:rPr>
        <w:t>ρ</w:t>
      </w:r>
      <w:r>
        <w:rPr>
          <w:rFonts w:hint="default" w:ascii="Times New Roman" w:hAnsi="Times New Roman" w:eastAsia="宋体" w:cs="Times New Roman"/>
          <w:i/>
          <w:iCs/>
          <w:color w:val="000000" w:themeColor="text1"/>
          <w:sz w:val="24"/>
          <w:highlight w:val="none"/>
          <w:vertAlign w:val="subscript"/>
          <w:lang w:val="en-US" w:eastAsia="zh-CN"/>
          <w14:textFill>
            <w14:solidFill>
              <w14:schemeClr w14:val="tx1"/>
            </w14:solidFill>
          </w14:textFill>
        </w:rPr>
        <w:t>b</w:t>
      </w:r>
      <w:r>
        <w:rPr>
          <w:rFonts w:hint="eastAsia" w:ascii="Times New Roman" w:hAnsi="Times New Roman" w:eastAsia="宋体" w:cs="Times New Roman"/>
          <w:i w:val="0"/>
          <w:iC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i/>
          <w:iCs/>
          <w:color w:val="000000" w:themeColor="text1"/>
          <w:sz w:val="24"/>
          <w:highlight w:val="none"/>
          <w:lang w:val="en-US" w:eastAsia="zh-CN"/>
          <w14:textFill>
            <w14:solidFill>
              <w14:schemeClr w14:val="tx1"/>
            </w14:solidFill>
          </w14:textFill>
        </w:rPr>
        <w:t>A</w:t>
      </w:r>
      <w:r>
        <w:rPr>
          <w:rFonts w:hint="eastAsia" w:ascii="Times New Roman" w:hAnsi="Times New Roman" w:eastAsia="宋体" w:cs="Times New Roman"/>
          <w:i w:val="0"/>
          <w:iC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i/>
          <w:iCs/>
          <w:color w:val="000000" w:themeColor="text1"/>
          <w:sz w:val="24"/>
          <w:highlight w:val="none"/>
          <w:lang w:val="en-US" w:eastAsia="zh-CN"/>
          <w14:textFill>
            <w14:solidFill>
              <w14:schemeClr w14:val="tx1"/>
            </w14:solidFill>
          </w14:textFill>
        </w:rPr>
        <w:t>D</w:t>
      </w:r>
      <w:r>
        <w:rPr>
          <w:rFonts w:hint="eastAsia" w:ascii="Times New Roman" w:hAnsi="Times New Roman" w:eastAsia="宋体" w:cs="Times New Roman"/>
          <w:i w:val="0"/>
          <w:iCs w:val="0"/>
          <w:color w:val="000000" w:themeColor="text1"/>
          <w:sz w:val="24"/>
          <w:highlight w:val="none"/>
          <w:lang w:val="en-US" w:eastAsia="zh-CN"/>
          <w14:textFill>
            <w14:solidFill>
              <w14:schemeClr w14:val="tx1"/>
            </w14:solidFill>
          </w14:textFill>
        </w:rPr>
        <w:t>）</w:t>
      </w:r>
    </w:p>
    <w:p w14:paraId="560952E2">
      <w:pPr>
        <w:pStyle w:val="10"/>
        <w:keepNext w:val="0"/>
        <w:keepLines w:val="0"/>
        <w:pageBreakBefore w:val="0"/>
        <w:widowControl w:val="0"/>
        <w:kinsoku/>
        <w:wordWrap/>
        <w:overflowPunct w:val="0"/>
        <w:topLinePunct/>
        <w:autoSpaceDE/>
        <w:autoSpaceDN/>
        <w:bidi w:val="0"/>
        <w:snapToGrid/>
        <w:spacing w:after="0" w:line="48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式中：</w:t>
      </w:r>
      <w:r>
        <w:rPr>
          <w:rFonts w:ascii="Times New Roman" w:hAnsi="Times New Roman" w:eastAsia="宋体" w:cs="Cambria Math"/>
          <w:color w:val="000000" w:themeColor="text1"/>
          <w:sz w:val="24"/>
          <w:highlight w:val="none"/>
          <w14:textFill>
            <w14:solidFill>
              <w14:schemeClr w14:val="tx1"/>
            </w14:solidFill>
          </w14:textFill>
        </w:rPr>
        <w:t>△</w:t>
      </w:r>
      <w:r>
        <w:rPr>
          <w:rFonts w:ascii="Times New Roman" w:hAnsi="Times New Roman" w:eastAsia="宋体" w:cs="Times New Roman"/>
          <w:i/>
          <w:iCs/>
          <w:color w:val="000000" w:themeColor="text1"/>
          <w:sz w:val="24"/>
          <w:highlight w:val="none"/>
          <w14:textFill>
            <w14:solidFill>
              <w14:schemeClr w14:val="tx1"/>
            </w14:solidFill>
          </w14:textFill>
        </w:rPr>
        <w:t>S</w:t>
      </w:r>
      <w:r>
        <w:rPr>
          <w:rFonts w:ascii="Times New Roman" w:hAnsi="Times New Roman" w:eastAsia="宋体" w:cs="Times New Roman"/>
          <w:color w:val="000000" w:themeColor="text1"/>
          <w:sz w:val="24"/>
          <w:highlight w:val="none"/>
          <w14:textFill>
            <w14:solidFill>
              <w14:schemeClr w14:val="tx1"/>
            </w14:solidFill>
          </w14:textFill>
        </w:rPr>
        <w:t>——单位质量表层土壤中某种物质的增量，g/kg；</w:t>
      </w:r>
    </w:p>
    <w:p w14:paraId="1AAA8AFF">
      <w:pPr>
        <w:pStyle w:val="10"/>
        <w:keepNext w:val="0"/>
        <w:keepLines w:val="0"/>
        <w:pageBreakBefore w:val="0"/>
        <w:widowControl w:val="0"/>
        <w:kinsoku/>
        <w:wordWrap/>
        <w:overflowPunct w:val="0"/>
        <w:topLinePunct/>
        <w:autoSpaceDE/>
        <w:autoSpaceDN/>
        <w:bidi w:val="0"/>
        <w:snapToGrid/>
        <w:spacing w:after="0" w:line="48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I</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s</w:t>
      </w:r>
      <w:r>
        <w:rPr>
          <w:rFonts w:ascii="Times New Roman" w:hAnsi="Times New Roman" w:eastAsia="宋体" w:cs="Times New Roman"/>
          <w:color w:val="000000" w:themeColor="text1"/>
          <w:sz w:val="24"/>
          <w:highlight w:val="none"/>
          <w14:textFill>
            <w14:solidFill>
              <w14:schemeClr w14:val="tx1"/>
            </w14:solidFill>
          </w14:textFill>
        </w:rPr>
        <w:t>——预测评价范围内单位年份表层土壤中某种物质的输入量，g；</w:t>
      </w:r>
    </w:p>
    <w:p w14:paraId="31E32CC3">
      <w:pPr>
        <w:pStyle w:val="10"/>
        <w:keepNext w:val="0"/>
        <w:keepLines w:val="0"/>
        <w:pageBreakBefore w:val="0"/>
        <w:widowControl w:val="0"/>
        <w:kinsoku/>
        <w:wordWrap/>
        <w:overflowPunct w:val="0"/>
        <w:topLinePunct/>
        <w:autoSpaceDE/>
        <w:autoSpaceDN/>
        <w:bidi w:val="0"/>
        <w:snapToGrid/>
        <w:spacing w:after="0" w:line="48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L</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s</w:t>
      </w:r>
      <w:r>
        <w:rPr>
          <w:rFonts w:ascii="Times New Roman" w:hAnsi="Times New Roman" w:eastAsia="宋体" w:cs="Times New Roman"/>
          <w:color w:val="000000" w:themeColor="text1"/>
          <w:sz w:val="24"/>
          <w:highlight w:val="none"/>
          <w14:textFill>
            <w14:solidFill>
              <w14:schemeClr w14:val="tx1"/>
            </w14:solidFill>
          </w14:textFill>
        </w:rPr>
        <w:t>——</w:t>
      </w:r>
      <w:r>
        <w:rPr>
          <w:rFonts w:ascii="Times New Roman" w:hAnsi="Times New Roman" w:eastAsia="宋体" w:cs="Times New Roman"/>
          <w:color w:val="000000" w:themeColor="text1"/>
          <w:spacing w:val="-11"/>
          <w:sz w:val="24"/>
          <w:highlight w:val="none"/>
          <w14:textFill>
            <w14:solidFill>
              <w14:schemeClr w14:val="tx1"/>
            </w14:solidFill>
          </w14:textFill>
        </w:rPr>
        <w:t>预测评价范围内单位年份表层土壤中某种物质经淋溶排出的量，g；</w:t>
      </w:r>
    </w:p>
    <w:p w14:paraId="626919DD">
      <w:pPr>
        <w:pStyle w:val="10"/>
        <w:keepNext w:val="0"/>
        <w:keepLines w:val="0"/>
        <w:pageBreakBefore w:val="0"/>
        <w:widowControl w:val="0"/>
        <w:kinsoku/>
        <w:wordWrap/>
        <w:overflowPunct w:val="0"/>
        <w:topLinePunct/>
        <w:autoSpaceDE/>
        <w:autoSpaceDN/>
        <w:bidi w:val="0"/>
        <w:snapToGrid/>
        <w:spacing w:after="0" w:line="480" w:lineRule="exact"/>
        <w:ind w:firstLine="480"/>
        <w:rPr>
          <w:rFonts w:ascii="Times New Roman" w:hAnsi="Times New Roman" w:eastAsia="宋体" w:cs="Times New Roman"/>
          <w:color w:val="000000" w:themeColor="text1"/>
          <w:spacing w:val="-1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R</w:t>
      </w:r>
      <w:r>
        <w:rPr>
          <w:rFonts w:hint="eastAsia"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s</w:t>
      </w:r>
      <w:r>
        <w:rPr>
          <w:rFonts w:ascii="Times New Roman" w:hAnsi="Times New Roman" w:eastAsia="宋体" w:cs="Times New Roman"/>
          <w:color w:val="000000" w:themeColor="text1"/>
          <w:sz w:val="24"/>
          <w:highlight w:val="none"/>
          <w14:textFill>
            <w14:solidFill>
              <w14:schemeClr w14:val="tx1"/>
            </w14:solidFill>
          </w14:textFill>
        </w:rPr>
        <w:t>——</w:t>
      </w:r>
      <w:r>
        <w:rPr>
          <w:rFonts w:ascii="Times New Roman" w:hAnsi="Times New Roman" w:eastAsia="宋体" w:cs="Times New Roman"/>
          <w:color w:val="000000" w:themeColor="text1"/>
          <w:spacing w:val="-11"/>
          <w:sz w:val="24"/>
          <w:highlight w:val="none"/>
          <w14:textFill>
            <w14:solidFill>
              <w14:schemeClr w14:val="tx1"/>
            </w14:solidFill>
          </w14:textFill>
        </w:rPr>
        <w:t>预测评价范围内单位年份表层土壤中某种物质经径流排出的量，g；</w:t>
      </w:r>
    </w:p>
    <w:p w14:paraId="5F320A1F">
      <w:pPr>
        <w:pStyle w:val="10"/>
        <w:keepNext w:val="0"/>
        <w:keepLines w:val="0"/>
        <w:pageBreakBefore w:val="0"/>
        <w:widowControl w:val="0"/>
        <w:kinsoku/>
        <w:wordWrap/>
        <w:overflowPunct w:val="0"/>
        <w:topLinePunct/>
        <w:autoSpaceDE/>
        <w:autoSpaceDN/>
        <w:bidi w:val="0"/>
        <w:snapToGrid/>
        <w:spacing w:after="0" w:line="48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ρ</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b</w:t>
      </w:r>
      <w:r>
        <w:rPr>
          <w:rFonts w:ascii="Times New Roman" w:hAnsi="Times New Roman" w:eastAsia="宋体" w:cs="Times New Roman"/>
          <w:color w:val="000000" w:themeColor="text1"/>
          <w:sz w:val="24"/>
          <w:highlight w:val="none"/>
          <w14:textFill>
            <w14:solidFill>
              <w14:schemeClr w14:val="tx1"/>
            </w14:solidFill>
          </w14:textFill>
        </w:rPr>
        <w:t>——表层土壤容重，kg/m</w:t>
      </w:r>
      <w:r>
        <w:rPr>
          <w:rFonts w:ascii="Times New Roman" w:hAnsi="Times New Roman" w:eastAsia="宋体" w:cs="Times New Roman"/>
          <w:color w:val="000000" w:themeColor="text1"/>
          <w:sz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highlight w:val="none"/>
          <w14:textFill>
            <w14:solidFill>
              <w14:schemeClr w14:val="tx1"/>
            </w14:solidFill>
          </w14:textFill>
        </w:rPr>
        <w:t>；</w:t>
      </w:r>
    </w:p>
    <w:p w14:paraId="3E533186">
      <w:pPr>
        <w:pStyle w:val="10"/>
        <w:keepNext w:val="0"/>
        <w:keepLines w:val="0"/>
        <w:pageBreakBefore w:val="0"/>
        <w:widowControl w:val="0"/>
        <w:kinsoku/>
        <w:wordWrap/>
        <w:overflowPunct w:val="0"/>
        <w:topLinePunct/>
        <w:autoSpaceDE/>
        <w:autoSpaceDN/>
        <w:bidi w:val="0"/>
        <w:snapToGrid/>
        <w:spacing w:after="0" w:line="48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A——预测评价范围，m</w:t>
      </w:r>
      <w:r>
        <w:rPr>
          <w:rFonts w:ascii="Times New Roman" w:hAnsi="Times New Roman" w:eastAsia="宋体" w:cs="Times New Roman"/>
          <w:color w:val="000000" w:themeColor="text1"/>
          <w:sz w:val="24"/>
          <w:highlight w:val="none"/>
          <w:vertAlign w:val="superscript"/>
          <w14:textFill>
            <w14:solidFill>
              <w14:schemeClr w14:val="tx1"/>
            </w14:solidFill>
          </w14:textFill>
        </w:rPr>
        <w:t>2</w:t>
      </w:r>
      <w:r>
        <w:rPr>
          <w:rFonts w:ascii="Times New Roman" w:hAnsi="Times New Roman" w:eastAsia="宋体" w:cs="Times New Roman"/>
          <w:color w:val="000000" w:themeColor="text1"/>
          <w:sz w:val="24"/>
          <w:highlight w:val="none"/>
          <w14:textFill>
            <w14:solidFill>
              <w14:schemeClr w14:val="tx1"/>
            </w14:solidFill>
          </w14:textFill>
        </w:rPr>
        <w:t>；</w:t>
      </w:r>
    </w:p>
    <w:p w14:paraId="38748589">
      <w:pPr>
        <w:pStyle w:val="10"/>
        <w:keepNext w:val="0"/>
        <w:keepLines w:val="0"/>
        <w:pageBreakBefore w:val="0"/>
        <w:widowControl w:val="0"/>
        <w:kinsoku/>
        <w:wordWrap/>
        <w:overflowPunct w:val="0"/>
        <w:topLinePunct/>
        <w:autoSpaceDE/>
        <w:autoSpaceDN/>
        <w:bidi w:val="0"/>
        <w:snapToGrid/>
        <w:spacing w:after="0" w:line="48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D——表层土壤深度，一般取0.2m，可根据实际情况适当调整；</w:t>
      </w:r>
    </w:p>
    <w:p w14:paraId="4440D48E">
      <w:pPr>
        <w:pStyle w:val="10"/>
        <w:keepNext w:val="0"/>
        <w:keepLines w:val="0"/>
        <w:pageBreakBefore w:val="0"/>
        <w:widowControl w:val="0"/>
        <w:kinsoku/>
        <w:wordWrap/>
        <w:overflowPunct w:val="0"/>
        <w:topLinePunct/>
        <w:autoSpaceDE/>
        <w:autoSpaceDN/>
        <w:bidi w:val="0"/>
        <w:snapToGrid/>
        <w:spacing w:after="0" w:line="480" w:lineRule="exa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n</w:t>
      </w:r>
      <w:r>
        <w:rPr>
          <w:rFonts w:ascii="Times New Roman" w:hAnsi="Times New Roman" w:eastAsia="宋体" w:cs="Times New Roman"/>
          <w:color w:val="000000" w:themeColor="text1"/>
          <w:sz w:val="24"/>
          <w:highlight w:val="none"/>
          <w14:textFill>
            <w14:solidFill>
              <w14:schemeClr w14:val="tx1"/>
            </w14:solidFill>
          </w14:textFill>
        </w:rPr>
        <w:t>——持续年份，a。</w:t>
      </w:r>
    </w:p>
    <w:p w14:paraId="7B1E7B5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default" w:ascii="Times New Roman" w:hAnsi="Times New Roman" w:eastAsia="宋体"/>
          <w:i/>
          <w:color w:val="000000" w:themeColor="text1"/>
          <w:sz w:val="24"/>
          <w:szCs w:val="24"/>
          <w14:textFill>
            <w14:solidFill>
              <w14:schemeClr w14:val="tx1"/>
            </w14:solidFill>
          </w14:textFill>
        </w:rPr>
        <w:t>I</w:t>
      </w:r>
      <w:r>
        <w:rPr>
          <w:rFonts w:hint="default" w:ascii="Times New Roman" w:hAnsi="Times New Roman" w:eastAsia="宋体"/>
          <w:color w:val="000000" w:themeColor="text1"/>
          <w:sz w:val="24"/>
          <w:szCs w:val="24"/>
          <w:vertAlign w:val="subscript"/>
          <w14:textFill>
            <w14:solidFill>
              <w14:schemeClr w14:val="tx1"/>
            </w14:solidFill>
          </w14:textFill>
        </w:rPr>
        <w:t>S</w:t>
      </w:r>
      <w:r>
        <w:rPr>
          <w:rFonts w:hint="default" w:ascii="Times New Roman" w:hAnsi="Times New Roman" w:eastAsia="宋体"/>
          <w:color w:val="000000" w:themeColor="text1"/>
          <w:sz w:val="24"/>
          <w:szCs w:val="24"/>
          <w14:textFill>
            <w14:solidFill>
              <w14:schemeClr w14:val="tx1"/>
            </w14:solidFill>
          </w14:textFill>
        </w:rPr>
        <w:t>=C×V×T×A</w:t>
      </w:r>
    </w:p>
    <w:p w14:paraId="4592F9A3">
      <w:pPr>
        <w:spacing w:beforeLines="0" w:afterLines="0"/>
        <w:jc w:val="left"/>
        <w:rPr>
          <w:rFonts w:hint="default" w:ascii="Times New Roman" w:hAnsi="Times New Roman" w:eastAsia="宋体"/>
          <w:color w:val="000000" w:themeColor="text1"/>
          <w:sz w:val="24"/>
          <w:szCs w:val="24"/>
          <w:highlight w:val="none"/>
          <w14:textFill>
            <w14:solidFill>
              <w14:schemeClr w14:val="tx1"/>
            </w14:solidFill>
          </w14:textFill>
        </w:rPr>
      </w:pPr>
      <w:r>
        <w:rPr>
          <w:rFonts w:hint="default" w:ascii="Times New Roman" w:hAnsi="Times New Roman" w:eastAsia="宋体"/>
          <w:color w:val="000000" w:themeColor="text1"/>
          <w:sz w:val="24"/>
          <w:szCs w:val="24"/>
          <w:highlight w:val="none"/>
          <w14:textFill>
            <w14:solidFill>
              <w14:schemeClr w14:val="tx1"/>
            </w14:solidFill>
          </w14:textFill>
        </w:rPr>
        <w:t>式中：C——区域污染物的最大小时落地浓度，μg/m</w:t>
      </w:r>
      <w:r>
        <w:rPr>
          <w:rFonts w:hint="eastAsia" w:ascii="Times New Roman" w:hAnsi="Times New Roman" w:eastAsia="宋体"/>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szCs w:val="24"/>
          <w:highlight w:val="none"/>
          <w:vertAlign w:val="baseline"/>
          <w:lang w:val="en-US" w:eastAsia="zh-CN"/>
          <w14:textFill>
            <w14:solidFill>
              <w14:schemeClr w14:val="tx1"/>
            </w14:solidFill>
          </w14:textFill>
        </w:rPr>
        <w:t>，取3.113</w:t>
      </w:r>
      <w:r>
        <w:rPr>
          <w:rFonts w:hint="default" w:ascii="Times New Roman" w:hAnsi="Times New Roman" w:eastAsia="宋体"/>
          <w:color w:val="000000" w:themeColor="text1"/>
          <w:sz w:val="24"/>
          <w:szCs w:val="24"/>
          <w:highlight w:val="none"/>
          <w14:textFill>
            <w14:solidFill>
              <w14:schemeClr w14:val="tx1"/>
            </w14:solidFill>
          </w14:textFill>
        </w:rPr>
        <w:t>μg/m</w:t>
      </w:r>
      <w:r>
        <w:rPr>
          <w:rFonts w:hint="eastAsia" w:ascii="Times New Roman" w:hAnsi="Times New Roman" w:eastAsia="宋体"/>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olor w:val="000000" w:themeColor="text1"/>
          <w:sz w:val="24"/>
          <w:szCs w:val="24"/>
          <w:highlight w:val="none"/>
          <w14:textFill>
            <w14:solidFill>
              <w14:schemeClr w14:val="tx1"/>
            </w14:solidFill>
          </w14:textFill>
        </w:rPr>
        <w:t>；</w:t>
      </w:r>
    </w:p>
    <w:p w14:paraId="0918C637">
      <w:pPr>
        <w:spacing w:beforeLines="0" w:afterLines="0"/>
        <w:jc w:val="left"/>
        <w:rPr>
          <w:rFonts w:hint="default" w:ascii="Times New Roman" w:hAnsi="Times New Roman" w:eastAsia="宋体"/>
          <w:color w:val="000000" w:themeColor="text1"/>
          <w:sz w:val="24"/>
          <w:szCs w:val="24"/>
          <w:highlight w:val="none"/>
          <w14:textFill>
            <w14:solidFill>
              <w14:schemeClr w14:val="tx1"/>
            </w14:solidFill>
          </w14:textFill>
        </w:rPr>
      </w:pPr>
      <w:r>
        <w:rPr>
          <w:rFonts w:hint="default" w:ascii="Times New Roman" w:hAnsi="Times New Roman" w:eastAsia="宋体"/>
          <w:color w:val="000000" w:themeColor="text1"/>
          <w:sz w:val="24"/>
          <w:szCs w:val="24"/>
          <w:highlight w:val="none"/>
          <w14:textFill>
            <w14:solidFill>
              <w14:schemeClr w14:val="tx1"/>
            </w14:solidFill>
          </w14:textFill>
        </w:rPr>
        <w:t>V——污染物沉降速率，m/s</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本次评价取0.006</w:t>
      </w:r>
      <w:r>
        <w:rPr>
          <w:rFonts w:hint="default" w:ascii="Times New Roman" w:hAnsi="Times New Roman" w:eastAsia="宋体"/>
          <w:color w:val="000000" w:themeColor="text1"/>
          <w:sz w:val="24"/>
          <w:szCs w:val="24"/>
          <w:highlight w:val="none"/>
          <w14:textFill>
            <w14:solidFill>
              <w14:schemeClr w14:val="tx1"/>
            </w14:solidFill>
          </w14:textFill>
        </w:rPr>
        <w:t>m/s；</w:t>
      </w:r>
    </w:p>
    <w:p w14:paraId="4ECD4F28">
      <w:pPr>
        <w:spacing w:beforeLines="0" w:afterLines="0"/>
        <w:jc w:val="left"/>
        <w:rPr>
          <w:rFonts w:hint="default" w:ascii="Times New Roman" w:hAnsi="Times New Roman" w:eastAsia="宋体"/>
          <w:color w:val="000000" w:themeColor="text1"/>
          <w:sz w:val="24"/>
          <w:szCs w:val="24"/>
          <w:highlight w:val="none"/>
          <w14:textFill>
            <w14:solidFill>
              <w14:schemeClr w14:val="tx1"/>
            </w14:solidFill>
          </w14:textFill>
        </w:rPr>
      </w:pPr>
      <w:r>
        <w:rPr>
          <w:rFonts w:hint="default" w:ascii="Times New Roman" w:hAnsi="Times New Roman" w:eastAsia="宋体"/>
          <w:color w:val="000000" w:themeColor="text1"/>
          <w:sz w:val="24"/>
          <w:szCs w:val="24"/>
          <w:highlight w:val="none"/>
          <w14:textFill>
            <w14:solidFill>
              <w14:schemeClr w14:val="tx1"/>
            </w14:solidFill>
          </w14:textFill>
        </w:rPr>
        <w:t>T——年内污染物沉降时间，s</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本次评价取31536000s</w:t>
      </w:r>
      <w:r>
        <w:rPr>
          <w:rFonts w:hint="default" w:ascii="Times New Roman" w:hAnsi="Times New Roman" w:eastAsia="宋体"/>
          <w:color w:val="000000" w:themeColor="text1"/>
          <w:sz w:val="24"/>
          <w:szCs w:val="24"/>
          <w:highlight w:val="none"/>
          <w14:textFill>
            <w14:solidFill>
              <w14:schemeClr w14:val="tx1"/>
            </w14:solidFill>
          </w14:textFill>
        </w:rPr>
        <w:t>。</w:t>
      </w:r>
    </w:p>
    <w:p w14:paraId="005D944B">
      <w:pPr>
        <w:ind w:firstLine="480"/>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2）单位质量土壤中某种物的预测值可根据其增叠加现状值进行计算：</w:t>
      </w:r>
    </w:p>
    <w:p w14:paraId="3A89E95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i/>
          <w:iCs/>
          <w:color w:val="000000" w:themeColor="text1"/>
          <w:sz w:val="24"/>
          <w:szCs w:val="24"/>
          <w:lang w:val="en-US" w:eastAsia="zh-CN"/>
          <w14:textFill>
            <w14:solidFill>
              <w14:schemeClr w14:val="tx1"/>
            </w14:solidFill>
          </w14:textFill>
        </w:rPr>
        <w:t>S</w:t>
      </w:r>
      <w:r>
        <w:rPr>
          <w:rFonts w:hint="eastAsia" w:ascii="Times New Roman" w:hAnsi="Times New Roman" w:eastAsia="宋体"/>
          <w:color w:val="000000" w:themeColor="text1"/>
          <w:sz w:val="24"/>
          <w:szCs w:val="24"/>
          <w:lang w:val="en-US" w:eastAsia="zh-CN"/>
          <w14:textFill>
            <w14:solidFill>
              <w14:schemeClr w14:val="tx1"/>
            </w14:solidFill>
          </w14:textFill>
        </w:rPr>
        <w:t>=</w:t>
      </w:r>
      <w:r>
        <w:rPr>
          <w:rFonts w:hint="eastAsia" w:ascii="Times New Roman" w:hAnsi="Times New Roman" w:eastAsia="宋体"/>
          <w:i/>
          <w:iCs/>
          <w:color w:val="000000" w:themeColor="text1"/>
          <w:sz w:val="24"/>
          <w:szCs w:val="24"/>
          <w:lang w:val="en-US" w:eastAsia="zh-CN"/>
          <w14:textFill>
            <w14:solidFill>
              <w14:schemeClr w14:val="tx1"/>
            </w14:solidFill>
          </w14:textFill>
        </w:rPr>
        <w:t>S</w:t>
      </w:r>
      <w:r>
        <w:rPr>
          <w:rFonts w:hint="eastAsia" w:ascii="Times New Roman" w:hAnsi="Times New Roman" w:eastAsia="宋体"/>
          <w:i/>
          <w:iCs/>
          <w:color w:val="000000" w:themeColor="text1"/>
          <w:sz w:val="24"/>
          <w:szCs w:val="24"/>
          <w:vertAlign w:val="subscript"/>
          <w:lang w:val="en-US" w:eastAsia="zh-CN"/>
          <w14:textFill>
            <w14:solidFill>
              <w14:schemeClr w14:val="tx1"/>
            </w14:solidFill>
          </w14:textFill>
        </w:rPr>
        <w:t>b</w:t>
      </w:r>
      <w:r>
        <w:rPr>
          <w:rFonts w:hint="eastAsia" w:ascii="Times New Roman" w:hAnsi="Times New Roman" w:eastAsia="宋体"/>
          <w:color w:val="000000" w:themeColor="text1"/>
          <w:sz w:val="24"/>
          <w:szCs w:val="24"/>
          <w:lang w:val="en-US" w:eastAsia="zh-CN"/>
          <w14:textFill>
            <w14:solidFill>
              <w14:schemeClr w14:val="tx1"/>
            </w14:solidFill>
          </w14:textFill>
        </w:rPr>
        <w:t>+</w:t>
      </w:r>
      <w:r>
        <w:rPr>
          <w:rFonts w:hint="eastAsia" w:ascii="Times New Roman" w:hAnsi="Times New Roman" w:eastAsia="宋体"/>
          <w:i w:val="0"/>
          <w:iCs w:val="0"/>
          <w:color w:val="000000" w:themeColor="text1"/>
          <w:sz w:val="24"/>
          <w:szCs w:val="24"/>
          <w:lang w:val="en-US" w:eastAsia="zh-CN"/>
          <w14:textFill>
            <w14:solidFill>
              <w14:schemeClr w14:val="tx1"/>
            </w14:solidFill>
          </w14:textFill>
        </w:rPr>
        <w:t>△</w:t>
      </w:r>
      <w:r>
        <w:rPr>
          <w:rFonts w:hint="eastAsia" w:ascii="Times New Roman" w:hAnsi="Times New Roman" w:eastAsia="宋体"/>
          <w:i/>
          <w:iCs/>
          <w:color w:val="000000" w:themeColor="text1"/>
          <w:sz w:val="24"/>
          <w:szCs w:val="24"/>
          <w:lang w:val="en-US" w:eastAsia="zh-CN"/>
          <w14:textFill>
            <w14:solidFill>
              <w14:schemeClr w14:val="tx1"/>
            </w14:solidFill>
          </w14:textFill>
        </w:rPr>
        <w:t>S</w:t>
      </w:r>
    </w:p>
    <w:p w14:paraId="1490ACC0">
      <w:pPr>
        <w:ind w:firstLine="480"/>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式中：</w:t>
      </w:r>
      <w:r>
        <w:rPr>
          <w:rFonts w:hint="eastAsia" w:ascii="Times New Roman" w:hAnsi="Times New Roman" w:eastAsia="宋体"/>
          <w:i/>
          <w:iCs/>
          <w:color w:val="000000" w:themeColor="text1"/>
          <w:sz w:val="24"/>
          <w:szCs w:val="24"/>
          <w:lang w:val="en-US" w:eastAsia="zh-CN"/>
          <w14:textFill>
            <w14:solidFill>
              <w14:schemeClr w14:val="tx1"/>
            </w14:solidFill>
          </w14:textFill>
        </w:rPr>
        <w:t>S</w:t>
      </w:r>
      <w:r>
        <w:rPr>
          <w:rFonts w:hint="eastAsia" w:ascii="Times New Roman" w:hAnsi="Times New Roman" w:eastAsia="宋体"/>
          <w:i/>
          <w:iCs/>
          <w:color w:val="000000" w:themeColor="text1"/>
          <w:sz w:val="24"/>
          <w:szCs w:val="24"/>
          <w:vertAlign w:val="subscript"/>
          <w:lang w:val="en-US" w:eastAsia="zh-CN"/>
          <w14:textFill>
            <w14:solidFill>
              <w14:schemeClr w14:val="tx1"/>
            </w14:solidFill>
          </w14:textFill>
        </w:rPr>
        <w:t>b</w:t>
      </w:r>
      <w:r>
        <w:rPr>
          <w:rFonts w:hint="eastAsia" w:ascii="Times New Roman" w:hAnsi="Times New Roman" w:eastAsia="宋体"/>
          <w:color w:val="000000" w:themeColor="text1"/>
          <w:sz w:val="24"/>
          <w:szCs w:val="24"/>
          <w:lang w:val="en-US" w:eastAsia="zh-CN"/>
          <w14:textFill>
            <w14:solidFill>
              <w14:schemeClr w14:val="tx1"/>
            </w14:solidFill>
          </w14:textFill>
        </w:rPr>
        <w:t>——单位质量土壤中某种物质的现状值；</w:t>
      </w:r>
    </w:p>
    <w:p w14:paraId="37DB6B23">
      <w:pPr>
        <w:pStyle w:val="40"/>
        <w:keepNext w:val="0"/>
        <w:keepLines w:val="0"/>
        <w:pageBreakBefore w:val="0"/>
        <w:widowControl w:val="0"/>
        <w:kinsoku/>
        <w:wordWrap/>
        <w:autoSpaceDE/>
        <w:autoSpaceDN/>
        <w:bidi w:val="0"/>
        <w:snapToGrid/>
        <w:spacing w:line="480" w:lineRule="exact"/>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i/>
          <w:iCs/>
          <w:color w:val="000000" w:themeColor="text1"/>
          <w:sz w:val="24"/>
          <w:szCs w:val="24"/>
          <w:lang w:val="en-US" w:eastAsia="zh-CN"/>
          <w14:textFill>
            <w14:solidFill>
              <w14:schemeClr w14:val="tx1"/>
            </w14:solidFill>
          </w14:textFill>
        </w:rPr>
        <w:t>S</w:t>
      </w:r>
      <w:r>
        <w:rPr>
          <w:rFonts w:hint="eastAsia" w:ascii="Times New Roman" w:hAnsi="Times New Roman" w:eastAsia="宋体"/>
          <w:color w:val="000000" w:themeColor="text1"/>
          <w:sz w:val="24"/>
          <w:szCs w:val="24"/>
          <w:lang w:val="en-US" w:eastAsia="zh-CN"/>
          <w14:textFill>
            <w14:solidFill>
              <w14:schemeClr w14:val="tx1"/>
            </w14:solidFill>
          </w14:textFill>
        </w:rPr>
        <w:t>——单位质量土壤中某种物质的预测值，g/kg。</w:t>
      </w:r>
    </w:p>
    <w:p w14:paraId="5105C070">
      <w:pPr>
        <w:pStyle w:val="10"/>
        <w:widowControl w:val="0"/>
        <w:overflowPunct w:val="0"/>
        <w:topLinePunct/>
        <w:spacing w:after="0"/>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3）</w:t>
      </w:r>
      <w:r>
        <w:rPr>
          <w:rFonts w:ascii="Times New Roman" w:hAnsi="Times New Roman" w:cs="Times New Roman"/>
          <w:color w:val="000000" w:themeColor="text1"/>
          <w:highlight w:val="none"/>
          <w14:textFill>
            <w14:solidFill>
              <w14:schemeClr w14:val="tx1"/>
            </w14:solidFill>
          </w14:textFill>
        </w:rPr>
        <w:t>参数选取</w:t>
      </w:r>
    </w:p>
    <w:p w14:paraId="2CBF80DC">
      <w:pPr>
        <w:adjustRightInd w:val="0"/>
        <w:snapToGrid w:val="0"/>
        <w:ind w:firstLine="0" w:firstLineChars="0"/>
        <w:jc w:val="center"/>
        <w:rPr>
          <w:b/>
          <w:snapToGrid w:val="0"/>
          <w:color w:val="000000" w:themeColor="text1"/>
          <w:kern w:val="0"/>
          <w:highlight w:val="none"/>
          <w14:textFill>
            <w14:solidFill>
              <w14:schemeClr w14:val="tx1"/>
            </w14:solidFill>
          </w14:textFill>
        </w:rPr>
      </w:pPr>
      <w:r>
        <w:rPr>
          <w:b/>
          <w:snapToGrid w:val="0"/>
          <w:color w:val="000000" w:themeColor="text1"/>
          <w:kern w:val="0"/>
          <w:highlight w:val="none"/>
          <w14:textFill>
            <w14:solidFill>
              <w14:schemeClr w14:val="tx1"/>
            </w14:solidFill>
          </w14:textFill>
        </w:rPr>
        <w:t>表5.2-</w:t>
      </w:r>
      <w:r>
        <w:rPr>
          <w:rFonts w:hint="eastAsia"/>
          <w:b/>
          <w:snapToGrid w:val="0"/>
          <w:color w:val="000000" w:themeColor="text1"/>
          <w:kern w:val="0"/>
          <w:highlight w:val="none"/>
          <w:lang w:val="en-US" w:eastAsia="zh-CN"/>
          <w14:textFill>
            <w14:solidFill>
              <w14:schemeClr w14:val="tx1"/>
            </w14:solidFill>
          </w14:textFill>
        </w:rPr>
        <w:t>16</w:t>
      </w:r>
      <w:r>
        <w:rPr>
          <w:b/>
          <w:snapToGrid w:val="0"/>
          <w:color w:val="000000" w:themeColor="text1"/>
          <w:kern w:val="0"/>
          <w:highlight w:val="none"/>
          <w14:textFill>
            <w14:solidFill>
              <w14:schemeClr w14:val="tx1"/>
            </w14:solidFill>
          </w14:textFill>
        </w:rPr>
        <w:t xml:space="preserve">   土壤环境影响预测参数选择</w:t>
      </w:r>
    </w:p>
    <w:tbl>
      <w:tblPr>
        <w:tblStyle w:val="3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798"/>
        <w:gridCol w:w="735"/>
        <w:gridCol w:w="1135"/>
        <w:gridCol w:w="5096"/>
      </w:tblGrid>
      <w:tr w14:paraId="1B01A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3" w:type="pct"/>
            <w:tcBorders>
              <w:tl2br w:val="nil"/>
              <w:tr2bl w:val="nil"/>
            </w:tcBorders>
            <w:vAlign w:val="center"/>
          </w:tcPr>
          <w:p w14:paraId="085AEC46">
            <w:pPr>
              <w:pStyle w:val="45"/>
              <w:spacing w:before="0" w:beforeAutospacing="0" w:line="360" w:lineRule="exact"/>
              <w:ind w:firstLine="0" w:firstLineChars="0"/>
              <w:jc w:val="center"/>
              <w:rPr>
                <w:b/>
                <w:bCs/>
                <w:color w:val="000000" w:themeColor="text1"/>
                <w:spacing w:val="-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序号</w:t>
            </w:r>
          </w:p>
        </w:tc>
        <w:tc>
          <w:tcPr>
            <w:tcW w:w="468" w:type="pct"/>
            <w:tcBorders>
              <w:tl2br w:val="nil"/>
              <w:tr2bl w:val="nil"/>
            </w:tcBorders>
            <w:vAlign w:val="center"/>
          </w:tcPr>
          <w:p w14:paraId="4116F5DC">
            <w:pPr>
              <w:pStyle w:val="45"/>
              <w:spacing w:before="0" w:beforeAutospacing="0" w:line="360" w:lineRule="exact"/>
              <w:ind w:firstLine="0" w:firstLineChars="0"/>
              <w:jc w:val="center"/>
              <w:rPr>
                <w:b/>
                <w:bCs/>
                <w:color w:val="000000" w:themeColor="text1"/>
                <w:spacing w:val="-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参数</w:t>
            </w:r>
          </w:p>
        </w:tc>
        <w:tc>
          <w:tcPr>
            <w:tcW w:w="431" w:type="pct"/>
            <w:tcBorders>
              <w:tl2br w:val="nil"/>
              <w:tr2bl w:val="nil"/>
            </w:tcBorders>
            <w:vAlign w:val="center"/>
          </w:tcPr>
          <w:p w14:paraId="2112D074">
            <w:pPr>
              <w:pStyle w:val="45"/>
              <w:spacing w:before="0" w:beforeAutospacing="0" w:line="360" w:lineRule="exact"/>
              <w:ind w:firstLine="0" w:firstLineChars="0"/>
              <w:jc w:val="center"/>
              <w:rPr>
                <w:b/>
                <w:bCs/>
                <w:color w:val="000000" w:themeColor="text1"/>
                <w:spacing w:val="-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单位</w:t>
            </w:r>
          </w:p>
        </w:tc>
        <w:tc>
          <w:tcPr>
            <w:tcW w:w="666" w:type="pct"/>
            <w:tcBorders>
              <w:tl2br w:val="nil"/>
              <w:tr2bl w:val="nil"/>
            </w:tcBorders>
            <w:vAlign w:val="center"/>
          </w:tcPr>
          <w:p w14:paraId="0C6A6085">
            <w:pPr>
              <w:pStyle w:val="45"/>
              <w:spacing w:before="0" w:beforeAutospacing="0" w:line="360" w:lineRule="exact"/>
              <w:ind w:firstLine="0" w:firstLineChars="0"/>
              <w:jc w:val="center"/>
              <w:rPr>
                <w:b/>
                <w:bCs/>
                <w:color w:val="000000" w:themeColor="text1"/>
                <w:spacing w:val="-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取值</w:t>
            </w:r>
          </w:p>
        </w:tc>
        <w:tc>
          <w:tcPr>
            <w:tcW w:w="2990" w:type="pct"/>
            <w:tcBorders>
              <w:tl2br w:val="nil"/>
              <w:tr2bl w:val="nil"/>
            </w:tcBorders>
            <w:vAlign w:val="center"/>
          </w:tcPr>
          <w:p w14:paraId="0E2D1667">
            <w:pPr>
              <w:pStyle w:val="45"/>
              <w:spacing w:before="0" w:beforeAutospacing="0" w:line="360" w:lineRule="exact"/>
              <w:ind w:firstLine="0" w:firstLineChars="0"/>
              <w:jc w:val="center"/>
              <w:rPr>
                <w:b/>
                <w:bCs/>
                <w:color w:val="000000" w:themeColor="text1"/>
                <w:spacing w:val="-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来源</w:t>
            </w:r>
          </w:p>
        </w:tc>
      </w:tr>
      <w:tr w14:paraId="4B518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3" w:type="pct"/>
            <w:tcBorders>
              <w:tl2br w:val="nil"/>
              <w:tr2bl w:val="nil"/>
            </w:tcBorders>
            <w:vAlign w:val="center"/>
          </w:tcPr>
          <w:p w14:paraId="508F61D7">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1</w:t>
            </w:r>
          </w:p>
        </w:tc>
        <w:tc>
          <w:tcPr>
            <w:tcW w:w="468" w:type="pct"/>
            <w:tcBorders>
              <w:tl2br w:val="nil"/>
              <w:tr2bl w:val="nil"/>
            </w:tcBorders>
            <w:vAlign w:val="center"/>
          </w:tcPr>
          <w:p w14:paraId="097B5D05">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i/>
                <w:iCs/>
                <w:color w:val="000000" w:themeColor="text1"/>
                <w:spacing w:val="-1"/>
                <w:sz w:val="21"/>
                <w:szCs w:val="21"/>
                <w:highlight w:val="none"/>
                <w14:textFill>
                  <w14:solidFill>
                    <w14:schemeClr w14:val="tx1"/>
                  </w14:solidFill>
                </w14:textFill>
              </w:rPr>
              <w:t>I</w:t>
            </w:r>
            <w:r>
              <w:rPr>
                <w:i/>
                <w:iCs/>
                <w:color w:val="000000" w:themeColor="text1"/>
                <w:spacing w:val="-1"/>
                <w:sz w:val="21"/>
                <w:szCs w:val="21"/>
                <w:highlight w:val="none"/>
                <w:vertAlign w:val="subscript"/>
                <w14:textFill>
                  <w14:solidFill>
                    <w14:schemeClr w14:val="tx1"/>
                  </w14:solidFill>
                </w14:textFill>
              </w:rPr>
              <w:t>S</w:t>
            </w:r>
          </w:p>
        </w:tc>
        <w:tc>
          <w:tcPr>
            <w:tcW w:w="431" w:type="pct"/>
            <w:tcBorders>
              <w:tl2br w:val="nil"/>
              <w:tr2bl w:val="nil"/>
            </w:tcBorders>
            <w:vAlign w:val="center"/>
          </w:tcPr>
          <w:p w14:paraId="5900054C">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g</w:t>
            </w:r>
          </w:p>
        </w:tc>
        <w:tc>
          <w:tcPr>
            <w:tcW w:w="666" w:type="pct"/>
            <w:tcBorders>
              <w:tl2br w:val="nil"/>
              <w:tr2bl w:val="nil"/>
            </w:tcBorders>
            <w:vAlign w:val="center"/>
          </w:tcPr>
          <w:p w14:paraId="186763CB">
            <w:pPr>
              <w:pStyle w:val="45"/>
              <w:spacing w:before="0" w:beforeAutospacing="0" w:line="360" w:lineRule="exact"/>
              <w:ind w:firstLine="0" w:firstLineChars="0"/>
              <w:jc w:val="center"/>
              <w:rPr>
                <w:rFonts w:hint="default" w:eastAsia="宋体"/>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2.53×10</w:t>
            </w:r>
            <w:r>
              <w:rPr>
                <w:rFonts w:hint="eastAsia"/>
                <w:color w:val="000000" w:themeColor="text1"/>
                <w:spacing w:val="-1"/>
                <w:sz w:val="21"/>
                <w:szCs w:val="21"/>
                <w:highlight w:val="none"/>
                <w:vertAlign w:val="superscript"/>
                <w:lang w:val="en-US" w:eastAsia="zh-CN"/>
                <w14:textFill>
                  <w14:solidFill>
                    <w14:schemeClr w14:val="tx1"/>
                  </w14:solidFill>
                </w14:textFill>
              </w:rPr>
              <w:t>5</w:t>
            </w:r>
          </w:p>
        </w:tc>
        <w:tc>
          <w:tcPr>
            <w:tcW w:w="2990" w:type="pct"/>
            <w:tcBorders>
              <w:tl2br w:val="nil"/>
              <w:tr2bl w:val="nil"/>
            </w:tcBorders>
            <w:vAlign w:val="center"/>
          </w:tcPr>
          <w:p w14:paraId="16313362">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上述公式代入参数计算得出</w:t>
            </w:r>
          </w:p>
        </w:tc>
      </w:tr>
      <w:tr w14:paraId="64FC0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3" w:type="pct"/>
            <w:tcBorders>
              <w:tl2br w:val="nil"/>
              <w:tr2bl w:val="nil"/>
            </w:tcBorders>
            <w:vAlign w:val="center"/>
          </w:tcPr>
          <w:p w14:paraId="3C573D8B">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2</w:t>
            </w:r>
          </w:p>
        </w:tc>
        <w:tc>
          <w:tcPr>
            <w:tcW w:w="468" w:type="pct"/>
            <w:tcBorders>
              <w:tl2br w:val="nil"/>
              <w:tr2bl w:val="nil"/>
            </w:tcBorders>
            <w:vAlign w:val="center"/>
          </w:tcPr>
          <w:p w14:paraId="26F94D25">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i/>
                <w:iCs/>
                <w:color w:val="000000" w:themeColor="text1"/>
                <w:spacing w:val="-1"/>
                <w:sz w:val="21"/>
                <w:szCs w:val="21"/>
                <w:highlight w:val="none"/>
                <w14:textFill>
                  <w14:solidFill>
                    <w14:schemeClr w14:val="tx1"/>
                  </w14:solidFill>
                </w14:textFill>
              </w:rPr>
              <w:t>L</w:t>
            </w:r>
            <w:r>
              <w:rPr>
                <w:i/>
                <w:iCs/>
                <w:color w:val="000000" w:themeColor="text1"/>
                <w:spacing w:val="-1"/>
                <w:sz w:val="21"/>
                <w:szCs w:val="21"/>
                <w:highlight w:val="none"/>
                <w:vertAlign w:val="subscript"/>
                <w14:textFill>
                  <w14:solidFill>
                    <w14:schemeClr w14:val="tx1"/>
                  </w14:solidFill>
                </w14:textFill>
              </w:rPr>
              <w:t>S</w:t>
            </w:r>
          </w:p>
        </w:tc>
        <w:tc>
          <w:tcPr>
            <w:tcW w:w="431" w:type="pct"/>
            <w:tcBorders>
              <w:tl2br w:val="nil"/>
              <w:tr2bl w:val="nil"/>
            </w:tcBorders>
            <w:vAlign w:val="center"/>
          </w:tcPr>
          <w:p w14:paraId="2BE6089E">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g</w:t>
            </w:r>
          </w:p>
        </w:tc>
        <w:tc>
          <w:tcPr>
            <w:tcW w:w="666" w:type="pct"/>
            <w:tcBorders>
              <w:tl2br w:val="nil"/>
              <w:tr2bl w:val="nil"/>
            </w:tcBorders>
            <w:vAlign w:val="center"/>
          </w:tcPr>
          <w:p w14:paraId="49CF842C">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0</w:t>
            </w:r>
          </w:p>
        </w:tc>
        <w:tc>
          <w:tcPr>
            <w:tcW w:w="2990" w:type="pct"/>
            <w:tcBorders>
              <w:tl2br w:val="nil"/>
              <w:tr2bl w:val="nil"/>
            </w:tcBorders>
            <w:vAlign w:val="center"/>
          </w:tcPr>
          <w:p w14:paraId="315B1DD3">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按最不利情景，不考虑排出量</w:t>
            </w:r>
          </w:p>
        </w:tc>
      </w:tr>
      <w:tr w14:paraId="64715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3" w:type="pct"/>
            <w:tcBorders>
              <w:tl2br w:val="nil"/>
              <w:tr2bl w:val="nil"/>
            </w:tcBorders>
            <w:vAlign w:val="center"/>
          </w:tcPr>
          <w:p w14:paraId="67C409B0">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3</w:t>
            </w:r>
          </w:p>
        </w:tc>
        <w:tc>
          <w:tcPr>
            <w:tcW w:w="468" w:type="pct"/>
            <w:tcBorders>
              <w:tl2br w:val="nil"/>
              <w:tr2bl w:val="nil"/>
            </w:tcBorders>
            <w:vAlign w:val="center"/>
          </w:tcPr>
          <w:p w14:paraId="79DD7210">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i/>
                <w:iCs/>
                <w:color w:val="000000" w:themeColor="text1"/>
                <w:spacing w:val="-1"/>
                <w:sz w:val="21"/>
                <w:szCs w:val="21"/>
                <w:highlight w:val="none"/>
                <w14:textFill>
                  <w14:solidFill>
                    <w14:schemeClr w14:val="tx1"/>
                  </w14:solidFill>
                </w14:textFill>
              </w:rPr>
              <w:t>R</w:t>
            </w:r>
            <w:r>
              <w:rPr>
                <w:i/>
                <w:iCs/>
                <w:color w:val="000000" w:themeColor="text1"/>
                <w:spacing w:val="-1"/>
                <w:sz w:val="21"/>
                <w:szCs w:val="21"/>
                <w:highlight w:val="none"/>
                <w:vertAlign w:val="subscript"/>
                <w14:textFill>
                  <w14:solidFill>
                    <w14:schemeClr w14:val="tx1"/>
                  </w14:solidFill>
                </w14:textFill>
              </w:rPr>
              <w:t>S</w:t>
            </w:r>
          </w:p>
        </w:tc>
        <w:tc>
          <w:tcPr>
            <w:tcW w:w="431" w:type="pct"/>
            <w:tcBorders>
              <w:tl2br w:val="nil"/>
              <w:tr2bl w:val="nil"/>
            </w:tcBorders>
            <w:vAlign w:val="center"/>
          </w:tcPr>
          <w:p w14:paraId="36FC053E">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g</w:t>
            </w:r>
          </w:p>
        </w:tc>
        <w:tc>
          <w:tcPr>
            <w:tcW w:w="666" w:type="pct"/>
            <w:tcBorders>
              <w:tl2br w:val="nil"/>
              <w:tr2bl w:val="nil"/>
            </w:tcBorders>
            <w:vAlign w:val="center"/>
          </w:tcPr>
          <w:p w14:paraId="2689840A">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0</w:t>
            </w:r>
          </w:p>
        </w:tc>
        <w:tc>
          <w:tcPr>
            <w:tcW w:w="2990" w:type="pct"/>
            <w:tcBorders>
              <w:tl2br w:val="nil"/>
              <w:tr2bl w:val="nil"/>
            </w:tcBorders>
            <w:vAlign w:val="center"/>
          </w:tcPr>
          <w:p w14:paraId="0F9E5F46">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按最不利情景，不考虑排出量</w:t>
            </w:r>
          </w:p>
        </w:tc>
      </w:tr>
      <w:tr w14:paraId="1E0A4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3" w:type="pct"/>
            <w:tcBorders>
              <w:tl2br w:val="nil"/>
              <w:tr2bl w:val="nil"/>
            </w:tcBorders>
            <w:vAlign w:val="center"/>
          </w:tcPr>
          <w:p w14:paraId="650DFBAD">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4</w:t>
            </w:r>
          </w:p>
        </w:tc>
        <w:tc>
          <w:tcPr>
            <w:tcW w:w="468" w:type="pct"/>
            <w:tcBorders>
              <w:tl2br w:val="nil"/>
              <w:tr2bl w:val="nil"/>
            </w:tcBorders>
            <w:vAlign w:val="center"/>
          </w:tcPr>
          <w:p w14:paraId="11793F03">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i/>
                <w:iCs/>
                <w:color w:val="000000" w:themeColor="text1"/>
                <w:spacing w:val="-1"/>
                <w:sz w:val="21"/>
                <w:szCs w:val="21"/>
                <w:highlight w:val="none"/>
                <w14:textFill>
                  <w14:solidFill>
                    <w14:schemeClr w14:val="tx1"/>
                  </w14:solidFill>
                </w14:textFill>
              </w:rPr>
              <w:t>ρ</w:t>
            </w:r>
            <w:r>
              <w:rPr>
                <w:i/>
                <w:iCs/>
                <w:color w:val="000000" w:themeColor="text1"/>
                <w:spacing w:val="-1"/>
                <w:sz w:val="21"/>
                <w:szCs w:val="21"/>
                <w:highlight w:val="none"/>
                <w:vertAlign w:val="subscript"/>
                <w14:textFill>
                  <w14:solidFill>
                    <w14:schemeClr w14:val="tx1"/>
                  </w14:solidFill>
                </w14:textFill>
              </w:rPr>
              <w:t>b</w:t>
            </w:r>
          </w:p>
        </w:tc>
        <w:tc>
          <w:tcPr>
            <w:tcW w:w="431" w:type="pct"/>
            <w:tcBorders>
              <w:tl2br w:val="nil"/>
              <w:tr2bl w:val="nil"/>
            </w:tcBorders>
            <w:vAlign w:val="center"/>
          </w:tcPr>
          <w:p w14:paraId="43E2BB0A">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kg/m</w:t>
            </w:r>
            <w:r>
              <w:rPr>
                <w:color w:val="000000" w:themeColor="text1"/>
                <w:sz w:val="21"/>
                <w:szCs w:val="21"/>
                <w:highlight w:val="none"/>
                <w:vertAlign w:val="superscript"/>
                <w14:textFill>
                  <w14:solidFill>
                    <w14:schemeClr w14:val="tx1"/>
                  </w14:solidFill>
                </w14:textFill>
              </w:rPr>
              <w:t>3</w:t>
            </w:r>
          </w:p>
        </w:tc>
        <w:tc>
          <w:tcPr>
            <w:tcW w:w="666" w:type="pct"/>
            <w:tcBorders>
              <w:tl2br w:val="nil"/>
              <w:tr2bl w:val="nil"/>
            </w:tcBorders>
            <w:vAlign w:val="center"/>
          </w:tcPr>
          <w:p w14:paraId="2F3D0BED">
            <w:pPr>
              <w:pStyle w:val="45"/>
              <w:spacing w:before="0" w:beforeAutospacing="0" w:line="360" w:lineRule="exact"/>
              <w:ind w:firstLine="0" w:firstLineChars="0"/>
              <w:jc w:val="center"/>
              <w:rPr>
                <w:rFonts w:hint="default" w:eastAsia="宋体"/>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1590</w:t>
            </w:r>
          </w:p>
        </w:tc>
        <w:tc>
          <w:tcPr>
            <w:tcW w:w="2990" w:type="pct"/>
            <w:tcBorders>
              <w:tl2br w:val="nil"/>
              <w:tr2bl w:val="nil"/>
            </w:tcBorders>
            <w:vAlign w:val="center"/>
          </w:tcPr>
          <w:p w14:paraId="3E5177B2">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新疆盐渍化土壤容重在1.</w:t>
            </w:r>
            <w:r>
              <w:rPr>
                <w:rFonts w:hint="eastAsia"/>
                <w:color w:val="000000" w:themeColor="text1"/>
                <w:spacing w:val="-1"/>
                <w:sz w:val="21"/>
                <w:szCs w:val="21"/>
                <w:highlight w:val="none"/>
                <w:lang w:val="en-US" w:eastAsia="zh-CN"/>
                <w14:textFill>
                  <w14:solidFill>
                    <w14:schemeClr w14:val="tx1"/>
                  </w14:solidFill>
                </w14:textFill>
              </w:rPr>
              <w:t>56</w:t>
            </w:r>
            <w:r>
              <w:rPr>
                <w:color w:val="000000" w:themeColor="text1"/>
                <w:spacing w:val="-1"/>
                <w:sz w:val="21"/>
                <w:szCs w:val="21"/>
                <w:highlight w:val="none"/>
                <w14:textFill>
                  <w14:solidFill>
                    <w14:schemeClr w14:val="tx1"/>
                  </w14:solidFill>
                </w14:textFill>
              </w:rPr>
              <w:t>-1.</w:t>
            </w:r>
            <w:r>
              <w:rPr>
                <w:rFonts w:hint="eastAsia"/>
                <w:color w:val="000000" w:themeColor="text1"/>
                <w:spacing w:val="-1"/>
                <w:sz w:val="21"/>
                <w:szCs w:val="21"/>
                <w:highlight w:val="none"/>
                <w:lang w:val="en-US" w:eastAsia="zh-CN"/>
                <w14:textFill>
                  <w14:solidFill>
                    <w14:schemeClr w14:val="tx1"/>
                  </w14:solidFill>
                </w14:textFill>
              </w:rPr>
              <w:t>59</w:t>
            </w:r>
            <w:r>
              <w:rPr>
                <w:color w:val="000000" w:themeColor="text1"/>
                <w:spacing w:val="-1"/>
                <w:sz w:val="21"/>
                <w:szCs w:val="21"/>
                <w:highlight w:val="none"/>
                <w14:textFill>
                  <w14:solidFill>
                    <w14:schemeClr w14:val="tx1"/>
                  </w14:solidFill>
                </w14:textFill>
              </w:rPr>
              <w:t>g/cm</w:t>
            </w:r>
            <w:r>
              <w:rPr>
                <w:color w:val="000000" w:themeColor="text1"/>
                <w:spacing w:val="-1"/>
                <w:sz w:val="21"/>
                <w:szCs w:val="21"/>
                <w:highlight w:val="none"/>
                <w:vertAlign w:val="superscript"/>
                <w14:textFill>
                  <w14:solidFill>
                    <w14:schemeClr w14:val="tx1"/>
                  </w14:solidFill>
                </w14:textFill>
              </w:rPr>
              <w:t>3</w:t>
            </w:r>
          </w:p>
        </w:tc>
      </w:tr>
      <w:tr w14:paraId="07266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3" w:type="pct"/>
            <w:tcBorders>
              <w:tl2br w:val="nil"/>
              <w:tr2bl w:val="nil"/>
            </w:tcBorders>
            <w:vAlign w:val="center"/>
          </w:tcPr>
          <w:p w14:paraId="3AC7A547">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5</w:t>
            </w:r>
          </w:p>
        </w:tc>
        <w:tc>
          <w:tcPr>
            <w:tcW w:w="468" w:type="pct"/>
            <w:tcBorders>
              <w:tl2br w:val="nil"/>
              <w:tr2bl w:val="nil"/>
            </w:tcBorders>
            <w:vAlign w:val="center"/>
          </w:tcPr>
          <w:p w14:paraId="69D8C985">
            <w:pPr>
              <w:pStyle w:val="45"/>
              <w:spacing w:before="0" w:beforeAutospacing="0" w:line="360" w:lineRule="exact"/>
              <w:ind w:firstLine="0" w:firstLineChars="0"/>
              <w:jc w:val="center"/>
              <w:rPr>
                <w:i/>
                <w:iCs/>
                <w:color w:val="000000" w:themeColor="text1"/>
                <w:spacing w:val="-1"/>
                <w:sz w:val="21"/>
                <w:szCs w:val="21"/>
                <w:highlight w:val="none"/>
                <w14:textFill>
                  <w14:solidFill>
                    <w14:schemeClr w14:val="tx1"/>
                  </w14:solidFill>
                </w14:textFill>
              </w:rPr>
            </w:pPr>
            <w:r>
              <w:rPr>
                <w:i/>
                <w:iCs/>
                <w:color w:val="000000" w:themeColor="text1"/>
                <w:spacing w:val="-1"/>
                <w:sz w:val="21"/>
                <w:szCs w:val="21"/>
                <w:highlight w:val="none"/>
                <w14:textFill>
                  <w14:solidFill>
                    <w14:schemeClr w14:val="tx1"/>
                  </w14:solidFill>
                </w14:textFill>
              </w:rPr>
              <w:t>A</w:t>
            </w:r>
          </w:p>
        </w:tc>
        <w:tc>
          <w:tcPr>
            <w:tcW w:w="431" w:type="pct"/>
            <w:tcBorders>
              <w:tl2br w:val="nil"/>
              <w:tr2bl w:val="nil"/>
            </w:tcBorders>
            <w:vAlign w:val="center"/>
          </w:tcPr>
          <w:p w14:paraId="7BC90F16">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p>
        </w:tc>
        <w:tc>
          <w:tcPr>
            <w:tcW w:w="666" w:type="pct"/>
            <w:tcBorders>
              <w:tl2br w:val="nil"/>
              <w:tr2bl w:val="nil"/>
            </w:tcBorders>
            <w:vAlign w:val="center"/>
          </w:tcPr>
          <w:p w14:paraId="0B4DDC92">
            <w:pPr>
              <w:pStyle w:val="45"/>
              <w:spacing w:before="0" w:beforeAutospacing="0" w:line="360" w:lineRule="exact"/>
              <w:ind w:firstLine="0" w:firstLineChars="0"/>
              <w:jc w:val="center"/>
              <w:rPr>
                <w:rFonts w:hint="default" w:eastAsia="宋体"/>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429600</w:t>
            </w:r>
          </w:p>
        </w:tc>
        <w:tc>
          <w:tcPr>
            <w:tcW w:w="2990" w:type="pct"/>
            <w:tcBorders>
              <w:tl2br w:val="nil"/>
              <w:tr2bl w:val="nil"/>
            </w:tcBorders>
            <w:vAlign w:val="center"/>
          </w:tcPr>
          <w:p w14:paraId="47D8239C">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工程占地范围</w:t>
            </w:r>
          </w:p>
        </w:tc>
      </w:tr>
      <w:tr w14:paraId="003A1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3" w:type="pct"/>
            <w:tcBorders>
              <w:tl2br w:val="nil"/>
              <w:tr2bl w:val="nil"/>
            </w:tcBorders>
            <w:vAlign w:val="center"/>
          </w:tcPr>
          <w:p w14:paraId="4F66FBF2">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6</w:t>
            </w:r>
          </w:p>
        </w:tc>
        <w:tc>
          <w:tcPr>
            <w:tcW w:w="468" w:type="pct"/>
            <w:tcBorders>
              <w:tl2br w:val="nil"/>
              <w:tr2bl w:val="nil"/>
            </w:tcBorders>
            <w:vAlign w:val="center"/>
          </w:tcPr>
          <w:p w14:paraId="1DC951F6">
            <w:pPr>
              <w:pStyle w:val="45"/>
              <w:spacing w:before="0" w:beforeAutospacing="0" w:line="360" w:lineRule="exact"/>
              <w:ind w:firstLine="0" w:firstLineChars="0"/>
              <w:jc w:val="center"/>
              <w:rPr>
                <w:i/>
                <w:iCs/>
                <w:color w:val="000000" w:themeColor="text1"/>
                <w:spacing w:val="-1"/>
                <w:sz w:val="21"/>
                <w:szCs w:val="21"/>
                <w:highlight w:val="none"/>
                <w14:textFill>
                  <w14:solidFill>
                    <w14:schemeClr w14:val="tx1"/>
                  </w14:solidFill>
                </w14:textFill>
              </w:rPr>
            </w:pPr>
            <w:r>
              <w:rPr>
                <w:i/>
                <w:iCs/>
                <w:color w:val="000000" w:themeColor="text1"/>
                <w:spacing w:val="-1"/>
                <w:sz w:val="21"/>
                <w:szCs w:val="21"/>
                <w:highlight w:val="none"/>
                <w14:textFill>
                  <w14:solidFill>
                    <w14:schemeClr w14:val="tx1"/>
                  </w14:solidFill>
                </w14:textFill>
              </w:rPr>
              <w:t>D</w:t>
            </w:r>
          </w:p>
        </w:tc>
        <w:tc>
          <w:tcPr>
            <w:tcW w:w="431" w:type="pct"/>
            <w:tcBorders>
              <w:tl2br w:val="nil"/>
              <w:tr2bl w:val="nil"/>
            </w:tcBorders>
            <w:vAlign w:val="center"/>
          </w:tcPr>
          <w:p w14:paraId="75E97881">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w:t>
            </w:r>
          </w:p>
        </w:tc>
        <w:tc>
          <w:tcPr>
            <w:tcW w:w="666" w:type="pct"/>
            <w:tcBorders>
              <w:tl2br w:val="nil"/>
              <w:tr2bl w:val="nil"/>
            </w:tcBorders>
            <w:vAlign w:val="center"/>
          </w:tcPr>
          <w:p w14:paraId="6F78C2B9">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0.2</w:t>
            </w:r>
          </w:p>
        </w:tc>
        <w:tc>
          <w:tcPr>
            <w:tcW w:w="2990" w:type="pct"/>
            <w:tcBorders>
              <w:tl2br w:val="nil"/>
              <w:tr2bl w:val="nil"/>
            </w:tcBorders>
            <w:vAlign w:val="center"/>
          </w:tcPr>
          <w:p w14:paraId="0F51ACF7">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一般取值</w:t>
            </w:r>
          </w:p>
        </w:tc>
      </w:tr>
      <w:tr w14:paraId="37B73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3" w:type="pct"/>
            <w:tcBorders>
              <w:tl2br w:val="nil"/>
              <w:tr2bl w:val="nil"/>
            </w:tcBorders>
            <w:vAlign w:val="center"/>
          </w:tcPr>
          <w:p w14:paraId="016A1E2A">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7</w:t>
            </w:r>
          </w:p>
        </w:tc>
        <w:tc>
          <w:tcPr>
            <w:tcW w:w="468" w:type="pct"/>
            <w:tcBorders>
              <w:tl2br w:val="nil"/>
              <w:tr2bl w:val="nil"/>
            </w:tcBorders>
            <w:vAlign w:val="center"/>
          </w:tcPr>
          <w:p w14:paraId="07B1D058">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i/>
                <w:iCs/>
                <w:color w:val="000000" w:themeColor="text1"/>
                <w:spacing w:val="-1"/>
                <w:sz w:val="21"/>
                <w:szCs w:val="21"/>
                <w:highlight w:val="none"/>
                <w14:textFill>
                  <w14:solidFill>
                    <w14:schemeClr w14:val="tx1"/>
                  </w14:solidFill>
                </w14:textFill>
              </w:rPr>
              <w:t>S</w:t>
            </w:r>
            <w:r>
              <w:rPr>
                <w:i/>
                <w:iCs/>
                <w:color w:val="000000" w:themeColor="text1"/>
                <w:spacing w:val="-1"/>
                <w:sz w:val="21"/>
                <w:szCs w:val="21"/>
                <w:highlight w:val="none"/>
                <w:vertAlign w:val="subscript"/>
                <w14:textFill>
                  <w14:solidFill>
                    <w14:schemeClr w14:val="tx1"/>
                  </w14:solidFill>
                </w14:textFill>
              </w:rPr>
              <w:t>b</w:t>
            </w:r>
          </w:p>
        </w:tc>
        <w:tc>
          <w:tcPr>
            <w:tcW w:w="431" w:type="pct"/>
            <w:tcBorders>
              <w:tl2br w:val="nil"/>
              <w:tr2bl w:val="nil"/>
            </w:tcBorders>
            <w:vAlign w:val="center"/>
          </w:tcPr>
          <w:p w14:paraId="760BEF37">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g/kg</w:t>
            </w:r>
          </w:p>
        </w:tc>
        <w:tc>
          <w:tcPr>
            <w:tcW w:w="666" w:type="pct"/>
            <w:tcBorders>
              <w:tl2br w:val="nil"/>
              <w:tr2bl w:val="nil"/>
            </w:tcBorders>
            <w:vAlign w:val="center"/>
          </w:tcPr>
          <w:p w14:paraId="00AFD25E">
            <w:pPr>
              <w:pStyle w:val="45"/>
              <w:spacing w:before="0" w:beforeAutospacing="0" w:line="360" w:lineRule="exact"/>
              <w:ind w:firstLine="0" w:firstLineChars="0"/>
              <w:jc w:val="center"/>
              <w:rPr>
                <w:rFonts w:hint="default" w:eastAsia="宋体"/>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14:textFill>
                  <w14:solidFill>
                    <w14:schemeClr w14:val="tx1"/>
                  </w14:solidFill>
                </w14:textFill>
              </w:rPr>
              <w:t>0.0</w:t>
            </w:r>
            <w:r>
              <w:rPr>
                <w:rFonts w:hint="eastAsia"/>
                <w:color w:val="000000" w:themeColor="text1"/>
                <w:spacing w:val="-1"/>
                <w:sz w:val="21"/>
                <w:szCs w:val="21"/>
                <w:highlight w:val="none"/>
                <w:lang w:val="en-US" w:eastAsia="zh-CN"/>
                <w14:textFill>
                  <w14:solidFill>
                    <w14:schemeClr w14:val="tx1"/>
                  </w14:solidFill>
                </w14:textFill>
              </w:rPr>
              <w:t>0966</w:t>
            </w:r>
          </w:p>
        </w:tc>
        <w:tc>
          <w:tcPr>
            <w:tcW w:w="2990" w:type="pct"/>
            <w:tcBorders>
              <w:tl2br w:val="nil"/>
              <w:tr2bl w:val="nil"/>
            </w:tcBorders>
            <w:vAlign w:val="center"/>
          </w:tcPr>
          <w:p w14:paraId="5FC639A6">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w:t>
            </w:r>
          </w:p>
        </w:tc>
      </w:tr>
    </w:tbl>
    <w:p w14:paraId="5D0B7467">
      <w:pPr>
        <w:pStyle w:val="10"/>
        <w:widowControl w:val="0"/>
        <w:overflowPunct w:val="0"/>
        <w:topLinePunct/>
        <w:spacing w:after="0"/>
        <w:ind w:firstLine="480"/>
        <w:jc w:val="both"/>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4）</w:t>
      </w:r>
      <w:r>
        <w:rPr>
          <w:rFonts w:ascii="Times New Roman" w:hAnsi="Times New Roman" w:cs="Times New Roman"/>
          <w:color w:val="000000" w:themeColor="text1"/>
          <w:highlight w:val="none"/>
          <w14:textFill>
            <w14:solidFill>
              <w14:schemeClr w14:val="tx1"/>
            </w14:solidFill>
          </w14:textFill>
        </w:rPr>
        <w:t>预测结果</w:t>
      </w:r>
    </w:p>
    <w:p w14:paraId="1165FF16">
      <w:pPr>
        <w:pStyle w:val="10"/>
        <w:widowControl w:val="0"/>
        <w:overflowPunct w:val="0"/>
        <w:topLinePunct/>
        <w:spacing w:after="0"/>
        <w:ind w:firstLine="480"/>
        <w:jc w:val="both"/>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尾矿库</w:t>
      </w:r>
      <w:r>
        <w:rPr>
          <w:rFonts w:hint="eastAsia" w:ascii="Times New Roman" w:hAnsi="Times New Roman" w:cs="Times New Roman"/>
          <w:color w:val="000000" w:themeColor="text1"/>
          <w14:textFill>
            <w14:solidFill>
              <w14:schemeClr w14:val="tx1"/>
            </w14:solidFill>
          </w14:textFill>
        </w:rPr>
        <w:t>扬尘</w:t>
      </w:r>
      <w:r>
        <w:rPr>
          <w:rFonts w:ascii="Times New Roman" w:hAnsi="Times New Roman" w:cs="Times New Roman"/>
          <w:color w:val="000000" w:themeColor="text1"/>
          <w14:textFill>
            <w14:solidFill>
              <w14:schemeClr w14:val="tx1"/>
            </w14:solidFill>
          </w14:textFill>
        </w:rPr>
        <w:t>通过</w:t>
      </w:r>
      <w:r>
        <w:rPr>
          <w:rFonts w:hint="eastAsia" w:ascii="Times New Roman" w:hAnsi="Times New Roman" w:cs="Times New Roman"/>
          <w:color w:val="000000" w:themeColor="text1"/>
          <w14:textFill>
            <w14:solidFill>
              <w14:schemeClr w14:val="tx1"/>
            </w14:solidFill>
          </w14:textFill>
        </w:rPr>
        <w:t>大气沉降</w:t>
      </w:r>
      <w:r>
        <w:rPr>
          <w:rFonts w:ascii="Times New Roman" w:hAnsi="Times New Roman" w:cs="Times New Roman"/>
          <w:color w:val="000000" w:themeColor="text1"/>
          <w14:textFill>
            <w14:solidFill>
              <w14:schemeClr w14:val="tx1"/>
            </w14:solidFill>
          </w14:textFill>
        </w:rPr>
        <w:t>途径</w:t>
      </w:r>
      <w:r>
        <w:rPr>
          <w:rFonts w:hint="eastAsia" w:ascii="Times New Roman" w:hAnsi="Times New Roman" w:cs="Times New Roman"/>
          <w:color w:val="000000" w:themeColor="text1"/>
          <w14:textFill>
            <w14:solidFill>
              <w14:schemeClr w14:val="tx1"/>
            </w14:solidFill>
          </w14:textFill>
        </w:rPr>
        <w:t>进入</w:t>
      </w:r>
      <w:r>
        <w:rPr>
          <w:rFonts w:ascii="Times New Roman" w:hAnsi="Times New Roman" w:cs="Times New Roman"/>
          <w:color w:val="000000" w:themeColor="text1"/>
          <w14:textFill>
            <w14:solidFill>
              <w14:schemeClr w14:val="tx1"/>
            </w14:solidFill>
          </w14:textFill>
        </w:rPr>
        <w:t>土壤影响预测结果，</w:t>
      </w:r>
      <w:r>
        <w:rPr>
          <w:rFonts w:ascii="Times New Roman" w:hAnsi="Times New Roman" w:cs="Times New Roman"/>
          <w:color w:val="000000" w:themeColor="text1"/>
          <w:highlight w:val="none"/>
          <w14:textFill>
            <w14:solidFill>
              <w14:schemeClr w14:val="tx1"/>
            </w14:solidFill>
          </w14:textFill>
        </w:rPr>
        <w:t>见表5.2-</w:t>
      </w:r>
      <w:r>
        <w:rPr>
          <w:rFonts w:hint="eastAsia" w:ascii="Times New Roman" w:hAnsi="Times New Roman" w:cs="Times New Roman"/>
          <w:color w:val="000000" w:themeColor="text1"/>
          <w:highlight w:val="none"/>
          <w:lang w:val="en-US" w:eastAsia="zh-CN"/>
          <w14:textFill>
            <w14:solidFill>
              <w14:schemeClr w14:val="tx1"/>
            </w14:solidFill>
          </w14:textFill>
        </w:rPr>
        <w:t>17</w:t>
      </w:r>
      <w:r>
        <w:rPr>
          <w:rFonts w:ascii="Times New Roman" w:hAnsi="Times New Roman" w:cs="Times New Roman"/>
          <w:color w:val="000000" w:themeColor="text1"/>
          <w:highlight w:val="none"/>
          <w14:textFill>
            <w14:solidFill>
              <w14:schemeClr w14:val="tx1"/>
            </w14:solidFill>
          </w14:textFill>
        </w:rPr>
        <w:t>。</w:t>
      </w:r>
    </w:p>
    <w:p w14:paraId="02B9F818">
      <w:pPr>
        <w:pStyle w:val="40"/>
        <w:rPr>
          <w:color w:val="000000" w:themeColor="text1"/>
          <w14:textFill>
            <w14:solidFill>
              <w14:schemeClr w14:val="tx1"/>
            </w14:solidFill>
          </w14:textFill>
        </w:rPr>
      </w:pPr>
    </w:p>
    <w:p w14:paraId="5EB9888B">
      <w:pPr>
        <w:pStyle w:val="40"/>
        <w:rPr>
          <w:color w:val="000000" w:themeColor="text1"/>
          <w14:textFill>
            <w14:solidFill>
              <w14:schemeClr w14:val="tx1"/>
            </w14:solidFill>
          </w14:textFill>
        </w:rPr>
      </w:pPr>
    </w:p>
    <w:p w14:paraId="01A7B926">
      <w:pPr>
        <w:adjustRightInd w:val="0"/>
        <w:snapToGrid w:val="0"/>
        <w:ind w:firstLine="0" w:firstLineChars="0"/>
        <w:jc w:val="center"/>
        <w:rPr>
          <w:rFonts w:hint="eastAsia" w:eastAsia="宋体"/>
          <w:b/>
          <w:snapToGrid w:val="0"/>
          <w:color w:val="000000" w:themeColor="text1"/>
          <w:kern w:val="0"/>
          <w:highlight w:val="none"/>
          <w:lang w:val="en-US" w:eastAsia="zh-CN"/>
          <w14:textFill>
            <w14:solidFill>
              <w14:schemeClr w14:val="tx1"/>
            </w14:solidFill>
          </w14:textFill>
        </w:rPr>
      </w:pPr>
      <w:r>
        <w:rPr>
          <w:b/>
          <w:snapToGrid w:val="0"/>
          <w:color w:val="000000" w:themeColor="text1"/>
          <w:kern w:val="0"/>
          <w:highlight w:val="none"/>
          <w14:textFill>
            <w14:solidFill>
              <w14:schemeClr w14:val="tx1"/>
            </w14:solidFill>
          </w14:textFill>
        </w:rPr>
        <w:t>表5.2-</w:t>
      </w:r>
      <w:r>
        <w:rPr>
          <w:rFonts w:hint="eastAsia"/>
          <w:b/>
          <w:snapToGrid w:val="0"/>
          <w:color w:val="000000" w:themeColor="text1"/>
          <w:kern w:val="0"/>
          <w:highlight w:val="none"/>
          <w:lang w:val="en-US" w:eastAsia="zh-CN"/>
          <w14:textFill>
            <w14:solidFill>
              <w14:schemeClr w14:val="tx1"/>
            </w14:solidFill>
          </w14:textFill>
        </w:rPr>
        <w:t>17</w:t>
      </w:r>
      <w:r>
        <w:rPr>
          <w:b/>
          <w:snapToGrid w:val="0"/>
          <w:color w:val="000000" w:themeColor="text1"/>
          <w:kern w:val="0"/>
          <w:highlight w:val="none"/>
          <w14:textFill>
            <w14:solidFill>
              <w14:schemeClr w14:val="tx1"/>
            </w14:solidFill>
          </w14:textFill>
        </w:rPr>
        <w:t xml:space="preserve">   </w:t>
      </w:r>
      <w:r>
        <w:rPr>
          <w:rFonts w:hint="eastAsia"/>
          <w:b/>
          <w:snapToGrid w:val="0"/>
          <w:color w:val="000000" w:themeColor="text1"/>
          <w:kern w:val="0"/>
          <w:highlight w:val="none"/>
          <w:lang w:val="en-US" w:eastAsia="zh-CN"/>
          <w14:textFill>
            <w14:solidFill>
              <w14:schemeClr w14:val="tx1"/>
            </w14:solidFill>
          </w14:textFill>
        </w:rPr>
        <w:t xml:space="preserve"> 土壤环境影响预测</w:t>
      </w:r>
      <w:r>
        <w:rPr>
          <w:b/>
          <w:snapToGrid w:val="0"/>
          <w:color w:val="000000" w:themeColor="text1"/>
          <w:kern w:val="0"/>
          <w:highlight w:val="none"/>
          <w14:textFill>
            <w14:solidFill>
              <w14:schemeClr w14:val="tx1"/>
            </w14:solidFill>
          </w14:textFill>
        </w:rPr>
        <w:t>结果</w:t>
      </w:r>
      <w:r>
        <w:rPr>
          <w:rFonts w:hint="eastAsia"/>
          <w:b/>
          <w:snapToGrid w:val="0"/>
          <w:color w:val="000000" w:themeColor="text1"/>
          <w:kern w:val="0"/>
          <w:highlight w:val="none"/>
          <w:lang w:val="en-US" w:eastAsia="zh-CN"/>
          <w14:textFill>
            <w14:solidFill>
              <w14:schemeClr w14:val="tx1"/>
            </w14:solidFill>
          </w14:textFill>
        </w:rPr>
        <w:t>表</w:t>
      </w:r>
    </w:p>
    <w:tbl>
      <w:tblPr>
        <w:tblStyle w:val="33"/>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4266"/>
        <w:gridCol w:w="3208"/>
      </w:tblGrid>
      <w:tr w14:paraId="583F9D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614" w:type="pct"/>
            <w:tcBorders>
              <w:tl2br w:val="nil"/>
              <w:tr2bl w:val="nil"/>
            </w:tcBorders>
          </w:tcPr>
          <w:p w14:paraId="0A51A36F">
            <w:pPr>
              <w:pStyle w:val="45"/>
              <w:spacing w:before="0" w:beforeAutospacing="0" w:line="360" w:lineRule="exact"/>
              <w:ind w:firstLine="0" w:firstLineChars="0"/>
              <w:jc w:val="center"/>
              <w:rPr>
                <w:b/>
                <w:bCs/>
                <w:color w:val="000000" w:themeColor="text1"/>
                <w:spacing w:val="-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年份</w:t>
            </w:r>
          </w:p>
        </w:tc>
        <w:tc>
          <w:tcPr>
            <w:tcW w:w="2503" w:type="pct"/>
            <w:tcBorders>
              <w:tl2br w:val="nil"/>
              <w:tr2bl w:val="nil"/>
            </w:tcBorders>
          </w:tcPr>
          <w:p w14:paraId="6C59BD62">
            <w:pPr>
              <w:pStyle w:val="45"/>
              <w:spacing w:before="0" w:beforeAutospacing="0" w:line="360" w:lineRule="exact"/>
              <w:ind w:firstLine="0" w:firstLineChars="0"/>
              <w:jc w:val="center"/>
              <w:rPr>
                <w:b/>
                <w:bCs/>
                <w:color w:val="000000" w:themeColor="text1"/>
                <w:spacing w:val="-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单位质量表层土壤中</w:t>
            </w:r>
            <w:r>
              <w:rPr>
                <w:rFonts w:hint="eastAsia"/>
                <w:b/>
                <w:bCs/>
                <w:color w:val="000000" w:themeColor="text1"/>
                <w:spacing w:val="-1"/>
                <w:sz w:val="21"/>
                <w:szCs w:val="21"/>
                <w:highlight w:val="none"/>
                <w14:textFill>
                  <w14:solidFill>
                    <w14:schemeClr w14:val="tx1"/>
                  </w14:solidFill>
                </w14:textFill>
              </w:rPr>
              <w:t>砷</w:t>
            </w:r>
            <w:r>
              <w:rPr>
                <w:b/>
                <w:bCs/>
                <w:color w:val="000000" w:themeColor="text1"/>
                <w:spacing w:val="-1"/>
                <w:sz w:val="21"/>
                <w:szCs w:val="21"/>
                <w:highlight w:val="none"/>
                <w14:textFill>
                  <w14:solidFill>
                    <w14:schemeClr w14:val="tx1"/>
                  </w14:solidFill>
                </w14:textFill>
              </w:rPr>
              <w:t>的预测值（mg/kg）</w:t>
            </w:r>
          </w:p>
        </w:tc>
        <w:tc>
          <w:tcPr>
            <w:tcW w:w="1882" w:type="pct"/>
            <w:tcBorders>
              <w:tl2br w:val="nil"/>
              <w:tr2bl w:val="nil"/>
            </w:tcBorders>
          </w:tcPr>
          <w:p w14:paraId="526848B4">
            <w:pPr>
              <w:pStyle w:val="45"/>
              <w:spacing w:before="0" w:beforeAutospacing="0" w:line="360" w:lineRule="exact"/>
              <w:ind w:firstLine="0" w:firstLineChars="0"/>
              <w:jc w:val="center"/>
              <w:rPr>
                <w:b/>
                <w:bCs/>
                <w:color w:val="000000" w:themeColor="text1"/>
                <w:spacing w:val="-1"/>
                <w:sz w:val="21"/>
                <w:szCs w:val="21"/>
                <w:highlight w:val="none"/>
                <w14:textFill>
                  <w14:solidFill>
                    <w14:schemeClr w14:val="tx1"/>
                  </w14:solidFill>
                </w14:textFill>
              </w:rPr>
            </w:pPr>
            <w:r>
              <w:rPr>
                <w:rFonts w:hint="eastAsia"/>
                <w:b/>
                <w:bCs/>
                <w:color w:val="000000" w:themeColor="text1"/>
                <w:spacing w:val="-1"/>
                <w:sz w:val="21"/>
                <w:szCs w:val="21"/>
                <w:highlight w:val="none"/>
                <w14:textFill>
                  <w14:solidFill>
                    <w14:schemeClr w14:val="tx1"/>
                  </w14:solidFill>
                </w14:textFill>
              </w:rPr>
              <w:t>预测结果（mg/kg）</w:t>
            </w:r>
          </w:p>
        </w:tc>
      </w:tr>
      <w:tr w14:paraId="1AE93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tcBorders>
              <w:tl2br w:val="nil"/>
              <w:tr2bl w:val="nil"/>
            </w:tcBorders>
          </w:tcPr>
          <w:p w14:paraId="57161555">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1</w:t>
            </w:r>
          </w:p>
        </w:tc>
        <w:tc>
          <w:tcPr>
            <w:tcW w:w="2503" w:type="pct"/>
            <w:tcBorders>
              <w:tl2br w:val="nil"/>
              <w:tr2bl w:val="nil"/>
            </w:tcBorders>
          </w:tcPr>
          <w:p w14:paraId="26F026FC">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9.66</w:t>
            </w:r>
            <w:r>
              <w:rPr>
                <w:color w:val="000000" w:themeColor="text1"/>
                <w:spacing w:val="-1"/>
                <w:sz w:val="21"/>
                <w:szCs w:val="21"/>
                <w:highlight w:val="none"/>
                <w14:textFill>
                  <w14:solidFill>
                    <w14:schemeClr w14:val="tx1"/>
                  </w14:solidFill>
                </w14:textFill>
              </w:rPr>
              <w:t>+</w:t>
            </w:r>
            <w:r>
              <w:rPr>
                <w:rFonts w:ascii="Cambria Math" w:hAnsi="Cambria Math" w:cs="Cambria Math"/>
                <w:color w:val="000000" w:themeColor="text1"/>
                <w:spacing w:val="-1"/>
                <w:sz w:val="21"/>
                <w:szCs w:val="21"/>
                <w:highlight w:val="none"/>
                <w14:textFill>
                  <w14:solidFill>
                    <w14:schemeClr w14:val="tx1"/>
                  </w14:solidFill>
                </w14:textFill>
              </w:rPr>
              <w:t>△</w:t>
            </w:r>
            <w:r>
              <w:rPr>
                <w:color w:val="000000" w:themeColor="text1"/>
                <w:spacing w:val="-1"/>
                <w:sz w:val="21"/>
                <w:szCs w:val="21"/>
                <w:highlight w:val="none"/>
                <w14:textFill>
                  <w14:solidFill>
                    <w14:schemeClr w14:val="tx1"/>
                  </w14:solidFill>
                </w14:textFill>
              </w:rPr>
              <w:t>S（</w:t>
            </w:r>
            <w:r>
              <w:rPr>
                <w:rFonts w:ascii="Cambria Math" w:hAnsi="Cambria Math" w:cs="Cambria Math"/>
                <w:color w:val="000000" w:themeColor="text1"/>
                <w:spacing w:val="-1"/>
                <w:sz w:val="21"/>
                <w:szCs w:val="21"/>
                <w:highlight w:val="none"/>
                <w14:textFill>
                  <w14:solidFill>
                    <w14:schemeClr w14:val="tx1"/>
                  </w14:solidFill>
                </w14:textFill>
              </w:rPr>
              <w:t>△</w:t>
            </w:r>
            <w:r>
              <w:rPr>
                <w:color w:val="000000" w:themeColor="text1"/>
                <w:spacing w:val="-1"/>
                <w:sz w:val="21"/>
                <w:szCs w:val="21"/>
                <w:highlight w:val="none"/>
                <w14:textFill>
                  <w14:solidFill>
                    <w14:schemeClr w14:val="tx1"/>
                  </w14:solidFill>
                </w14:textFill>
              </w:rPr>
              <w:t>S=</w:t>
            </w:r>
            <w:r>
              <w:rPr>
                <w:rFonts w:hint="eastAsia"/>
                <w:color w:val="000000" w:themeColor="text1"/>
                <w:spacing w:val="-1"/>
                <w:sz w:val="21"/>
                <w:szCs w:val="21"/>
                <w:highlight w:val="none"/>
                <w:lang w:val="en-US" w:eastAsia="zh-CN"/>
                <w14:textFill>
                  <w14:solidFill>
                    <w14:schemeClr w14:val="tx1"/>
                  </w14:solidFill>
                </w14:textFill>
              </w:rPr>
              <w:t>1.85</w:t>
            </w:r>
            <w:r>
              <w:rPr>
                <w:color w:val="000000" w:themeColor="text1"/>
                <w:spacing w:val="-1"/>
                <w:sz w:val="21"/>
                <w:szCs w:val="21"/>
                <w:highlight w:val="none"/>
                <w14:textFill>
                  <w14:solidFill>
                    <w14:schemeClr w14:val="tx1"/>
                  </w14:solidFill>
                </w14:textFill>
              </w:rPr>
              <w:t>×10</w:t>
            </w:r>
            <w:r>
              <w:rPr>
                <w:color w:val="000000" w:themeColor="text1"/>
                <w:spacing w:val="-1"/>
                <w:sz w:val="21"/>
                <w:szCs w:val="21"/>
                <w:highlight w:val="none"/>
                <w:vertAlign w:val="superscript"/>
                <w14:textFill>
                  <w14:solidFill>
                    <w14:schemeClr w14:val="tx1"/>
                  </w14:solidFill>
                </w14:textFill>
              </w:rPr>
              <w:t>-</w:t>
            </w:r>
            <w:r>
              <w:rPr>
                <w:rFonts w:hint="eastAsia"/>
                <w:color w:val="000000" w:themeColor="text1"/>
                <w:spacing w:val="-1"/>
                <w:sz w:val="21"/>
                <w:szCs w:val="21"/>
                <w:highlight w:val="none"/>
                <w:vertAlign w:val="superscript"/>
                <w:lang w:val="en-US" w:eastAsia="zh-CN"/>
                <w14:textFill>
                  <w14:solidFill>
                    <w14:schemeClr w14:val="tx1"/>
                  </w14:solidFill>
                </w14:textFill>
              </w:rPr>
              <w:t>3</w:t>
            </w:r>
            <w:r>
              <w:rPr>
                <w:color w:val="000000" w:themeColor="text1"/>
                <w:spacing w:val="-1"/>
                <w:sz w:val="21"/>
                <w:szCs w:val="21"/>
                <w:highlight w:val="none"/>
                <w14:textFill>
                  <w14:solidFill>
                    <w14:schemeClr w14:val="tx1"/>
                  </w14:solidFill>
                </w14:textFill>
              </w:rPr>
              <w:t>g/kg）</w:t>
            </w:r>
          </w:p>
        </w:tc>
        <w:tc>
          <w:tcPr>
            <w:tcW w:w="1882" w:type="pct"/>
            <w:tcBorders>
              <w:tl2br w:val="nil"/>
              <w:tr2bl w:val="nil"/>
            </w:tcBorders>
          </w:tcPr>
          <w:p w14:paraId="7F386A96">
            <w:pPr>
              <w:pStyle w:val="45"/>
              <w:spacing w:before="0" w:beforeAutospacing="0" w:line="360" w:lineRule="exact"/>
              <w:ind w:firstLine="0" w:firstLineChars="0"/>
              <w:jc w:val="center"/>
              <w:rPr>
                <w:rFonts w:hint="default" w:eastAsia="宋体"/>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11.51</w:t>
            </w:r>
          </w:p>
        </w:tc>
      </w:tr>
      <w:tr w14:paraId="6ACB0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tcBorders>
              <w:tl2br w:val="nil"/>
              <w:tr2bl w:val="nil"/>
            </w:tcBorders>
          </w:tcPr>
          <w:p w14:paraId="3DF7EBB8">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2</w:t>
            </w:r>
          </w:p>
        </w:tc>
        <w:tc>
          <w:tcPr>
            <w:tcW w:w="2503" w:type="pct"/>
            <w:tcBorders>
              <w:tl2br w:val="nil"/>
              <w:tr2bl w:val="nil"/>
            </w:tcBorders>
          </w:tcPr>
          <w:p w14:paraId="4D642B61">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9.66</w:t>
            </w:r>
            <w:r>
              <w:rPr>
                <w:color w:val="000000" w:themeColor="text1"/>
                <w:spacing w:val="-1"/>
                <w:sz w:val="21"/>
                <w:szCs w:val="21"/>
                <w:highlight w:val="none"/>
                <w14:textFill>
                  <w14:solidFill>
                    <w14:schemeClr w14:val="tx1"/>
                  </w14:solidFill>
                </w14:textFill>
              </w:rPr>
              <w:t>+</w:t>
            </w:r>
            <w:r>
              <w:rPr>
                <w:rFonts w:ascii="Cambria Math" w:hAnsi="Cambria Math" w:cs="Cambria Math"/>
                <w:color w:val="000000" w:themeColor="text1"/>
                <w:spacing w:val="-1"/>
                <w:sz w:val="21"/>
                <w:szCs w:val="21"/>
                <w:highlight w:val="none"/>
                <w14:textFill>
                  <w14:solidFill>
                    <w14:schemeClr w14:val="tx1"/>
                  </w14:solidFill>
                </w14:textFill>
              </w:rPr>
              <w:t>△</w:t>
            </w:r>
            <w:r>
              <w:rPr>
                <w:color w:val="000000" w:themeColor="text1"/>
                <w:spacing w:val="-1"/>
                <w:sz w:val="21"/>
                <w:szCs w:val="21"/>
                <w:highlight w:val="none"/>
                <w14:textFill>
                  <w14:solidFill>
                    <w14:schemeClr w14:val="tx1"/>
                  </w14:solidFill>
                </w14:textFill>
              </w:rPr>
              <w:t>S（</w:t>
            </w:r>
            <w:r>
              <w:rPr>
                <w:rFonts w:ascii="Cambria Math" w:hAnsi="Cambria Math" w:cs="Cambria Math"/>
                <w:color w:val="000000" w:themeColor="text1"/>
                <w:spacing w:val="-1"/>
                <w:sz w:val="21"/>
                <w:szCs w:val="21"/>
                <w:highlight w:val="none"/>
                <w14:textFill>
                  <w14:solidFill>
                    <w14:schemeClr w14:val="tx1"/>
                  </w14:solidFill>
                </w14:textFill>
              </w:rPr>
              <w:t>△</w:t>
            </w:r>
            <w:r>
              <w:rPr>
                <w:color w:val="000000" w:themeColor="text1"/>
                <w:spacing w:val="-1"/>
                <w:sz w:val="21"/>
                <w:szCs w:val="21"/>
                <w:highlight w:val="none"/>
                <w14:textFill>
                  <w14:solidFill>
                    <w14:schemeClr w14:val="tx1"/>
                  </w14:solidFill>
                </w14:textFill>
              </w:rPr>
              <w:t>S=</w:t>
            </w:r>
            <w:r>
              <w:rPr>
                <w:rFonts w:hint="eastAsia"/>
                <w:color w:val="000000" w:themeColor="text1"/>
                <w:spacing w:val="-1"/>
                <w:sz w:val="21"/>
                <w:szCs w:val="21"/>
                <w:highlight w:val="none"/>
                <w:lang w:val="en-US" w:eastAsia="zh-CN"/>
                <w14:textFill>
                  <w14:solidFill>
                    <w14:schemeClr w14:val="tx1"/>
                  </w14:solidFill>
                </w14:textFill>
              </w:rPr>
              <w:t>3.70</w:t>
            </w:r>
            <w:r>
              <w:rPr>
                <w:color w:val="000000" w:themeColor="text1"/>
                <w:spacing w:val="-1"/>
                <w:sz w:val="21"/>
                <w:szCs w:val="21"/>
                <w:highlight w:val="none"/>
                <w14:textFill>
                  <w14:solidFill>
                    <w14:schemeClr w14:val="tx1"/>
                  </w14:solidFill>
                </w14:textFill>
              </w:rPr>
              <w:t>×10</w:t>
            </w:r>
            <w:r>
              <w:rPr>
                <w:color w:val="000000" w:themeColor="text1"/>
                <w:spacing w:val="-1"/>
                <w:sz w:val="21"/>
                <w:szCs w:val="21"/>
                <w:highlight w:val="none"/>
                <w:vertAlign w:val="superscript"/>
                <w14:textFill>
                  <w14:solidFill>
                    <w14:schemeClr w14:val="tx1"/>
                  </w14:solidFill>
                </w14:textFill>
              </w:rPr>
              <w:t>-</w:t>
            </w:r>
            <w:r>
              <w:rPr>
                <w:rFonts w:hint="eastAsia"/>
                <w:color w:val="000000" w:themeColor="text1"/>
                <w:spacing w:val="-1"/>
                <w:sz w:val="21"/>
                <w:szCs w:val="21"/>
                <w:highlight w:val="none"/>
                <w:vertAlign w:val="superscript"/>
                <w:lang w:val="en-US" w:eastAsia="zh-CN"/>
                <w14:textFill>
                  <w14:solidFill>
                    <w14:schemeClr w14:val="tx1"/>
                  </w14:solidFill>
                </w14:textFill>
              </w:rPr>
              <w:t>3</w:t>
            </w:r>
            <w:r>
              <w:rPr>
                <w:color w:val="000000" w:themeColor="text1"/>
                <w:spacing w:val="-1"/>
                <w:sz w:val="21"/>
                <w:szCs w:val="21"/>
                <w:highlight w:val="none"/>
                <w14:textFill>
                  <w14:solidFill>
                    <w14:schemeClr w14:val="tx1"/>
                  </w14:solidFill>
                </w14:textFill>
              </w:rPr>
              <w:t>g/kg）</w:t>
            </w:r>
          </w:p>
        </w:tc>
        <w:tc>
          <w:tcPr>
            <w:tcW w:w="1882" w:type="pct"/>
            <w:tcBorders>
              <w:tl2br w:val="nil"/>
              <w:tr2bl w:val="nil"/>
            </w:tcBorders>
          </w:tcPr>
          <w:p w14:paraId="10DAE605">
            <w:pPr>
              <w:pStyle w:val="45"/>
              <w:spacing w:before="0" w:beforeAutospacing="0" w:line="360" w:lineRule="exact"/>
              <w:ind w:firstLine="0" w:firstLineChars="0"/>
              <w:jc w:val="center"/>
              <w:rPr>
                <w:rFonts w:hint="default" w:eastAsia="宋体"/>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13.36</w:t>
            </w:r>
          </w:p>
        </w:tc>
      </w:tr>
      <w:tr w14:paraId="7853D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4" w:type="pct"/>
            <w:tcBorders>
              <w:tl2br w:val="nil"/>
              <w:tr2bl w:val="nil"/>
            </w:tcBorders>
          </w:tcPr>
          <w:p w14:paraId="7BBFE26D">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5</w:t>
            </w:r>
          </w:p>
        </w:tc>
        <w:tc>
          <w:tcPr>
            <w:tcW w:w="2503" w:type="pct"/>
            <w:tcBorders>
              <w:tl2br w:val="nil"/>
              <w:tr2bl w:val="nil"/>
            </w:tcBorders>
          </w:tcPr>
          <w:p w14:paraId="3FAE244C">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9.66</w:t>
            </w:r>
            <w:r>
              <w:rPr>
                <w:color w:val="000000" w:themeColor="text1"/>
                <w:spacing w:val="-1"/>
                <w:sz w:val="21"/>
                <w:szCs w:val="21"/>
                <w:highlight w:val="none"/>
                <w14:textFill>
                  <w14:solidFill>
                    <w14:schemeClr w14:val="tx1"/>
                  </w14:solidFill>
                </w14:textFill>
              </w:rPr>
              <w:t>+</w:t>
            </w:r>
            <w:r>
              <w:rPr>
                <w:rFonts w:ascii="Cambria Math" w:hAnsi="Cambria Math" w:cs="Cambria Math"/>
                <w:color w:val="000000" w:themeColor="text1"/>
                <w:spacing w:val="-1"/>
                <w:sz w:val="21"/>
                <w:szCs w:val="21"/>
                <w:highlight w:val="none"/>
                <w14:textFill>
                  <w14:solidFill>
                    <w14:schemeClr w14:val="tx1"/>
                  </w14:solidFill>
                </w14:textFill>
              </w:rPr>
              <w:t>△</w:t>
            </w:r>
            <w:r>
              <w:rPr>
                <w:color w:val="000000" w:themeColor="text1"/>
                <w:spacing w:val="-1"/>
                <w:sz w:val="21"/>
                <w:szCs w:val="21"/>
                <w:highlight w:val="none"/>
                <w14:textFill>
                  <w14:solidFill>
                    <w14:schemeClr w14:val="tx1"/>
                  </w14:solidFill>
                </w14:textFill>
              </w:rPr>
              <w:t>S（</w:t>
            </w:r>
            <w:r>
              <w:rPr>
                <w:rFonts w:ascii="Cambria Math" w:hAnsi="Cambria Math" w:cs="Cambria Math"/>
                <w:color w:val="000000" w:themeColor="text1"/>
                <w:spacing w:val="-1"/>
                <w:sz w:val="21"/>
                <w:szCs w:val="21"/>
                <w:highlight w:val="none"/>
                <w14:textFill>
                  <w14:solidFill>
                    <w14:schemeClr w14:val="tx1"/>
                  </w14:solidFill>
                </w14:textFill>
              </w:rPr>
              <w:t>△</w:t>
            </w:r>
            <w:r>
              <w:rPr>
                <w:color w:val="000000" w:themeColor="text1"/>
                <w:spacing w:val="-1"/>
                <w:sz w:val="21"/>
                <w:szCs w:val="21"/>
                <w:highlight w:val="none"/>
                <w14:textFill>
                  <w14:solidFill>
                    <w14:schemeClr w14:val="tx1"/>
                  </w14:solidFill>
                </w14:textFill>
              </w:rPr>
              <w:t>S=</w:t>
            </w:r>
            <w:r>
              <w:rPr>
                <w:rFonts w:hint="eastAsia"/>
                <w:color w:val="000000" w:themeColor="text1"/>
                <w:spacing w:val="-1"/>
                <w:sz w:val="21"/>
                <w:szCs w:val="21"/>
                <w:highlight w:val="none"/>
                <w:lang w:val="en-US" w:eastAsia="zh-CN"/>
                <w14:textFill>
                  <w14:solidFill>
                    <w14:schemeClr w14:val="tx1"/>
                  </w14:solidFill>
                </w14:textFill>
              </w:rPr>
              <w:t>9.26</w:t>
            </w:r>
            <w:r>
              <w:rPr>
                <w:color w:val="000000" w:themeColor="text1"/>
                <w:spacing w:val="-1"/>
                <w:sz w:val="21"/>
                <w:szCs w:val="21"/>
                <w:highlight w:val="none"/>
                <w14:textFill>
                  <w14:solidFill>
                    <w14:schemeClr w14:val="tx1"/>
                  </w14:solidFill>
                </w14:textFill>
              </w:rPr>
              <w:t>×10</w:t>
            </w:r>
            <w:r>
              <w:rPr>
                <w:color w:val="000000" w:themeColor="text1"/>
                <w:spacing w:val="-1"/>
                <w:sz w:val="21"/>
                <w:szCs w:val="21"/>
                <w:highlight w:val="none"/>
                <w:vertAlign w:val="superscript"/>
                <w14:textFill>
                  <w14:solidFill>
                    <w14:schemeClr w14:val="tx1"/>
                  </w14:solidFill>
                </w14:textFill>
              </w:rPr>
              <w:t>-</w:t>
            </w:r>
            <w:r>
              <w:rPr>
                <w:rFonts w:hint="eastAsia"/>
                <w:color w:val="000000" w:themeColor="text1"/>
                <w:spacing w:val="-1"/>
                <w:sz w:val="21"/>
                <w:szCs w:val="21"/>
                <w:highlight w:val="none"/>
                <w:vertAlign w:val="superscript"/>
                <w:lang w:val="en-US" w:eastAsia="zh-CN"/>
                <w14:textFill>
                  <w14:solidFill>
                    <w14:schemeClr w14:val="tx1"/>
                  </w14:solidFill>
                </w14:textFill>
              </w:rPr>
              <w:t>3</w:t>
            </w:r>
            <w:r>
              <w:rPr>
                <w:color w:val="000000" w:themeColor="text1"/>
                <w:spacing w:val="-1"/>
                <w:sz w:val="21"/>
                <w:szCs w:val="21"/>
                <w:highlight w:val="none"/>
                <w14:textFill>
                  <w14:solidFill>
                    <w14:schemeClr w14:val="tx1"/>
                  </w14:solidFill>
                </w14:textFill>
              </w:rPr>
              <w:t>g/kg）</w:t>
            </w:r>
          </w:p>
        </w:tc>
        <w:tc>
          <w:tcPr>
            <w:tcW w:w="1882" w:type="pct"/>
            <w:tcBorders>
              <w:tl2br w:val="nil"/>
              <w:tr2bl w:val="nil"/>
            </w:tcBorders>
          </w:tcPr>
          <w:p w14:paraId="389074E3">
            <w:pPr>
              <w:pStyle w:val="45"/>
              <w:spacing w:before="0" w:beforeAutospacing="0" w:line="360" w:lineRule="exact"/>
              <w:ind w:firstLine="0" w:firstLineChars="0"/>
              <w:jc w:val="center"/>
              <w:rPr>
                <w:rFonts w:hint="default"/>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18.92</w:t>
            </w:r>
          </w:p>
        </w:tc>
      </w:tr>
      <w:tr w14:paraId="48D6B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tcBorders>
              <w:tl2br w:val="nil"/>
              <w:tr2bl w:val="nil"/>
            </w:tcBorders>
          </w:tcPr>
          <w:p w14:paraId="1C419326">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10</w:t>
            </w:r>
          </w:p>
        </w:tc>
        <w:tc>
          <w:tcPr>
            <w:tcW w:w="2503" w:type="pct"/>
            <w:tcBorders>
              <w:tl2br w:val="nil"/>
              <w:tr2bl w:val="nil"/>
            </w:tcBorders>
          </w:tcPr>
          <w:p w14:paraId="598525A9">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9.66</w:t>
            </w:r>
            <w:r>
              <w:rPr>
                <w:color w:val="000000" w:themeColor="text1"/>
                <w:spacing w:val="-1"/>
                <w:sz w:val="21"/>
                <w:szCs w:val="21"/>
                <w:highlight w:val="none"/>
                <w14:textFill>
                  <w14:solidFill>
                    <w14:schemeClr w14:val="tx1"/>
                  </w14:solidFill>
                </w14:textFill>
              </w:rPr>
              <w:t>+</w:t>
            </w:r>
            <w:r>
              <w:rPr>
                <w:rFonts w:ascii="Cambria Math" w:hAnsi="Cambria Math" w:cs="Cambria Math"/>
                <w:color w:val="000000" w:themeColor="text1"/>
                <w:spacing w:val="-1"/>
                <w:sz w:val="21"/>
                <w:szCs w:val="21"/>
                <w:highlight w:val="none"/>
                <w14:textFill>
                  <w14:solidFill>
                    <w14:schemeClr w14:val="tx1"/>
                  </w14:solidFill>
                </w14:textFill>
              </w:rPr>
              <w:t>△</w:t>
            </w:r>
            <w:r>
              <w:rPr>
                <w:color w:val="000000" w:themeColor="text1"/>
                <w:spacing w:val="-1"/>
                <w:sz w:val="21"/>
                <w:szCs w:val="21"/>
                <w:highlight w:val="none"/>
                <w14:textFill>
                  <w14:solidFill>
                    <w14:schemeClr w14:val="tx1"/>
                  </w14:solidFill>
                </w14:textFill>
              </w:rPr>
              <w:t>S（</w:t>
            </w:r>
            <w:r>
              <w:rPr>
                <w:rFonts w:ascii="Cambria Math" w:hAnsi="Cambria Math" w:cs="Cambria Math"/>
                <w:color w:val="000000" w:themeColor="text1"/>
                <w:spacing w:val="-1"/>
                <w:sz w:val="21"/>
                <w:szCs w:val="21"/>
                <w:highlight w:val="none"/>
                <w14:textFill>
                  <w14:solidFill>
                    <w14:schemeClr w14:val="tx1"/>
                  </w14:solidFill>
                </w14:textFill>
              </w:rPr>
              <w:t>△</w:t>
            </w:r>
            <w:r>
              <w:rPr>
                <w:color w:val="000000" w:themeColor="text1"/>
                <w:spacing w:val="-1"/>
                <w:sz w:val="21"/>
                <w:szCs w:val="21"/>
                <w:highlight w:val="none"/>
                <w14:textFill>
                  <w14:solidFill>
                    <w14:schemeClr w14:val="tx1"/>
                  </w14:solidFill>
                </w14:textFill>
              </w:rPr>
              <w:t>S=</w:t>
            </w:r>
            <w:r>
              <w:rPr>
                <w:rFonts w:hint="eastAsia"/>
                <w:color w:val="000000" w:themeColor="text1"/>
                <w:spacing w:val="-1"/>
                <w:sz w:val="21"/>
                <w:szCs w:val="21"/>
                <w:highlight w:val="none"/>
                <w:lang w:val="en-US" w:eastAsia="zh-CN"/>
                <w14:textFill>
                  <w14:solidFill>
                    <w14:schemeClr w14:val="tx1"/>
                  </w14:solidFill>
                </w14:textFill>
              </w:rPr>
              <w:t>0.01852</w:t>
            </w:r>
            <w:r>
              <w:rPr>
                <w:color w:val="000000" w:themeColor="text1"/>
                <w:spacing w:val="-1"/>
                <w:sz w:val="21"/>
                <w:szCs w:val="21"/>
                <w:highlight w:val="none"/>
                <w14:textFill>
                  <w14:solidFill>
                    <w14:schemeClr w14:val="tx1"/>
                  </w14:solidFill>
                </w14:textFill>
              </w:rPr>
              <w:t>g/kg）</w:t>
            </w:r>
          </w:p>
        </w:tc>
        <w:tc>
          <w:tcPr>
            <w:tcW w:w="1882" w:type="pct"/>
            <w:tcBorders>
              <w:tl2br w:val="nil"/>
              <w:tr2bl w:val="nil"/>
            </w:tcBorders>
          </w:tcPr>
          <w:p w14:paraId="32AE921B">
            <w:pPr>
              <w:pStyle w:val="45"/>
              <w:spacing w:before="0" w:beforeAutospacing="0" w:line="360" w:lineRule="exact"/>
              <w:ind w:firstLine="0" w:firstLineChars="0"/>
              <w:jc w:val="center"/>
              <w:rPr>
                <w:rFonts w:hint="default"/>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28.18</w:t>
            </w:r>
          </w:p>
        </w:tc>
      </w:tr>
      <w:tr w14:paraId="2DC00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4" w:type="pct"/>
            <w:tcBorders>
              <w:tl2br w:val="nil"/>
              <w:tr2bl w:val="nil"/>
            </w:tcBorders>
          </w:tcPr>
          <w:p w14:paraId="7002238D">
            <w:pPr>
              <w:pStyle w:val="45"/>
              <w:spacing w:before="0" w:beforeAutospacing="0" w:line="360" w:lineRule="exact"/>
              <w:ind w:firstLine="0" w:firstLineChars="0"/>
              <w:jc w:val="center"/>
              <w:rPr>
                <w:rFonts w:hint="default" w:eastAsia="宋体"/>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19</w:t>
            </w:r>
          </w:p>
        </w:tc>
        <w:tc>
          <w:tcPr>
            <w:tcW w:w="2503" w:type="pct"/>
            <w:tcBorders>
              <w:tl2br w:val="nil"/>
              <w:tr2bl w:val="nil"/>
            </w:tcBorders>
          </w:tcPr>
          <w:p w14:paraId="2328E3FF">
            <w:pPr>
              <w:pStyle w:val="45"/>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9.66</w:t>
            </w:r>
            <w:r>
              <w:rPr>
                <w:color w:val="000000" w:themeColor="text1"/>
                <w:spacing w:val="-1"/>
                <w:sz w:val="21"/>
                <w:szCs w:val="21"/>
                <w:highlight w:val="none"/>
                <w14:textFill>
                  <w14:solidFill>
                    <w14:schemeClr w14:val="tx1"/>
                  </w14:solidFill>
                </w14:textFill>
              </w:rPr>
              <w:t>+</w:t>
            </w:r>
            <w:r>
              <w:rPr>
                <w:rFonts w:ascii="Cambria Math" w:hAnsi="Cambria Math" w:cs="Cambria Math"/>
                <w:color w:val="000000" w:themeColor="text1"/>
                <w:spacing w:val="-1"/>
                <w:sz w:val="21"/>
                <w:szCs w:val="21"/>
                <w:highlight w:val="none"/>
                <w14:textFill>
                  <w14:solidFill>
                    <w14:schemeClr w14:val="tx1"/>
                  </w14:solidFill>
                </w14:textFill>
              </w:rPr>
              <w:t>△</w:t>
            </w:r>
            <w:r>
              <w:rPr>
                <w:color w:val="000000" w:themeColor="text1"/>
                <w:spacing w:val="-1"/>
                <w:sz w:val="21"/>
                <w:szCs w:val="21"/>
                <w:highlight w:val="none"/>
                <w14:textFill>
                  <w14:solidFill>
                    <w14:schemeClr w14:val="tx1"/>
                  </w14:solidFill>
                </w14:textFill>
              </w:rPr>
              <w:t>S（</w:t>
            </w:r>
            <w:r>
              <w:rPr>
                <w:rFonts w:ascii="Cambria Math" w:hAnsi="Cambria Math" w:cs="Cambria Math"/>
                <w:color w:val="000000" w:themeColor="text1"/>
                <w:spacing w:val="-1"/>
                <w:sz w:val="21"/>
                <w:szCs w:val="21"/>
                <w:highlight w:val="none"/>
                <w14:textFill>
                  <w14:solidFill>
                    <w14:schemeClr w14:val="tx1"/>
                  </w14:solidFill>
                </w14:textFill>
              </w:rPr>
              <w:t>△</w:t>
            </w:r>
            <w:r>
              <w:rPr>
                <w:color w:val="000000" w:themeColor="text1"/>
                <w:spacing w:val="-1"/>
                <w:sz w:val="21"/>
                <w:szCs w:val="21"/>
                <w:highlight w:val="none"/>
                <w14:textFill>
                  <w14:solidFill>
                    <w14:schemeClr w14:val="tx1"/>
                  </w14:solidFill>
                </w14:textFill>
              </w:rPr>
              <w:t>S=</w:t>
            </w:r>
            <w:r>
              <w:rPr>
                <w:rFonts w:hint="eastAsia"/>
                <w:color w:val="000000" w:themeColor="text1"/>
                <w:spacing w:val="-1"/>
                <w:sz w:val="21"/>
                <w:szCs w:val="21"/>
                <w:highlight w:val="none"/>
                <w:lang w:val="en-US" w:eastAsia="zh-CN"/>
                <w14:textFill>
                  <w14:solidFill>
                    <w14:schemeClr w14:val="tx1"/>
                  </w14:solidFill>
                </w14:textFill>
              </w:rPr>
              <w:t>0.03519</w:t>
            </w:r>
            <w:r>
              <w:rPr>
                <w:color w:val="000000" w:themeColor="text1"/>
                <w:spacing w:val="-1"/>
                <w:sz w:val="21"/>
                <w:szCs w:val="21"/>
                <w:highlight w:val="none"/>
                <w14:textFill>
                  <w14:solidFill>
                    <w14:schemeClr w14:val="tx1"/>
                  </w14:solidFill>
                </w14:textFill>
              </w:rPr>
              <w:t>g/kg）</w:t>
            </w:r>
          </w:p>
        </w:tc>
        <w:tc>
          <w:tcPr>
            <w:tcW w:w="1882" w:type="pct"/>
            <w:tcBorders>
              <w:tl2br w:val="nil"/>
              <w:tr2bl w:val="nil"/>
            </w:tcBorders>
          </w:tcPr>
          <w:p w14:paraId="4DC8A766">
            <w:pPr>
              <w:pStyle w:val="45"/>
              <w:spacing w:before="0" w:beforeAutospacing="0" w:line="360" w:lineRule="exact"/>
              <w:ind w:firstLine="0" w:firstLineChars="0"/>
              <w:jc w:val="center"/>
              <w:rPr>
                <w:rFonts w:hint="default"/>
                <w:color w:val="000000" w:themeColor="text1"/>
                <w:spacing w:val="-1"/>
                <w:sz w:val="21"/>
                <w:szCs w:val="21"/>
                <w:highlight w:val="none"/>
                <w:lang w:val="en-US" w:eastAsia="zh-CN"/>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44.85</w:t>
            </w:r>
          </w:p>
        </w:tc>
      </w:tr>
    </w:tbl>
    <w:p w14:paraId="4A5BA7EF">
      <w:pPr>
        <w:pStyle w:val="10"/>
        <w:keepNext w:val="0"/>
        <w:keepLines w:val="0"/>
        <w:pageBreakBefore w:val="0"/>
        <w:widowControl w:val="0"/>
        <w:kinsoku/>
        <w:wordWrap/>
        <w:overflowPunct w:val="0"/>
        <w:topLinePunct/>
        <w:autoSpaceDE/>
        <w:autoSpaceDN/>
        <w:bidi w:val="0"/>
        <w:snapToGrid/>
        <w:spacing w:after="0" w:line="480" w:lineRule="exact"/>
        <w:ind w:firstLine="480"/>
        <w:jc w:val="both"/>
        <w:rPr>
          <w:rFonts w:hint="default" w:ascii="Times New Roman" w:hAnsi="Times New Roman" w:cs="Times New Roman"/>
          <w:color w:val="000000" w:themeColor="text1"/>
          <w:sz w:val="24"/>
          <w:highlight w:val="none"/>
          <w:lang w:val="en-US"/>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本项目尾矿库扬尘通过大气沉降形式进入周边土壤，可能会造成土壤环境影响，根据情景预测结果，本项目进入表层土壤的</w:t>
      </w:r>
      <w:r>
        <w:rPr>
          <w:rFonts w:hint="eastAsia" w:ascii="Times New Roman" w:hAnsi="Times New Roman" w:cs="Times New Roman"/>
          <w:color w:val="000000" w:themeColor="text1"/>
          <w:sz w:val="24"/>
          <w:highlight w:val="none"/>
          <w:lang w:eastAsia="zh-CN"/>
          <w14:textFill>
            <w14:solidFill>
              <w14:schemeClr w14:val="tx1"/>
            </w14:solidFill>
          </w14:textFill>
        </w:rPr>
        <w:t>颗粒物增量为</w:t>
      </w:r>
      <w:r>
        <w:rPr>
          <w:rFonts w:hint="eastAsia" w:ascii="Times New Roman" w:hAnsi="Times New Roman" w:cs="Times New Roman"/>
          <w:color w:val="000000" w:themeColor="text1"/>
          <w:sz w:val="24"/>
          <w:highlight w:val="none"/>
          <w:lang w:val="en-US" w:eastAsia="zh-CN"/>
          <w14:textFill>
            <w14:solidFill>
              <w14:schemeClr w14:val="tx1"/>
            </w14:solidFill>
          </w14:textFill>
        </w:rPr>
        <w:t>每年1.85mg/kg，总体增量较小，到服务期满时（即项目运行19年时），土壤中砷的预测值为44.85mg/kg，满足</w:t>
      </w:r>
      <w:r>
        <w:rPr>
          <w:rFonts w:hint="eastAsia" w:ascii="Times New Roman" w:hAnsi="Times New Roman" w:cs="Times New Roman"/>
          <w:color w:val="000000" w:themeColor="text1"/>
          <w:sz w:val="24"/>
          <w:highlight w:val="none"/>
          <w14:textFill>
            <w14:solidFill>
              <w14:schemeClr w14:val="tx1"/>
            </w14:solidFill>
          </w14:textFill>
        </w:rPr>
        <w:t>《土壤环境质量 建设用地土壤污染风险管控标准（试行）》（GB36600-2018）中的第二类筛选值标准</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砷：60mg/kg</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对区域土壤环境影响可接受。</w:t>
      </w:r>
    </w:p>
    <w:p w14:paraId="2735B02F">
      <w:pPr>
        <w:keepNext w:val="0"/>
        <w:keepLines w:val="0"/>
        <w:pageBreakBefore w:val="0"/>
        <w:widowControl w:val="0"/>
        <w:kinsoku/>
        <w:wordWrap/>
        <w:autoSpaceDE/>
        <w:autoSpaceDN/>
        <w:bidi w:val="0"/>
        <w:snapToGrid/>
        <w:spacing w:line="480" w:lineRule="exac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垂直入渗</w:t>
      </w:r>
      <w:r>
        <w:rPr>
          <w:rFonts w:hint="eastAsia" w:ascii="Times New Roman" w:hAnsi="Times New Roman" w:eastAsia="宋体"/>
          <w:color w:val="000000" w:themeColor="text1"/>
          <w:sz w:val="24"/>
          <w:lang w:val="en-US" w:eastAsia="zh-CN"/>
          <w14:textFill>
            <w14:solidFill>
              <w14:schemeClr w14:val="tx1"/>
            </w14:solidFill>
          </w14:textFill>
        </w:rPr>
        <w:t>对土壤的污染影响</w:t>
      </w:r>
      <w:r>
        <w:rPr>
          <w:rFonts w:hint="eastAsia" w:ascii="Times New Roman" w:hAnsi="Times New Roman" w:eastAsia="宋体"/>
          <w:color w:val="000000" w:themeColor="text1"/>
          <w:sz w:val="24"/>
          <w:lang w:eastAsia="zh-CN"/>
          <w14:textFill>
            <w14:solidFill>
              <w14:schemeClr w14:val="tx1"/>
            </w14:solidFill>
          </w14:textFill>
        </w:rPr>
        <w:t>预测</w:t>
      </w:r>
    </w:p>
    <w:p w14:paraId="02D8680B">
      <w:pPr>
        <w:pStyle w:val="10"/>
        <w:keepNext w:val="0"/>
        <w:keepLines w:val="0"/>
        <w:pageBreakBefore w:val="0"/>
        <w:widowControl w:val="0"/>
        <w:kinsoku/>
        <w:wordWrap/>
        <w:overflowPunct w:val="0"/>
        <w:topLinePunct/>
        <w:autoSpaceDE/>
        <w:autoSpaceDN/>
        <w:bidi w:val="0"/>
        <w:snapToGrid/>
        <w:spacing w:after="0" w:line="480" w:lineRule="exact"/>
        <w:ind w:firstLine="480"/>
        <w:jc w:val="both"/>
        <w:rPr>
          <w:rFonts w:hint="eastAsia" w:ascii="Times New Roman" w:hAnsi="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主要考虑非正常工况下尾矿库防渗膜破裂，废水以</w:t>
      </w:r>
      <w:r>
        <w:rPr>
          <w:rFonts w:hint="eastAsia" w:ascii="Times New Roman" w:hAnsi="Times New Roman"/>
          <w:color w:val="000000" w:themeColor="text1"/>
          <w:sz w:val="24"/>
          <w:lang w:val="en-US" w:eastAsia="zh-CN"/>
          <w14:textFill>
            <w14:solidFill>
              <w14:schemeClr w14:val="tx1"/>
            </w14:solidFill>
          </w14:textFill>
        </w:rPr>
        <w:t>点</w:t>
      </w:r>
      <w:r>
        <w:rPr>
          <w:rFonts w:hint="eastAsia" w:ascii="Times New Roman" w:hAnsi="Times New Roman"/>
          <w:color w:val="000000" w:themeColor="text1"/>
          <w:sz w:val="24"/>
          <w:lang w:eastAsia="zh-CN"/>
          <w14:textFill>
            <w14:solidFill>
              <w14:schemeClr w14:val="tx1"/>
            </w14:solidFill>
          </w14:textFill>
        </w:rPr>
        <w:t>源形式下渗，废水中重金属随废水进入土壤</w:t>
      </w:r>
      <w:r>
        <w:rPr>
          <w:rFonts w:hint="default"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eastAsia="zh-CN"/>
          <w14:textFill>
            <w14:solidFill>
              <w14:schemeClr w14:val="tx1"/>
            </w14:solidFill>
          </w14:textFill>
        </w:rPr>
        <w:t>污染土壤层。参照《</w:t>
      </w:r>
      <w:r>
        <w:rPr>
          <w:rFonts w:hint="eastAsia" w:ascii="Times New Roman" w:hAnsi="Times New Roman"/>
          <w:color w:val="000000" w:themeColor="text1"/>
          <w:sz w:val="24"/>
          <w:lang w:val="en-US" w:eastAsia="zh-CN"/>
          <w14:textFill>
            <w14:solidFill>
              <w14:schemeClr w14:val="tx1"/>
            </w14:solidFill>
          </w14:textFill>
        </w:rPr>
        <w:t>环境影响评价技术导则 土壤环境（试行）</w:t>
      </w: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HJ964-2018</w:t>
      </w:r>
      <w:r>
        <w:rPr>
          <w:rFonts w:hint="eastAsia" w:ascii="Times New Roman" w:hAnsi="Times New Roman"/>
          <w:color w:val="000000" w:themeColor="text1"/>
          <w:sz w:val="24"/>
          <w:lang w:eastAsia="zh-CN"/>
          <w14:textFill>
            <w14:solidFill>
              <w14:schemeClr w14:val="tx1"/>
            </w14:solidFill>
          </w14:textFill>
        </w:rPr>
        <w:t>）附录E对尾矿库渗漏进行预测。</w:t>
      </w:r>
    </w:p>
    <w:p w14:paraId="5DFE7A8A">
      <w:pPr>
        <w:pStyle w:val="40"/>
        <w:rPr>
          <w:rFonts w:hint="default"/>
          <w:color w:val="000000" w:themeColor="text1"/>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1）预测方法</w:t>
      </w:r>
    </w:p>
    <w:p w14:paraId="0127DAEE">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①一维非饱和溶质垂向运移控制方程：</w:t>
      </w:r>
    </w:p>
    <w:p w14:paraId="3CBA7B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828800" cy="419100"/>
            <wp:effectExtent l="0" t="0" r="0" b="7620"/>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pic:cNvPicPr>
                  </pic:nvPicPr>
                  <pic:blipFill>
                    <a:blip r:embed="rId34"/>
                    <a:stretch>
                      <a:fillRect/>
                    </a:stretch>
                  </pic:blipFill>
                  <pic:spPr>
                    <a:xfrm>
                      <a:off x="0" y="0"/>
                      <a:ext cx="1828800" cy="419100"/>
                    </a:xfrm>
                    <a:prstGeom prst="rect">
                      <a:avLst/>
                    </a:prstGeom>
                    <a:noFill/>
                    <a:ln>
                      <a:noFill/>
                    </a:ln>
                  </pic:spPr>
                </pic:pic>
              </a:graphicData>
            </a:graphic>
          </wp:inline>
        </w:drawing>
      </w:r>
    </w:p>
    <w:p w14:paraId="18567E6F">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rFonts w:hint="eastAsia"/>
          <w:i/>
          <w:iCs/>
          <w:color w:val="000000" w:themeColor="text1"/>
          <w14:textFill>
            <w14:solidFill>
              <w14:schemeClr w14:val="tx1"/>
            </w14:solidFill>
          </w14:textFill>
        </w:rPr>
        <w:t>c</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污染物介质中溶度，mg/L；</w:t>
      </w:r>
    </w:p>
    <w:p w14:paraId="164E7A8F">
      <w:pPr>
        <w:bidi w:val="0"/>
        <w:rPr>
          <w:rFonts w:hint="eastAsia"/>
          <w:color w:val="000000" w:themeColor="text1"/>
          <w14:textFill>
            <w14:solidFill>
              <w14:schemeClr w14:val="tx1"/>
            </w14:solidFill>
          </w14:textFill>
        </w:rPr>
      </w:pPr>
      <w:r>
        <w:rPr>
          <w:rFonts w:hint="eastAsia"/>
          <w:i/>
          <w:iCs/>
          <w:color w:val="000000" w:themeColor="text1"/>
          <w14:textFill>
            <w14:solidFill>
              <w14:schemeClr w14:val="tx1"/>
            </w14:solidFill>
          </w14:textFill>
        </w:rPr>
        <w:t>D</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弥散系数，m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/d；</w:t>
      </w:r>
    </w:p>
    <w:p w14:paraId="48BD0795">
      <w:pPr>
        <w:bidi w:val="0"/>
        <w:rPr>
          <w:rFonts w:hint="eastAsia"/>
          <w:color w:val="000000" w:themeColor="text1"/>
          <w14:textFill>
            <w14:solidFill>
              <w14:schemeClr w14:val="tx1"/>
            </w14:solidFill>
          </w14:textFill>
        </w:rPr>
      </w:pPr>
      <w:r>
        <w:rPr>
          <w:rFonts w:hint="eastAsia"/>
          <w:i/>
          <w:iCs/>
          <w:color w:val="000000" w:themeColor="text1"/>
          <w14:textFill>
            <w14:solidFill>
              <w14:schemeClr w14:val="tx1"/>
            </w14:solidFill>
          </w14:textFill>
        </w:rPr>
        <w:t>q</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渗流速率，m/d；</w:t>
      </w:r>
    </w:p>
    <w:p w14:paraId="3270B751">
      <w:pPr>
        <w:bidi w:val="0"/>
        <w:rPr>
          <w:color w:val="000000" w:themeColor="text1"/>
          <w14:textFill>
            <w14:solidFill>
              <w14:schemeClr w14:val="tx1"/>
            </w14:solidFill>
          </w14:textFill>
        </w:rPr>
      </w:pPr>
      <w:r>
        <w:rPr>
          <w:rFonts w:hint="default" w:ascii="Times New Roman" w:hAnsi="Times New Roman" w:cs="Times New Roman"/>
          <w:i/>
          <w:iCs/>
          <w:color w:val="000000" w:themeColor="text1"/>
          <w14:textFill>
            <w14:solidFill>
              <w14:schemeClr w14:val="tx1"/>
            </w14:solidFill>
          </w14:textFill>
        </w:rPr>
        <w:t>z</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沿</w:t>
      </w:r>
      <w:r>
        <w:rPr>
          <w:rFonts w:hint="eastAsia"/>
          <w:color w:val="000000" w:themeColor="text1"/>
          <w:lang w:val="en-US" w:eastAsia="zh-CN"/>
          <w14:textFill>
            <w14:solidFill>
              <w14:schemeClr w14:val="tx1"/>
            </w14:solidFill>
          </w14:textFill>
        </w:rPr>
        <w:t>z</w:t>
      </w:r>
      <w:r>
        <w:rPr>
          <w:rFonts w:hint="eastAsia"/>
          <w:color w:val="000000" w:themeColor="text1"/>
          <w14:textFill>
            <w14:solidFill>
              <w14:schemeClr w14:val="tx1"/>
            </w14:solidFill>
          </w14:textFill>
        </w:rPr>
        <w:t>轴距离，m；</w:t>
      </w:r>
    </w:p>
    <w:p w14:paraId="4FCFEF11">
      <w:pPr>
        <w:bidi w:val="0"/>
        <w:rPr>
          <w:rFonts w:hint="eastAsia"/>
          <w:color w:val="000000" w:themeColor="text1"/>
          <w14:textFill>
            <w14:solidFill>
              <w14:schemeClr w14:val="tx1"/>
            </w14:solidFill>
          </w14:textFill>
        </w:rPr>
      </w:pPr>
      <w:r>
        <w:rPr>
          <w:rFonts w:hint="eastAsia"/>
          <w:i/>
          <w:iCs/>
          <w:color w:val="000000" w:themeColor="text1"/>
          <w14:textFill>
            <w14:solidFill>
              <w14:schemeClr w14:val="tx1"/>
            </w14:solidFill>
          </w14:textFill>
        </w:rPr>
        <w:t>t</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时间变量，d；</w:t>
      </w:r>
    </w:p>
    <w:p w14:paraId="3638BC00">
      <w:pPr>
        <w:bidi w:val="0"/>
        <w:rPr>
          <w:color w:val="000000" w:themeColor="text1"/>
          <w14:textFill>
            <w14:solidFill>
              <w14:schemeClr w14:val="tx1"/>
            </w14:solidFill>
          </w14:textFill>
        </w:rPr>
      </w:pPr>
      <w:r>
        <w:rPr>
          <w:rFonts w:hint="default" w:ascii="Times New Roman" w:hAnsi="Times New Roman" w:cs="Times New Roman"/>
          <w:i/>
          <w:iCs/>
          <w:color w:val="000000" w:themeColor="text1"/>
          <w14:textFill>
            <w14:solidFill>
              <w14:schemeClr w14:val="tx1"/>
            </w14:solidFill>
          </w14:textFill>
        </w:rPr>
        <w:t>θ</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土壤含水率，%；</w:t>
      </w:r>
    </w:p>
    <w:p w14:paraId="5B8E0213">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②初始条件</w:t>
      </w:r>
    </w:p>
    <w:p w14:paraId="5D775A96">
      <w:pPr>
        <w:bidi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c（z，t）=0   t=0，L≤z＜0</w:t>
      </w:r>
    </w:p>
    <w:p w14:paraId="37CD5E28">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③边界条件</w:t>
      </w:r>
    </w:p>
    <w:p w14:paraId="73B07923">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第一类Dirichlet边界条件，其中E.6适用于连续点源情景，E.7适用于非连续点源情景。</w:t>
      </w:r>
    </w:p>
    <w:p w14:paraId="684E0C71">
      <w:pPr>
        <w:bidi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c（z，t）=c</w:t>
      </w:r>
      <w:r>
        <w:rPr>
          <w:rFonts w:hint="eastAsia"/>
          <w:color w:val="000000" w:themeColor="text1"/>
          <w:vertAlign w:val="subscript"/>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 xml:space="preserve">   t＞0，z=0</w:t>
      </w:r>
    </w:p>
    <w:p w14:paraId="112E40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918970" cy="418465"/>
            <wp:effectExtent l="0" t="0" r="1270" b="8255"/>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pic:cNvPicPr>
                  </pic:nvPicPr>
                  <pic:blipFill>
                    <a:blip r:embed="rId35"/>
                    <a:stretch>
                      <a:fillRect/>
                    </a:stretch>
                  </pic:blipFill>
                  <pic:spPr>
                    <a:xfrm>
                      <a:off x="0" y="0"/>
                      <a:ext cx="1918970" cy="418465"/>
                    </a:xfrm>
                    <a:prstGeom prst="rect">
                      <a:avLst/>
                    </a:prstGeom>
                    <a:noFill/>
                    <a:ln>
                      <a:noFill/>
                    </a:ln>
                  </pic:spPr>
                </pic:pic>
              </a:graphicData>
            </a:graphic>
          </wp:inline>
        </w:drawing>
      </w:r>
    </w:p>
    <w:p w14:paraId="1E8F5FC7">
      <w:pPr>
        <w:bidi w:val="0"/>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第二类Neumann零梯度边界</w:t>
      </w:r>
    </w:p>
    <w:p w14:paraId="02CC2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912620" cy="266700"/>
            <wp:effectExtent l="0" t="0" r="7620" b="7620"/>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36"/>
                    <a:stretch>
                      <a:fillRect/>
                    </a:stretch>
                  </pic:blipFill>
                  <pic:spPr>
                    <a:xfrm>
                      <a:off x="0" y="0"/>
                      <a:ext cx="1912620" cy="266700"/>
                    </a:xfrm>
                    <a:prstGeom prst="rect">
                      <a:avLst/>
                    </a:prstGeom>
                    <a:noFill/>
                    <a:ln>
                      <a:noFill/>
                    </a:ln>
                  </pic:spPr>
                </pic:pic>
              </a:graphicData>
            </a:graphic>
          </wp:inline>
        </w:drawing>
      </w:r>
    </w:p>
    <w:p w14:paraId="42DF8407">
      <w:pPr>
        <w:bidi w:val="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）预测参数</w:t>
      </w:r>
    </w:p>
    <w:p w14:paraId="3537343E">
      <w:pPr>
        <w:bidi w:val="0"/>
        <w:rPr>
          <w:rFonts w:hint="eastAsia"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在收集相关土壤、地下水等资料的基础上，确定土壤环境影响预测所需参数值。</w:t>
      </w:r>
    </w:p>
    <w:p w14:paraId="2E7C37A1">
      <w:pPr>
        <w:bidi w:val="0"/>
        <w:rPr>
          <w:rFonts w:hint="eastAsia"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①</w:t>
      </w:r>
      <w:r>
        <w:rPr>
          <w:rFonts w:hint="eastAsia" w:ascii="Times New Roman" w:hAnsi="Times New Roman"/>
          <w:color w:val="000000" w:themeColor="text1"/>
          <w:sz w:val="24"/>
          <w14:textFill>
            <w14:solidFill>
              <w14:schemeClr w14:val="tx1"/>
            </w14:solidFill>
          </w14:textFill>
        </w:rPr>
        <w:t>污染物进入土壤中数量（年输入量）的测算</w:t>
      </w:r>
    </w:p>
    <w:p w14:paraId="63E57984">
      <w:pPr>
        <w:bidi w:val="0"/>
        <w:rPr>
          <w:rFonts w:hint="eastAsia"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假定尾矿库防渗膜破裂</w:t>
      </w:r>
      <w:r>
        <w:rPr>
          <w:rFonts w:hint="eastAsia" w:ascii="Times New Roman" w:hAnsi="Times New Roman"/>
          <w:color w:val="000000" w:themeColor="text1"/>
          <w:sz w:val="24"/>
          <w:lang w:eastAsia="zh-CN"/>
          <w14:textFill>
            <w14:solidFill>
              <w14:schemeClr w14:val="tx1"/>
            </w14:solidFill>
          </w14:textFill>
        </w:rPr>
        <w:t>形成一个1m长，1cm宽的裂隙，连续泄漏，在此情况下污染物随时间和空间的变化。</w:t>
      </w:r>
    </w:p>
    <w:p w14:paraId="189BD378">
      <w:pPr>
        <w:bidi w:val="0"/>
        <w:rPr>
          <w:rFonts w:hint="eastAsia"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泄漏面积：1×0.01=0.01m</w:t>
      </w:r>
      <w:r>
        <w:rPr>
          <w:rFonts w:hint="eastAsia" w:ascii="Times New Roman" w:hAnsi="Times New Roman"/>
          <w:color w:val="000000" w:themeColor="text1"/>
          <w:sz w:val="24"/>
          <w:vertAlign w:val="superscript"/>
          <w:lang w:val="en-US" w:eastAsia="zh-CN"/>
          <w14:textFill>
            <w14:solidFill>
              <w14:schemeClr w14:val="tx1"/>
            </w14:solidFill>
          </w14:textFill>
        </w:rPr>
        <w:t>2</w:t>
      </w:r>
    </w:p>
    <w:p w14:paraId="51BE7133">
      <w:pPr>
        <w:bidi w:val="0"/>
        <w:rPr>
          <w:rFonts w:hint="eastAsia"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污染源浓度：总</w:t>
      </w:r>
      <w:r>
        <w:rPr>
          <w:rFonts w:hint="eastAsia"/>
          <w:color w:val="000000" w:themeColor="text1"/>
          <w:sz w:val="24"/>
          <w:lang w:val="en-US" w:eastAsia="zh-CN"/>
          <w14:textFill>
            <w14:solidFill>
              <w14:schemeClr w14:val="tx1"/>
            </w14:solidFill>
          </w14:textFill>
        </w:rPr>
        <w:t>砷</w:t>
      </w:r>
      <w:r>
        <w:rPr>
          <w:rFonts w:hint="eastAsia" w:ascii="Times New Roman" w:hAnsi="Times New Roman"/>
          <w:color w:val="000000" w:themeColor="text1"/>
          <w:sz w:val="24"/>
          <w:lang w:val="en-US" w:eastAsia="zh-CN"/>
          <w14:textFill>
            <w14:solidFill>
              <w14:schemeClr w14:val="tx1"/>
            </w14:solidFill>
          </w14:textFill>
        </w:rPr>
        <w:t>浓度</w:t>
      </w:r>
      <w:r>
        <w:rPr>
          <w:rFonts w:hint="eastAsia"/>
          <w:color w:val="000000" w:themeColor="text1"/>
          <w:sz w:val="24"/>
          <w:lang w:val="en-US" w:eastAsia="zh-CN"/>
          <w14:textFill>
            <w14:solidFill>
              <w14:schemeClr w14:val="tx1"/>
            </w14:solidFill>
          </w14:textFill>
        </w:rPr>
        <w:t>0.2</w:t>
      </w:r>
      <w:r>
        <w:rPr>
          <w:rFonts w:hint="default" w:ascii="Times New Roman" w:hAnsi="Times New Roman" w:cs="Times New Roman"/>
          <w:color w:val="000000" w:themeColor="text1"/>
          <w:sz w:val="24"/>
          <w:lang w:val="en-US" w:eastAsia="zh-CN"/>
          <w14:textFill>
            <w14:solidFill>
              <w14:schemeClr w14:val="tx1"/>
            </w14:solidFill>
          </w14:textFill>
        </w:rPr>
        <w:t>μ</w:t>
      </w:r>
      <w:r>
        <w:rPr>
          <w:rFonts w:hint="eastAsia" w:ascii="Times New Roman" w:hAnsi="Times New Roman"/>
          <w:color w:val="000000" w:themeColor="text1"/>
          <w:sz w:val="24"/>
          <w:lang w:val="en-US" w:eastAsia="zh-CN"/>
          <w14:textFill>
            <w14:solidFill>
              <w14:schemeClr w14:val="tx1"/>
            </w14:solidFill>
          </w14:textFill>
        </w:rPr>
        <w:t>g/L</w:t>
      </w:r>
    </w:p>
    <w:p w14:paraId="4A5BD044">
      <w:pPr>
        <w:bidi w:val="0"/>
        <w:rPr>
          <w:rFonts w:hint="eastAsia" w:ascii="Times New Roman" w:hAnsi="Times New Roman"/>
          <w:color w:val="000000" w:themeColor="text1"/>
          <w:sz w:val="24"/>
          <w14:textFill>
            <w14:solidFill>
              <w14:schemeClr w14:val="tx1"/>
            </w14:solidFill>
          </w14:textFill>
        </w:rPr>
      </w:pPr>
      <w:r>
        <w:rPr>
          <w:rFonts w:hint="eastAsia"/>
          <w:color w:val="000000" w:themeColor="text1"/>
          <w:lang w:val="en-US" w:eastAsia="zh-CN"/>
          <w14:textFill>
            <w14:solidFill>
              <w14:schemeClr w14:val="tx1"/>
            </w14:solidFill>
          </w14:textFill>
        </w:rPr>
        <w:t>②土壤参数</w:t>
      </w:r>
    </w:p>
    <w:p w14:paraId="7BB1DB63">
      <w:pPr>
        <w:bidi w:val="0"/>
        <w:rPr>
          <w:rFonts w:hint="default" w:ascii="Times New Roman" w:hAnsi="Times New Roman"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根据《哈密市西成矿业有限责任公司M1033铁矿选矿厂改建工程岩土工程详细勘察</w:t>
      </w:r>
      <w:r>
        <w:rPr>
          <w:rFonts w:hint="eastAsia"/>
          <w:color w:val="000000" w:themeColor="text1"/>
          <w:szCs w:val="24"/>
          <w:lang w:val="en-US" w:eastAsia="zh-CN"/>
          <w14:textFill>
            <w14:solidFill>
              <w14:schemeClr w14:val="tx1"/>
            </w14:solidFill>
          </w14:textFill>
        </w:rPr>
        <w:t>报告</w:t>
      </w:r>
      <w:r>
        <w:rPr>
          <w:rFonts w:hint="eastAsia"/>
          <w:color w:val="000000" w:themeColor="text1"/>
          <w:sz w:val="24"/>
          <w:lang w:val="en-US" w:eastAsia="zh-CN"/>
          <w14:textFill>
            <w14:solidFill>
              <w14:schemeClr w14:val="tx1"/>
            </w14:solidFill>
          </w14:textFill>
        </w:rPr>
        <w:t>》及相关资料，</w:t>
      </w:r>
      <w:r>
        <w:rPr>
          <w:rFonts w:hint="eastAsia"/>
          <w:color w:val="000000" w:themeColor="text1"/>
          <w:szCs w:val="24"/>
          <w:lang w:val="en-US" w:eastAsia="zh-CN"/>
          <w14:textFill>
            <w14:solidFill>
              <w14:schemeClr w14:val="tx1"/>
            </w14:solidFill>
          </w14:textFill>
        </w:rPr>
        <w:t>土壤参数取值：</w:t>
      </w:r>
      <w:r>
        <w:rPr>
          <w:rFonts w:hint="eastAsia"/>
          <w:color w:val="000000" w:themeColor="text1"/>
          <w:szCs w:val="24"/>
          <w:highlight w:val="none"/>
          <w:lang w:val="en-US" w:eastAsia="zh-CN"/>
          <w14:textFill>
            <w14:solidFill>
              <w14:schemeClr w14:val="tx1"/>
            </w14:solidFill>
          </w14:textFill>
        </w:rPr>
        <w:t>弥散系数为0.4m</w:t>
      </w:r>
      <w:r>
        <w:rPr>
          <w:rFonts w:hint="eastAsia"/>
          <w:color w:val="000000" w:themeColor="text1"/>
          <w:szCs w:val="24"/>
          <w:highlight w:val="none"/>
          <w:vertAlign w:val="superscript"/>
          <w:lang w:val="en-US" w:eastAsia="zh-CN"/>
          <w14:textFill>
            <w14:solidFill>
              <w14:schemeClr w14:val="tx1"/>
            </w14:solidFill>
          </w14:textFill>
        </w:rPr>
        <w:t>2</w:t>
      </w:r>
      <w:r>
        <w:rPr>
          <w:rFonts w:hint="eastAsia"/>
          <w:color w:val="000000" w:themeColor="text1"/>
          <w:szCs w:val="24"/>
          <w:highlight w:val="none"/>
          <w:lang w:val="en-US" w:eastAsia="zh-CN"/>
          <w14:textFill>
            <w14:solidFill>
              <w14:schemeClr w14:val="tx1"/>
            </w14:solidFill>
          </w14:textFill>
        </w:rPr>
        <w:t>/d、</w:t>
      </w:r>
      <w:r>
        <w:rPr>
          <w:rFonts w:hint="eastAsia"/>
          <w:color w:val="000000" w:themeColor="text1"/>
          <w:sz w:val="24"/>
          <w:lang w:val="en-US" w:eastAsia="zh-CN"/>
          <w14:textFill>
            <w14:solidFill>
              <w14:schemeClr w14:val="tx1"/>
            </w14:solidFill>
          </w14:textFill>
        </w:rPr>
        <w:t>土壤渗透系数5.2×10</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~5.78×10</w:t>
      </w:r>
      <w:r>
        <w:rPr>
          <w:rFonts w:hint="eastAsia"/>
          <w:color w:val="000000" w:themeColor="text1"/>
          <w:sz w:val="24"/>
          <w:vertAlign w:val="super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cm/s，</w:t>
      </w:r>
      <w:r>
        <w:rPr>
          <w:rFonts w:hint="eastAsia"/>
          <w:color w:val="000000" w:themeColor="text1"/>
          <w:szCs w:val="24"/>
          <w:highlight w:val="none"/>
          <w:lang w:val="en-US" w:eastAsia="zh-CN"/>
          <w14:textFill>
            <w14:solidFill>
              <w14:schemeClr w14:val="tx1"/>
            </w14:solidFill>
          </w14:textFill>
        </w:rPr>
        <w:t>土层含水率为5%，密度为1.56~1.59g/cm</w:t>
      </w:r>
      <w:r>
        <w:rPr>
          <w:rFonts w:hint="eastAsia"/>
          <w:color w:val="000000" w:themeColor="text1"/>
          <w:szCs w:val="24"/>
          <w:highlight w:val="none"/>
          <w:vertAlign w:val="superscript"/>
          <w:lang w:val="en-US" w:eastAsia="zh-CN"/>
          <w14:textFill>
            <w14:solidFill>
              <w14:schemeClr w14:val="tx1"/>
            </w14:solidFill>
          </w14:textFill>
        </w:rPr>
        <w:t>3</w:t>
      </w:r>
      <w:r>
        <w:rPr>
          <w:rFonts w:hint="eastAsia"/>
          <w:color w:val="000000" w:themeColor="text1"/>
          <w:szCs w:val="24"/>
          <w:highlight w:val="none"/>
          <w:lang w:val="en-US" w:eastAsia="zh-CN"/>
          <w14:textFill>
            <w14:solidFill>
              <w14:schemeClr w14:val="tx1"/>
            </w14:solidFill>
          </w14:textFill>
        </w:rPr>
        <w:t>。</w:t>
      </w:r>
    </w:p>
    <w:p w14:paraId="706C6993">
      <w:pPr>
        <w:pStyle w:val="40"/>
        <w:keepNext w:val="0"/>
        <w:keepLines w:val="0"/>
        <w:pageBreakBefore w:val="0"/>
        <w:widowControl w:val="0"/>
        <w:kinsoku/>
        <w:wordWrap/>
        <w:autoSpaceDE/>
        <w:autoSpaceDN/>
        <w:bidi w:val="0"/>
        <w:snapToGrid/>
        <w:spacing w:line="480" w:lineRule="exact"/>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3）模型建立</w:t>
      </w:r>
    </w:p>
    <w:p w14:paraId="0297E9CE">
      <w:pPr>
        <w:pStyle w:val="40"/>
        <w:keepNext w:val="0"/>
        <w:keepLines w:val="0"/>
        <w:pageBreakBefore w:val="0"/>
        <w:widowControl w:val="0"/>
        <w:kinsoku/>
        <w:wordWrap/>
        <w:autoSpaceDE/>
        <w:autoSpaceDN/>
        <w:bidi w:val="0"/>
        <w:snapToGrid/>
        <w:spacing w:line="480" w:lineRule="exac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14:textFill>
            <w14:solidFill>
              <w14:schemeClr w14:val="tx1"/>
            </w14:solidFill>
          </w14:textFill>
        </w:rPr>
        <w:t>项目区包气带厚度10.08～24.80m</w:t>
      </w:r>
      <w:r>
        <w:rPr>
          <w:rFonts w:hint="eastAsia" w:ascii="Times New Roman" w:hAnsi="Times New Roman" w:eastAsia="宋体" w:cs="Times New Roman"/>
          <w:color w:val="000000" w:themeColor="text1"/>
          <w:spacing w:val="-3"/>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14:textFill>
            <w14:solidFill>
              <w14:schemeClr w14:val="tx1"/>
            </w14:solidFill>
          </w14:textFill>
        </w:rPr>
        <w:t>根据项目场地概况土壤分层为砂壤土1层，厚度分别为0-0.2m，0.2</w:t>
      </w: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14:textFill>
            <w14:solidFill>
              <w14:schemeClr w14:val="tx1"/>
            </w14:solidFill>
          </w14:textFill>
        </w:rPr>
        <w:t>3m，分别在0m、5cm、20cm、70cm、110cm、140cm、180cm、270cm、291cm、300cm处设置观测点。</w:t>
      </w: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见图5.2-6。</w:t>
      </w:r>
    </w:p>
    <w:p w14:paraId="2E356B28">
      <w:pPr>
        <w:pStyle w:val="40"/>
        <w:keepNext w:val="0"/>
        <w:keepLines w:val="0"/>
        <w:pageBreakBefore w:val="0"/>
        <w:widowControl w:val="0"/>
        <w:kinsoku/>
        <w:wordWrap/>
        <w:autoSpaceDE/>
        <w:autoSpaceDN/>
        <w:bidi w:val="0"/>
        <w:snapToGrid/>
        <w:spacing w:line="480" w:lineRule="exact"/>
        <w:ind w:left="0" w:leftChars="0" w:firstLine="0" w:firstLineChars="0"/>
        <w:jc w:val="center"/>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图5.2-6    观察点设置示意图</w:t>
      </w:r>
      <w:r>
        <w:rPr>
          <w:rFonts w:hint="eastAsia" w:ascii="Times New Roman" w:hAnsi="Times New Roman" w:eastAsia="宋体" w:cs="Times New Roman"/>
          <w:b/>
          <w:bCs/>
          <w:color w:val="000000" w:themeColor="text1"/>
          <w:spacing w:val="-4"/>
          <w:sz w:val="24"/>
          <w:szCs w:val="24"/>
          <w:lang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9525</wp:posOffset>
            </wp:positionH>
            <wp:positionV relativeFrom="paragraph">
              <wp:posOffset>47625</wp:posOffset>
            </wp:positionV>
            <wp:extent cx="5268595" cy="5422265"/>
            <wp:effectExtent l="0" t="0" r="4445" b="3175"/>
            <wp:wrapTopAndBottom/>
            <wp:docPr id="47" name="图片 47" descr="a2378734561984b0838907dfb76db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2378734561984b0838907dfb76dba34"/>
                    <pic:cNvPicPr>
                      <a:picLocks noChangeAspect="1"/>
                    </pic:cNvPicPr>
                  </pic:nvPicPr>
                  <pic:blipFill>
                    <a:blip r:embed="rId37"/>
                    <a:stretch>
                      <a:fillRect/>
                    </a:stretch>
                  </pic:blipFill>
                  <pic:spPr>
                    <a:xfrm>
                      <a:off x="0" y="0"/>
                      <a:ext cx="5268595" cy="5422265"/>
                    </a:xfrm>
                    <a:prstGeom prst="rect">
                      <a:avLst/>
                    </a:prstGeom>
                  </pic:spPr>
                </pic:pic>
              </a:graphicData>
            </a:graphic>
          </wp:anchor>
        </w:drawing>
      </w:r>
    </w:p>
    <w:p w14:paraId="5FD113BA">
      <w:pPr>
        <w:pStyle w:val="40"/>
        <w:keepNext w:val="0"/>
        <w:keepLines w:val="0"/>
        <w:pageBreakBefore w:val="0"/>
        <w:widowControl w:val="0"/>
        <w:kinsoku/>
        <w:wordWrap/>
        <w:autoSpaceDE/>
        <w:autoSpaceDN/>
        <w:bidi w:val="0"/>
        <w:snapToGrid/>
        <w:spacing w:line="480" w:lineRule="exact"/>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4）土壤预测</w:t>
      </w:r>
    </w:p>
    <w:p w14:paraId="431BFAC6">
      <w:pPr>
        <w:pStyle w:val="40"/>
        <w:keepNext w:val="0"/>
        <w:keepLines w:val="0"/>
        <w:pageBreakBefore w:val="0"/>
        <w:widowControl w:val="0"/>
        <w:kinsoku/>
        <w:wordWrap/>
        <w:autoSpaceDE/>
        <w:autoSpaceDN/>
        <w:bidi w:val="0"/>
        <w:snapToGrid/>
        <w:spacing w:line="480" w:lineRule="exac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尾矿库废水中的砷经过防渗膜裂隙泄漏后持续</w:t>
      </w:r>
      <w:r>
        <w:rPr>
          <w:rFonts w:hint="default" w:ascii="Times New Roman" w:hAnsi="Times New Roman" w:eastAsia="宋体" w:cs="Times New Roman"/>
          <w:color w:val="000000" w:themeColor="text1"/>
          <w:spacing w:val="-3"/>
          <w:sz w:val="24"/>
          <w:szCs w:val="24"/>
          <w14:textFill>
            <w14:solidFill>
              <w14:schemeClr w14:val="tx1"/>
            </w14:solidFill>
          </w14:textFill>
        </w:rPr>
        <w:t>渗入土壤并逐渐向下运移，</w:t>
      </w:r>
      <w:r>
        <w:rPr>
          <w:rFonts w:hint="eastAsia" w:ascii="Times New Roman" w:hAnsi="Times New Roman" w:eastAsia="宋体" w:cs="Times New Roman"/>
          <w:color w:val="000000" w:themeColor="text1"/>
          <w:spacing w:val="-3"/>
          <w:sz w:val="24"/>
          <w:szCs w:val="24"/>
          <w:lang w:val="en-US" w:eastAsia="zh-CN"/>
          <w14:textFill>
            <w14:solidFill>
              <w14:schemeClr w14:val="tx1"/>
            </w14:solidFill>
          </w14:textFill>
        </w:rPr>
        <w:t>砷</w:t>
      </w:r>
      <w:r>
        <w:rPr>
          <w:rFonts w:hint="default" w:ascii="Times New Roman" w:hAnsi="Times New Roman" w:eastAsia="宋体" w:cs="Times New Roman"/>
          <w:color w:val="000000" w:themeColor="text1"/>
          <w:spacing w:val="-4"/>
          <w:sz w:val="24"/>
          <w:szCs w:val="24"/>
          <w14:textFill>
            <w14:solidFill>
              <w14:schemeClr w14:val="tx1"/>
            </w14:solidFill>
          </w14:textFill>
        </w:rPr>
        <w:t>初始浓度为0.2μg/L</w:t>
      </w:r>
      <w:r>
        <w:rPr>
          <w:rFonts w:hint="eastAsia" w:ascii="Times New Roman" w:hAnsi="Times New Roman" w:eastAsia="宋体"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14:textFill>
            <w14:solidFill>
              <w14:schemeClr w14:val="tx1"/>
            </w14:solidFill>
          </w14:textFill>
        </w:rPr>
        <w:t>土壤观测点中</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砷浓度</w:t>
      </w:r>
      <w:r>
        <w:rPr>
          <w:rFonts w:hint="default" w:ascii="Times New Roman" w:hAnsi="Times New Roman" w:eastAsia="宋体" w:cs="Times New Roman"/>
          <w:color w:val="000000" w:themeColor="text1"/>
          <w:spacing w:val="-2"/>
          <w:sz w:val="24"/>
          <w:szCs w:val="24"/>
          <w14:textFill>
            <w14:solidFill>
              <w14:schemeClr w14:val="tx1"/>
            </w14:solidFill>
          </w14:textFill>
        </w:rPr>
        <w:t>随时间变化模拟结果如图</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5.2-7所示，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土壤深度与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砷</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浓度变化模拟结果如图5.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所示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0481648A">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drawing>
          <wp:inline distT="0" distB="0" distL="114300" distR="114300">
            <wp:extent cx="3070225" cy="2399030"/>
            <wp:effectExtent l="0" t="0" r="8255" b="8890"/>
            <wp:docPr id="6" name="图片 6" descr="fec0a471eca2cbb4fd5be7ebaee4f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ec0a471eca2cbb4fd5be7ebaee4fb22"/>
                    <pic:cNvPicPr>
                      <a:picLocks noChangeAspect="1"/>
                    </pic:cNvPicPr>
                  </pic:nvPicPr>
                  <pic:blipFill>
                    <a:blip r:embed="rId38"/>
                    <a:stretch>
                      <a:fillRect/>
                    </a:stretch>
                  </pic:blipFill>
                  <pic:spPr>
                    <a:xfrm>
                      <a:off x="0" y="0"/>
                      <a:ext cx="3070225" cy="2399030"/>
                    </a:xfrm>
                    <a:prstGeom prst="rect">
                      <a:avLst/>
                    </a:prstGeom>
                  </pic:spPr>
                </pic:pic>
              </a:graphicData>
            </a:graphic>
          </wp:inline>
        </w:drawing>
      </w:r>
    </w:p>
    <w:p w14:paraId="7C2F862F">
      <w:pPr>
        <w:pStyle w:val="40"/>
        <w:keepNext w:val="0"/>
        <w:keepLines w:val="0"/>
        <w:pageBreakBefore w:val="0"/>
        <w:widowControl w:val="0"/>
        <w:kinsoku/>
        <w:wordWrap/>
        <w:overflowPunct/>
        <w:topLinePunct w:val="0"/>
        <w:autoSpaceDE/>
        <w:autoSpaceDN/>
        <w:bidi w:val="0"/>
        <w:adjustRightInd w:val="0"/>
        <w:snapToGrid/>
        <w:spacing w:after="313" w:afterLines="100" w:line="480" w:lineRule="exact"/>
        <w:ind w:left="0" w:leftChars="0" w:firstLine="0" w:firstLineChars="0"/>
        <w:jc w:val="center"/>
        <w:textAlignment w:val="baseline"/>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图5.2-7    观测点浓度变化图</w:t>
      </w:r>
    </w:p>
    <w:p w14:paraId="0E483A54">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drawing>
          <wp:inline distT="0" distB="0" distL="114300" distR="114300">
            <wp:extent cx="3060065" cy="2391410"/>
            <wp:effectExtent l="0" t="0" r="3175" b="1270"/>
            <wp:docPr id="15" name="图片 15" descr="91ff27c093b1a28ccddc43ce0de9a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1ff27c093b1a28ccddc43ce0de9a869"/>
                    <pic:cNvPicPr>
                      <a:picLocks noChangeAspect="1"/>
                    </pic:cNvPicPr>
                  </pic:nvPicPr>
                  <pic:blipFill>
                    <a:blip r:embed="rId39"/>
                    <a:srcRect l="1100" r="1494" b="6333"/>
                    <a:stretch>
                      <a:fillRect/>
                    </a:stretch>
                  </pic:blipFill>
                  <pic:spPr>
                    <a:xfrm>
                      <a:off x="0" y="0"/>
                      <a:ext cx="3060065" cy="2391410"/>
                    </a:xfrm>
                    <a:prstGeom prst="rect">
                      <a:avLst/>
                    </a:prstGeom>
                  </pic:spPr>
                </pic:pic>
              </a:graphicData>
            </a:graphic>
          </wp:inline>
        </w:drawing>
      </w:r>
    </w:p>
    <w:p w14:paraId="680465C4">
      <w:pPr>
        <w:pStyle w:val="40"/>
        <w:keepNext w:val="0"/>
        <w:keepLines w:val="0"/>
        <w:pageBreakBefore w:val="0"/>
        <w:widowControl w:val="0"/>
        <w:kinsoku/>
        <w:wordWrap/>
        <w:autoSpaceDE/>
        <w:autoSpaceDN/>
        <w:bidi w:val="0"/>
        <w:snapToGrid/>
        <w:spacing w:line="480" w:lineRule="exact"/>
        <w:ind w:left="0" w:leftChars="0" w:firstLine="0" w:firstLineChars="0"/>
        <w:jc w:val="cente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图5</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.2-8</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时间节点深度与浓度关系图</w:t>
      </w:r>
    </w:p>
    <w:p w14:paraId="4D2E29CC">
      <w:pPr>
        <w:pStyle w:val="40"/>
        <w:keepNext w:val="0"/>
        <w:keepLines w:val="0"/>
        <w:pageBreakBefore w:val="0"/>
        <w:widowControl w:val="0"/>
        <w:kinsoku/>
        <w:wordWrap/>
        <w:autoSpaceDE/>
        <w:autoSpaceDN/>
        <w:bidi w:val="0"/>
        <w:snapToGrid/>
        <w:spacing w:line="480" w:lineRule="exac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由图5.2-7及5.2-8土壤模拟结果可知，砷</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在土壤中随时间不断向下迁移</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；连续泄漏1天后，垂直下渗0.8m；连续泄漏10天后，垂直下渗2.4m；100天后，污染深度为7.5m。</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泄漏发生后1d、10d、</w:t>
      </w:r>
      <w:r>
        <w:rPr>
          <w:rFonts w:hint="eastAsia" w:ascii="Times New Roman" w:cs="Times New Roman"/>
          <w:color w:val="000000" w:themeColor="text1"/>
          <w:sz w:val="24"/>
          <w:szCs w:val="24"/>
          <w:highlight w:val="none"/>
          <w:lang w:val="en-US" w:eastAsia="zh-CN"/>
          <w14:textFill>
            <w14:solidFill>
              <w14:schemeClr w14:val="tx1"/>
            </w14:solidFill>
          </w14:textFill>
        </w:rPr>
        <w:t>100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d</w:t>
      </w:r>
      <w:r>
        <w:rPr>
          <w:rFonts w:hint="eastAsia" w:ascii="Times New Roman" w:cs="Times New Roman"/>
          <w:color w:val="000000" w:themeColor="text1"/>
          <w:sz w:val="24"/>
          <w:szCs w:val="24"/>
          <w:highlight w:val="none"/>
          <w:lang w:val="en-US" w:eastAsia="zh-CN"/>
          <w14:textFill>
            <w14:solidFill>
              <w14:schemeClr w14:val="tx1"/>
            </w14:solidFill>
          </w14:textFill>
        </w:rPr>
        <w:t>砷不断下渗，泄漏点附近土壤中的污染物浓度升高，未出现污染物浓度超标的现象。但建设单位仍需严格落实防渗漏污染防治措施，做好防渗，定期监测，一旦发生泄漏，立刻启动应急预案，将土壤污染事故发生的可能性降到最低。</w:t>
      </w:r>
    </w:p>
    <w:p w14:paraId="294222F4">
      <w:pPr>
        <w:pStyle w:val="5"/>
        <w:ind w:firstLine="482"/>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5.2.6.</w:t>
      </w:r>
      <w:r>
        <w:rPr>
          <w:rFonts w:hint="eastAsia"/>
          <w:color w:val="000000" w:themeColor="text1"/>
          <w:highlight w:val="none"/>
          <w:lang w:val="en-US" w:eastAsia="zh-CN"/>
          <w14:textFill>
            <w14:solidFill>
              <w14:schemeClr w14:val="tx1"/>
            </w14:solidFill>
          </w14:textFill>
        </w:rPr>
        <w:t>5预测评价结论</w:t>
      </w:r>
    </w:p>
    <w:p w14:paraId="57E565BE">
      <w:pPr>
        <w:pStyle w:val="40"/>
        <w:keepNext w:val="0"/>
        <w:keepLines w:val="0"/>
        <w:pageBreakBefore w:val="0"/>
        <w:widowControl w:val="0"/>
        <w:kinsoku/>
        <w:wordWrap/>
        <w:autoSpaceDE/>
        <w:autoSpaceDN/>
        <w:bidi w:val="0"/>
        <w:snapToGrid/>
        <w:spacing w:line="480" w:lineRule="exact"/>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宋体"/>
          <w:color w:val="000000" w:themeColor="text1"/>
          <w:lang w:bidi="ar"/>
          <w14:textFill>
            <w14:solidFill>
              <w14:schemeClr w14:val="tx1"/>
            </w14:solidFill>
          </w14:textFill>
        </w:rPr>
        <w:t>本项目在非正常工况下废水通过</w:t>
      </w:r>
      <w:r>
        <w:rPr>
          <w:rFonts w:hint="eastAsia" w:cs="宋体"/>
          <w:color w:val="000000" w:themeColor="text1"/>
          <w:lang w:val="en-US" w:eastAsia="zh-CN" w:bidi="ar"/>
          <w14:textFill>
            <w14:solidFill>
              <w14:schemeClr w14:val="tx1"/>
            </w14:solidFill>
          </w14:textFill>
        </w:rPr>
        <w:t>点源</w:t>
      </w:r>
      <w:r>
        <w:rPr>
          <w:rFonts w:hint="eastAsia" w:cs="宋体"/>
          <w:color w:val="000000" w:themeColor="text1"/>
          <w:lang w:eastAsia="zh-CN" w:bidi="ar"/>
          <w14:textFill>
            <w14:solidFill>
              <w14:schemeClr w14:val="tx1"/>
            </w14:solidFill>
          </w14:textFill>
        </w:rPr>
        <w:t>下渗</w:t>
      </w:r>
      <w:r>
        <w:rPr>
          <w:rFonts w:hint="eastAsia" w:cs="宋体"/>
          <w:color w:val="000000" w:themeColor="text1"/>
          <w:lang w:bidi="ar"/>
          <w14:textFill>
            <w14:solidFill>
              <w14:schemeClr w14:val="tx1"/>
            </w14:solidFill>
          </w14:textFill>
        </w:rPr>
        <w:t>，尾矿库干滩重金属</w:t>
      </w:r>
      <w:r>
        <w:rPr>
          <w:rFonts w:hint="eastAsia" w:cs="宋体"/>
          <w:color w:val="000000" w:themeColor="text1"/>
          <w:lang w:eastAsia="zh-CN" w:bidi="ar"/>
          <w14:textFill>
            <w14:solidFill>
              <w14:schemeClr w14:val="tx1"/>
            </w14:solidFill>
          </w14:textFill>
        </w:rPr>
        <w:t>颗粒物</w:t>
      </w:r>
      <w:r>
        <w:rPr>
          <w:rFonts w:hint="eastAsia" w:cs="宋体"/>
          <w:color w:val="000000" w:themeColor="text1"/>
          <w:lang w:bidi="ar"/>
          <w14:textFill>
            <w14:solidFill>
              <w14:schemeClr w14:val="tx1"/>
            </w14:solidFill>
          </w14:textFill>
        </w:rPr>
        <w:t>通过大气沉降形式进入周边土壤，可能会造成土壤环境影响。根据情景预测结果，本项目</w:t>
      </w:r>
      <w:r>
        <w:rPr>
          <w:rFonts w:hint="eastAsia" w:cs="宋体"/>
          <w:color w:val="000000" w:themeColor="text1"/>
          <w:lang w:val="en-US" w:eastAsia="zh-CN" w:bidi="ar"/>
          <w14:textFill>
            <w14:solidFill>
              <w14:schemeClr w14:val="tx1"/>
            </w14:solidFill>
          </w14:textFill>
        </w:rPr>
        <w:t>尾矿库防渗膜破损</w:t>
      </w:r>
      <w:r>
        <w:rPr>
          <w:rFonts w:hint="eastAsia" w:cs="宋体"/>
          <w:color w:val="000000" w:themeColor="text1"/>
          <w:lang w:bidi="ar"/>
          <w14:textFill>
            <w14:solidFill>
              <w14:schemeClr w14:val="tx1"/>
            </w14:solidFill>
          </w14:textFill>
        </w:rPr>
        <w:t>泄漏事故</w:t>
      </w:r>
      <w:r>
        <w:rPr>
          <w:rFonts w:hint="eastAsia" w:cs="Times New Roman"/>
          <w:color w:val="000000" w:themeColor="text1"/>
          <w:sz w:val="24"/>
          <w:szCs w:val="24"/>
          <w:highlight w:val="none"/>
          <w:lang w:val="en-US" w:eastAsia="zh-CN"/>
          <w14:textFill>
            <w14:solidFill>
              <w14:schemeClr w14:val="tx1"/>
            </w14:solidFill>
          </w14:textFill>
        </w:rPr>
        <w:t>泄漏点附近土壤中的污染物浓度升高，未出现污染物浓度超标的现象，</w:t>
      </w:r>
      <w:r>
        <w:rPr>
          <w:rFonts w:hint="eastAsia" w:ascii="Times New Roman" w:hAnsi="Times New Roman" w:cs="Times New Roman"/>
          <w:color w:val="000000" w:themeColor="text1"/>
          <w:sz w:val="24"/>
          <w:highlight w:val="none"/>
          <w:lang w:val="en-US" w:eastAsia="zh-CN"/>
          <w14:textFill>
            <w14:solidFill>
              <w14:schemeClr w14:val="tx1"/>
            </w14:solidFill>
          </w14:textFill>
        </w:rPr>
        <w:t>对区域土壤环境影响可接受</w:t>
      </w:r>
      <w:r>
        <w:rPr>
          <w:rFonts w:hint="eastAsia" w:cs="Times New Roman"/>
          <w:color w:val="000000" w:themeColor="text1"/>
          <w:sz w:val="24"/>
          <w:szCs w:val="24"/>
          <w:highlight w:val="none"/>
          <w:lang w:val="en-US" w:eastAsia="zh-CN"/>
          <w14:textFill>
            <w14:solidFill>
              <w14:schemeClr w14:val="tx1"/>
            </w14:solidFill>
          </w14:textFill>
        </w:rPr>
        <w:t>。大气沉降</w:t>
      </w:r>
      <w:r>
        <w:rPr>
          <w:rFonts w:hint="eastAsia" w:ascii="Times New Roman" w:hAnsi="Times New Roman" w:cs="Times New Roman"/>
          <w:color w:val="000000" w:themeColor="text1"/>
          <w:highlight w:val="none"/>
          <w14:textFill>
            <w14:solidFill>
              <w14:schemeClr w14:val="tx1"/>
            </w14:solidFill>
          </w14:textFill>
        </w:rPr>
        <w:t>造成</w:t>
      </w:r>
      <w:r>
        <w:rPr>
          <w:rFonts w:ascii="Times New Roman" w:hAnsi="Times New Roman" w:cs="Times New Roman"/>
          <w:color w:val="000000" w:themeColor="text1"/>
          <w:highlight w:val="none"/>
          <w14:textFill>
            <w14:solidFill>
              <w14:schemeClr w14:val="tx1"/>
            </w14:solidFill>
          </w14:textFill>
        </w:rPr>
        <w:t>进入表层土壤的</w:t>
      </w:r>
      <w:r>
        <w:rPr>
          <w:rFonts w:hint="eastAsia" w:ascii="Times New Roman" w:hAnsi="Times New Roman" w:cs="Times New Roman"/>
          <w:color w:val="000000" w:themeColor="text1"/>
          <w:highlight w:val="none"/>
          <w:lang w:eastAsia="zh-CN"/>
          <w14:textFill>
            <w14:solidFill>
              <w14:schemeClr w14:val="tx1"/>
            </w14:solidFill>
          </w14:textFill>
        </w:rPr>
        <w:t>颗粒物增量为</w:t>
      </w:r>
      <w:r>
        <w:rPr>
          <w:rFonts w:hint="eastAsia" w:ascii="Times New Roman" w:hAnsi="Times New Roman" w:cs="Times New Roman"/>
          <w:color w:val="000000" w:themeColor="text1"/>
          <w:highlight w:val="none"/>
          <w:lang w:val="en-US" w:eastAsia="zh-CN"/>
          <w14:textFill>
            <w14:solidFill>
              <w14:schemeClr w14:val="tx1"/>
            </w14:solidFill>
          </w14:textFill>
        </w:rPr>
        <w:t>每年</w:t>
      </w:r>
      <w:r>
        <w:rPr>
          <w:rFonts w:hint="eastAsia" w:ascii="Times New Roman" w:hAnsi="Times New Roman" w:cs="Times New Roman"/>
          <w:color w:val="000000" w:themeColor="text1"/>
          <w:sz w:val="24"/>
          <w:highlight w:val="none"/>
          <w:lang w:val="en-US" w:eastAsia="zh-CN"/>
          <w14:textFill>
            <w14:solidFill>
              <w14:schemeClr w14:val="tx1"/>
            </w14:solidFill>
          </w14:textFill>
        </w:rPr>
        <w:t>1.85mg/kg，到服务期满时（即项目运行19年时），土壤中砷的预测值为44.85mg/kg，满足</w:t>
      </w:r>
      <w:r>
        <w:rPr>
          <w:rFonts w:hint="eastAsia" w:ascii="Times New Roman" w:hAnsi="Times New Roman" w:cs="Times New Roman"/>
          <w:color w:val="000000" w:themeColor="text1"/>
          <w:sz w:val="24"/>
          <w:highlight w:val="none"/>
          <w14:textFill>
            <w14:solidFill>
              <w14:schemeClr w14:val="tx1"/>
            </w14:solidFill>
          </w14:textFill>
        </w:rPr>
        <w:t>《土壤环境质量 建设用地土壤污染风险管控标准（试行）》（GB36600-2018）中的第二类筛选值标准</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砷：60mg/kg</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对区域土壤环境影响可接受。尾矿库废水中的砷经过防渗膜裂隙泄漏后持续</w:t>
      </w:r>
      <w:r>
        <w:rPr>
          <w:rFonts w:hint="default" w:ascii="Times New Roman" w:hAnsi="Times New Roman" w:eastAsia="宋体" w:cs="Times New Roman"/>
          <w:color w:val="000000" w:themeColor="text1"/>
          <w:spacing w:val="-3"/>
          <w:sz w:val="24"/>
          <w:szCs w:val="24"/>
          <w14:textFill>
            <w14:solidFill>
              <w14:schemeClr w14:val="tx1"/>
            </w14:solidFill>
          </w14:textFill>
        </w:rPr>
        <w:t>渗入土壤并逐渐向下运移，</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连续泄漏1天后，垂直下渗0.8m；连续泄漏10天后，垂直下渗2.4m；100天后，污染深度为7.5m。</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泄漏发生后1d、10d、</w:t>
      </w:r>
      <w:r>
        <w:rPr>
          <w:rFonts w:hint="eastAsia" w:ascii="Times New Roman" w:cs="Times New Roman"/>
          <w:color w:val="000000" w:themeColor="text1"/>
          <w:sz w:val="24"/>
          <w:szCs w:val="24"/>
          <w:highlight w:val="none"/>
          <w:lang w:val="en-US" w:eastAsia="zh-CN"/>
          <w14:textFill>
            <w14:solidFill>
              <w14:schemeClr w14:val="tx1"/>
            </w14:solidFill>
          </w14:textFill>
        </w:rPr>
        <w:t>100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d</w:t>
      </w:r>
      <w:r>
        <w:rPr>
          <w:rFonts w:hint="eastAsia" w:ascii="Times New Roman" w:cs="Times New Roman"/>
          <w:color w:val="000000" w:themeColor="text1"/>
          <w:sz w:val="24"/>
          <w:szCs w:val="24"/>
          <w:highlight w:val="none"/>
          <w:lang w:val="en-US" w:eastAsia="zh-CN"/>
          <w14:textFill>
            <w14:solidFill>
              <w14:schemeClr w14:val="tx1"/>
            </w14:solidFill>
          </w14:textFill>
        </w:rPr>
        <w:t>砷不断下渗，泄漏点附近土壤中的污染物浓度升高，未出现污染物浓度超标的现象，土壤环境影响可接受。但建设单位仍需严格落实防渗漏污染防治措施，做好防渗，定期监测，一旦发生泄漏，立刻启动应急预案，将土壤污染事故发生的可能性降到最低。</w:t>
      </w:r>
    </w:p>
    <w:p w14:paraId="4C384800">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5.2.6.</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土壤环境影响自查表</w:t>
      </w:r>
    </w:p>
    <w:p w14:paraId="457B8CF0">
      <w:pPr>
        <w:rPr>
          <w:rFonts w:hint="default" w:eastAsia="宋体"/>
          <w:color w:val="000000" w:themeColor="text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本项目土壤环境影响评价自查表见表5.2-18。</w:t>
      </w:r>
    </w:p>
    <w:p w14:paraId="3EFBAC4D">
      <w:pPr>
        <w:adjustRightInd w:val="0"/>
        <w:snapToGrid w:val="0"/>
        <w:ind w:firstLine="0" w:firstLineChars="0"/>
        <w:jc w:val="center"/>
        <w:rPr>
          <w:b/>
          <w:snapToGrid w:val="0"/>
          <w:color w:val="000000" w:themeColor="text1"/>
          <w:kern w:val="0"/>
          <w:highlight w:val="none"/>
          <w14:textFill>
            <w14:solidFill>
              <w14:schemeClr w14:val="tx1"/>
            </w14:solidFill>
          </w14:textFill>
        </w:rPr>
      </w:pPr>
      <w:r>
        <w:rPr>
          <w:b/>
          <w:snapToGrid w:val="0"/>
          <w:color w:val="000000" w:themeColor="text1"/>
          <w:kern w:val="0"/>
          <w:highlight w:val="none"/>
          <w14:textFill>
            <w14:solidFill>
              <w14:schemeClr w14:val="tx1"/>
            </w14:solidFill>
          </w14:textFill>
        </w:rPr>
        <w:t>表5.2-</w:t>
      </w:r>
      <w:r>
        <w:rPr>
          <w:rFonts w:hint="eastAsia"/>
          <w:b/>
          <w:snapToGrid w:val="0"/>
          <w:color w:val="000000" w:themeColor="text1"/>
          <w:kern w:val="0"/>
          <w:highlight w:val="none"/>
          <w:lang w:val="en-US" w:eastAsia="zh-CN"/>
          <w14:textFill>
            <w14:solidFill>
              <w14:schemeClr w14:val="tx1"/>
            </w14:solidFill>
          </w14:textFill>
        </w:rPr>
        <w:t>18</w:t>
      </w:r>
      <w:r>
        <w:rPr>
          <w:b/>
          <w:snapToGrid w:val="0"/>
          <w:color w:val="000000" w:themeColor="text1"/>
          <w:kern w:val="0"/>
          <w:highlight w:val="none"/>
          <w14:textFill>
            <w14:solidFill>
              <w14:schemeClr w14:val="tx1"/>
            </w14:solidFill>
          </w14:textFill>
        </w:rPr>
        <w:t xml:space="preserve">    土壤环境影响评价自查表</w:t>
      </w:r>
    </w:p>
    <w:tbl>
      <w:tblPr>
        <w:tblStyle w:val="32"/>
        <w:tblW w:w="833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83"/>
        <w:gridCol w:w="1557"/>
        <w:gridCol w:w="984"/>
        <w:gridCol w:w="232"/>
        <w:gridCol w:w="1377"/>
        <w:gridCol w:w="875"/>
        <w:gridCol w:w="910"/>
        <w:gridCol w:w="981"/>
        <w:gridCol w:w="1035"/>
      </w:tblGrid>
      <w:tr w14:paraId="3701CE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blHeader/>
          <w:jc w:val="center"/>
        </w:trPr>
        <w:tc>
          <w:tcPr>
            <w:tcW w:w="1940" w:type="dxa"/>
            <w:gridSpan w:val="2"/>
            <w:vAlign w:val="center"/>
          </w:tcPr>
          <w:p w14:paraId="23B0213C">
            <w:pPr>
              <w:autoSpaceDE w:val="0"/>
              <w:autoSpaceDN w:val="0"/>
              <w:adjustRightInd w:val="0"/>
              <w:spacing w:line="360" w:lineRule="exact"/>
              <w:ind w:firstLine="0" w:firstLineChars="0"/>
              <w:jc w:val="center"/>
              <w:rPr>
                <w:rFonts w:ascii="Times New Roman" w:hAnsi="Times New Roman" w:eastAsia="宋体"/>
                <w:b/>
                <w:bCs/>
                <w:color w:val="000000" w:themeColor="text1"/>
                <w:kern w:val="0"/>
                <w:sz w:val="21"/>
                <w:szCs w:val="21"/>
                <w:highlight w:val="none"/>
                <w14:textFill>
                  <w14:solidFill>
                    <w14:schemeClr w14:val="tx1"/>
                  </w14:solidFill>
                </w14:textFill>
              </w:rPr>
            </w:pPr>
            <w:r>
              <w:rPr>
                <w:rFonts w:ascii="Times New Roman" w:hAnsi="Times New Roman" w:eastAsia="宋体"/>
                <w:b/>
                <w:bCs/>
                <w:color w:val="000000" w:themeColor="text1"/>
                <w:kern w:val="0"/>
                <w:position w:val="-1"/>
                <w:sz w:val="21"/>
                <w:szCs w:val="21"/>
                <w:highlight w:val="none"/>
                <w14:textFill>
                  <w14:solidFill>
                    <w14:schemeClr w14:val="tx1"/>
                  </w14:solidFill>
                </w14:textFill>
              </w:rPr>
              <w:t>工作内容</w:t>
            </w:r>
          </w:p>
        </w:tc>
        <w:tc>
          <w:tcPr>
            <w:tcW w:w="5359" w:type="dxa"/>
            <w:gridSpan w:val="6"/>
            <w:vAlign w:val="center"/>
          </w:tcPr>
          <w:p w14:paraId="702E447B">
            <w:pPr>
              <w:autoSpaceDE w:val="0"/>
              <w:autoSpaceDN w:val="0"/>
              <w:adjustRightInd w:val="0"/>
              <w:spacing w:line="360" w:lineRule="exact"/>
              <w:ind w:firstLine="0" w:firstLineChars="0"/>
              <w:jc w:val="center"/>
              <w:rPr>
                <w:rFonts w:ascii="Times New Roman" w:hAnsi="Times New Roman" w:eastAsia="宋体"/>
                <w:b/>
                <w:bCs/>
                <w:color w:val="000000" w:themeColor="text1"/>
                <w:kern w:val="0"/>
                <w:sz w:val="21"/>
                <w:szCs w:val="21"/>
                <w:highlight w:val="none"/>
                <w14:textFill>
                  <w14:solidFill>
                    <w14:schemeClr w14:val="tx1"/>
                  </w14:solidFill>
                </w14:textFill>
              </w:rPr>
            </w:pPr>
            <w:r>
              <w:rPr>
                <w:rFonts w:ascii="Times New Roman" w:hAnsi="Times New Roman" w:eastAsia="宋体"/>
                <w:b/>
                <w:bCs/>
                <w:color w:val="000000" w:themeColor="text1"/>
                <w:kern w:val="0"/>
                <w:position w:val="-1"/>
                <w:sz w:val="21"/>
                <w:szCs w:val="21"/>
                <w:highlight w:val="none"/>
                <w14:textFill>
                  <w14:solidFill>
                    <w14:schemeClr w14:val="tx1"/>
                  </w14:solidFill>
                </w14:textFill>
              </w:rPr>
              <w:t>完成情况</w:t>
            </w:r>
          </w:p>
        </w:tc>
        <w:tc>
          <w:tcPr>
            <w:tcW w:w="1035" w:type="dxa"/>
            <w:vAlign w:val="center"/>
          </w:tcPr>
          <w:p w14:paraId="46B82817">
            <w:pPr>
              <w:autoSpaceDE w:val="0"/>
              <w:autoSpaceDN w:val="0"/>
              <w:adjustRightInd w:val="0"/>
              <w:spacing w:line="360" w:lineRule="exact"/>
              <w:ind w:firstLine="0" w:firstLineChars="0"/>
              <w:jc w:val="center"/>
              <w:rPr>
                <w:rFonts w:ascii="Times New Roman" w:hAnsi="Times New Roman" w:eastAsia="宋体"/>
                <w:b/>
                <w:bCs/>
                <w:color w:val="000000" w:themeColor="text1"/>
                <w:kern w:val="0"/>
                <w:sz w:val="21"/>
                <w:szCs w:val="21"/>
                <w:highlight w:val="none"/>
                <w14:textFill>
                  <w14:solidFill>
                    <w14:schemeClr w14:val="tx1"/>
                  </w14:solidFill>
                </w14:textFill>
              </w:rPr>
            </w:pPr>
            <w:r>
              <w:rPr>
                <w:rFonts w:ascii="Times New Roman" w:hAnsi="Times New Roman" w:eastAsia="宋体"/>
                <w:b/>
                <w:bCs/>
                <w:color w:val="000000" w:themeColor="text1"/>
                <w:kern w:val="0"/>
                <w:position w:val="-1"/>
                <w:sz w:val="21"/>
                <w:szCs w:val="21"/>
                <w:highlight w:val="none"/>
                <w14:textFill>
                  <w14:solidFill>
                    <w14:schemeClr w14:val="tx1"/>
                  </w14:solidFill>
                </w14:textFill>
              </w:rPr>
              <w:t>备注</w:t>
            </w:r>
          </w:p>
        </w:tc>
      </w:tr>
      <w:tr w14:paraId="3583C3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1AA6EDBE">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影响</w:t>
            </w:r>
          </w:p>
          <w:p w14:paraId="3097B558">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识别</w:t>
            </w:r>
          </w:p>
        </w:tc>
        <w:tc>
          <w:tcPr>
            <w:tcW w:w="1557" w:type="dxa"/>
            <w:vAlign w:val="center"/>
          </w:tcPr>
          <w:p w14:paraId="5DBCE89F">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影响类型</w:t>
            </w:r>
          </w:p>
        </w:tc>
        <w:tc>
          <w:tcPr>
            <w:tcW w:w="5359" w:type="dxa"/>
            <w:gridSpan w:val="6"/>
            <w:vAlign w:val="center"/>
          </w:tcPr>
          <w:p w14:paraId="5E79FDB7">
            <w:pPr>
              <w:autoSpaceDE w:val="0"/>
              <w:autoSpaceDN w:val="0"/>
              <w:adjustRightInd w:val="0"/>
              <w:spacing w:line="360" w:lineRule="exact"/>
              <w:ind w:firstLine="0" w:firstLineChars="0"/>
              <w:jc w:val="left"/>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污染影响型</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；生态影响型</w:t>
            </w:r>
            <w:r>
              <w:rPr>
                <w:rFonts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；两种兼有</w:t>
            </w:r>
            <w:r>
              <w:rPr>
                <w:rFonts w:ascii="Times New Roman" w:hAnsi="Times New Roman" w:eastAsia="宋体"/>
                <w:color w:val="000000" w:themeColor="text1"/>
                <w:sz w:val="21"/>
                <w:szCs w:val="21"/>
                <w:highlight w:val="none"/>
                <w14:textFill>
                  <w14:solidFill>
                    <w14:schemeClr w14:val="tx1"/>
                  </w14:solidFill>
                </w14:textFill>
              </w:rPr>
              <w:t>□</w:t>
            </w:r>
          </w:p>
        </w:tc>
        <w:tc>
          <w:tcPr>
            <w:tcW w:w="1035" w:type="dxa"/>
            <w:vAlign w:val="center"/>
          </w:tcPr>
          <w:p w14:paraId="347D6196">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698AD8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1137F458">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20A5BFE7">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土地利用类型</w:t>
            </w:r>
          </w:p>
        </w:tc>
        <w:tc>
          <w:tcPr>
            <w:tcW w:w="5359" w:type="dxa"/>
            <w:gridSpan w:val="6"/>
            <w:vAlign w:val="center"/>
          </w:tcPr>
          <w:p w14:paraId="75C8228C">
            <w:pPr>
              <w:autoSpaceDE w:val="0"/>
              <w:autoSpaceDN w:val="0"/>
              <w:adjustRightInd w:val="0"/>
              <w:spacing w:line="360" w:lineRule="exact"/>
              <w:ind w:firstLine="0" w:firstLineChars="0"/>
              <w:jc w:val="left"/>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建设用地</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sz w:val="21"/>
                <w:szCs w:val="21"/>
                <w:highlight w:val="none"/>
                <w14:textFill>
                  <w14:solidFill>
                    <w14:schemeClr w14:val="tx1"/>
                  </w14:solidFill>
                </w14:textFill>
              </w:rPr>
              <w:t>；农用地</w:t>
            </w:r>
            <w:r>
              <w:rPr>
                <w:rFonts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kern w:val="0"/>
                <w:sz w:val="21"/>
                <w:szCs w:val="21"/>
                <w:highlight w:val="none"/>
                <w14:textFill>
                  <w14:solidFill>
                    <w14:schemeClr w14:val="tx1"/>
                  </w14:solidFill>
                </w14:textFill>
              </w:rPr>
              <w:t>；未利用地</w:t>
            </w:r>
            <w:r>
              <w:rPr>
                <w:rFonts w:ascii="Times New Roman" w:hAnsi="Times New Roman" w:eastAsia="宋体"/>
                <w:color w:val="000000" w:themeColor="text1"/>
                <w:sz w:val="21"/>
                <w:szCs w:val="21"/>
                <w:highlight w:val="none"/>
                <w14:textFill>
                  <w14:solidFill>
                    <w14:schemeClr w14:val="tx1"/>
                  </w14:solidFill>
                </w14:textFill>
              </w:rPr>
              <w:t>□</w:t>
            </w:r>
          </w:p>
        </w:tc>
        <w:tc>
          <w:tcPr>
            <w:tcW w:w="1035" w:type="dxa"/>
            <w:vAlign w:val="center"/>
          </w:tcPr>
          <w:p w14:paraId="0219BD06">
            <w:pPr>
              <w:autoSpaceDE w:val="0"/>
              <w:autoSpaceDN w:val="0"/>
              <w:adjustRightInd w:val="0"/>
              <w:spacing w:line="360" w:lineRule="exact"/>
              <w:ind w:firstLine="0" w:firstLineChars="0"/>
              <w:jc w:val="center"/>
              <w:rPr>
                <w:rFonts w:ascii="Times New Roman" w:hAnsi="Times New Roman" w:eastAsia="宋体"/>
                <w:color w:val="000000" w:themeColor="text1"/>
                <w:spacing w:val="10"/>
                <w:kern w:val="0"/>
                <w:position w:val="-1"/>
                <w:sz w:val="21"/>
                <w:szCs w:val="21"/>
                <w:highlight w:val="none"/>
                <w14:textFill>
                  <w14:solidFill>
                    <w14:schemeClr w14:val="tx1"/>
                  </w14:solidFill>
                </w14:textFill>
              </w:rPr>
            </w:pPr>
            <w:r>
              <w:rPr>
                <w:rFonts w:ascii="Times New Roman" w:hAnsi="Times New Roman" w:eastAsia="宋体"/>
                <w:color w:val="000000" w:themeColor="text1"/>
                <w:spacing w:val="10"/>
                <w:kern w:val="0"/>
                <w:position w:val="-1"/>
                <w:sz w:val="21"/>
                <w:szCs w:val="21"/>
                <w:highlight w:val="none"/>
                <w14:textFill>
                  <w14:solidFill>
                    <w14:schemeClr w14:val="tx1"/>
                  </w14:solidFill>
                </w14:textFill>
              </w:rPr>
              <w:t>土</w:t>
            </w:r>
            <w:r>
              <w:rPr>
                <w:rFonts w:ascii="Times New Roman" w:hAnsi="Times New Roman" w:eastAsia="宋体"/>
                <w:color w:val="000000" w:themeColor="text1"/>
                <w:spacing w:val="7"/>
                <w:kern w:val="0"/>
                <w:position w:val="-1"/>
                <w:sz w:val="21"/>
                <w:szCs w:val="21"/>
                <w:highlight w:val="none"/>
                <w14:textFill>
                  <w14:solidFill>
                    <w14:schemeClr w14:val="tx1"/>
                  </w14:solidFill>
                </w14:textFill>
              </w:rPr>
              <w:t>地</w:t>
            </w:r>
            <w:r>
              <w:rPr>
                <w:rFonts w:ascii="Times New Roman" w:hAnsi="Times New Roman" w:eastAsia="宋体"/>
                <w:color w:val="000000" w:themeColor="text1"/>
                <w:spacing w:val="10"/>
                <w:kern w:val="0"/>
                <w:position w:val="-1"/>
                <w:sz w:val="21"/>
                <w:szCs w:val="21"/>
                <w:highlight w:val="none"/>
                <w14:textFill>
                  <w14:solidFill>
                    <w14:schemeClr w14:val="tx1"/>
                  </w14:solidFill>
                </w14:textFill>
              </w:rPr>
              <w:t>利用</w:t>
            </w:r>
          </w:p>
          <w:p w14:paraId="47DF548F">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类</w:t>
            </w:r>
            <w:r>
              <w:rPr>
                <w:rFonts w:ascii="Times New Roman" w:hAnsi="Times New Roman" w:eastAsia="宋体"/>
                <w:color w:val="000000" w:themeColor="text1"/>
                <w:kern w:val="0"/>
                <w:sz w:val="21"/>
                <w:szCs w:val="21"/>
                <w:highlight w:val="none"/>
                <w14:textFill>
                  <w14:solidFill>
                    <w14:schemeClr w14:val="tx1"/>
                  </w14:solidFill>
                </w14:textFill>
              </w:rPr>
              <w:t>型图</w:t>
            </w:r>
          </w:p>
        </w:tc>
      </w:tr>
      <w:tr w14:paraId="7B4535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7BAEA954">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7827AF2C">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占地规模</w:t>
            </w:r>
          </w:p>
        </w:tc>
        <w:tc>
          <w:tcPr>
            <w:tcW w:w="5359" w:type="dxa"/>
            <w:gridSpan w:val="6"/>
            <w:vAlign w:val="center"/>
          </w:tcPr>
          <w:p w14:paraId="5DD8DA8A">
            <w:pPr>
              <w:tabs>
                <w:tab w:val="left" w:pos="1360"/>
              </w:tabs>
              <w:autoSpaceDE w:val="0"/>
              <w:autoSpaceDN w:val="0"/>
              <w:adjustRightInd w:val="0"/>
              <w:spacing w:line="360" w:lineRule="exact"/>
              <w:ind w:firstLine="0" w:firstLineChars="0"/>
              <w:jc w:val="left"/>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hint="eastAsia" w:ascii="Times New Roman" w:hAnsi="Times New Roman" w:eastAsia="宋体"/>
                <w:color w:val="000000" w:themeColor="text1"/>
                <w:kern w:val="0"/>
                <w:position w:val="-1"/>
                <w:sz w:val="21"/>
                <w:szCs w:val="21"/>
                <w:highlight w:val="none"/>
                <w:lang w:val="en-US" w:eastAsia="zh-CN"/>
                <w14:textFill>
                  <w14:solidFill>
                    <w14:schemeClr w14:val="tx1"/>
                  </w14:solidFill>
                </w14:textFill>
              </w:rPr>
              <w:t>42.96</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hm</w:t>
            </w:r>
            <w:r>
              <w:rPr>
                <w:rFonts w:ascii="Times New Roman" w:hAnsi="Times New Roman" w:eastAsia="宋体"/>
                <w:color w:val="000000" w:themeColor="text1"/>
                <w:spacing w:val="1"/>
                <w:kern w:val="0"/>
                <w:position w:val="-1"/>
                <w:sz w:val="21"/>
                <w:szCs w:val="21"/>
                <w:highlight w:val="none"/>
                <w:vertAlign w:val="superscript"/>
                <w14:textFill>
                  <w14:solidFill>
                    <w14:schemeClr w14:val="tx1"/>
                  </w14:solidFill>
                </w14:textFill>
              </w:rPr>
              <w:t>2</w:t>
            </w:r>
          </w:p>
        </w:tc>
        <w:tc>
          <w:tcPr>
            <w:tcW w:w="1035" w:type="dxa"/>
            <w:vAlign w:val="center"/>
          </w:tcPr>
          <w:p w14:paraId="4B0F8E08">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hint="eastAsia" w:ascii="Times New Roman" w:hAnsi="Times New Roman" w:eastAsia="宋体"/>
                <w:color w:val="000000" w:themeColor="text1"/>
                <w:spacing w:val="10"/>
                <w:kern w:val="0"/>
                <w:position w:val="-1"/>
                <w:sz w:val="21"/>
                <w:szCs w:val="21"/>
                <w:highlight w:val="none"/>
                <w14:textFill>
                  <w14:solidFill>
                    <w14:schemeClr w14:val="tx1"/>
                  </w14:solidFill>
                </w14:textFill>
              </w:rPr>
              <w:t>新增</w:t>
            </w:r>
          </w:p>
        </w:tc>
      </w:tr>
      <w:tr w14:paraId="0A95E0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4FCF3430">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3BC160B8">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敏感目标信息</w:t>
            </w:r>
          </w:p>
        </w:tc>
        <w:tc>
          <w:tcPr>
            <w:tcW w:w="5359" w:type="dxa"/>
            <w:gridSpan w:val="6"/>
            <w:vAlign w:val="center"/>
          </w:tcPr>
          <w:p w14:paraId="3D2D7C58">
            <w:pPr>
              <w:tabs>
                <w:tab w:val="left" w:pos="1620"/>
                <w:tab w:val="left" w:pos="3520"/>
                <w:tab w:val="left" w:pos="5140"/>
              </w:tabs>
              <w:autoSpaceDE w:val="0"/>
              <w:autoSpaceDN w:val="0"/>
              <w:adjustRightInd w:val="0"/>
              <w:spacing w:line="360" w:lineRule="exact"/>
              <w:ind w:firstLine="0" w:firstLineChars="0"/>
              <w:jc w:val="left"/>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敏感目标（</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）、方位（</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）、距离（</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w:t>
            </w:r>
          </w:p>
        </w:tc>
        <w:tc>
          <w:tcPr>
            <w:tcW w:w="1035" w:type="dxa"/>
            <w:vAlign w:val="center"/>
          </w:tcPr>
          <w:p w14:paraId="4DA23156">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518C85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48F916BD">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755A5AB2">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影响途径</w:t>
            </w:r>
          </w:p>
        </w:tc>
        <w:tc>
          <w:tcPr>
            <w:tcW w:w="5359" w:type="dxa"/>
            <w:gridSpan w:val="6"/>
            <w:vAlign w:val="center"/>
          </w:tcPr>
          <w:p w14:paraId="33D05A68">
            <w:pPr>
              <w:tabs>
                <w:tab w:val="left" w:pos="5220"/>
              </w:tabs>
              <w:autoSpaceDE w:val="0"/>
              <w:autoSpaceDN w:val="0"/>
              <w:adjustRightInd w:val="0"/>
              <w:spacing w:line="360" w:lineRule="exact"/>
              <w:ind w:firstLine="0" w:firstLineChars="0"/>
              <w:jc w:val="left"/>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大气沉降</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；地面漫流</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；垂直入渗</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；地下水位</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；其他（ ）</w:t>
            </w:r>
          </w:p>
        </w:tc>
        <w:tc>
          <w:tcPr>
            <w:tcW w:w="1035" w:type="dxa"/>
            <w:vAlign w:val="center"/>
          </w:tcPr>
          <w:p w14:paraId="2A7042D0">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4BE5DB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6BFA1FC0">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390263EE">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全部污染物</w:t>
            </w:r>
          </w:p>
        </w:tc>
        <w:tc>
          <w:tcPr>
            <w:tcW w:w="5359" w:type="dxa"/>
            <w:gridSpan w:val="6"/>
            <w:vAlign w:val="center"/>
          </w:tcPr>
          <w:p w14:paraId="29444C68">
            <w:pPr>
              <w:autoSpaceDE w:val="0"/>
              <w:autoSpaceDN w:val="0"/>
              <w:adjustRightInd w:val="0"/>
              <w:spacing w:line="360" w:lineRule="exact"/>
              <w:ind w:firstLine="0" w:firstLineChars="0"/>
              <w:jc w:val="center"/>
              <w:rPr>
                <w:rFonts w:ascii="Times New Roman" w:hAnsi="Times New Roman" w:eastAsia="宋体"/>
                <w:b/>
                <w:bCs/>
                <w:color w:val="000000" w:themeColor="text1"/>
                <w:kern w:val="0"/>
                <w:sz w:val="21"/>
                <w:szCs w:val="21"/>
                <w:highlight w:val="none"/>
                <w14:textFill>
                  <w14:solidFill>
                    <w14:schemeClr w14:val="tx1"/>
                  </w14:solidFill>
                </w14:textFill>
              </w:rPr>
            </w:pPr>
            <w:r>
              <w:rPr>
                <w:rFonts w:ascii="Times New Roman" w:hAnsi="Times New Roman" w:eastAsia="宋体"/>
                <w:bCs/>
                <w:color w:val="000000" w:themeColor="text1"/>
                <w:sz w:val="21"/>
                <w:szCs w:val="21"/>
                <w:highlight w:val="none"/>
                <w14:textFill>
                  <w14:solidFill>
                    <w14:schemeClr w14:val="tx1"/>
                  </w14:solidFill>
                </w14:textFill>
              </w:rPr>
              <w:t>pH、砷、镉、六价铬、铜、铅、汞、镍</w:t>
            </w:r>
          </w:p>
        </w:tc>
        <w:tc>
          <w:tcPr>
            <w:tcW w:w="1035" w:type="dxa"/>
            <w:vAlign w:val="center"/>
          </w:tcPr>
          <w:p w14:paraId="00647AD5">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51443D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49AFF125">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5B58477F">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特征因子</w:t>
            </w:r>
          </w:p>
        </w:tc>
        <w:tc>
          <w:tcPr>
            <w:tcW w:w="5359" w:type="dxa"/>
            <w:gridSpan w:val="6"/>
            <w:vAlign w:val="center"/>
          </w:tcPr>
          <w:p w14:paraId="1793F863">
            <w:pPr>
              <w:autoSpaceDE w:val="0"/>
              <w:autoSpaceDN w:val="0"/>
              <w:adjustRightInd w:val="0"/>
              <w:spacing w:line="360" w:lineRule="exact"/>
              <w:ind w:firstLine="0" w:firstLineChars="0"/>
              <w:jc w:val="center"/>
              <w:rPr>
                <w:rFonts w:hint="eastAsia" w:ascii="Times New Roman" w:hAnsi="Times New Roman" w:eastAsia="宋体"/>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砷</w:t>
            </w:r>
          </w:p>
        </w:tc>
        <w:tc>
          <w:tcPr>
            <w:tcW w:w="1035" w:type="dxa"/>
            <w:vAlign w:val="center"/>
          </w:tcPr>
          <w:p w14:paraId="5F3E9E4A">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29D5E1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6491D12E">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710D5D6F">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所属土壤环境影响</w:t>
            </w:r>
            <w:r>
              <w:rPr>
                <w:rFonts w:ascii="Times New Roman" w:hAnsi="Times New Roman" w:eastAsia="宋体"/>
                <w:color w:val="000000" w:themeColor="text1"/>
                <w:kern w:val="0"/>
                <w:sz w:val="21"/>
                <w:szCs w:val="21"/>
                <w:highlight w:val="none"/>
                <w14:textFill>
                  <w14:solidFill>
                    <w14:schemeClr w14:val="tx1"/>
                  </w14:solidFill>
                </w14:textFill>
              </w:rPr>
              <w:t>评价项目类别</w:t>
            </w:r>
          </w:p>
        </w:tc>
        <w:tc>
          <w:tcPr>
            <w:tcW w:w="5359" w:type="dxa"/>
            <w:gridSpan w:val="6"/>
            <w:vAlign w:val="center"/>
          </w:tcPr>
          <w:p w14:paraId="235B7620">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Ⅰ类</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sz w:val="21"/>
                <w:szCs w:val="21"/>
                <w:highlight w:val="none"/>
                <w14:textFill>
                  <w14:solidFill>
                    <w14:schemeClr w14:val="tx1"/>
                  </w14:solidFill>
                </w14:textFill>
              </w:rPr>
              <w:t>；Ⅱ类</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sz w:val="21"/>
                <w:szCs w:val="21"/>
                <w:highlight w:val="none"/>
                <w14:textFill>
                  <w14:solidFill>
                    <w14:schemeClr w14:val="tx1"/>
                  </w14:solidFill>
                </w14:textFill>
              </w:rPr>
              <w:t>；Ⅲ类</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sz w:val="21"/>
                <w:szCs w:val="21"/>
                <w:highlight w:val="none"/>
                <w14:textFill>
                  <w14:solidFill>
                    <w14:schemeClr w14:val="tx1"/>
                  </w14:solidFill>
                </w14:textFill>
              </w:rPr>
              <w:t>；Ⅳ类</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1035" w:type="dxa"/>
            <w:vAlign w:val="center"/>
          </w:tcPr>
          <w:p w14:paraId="120B157C">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21E949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2FA2FD90">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12BAB64F">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敏感程度</w:t>
            </w:r>
          </w:p>
        </w:tc>
        <w:tc>
          <w:tcPr>
            <w:tcW w:w="5359" w:type="dxa"/>
            <w:gridSpan w:val="6"/>
            <w:vAlign w:val="center"/>
          </w:tcPr>
          <w:p w14:paraId="507983DB">
            <w:pPr>
              <w:autoSpaceDE w:val="0"/>
              <w:autoSpaceDN w:val="0"/>
              <w:adjustRightInd w:val="0"/>
              <w:spacing w:line="360" w:lineRule="exact"/>
              <w:ind w:firstLine="0" w:firstLineChars="0"/>
              <w:jc w:val="center"/>
              <w:rPr>
                <w:rFonts w:hint="eastAsia" w:ascii="Times New Roman" w:hAnsi="Times New Roman" w:eastAsia="宋体"/>
                <w:color w:val="000000" w:themeColor="text1"/>
                <w:kern w:val="0"/>
                <w:sz w:val="21"/>
                <w:szCs w:val="21"/>
                <w:highlight w:val="none"/>
                <w:lang w:eastAsia="zh-CN"/>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敏感</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；较敏感</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；不敏感</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1035" w:type="dxa"/>
            <w:vAlign w:val="center"/>
          </w:tcPr>
          <w:p w14:paraId="34C59389">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1C32E7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940" w:type="dxa"/>
            <w:gridSpan w:val="2"/>
            <w:vAlign w:val="center"/>
          </w:tcPr>
          <w:p w14:paraId="64D9EBAC">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评价工作等级</w:t>
            </w:r>
          </w:p>
        </w:tc>
        <w:tc>
          <w:tcPr>
            <w:tcW w:w="5359" w:type="dxa"/>
            <w:gridSpan w:val="6"/>
            <w:vAlign w:val="center"/>
          </w:tcPr>
          <w:p w14:paraId="7FE1A80D">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一级</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；二级</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；三级</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1035" w:type="dxa"/>
            <w:vAlign w:val="center"/>
          </w:tcPr>
          <w:p w14:paraId="3DC15B47">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669E3D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7D237C5B">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现状</w:t>
            </w:r>
          </w:p>
          <w:p w14:paraId="56291C49">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调查内容</w:t>
            </w:r>
          </w:p>
        </w:tc>
        <w:tc>
          <w:tcPr>
            <w:tcW w:w="1557" w:type="dxa"/>
            <w:vAlign w:val="center"/>
          </w:tcPr>
          <w:p w14:paraId="221D4764">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资料收集</w:t>
            </w:r>
          </w:p>
        </w:tc>
        <w:tc>
          <w:tcPr>
            <w:tcW w:w="5359" w:type="dxa"/>
            <w:gridSpan w:val="6"/>
            <w:vAlign w:val="center"/>
          </w:tcPr>
          <w:p w14:paraId="0630F1C3">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spacing w:val="-1"/>
                <w:w w:val="99"/>
                <w:kern w:val="0"/>
                <w:position w:val="-1"/>
                <w:sz w:val="21"/>
                <w:szCs w:val="21"/>
                <w:highlight w:val="none"/>
                <w14:textFill>
                  <w14:solidFill>
                    <w14:schemeClr w14:val="tx1"/>
                  </w14:solidFill>
                </w14:textFill>
              </w:rPr>
              <w:t>a</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b</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ascii="Times New Roman" w:hAnsi="Times New Roman" w:eastAsia="宋体"/>
                <w:color w:val="000000" w:themeColor="text1"/>
                <w:spacing w:val="2"/>
                <w:w w:val="99"/>
                <w:kern w:val="0"/>
                <w:position w:val="-1"/>
                <w:sz w:val="21"/>
                <w:szCs w:val="21"/>
                <w:highlight w:val="none"/>
                <w14:textFill>
                  <w14:solidFill>
                    <w14:schemeClr w14:val="tx1"/>
                  </w14:solidFill>
                </w14:textFill>
              </w:rPr>
              <w:t>c</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ascii="Times New Roman" w:hAnsi="Times New Roman" w:eastAsia="宋体"/>
                <w:color w:val="000000" w:themeColor="text1"/>
                <w:spacing w:val="-1"/>
                <w:w w:val="78"/>
                <w:kern w:val="0"/>
                <w:position w:val="-1"/>
                <w:sz w:val="21"/>
                <w:szCs w:val="21"/>
                <w:highlight w:val="none"/>
                <w14:textFill>
                  <w14:solidFill>
                    <w14:schemeClr w14:val="tx1"/>
                  </w14:solidFill>
                </w14:textFill>
              </w:rPr>
              <w:t>d</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1035" w:type="dxa"/>
            <w:vAlign w:val="center"/>
          </w:tcPr>
          <w:p w14:paraId="07C2BEA9">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46EF4F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28C248E9">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1FD84063">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理化特性</w:t>
            </w:r>
          </w:p>
        </w:tc>
        <w:tc>
          <w:tcPr>
            <w:tcW w:w="5359" w:type="dxa"/>
            <w:gridSpan w:val="6"/>
            <w:vAlign w:val="center"/>
          </w:tcPr>
          <w:p w14:paraId="25FD219B">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035" w:type="dxa"/>
            <w:vAlign w:val="center"/>
          </w:tcPr>
          <w:p w14:paraId="25C3DD17">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同附录C</w:t>
            </w:r>
          </w:p>
        </w:tc>
      </w:tr>
      <w:tr w14:paraId="6168FC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186AFC00">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Merge w:val="restart"/>
            <w:vAlign w:val="center"/>
          </w:tcPr>
          <w:p w14:paraId="6E9C3700">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现状监测点位</w:t>
            </w:r>
          </w:p>
        </w:tc>
        <w:tc>
          <w:tcPr>
            <w:tcW w:w="1216" w:type="dxa"/>
            <w:gridSpan w:val="2"/>
            <w:vAlign w:val="center"/>
          </w:tcPr>
          <w:p w14:paraId="612CAEFB">
            <w:pPr>
              <w:autoSpaceDE w:val="0"/>
              <w:autoSpaceDN w:val="0"/>
              <w:adjustRightInd w:val="0"/>
              <w:spacing w:line="360" w:lineRule="exact"/>
              <w:ind w:firstLine="0" w:firstLineChars="0"/>
              <w:jc w:val="center"/>
              <w:rPr>
                <w:rFonts w:hint="default" w:ascii="Times New Roman" w:hAnsi="Times New Roman" w:eastAsia="宋体"/>
                <w:color w:val="000000" w:themeColor="text1"/>
                <w:kern w:val="0"/>
                <w:sz w:val="21"/>
                <w:szCs w:val="21"/>
                <w:highlight w:val="none"/>
                <w:lang w:val="en-US" w:eastAsia="zh-CN"/>
                <w14:textFill>
                  <w14:solidFill>
                    <w14:schemeClr w14:val="tx1"/>
                  </w14:solidFill>
                </w14:textFill>
              </w:rPr>
            </w:pPr>
          </w:p>
        </w:tc>
        <w:tc>
          <w:tcPr>
            <w:tcW w:w="1377" w:type="dxa"/>
            <w:vAlign w:val="center"/>
          </w:tcPr>
          <w:p w14:paraId="47215DB1">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占地范围内</w:t>
            </w:r>
          </w:p>
        </w:tc>
        <w:tc>
          <w:tcPr>
            <w:tcW w:w="1785" w:type="dxa"/>
            <w:gridSpan w:val="2"/>
            <w:vAlign w:val="center"/>
          </w:tcPr>
          <w:p w14:paraId="1D51C374">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占地范围外</w:t>
            </w:r>
          </w:p>
        </w:tc>
        <w:tc>
          <w:tcPr>
            <w:tcW w:w="981" w:type="dxa"/>
            <w:vAlign w:val="center"/>
          </w:tcPr>
          <w:p w14:paraId="700FBCB3">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深度</w:t>
            </w:r>
          </w:p>
        </w:tc>
        <w:tc>
          <w:tcPr>
            <w:tcW w:w="1035" w:type="dxa"/>
            <w:vMerge w:val="restart"/>
            <w:vAlign w:val="center"/>
          </w:tcPr>
          <w:p w14:paraId="1EBDB620">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点位布置图</w:t>
            </w:r>
          </w:p>
        </w:tc>
      </w:tr>
      <w:tr w14:paraId="6C4644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A6EA22C">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Merge w:val="continue"/>
            <w:vAlign w:val="center"/>
          </w:tcPr>
          <w:p w14:paraId="40224638">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216" w:type="dxa"/>
            <w:gridSpan w:val="2"/>
            <w:vAlign w:val="center"/>
          </w:tcPr>
          <w:p w14:paraId="0C8387C6">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表层样点数</w:t>
            </w:r>
          </w:p>
        </w:tc>
        <w:tc>
          <w:tcPr>
            <w:tcW w:w="1377" w:type="dxa"/>
            <w:vAlign w:val="center"/>
          </w:tcPr>
          <w:p w14:paraId="6B64DC04">
            <w:pPr>
              <w:autoSpaceDE w:val="0"/>
              <w:autoSpaceDN w:val="0"/>
              <w:adjustRightInd w:val="0"/>
              <w:spacing w:line="360" w:lineRule="exact"/>
              <w:ind w:firstLine="0" w:firstLineChars="0"/>
              <w:jc w:val="cente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2</w:t>
            </w:r>
          </w:p>
        </w:tc>
        <w:tc>
          <w:tcPr>
            <w:tcW w:w="1785" w:type="dxa"/>
            <w:gridSpan w:val="2"/>
            <w:vAlign w:val="center"/>
          </w:tcPr>
          <w:p w14:paraId="2F37CD7C">
            <w:pPr>
              <w:autoSpaceDE w:val="0"/>
              <w:autoSpaceDN w:val="0"/>
              <w:adjustRightInd w:val="0"/>
              <w:spacing w:line="360" w:lineRule="exact"/>
              <w:ind w:firstLine="0" w:firstLineChars="0"/>
              <w:jc w:val="center"/>
              <w:rPr>
                <w:rFonts w:hint="default" w:ascii="Times New Roman" w:hAnsi="Times New Roman" w:eastAsia="宋体"/>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4</w:t>
            </w:r>
          </w:p>
        </w:tc>
        <w:tc>
          <w:tcPr>
            <w:tcW w:w="981" w:type="dxa"/>
            <w:vAlign w:val="center"/>
          </w:tcPr>
          <w:p w14:paraId="21B24F03">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0~0.2m</w:t>
            </w:r>
          </w:p>
        </w:tc>
        <w:tc>
          <w:tcPr>
            <w:tcW w:w="1035" w:type="dxa"/>
            <w:vMerge w:val="continue"/>
            <w:vAlign w:val="center"/>
          </w:tcPr>
          <w:p w14:paraId="4200CAC6">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0F54BB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6D88F46">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Merge w:val="continue"/>
            <w:vAlign w:val="center"/>
          </w:tcPr>
          <w:p w14:paraId="141E4784">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216" w:type="dxa"/>
            <w:gridSpan w:val="2"/>
            <w:vAlign w:val="center"/>
          </w:tcPr>
          <w:p w14:paraId="48A41368">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柱状样点数</w:t>
            </w:r>
          </w:p>
        </w:tc>
        <w:tc>
          <w:tcPr>
            <w:tcW w:w="1377" w:type="dxa"/>
            <w:vAlign w:val="center"/>
          </w:tcPr>
          <w:p w14:paraId="249FB0F5">
            <w:pPr>
              <w:autoSpaceDE w:val="0"/>
              <w:autoSpaceDN w:val="0"/>
              <w:adjustRightInd w:val="0"/>
              <w:spacing w:line="360" w:lineRule="exact"/>
              <w:ind w:firstLine="0" w:firstLineChars="0"/>
              <w:jc w:val="center"/>
              <w:rPr>
                <w:rFonts w:hint="default" w:ascii="Times New Roman" w:hAnsi="Times New Roman" w:eastAsia="宋体"/>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6</w:t>
            </w:r>
          </w:p>
        </w:tc>
        <w:tc>
          <w:tcPr>
            <w:tcW w:w="1785" w:type="dxa"/>
            <w:gridSpan w:val="2"/>
            <w:vAlign w:val="center"/>
          </w:tcPr>
          <w:p w14:paraId="254474FE">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w:t>
            </w:r>
          </w:p>
        </w:tc>
        <w:tc>
          <w:tcPr>
            <w:tcW w:w="981" w:type="dxa"/>
            <w:vAlign w:val="center"/>
          </w:tcPr>
          <w:p w14:paraId="491D9F1D">
            <w:pPr>
              <w:autoSpaceDE w:val="0"/>
              <w:autoSpaceDN w:val="0"/>
              <w:adjustRightInd w:val="0"/>
              <w:spacing w:line="240" w:lineRule="atLeas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0~0.5m</w:t>
            </w:r>
          </w:p>
          <w:p w14:paraId="7A2E2C66">
            <w:pPr>
              <w:autoSpaceDE w:val="0"/>
              <w:autoSpaceDN w:val="0"/>
              <w:adjustRightInd w:val="0"/>
              <w:spacing w:line="240" w:lineRule="atLeas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0.5~1.5m</w:t>
            </w:r>
          </w:p>
          <w:p w14:paraId="5FE920A4">
            <w:pPr>
              <w:autoSpaceDE w:val="0"/>
              <w:autoSpaceDN w:val="0"/>
              <w:adjustRightInd w:val="0"/>
              <w:spacing w:line="240" w:lineRule="atLeas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1.5~3m</w:t>
            </w:r>
          </w:p>
        </w:tc>
        <w:tc>
          <w:tcPr>
            <w:tcW w:w="1035" w:type="dxa"/>
            <w:vMerge w:val="continue"/>
            <w:vAlign w:val="center"/>
          </w:tcPr>
          <w:p w14:paraId="5EFC3242">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7326F5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91AA472">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49AEC5CC">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现状监测因子</w:t>
            </w:r>
          </w:p>
        </w:tc>
        <w:tc>
          <w:tcPr>
            <w:tcW w:w="5359" w:type="dxa"/>
            <w:gridSpan w:val="6"/>
            <w:vAlign w:val="center"/>
          </w:tcPr>
          <w:p w14:paraId="69774F98">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基本45项及pH、含盐量</w:t>
            </w:r>
          </w:p>
        </w:tc>
        <w:tc>
          <w:tcPr>
            <w:tcW w:w="1035" w:type="dxa"/>
            <w:vAlign w:val="center"/>
          </w:tcPr>
          <w:p w14:paraId="673174A8">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082337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1A3BAC25">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现</w:t>
            </w:r>
            <w:r>
              <w:rPr>
                <w:rFonts w:ascii="Times New Roman" w:hAnsi="Times New Roman" w:eastAsia="宋体"/>
                <w:color w:val="000000" w:themeColor="text1"/>
                <w:kern w:val="0"/>
                <w:sz w:val="21"/>
                <w:szCs w:val="21"/>
                <w:highlight w:val="none"/>
                <w14:textFill>
                  <w14:solidFill>
                    <w14:schemeClr w14:val="tx1"/>
                  </w14:solidFill>
                </w14:textFill>
              </w:rPr>
              <w:t>状</w:t>
            </w:r>
          </w:p>
          <w:p w14:paraId="6D236565">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评价</w:t>
            </w:r>
          </w:p>
        </w:tc>
        <w:tc>
          <w:tcPr>
            <w:tcW w:w="1557" w:type="dxa"/>
            <w:vAlign w:val="center"/>
          </w:tcPr>
          <w:p w14:paraId="2069151F">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评价因子</w:t>
            </w:r>
          </w:p>
        </w:tc>
        <w:tc>
          <w:tcPr>
            <w:tcW w:w="5359" w:type="dxa"/>
            <w:gridSpan w:val="6"/>
            <w:vAlign w:val="center"/>
          </w:tcPr>
          <w:p w14:paraId="24CE8947">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基本45项</w:t>
            </w:r>
          </w:p>
        </w:tc>
        <w:tc>
          <w:tcPr>
            <w:tcW w:w="1035" w:type="dxa"/>
            <w:vAlign w:val="center"/>
          </w:tcPr>
          <w:p w14:paraId="46AAC656">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4A0D12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2EC006CC">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57C8FCEA">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评价标准</w:t>
            </w:r>
          </w:p>
        </w:tc>
        <w:tc>
          <w:tcPr>
            <w:tcW w:w="5359" w:type="dxa"/>
            <w:gridSpan w:val="6"/>
            <w:vAlign w:val="center"/>
          </w:tcPr>
          <w:p w14:paraId="49402E9C">
            <w:pPr>
              <w:tabs>
                <w:tab w:val="left" w:pos="5080"/>
              </w:tabs>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GB</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1</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5</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6</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18</w:t>
            </w:r>
            <w:r>
              <w:rPr>
                <w:rFonts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；G</w:t>
            </w:r>
            <w:r>
              <w:rPr>
                <w:rFonts w:ascii="Times New Roman" w:hAnsi="Times New Roman" w:eastAsia="宋体"/>
                <w:color w:val="000000" w:themeColor="text1"/>
                <w:w w:val="99"/>
                <w:kern w:val="0"/>
                <w:position w:val="-1"/>
                <w:sz w:val="21"/>
                <w:szCs w:val="21"/>
                <w:highlight w:val="none"/>
                <w14:textFill>
                  <w14:solidFill>
                    <w14:schemeClr w14:val="tx1"/>
                  </w14:solidFill>
                </w14:textFill>
              </w:rPr>
              <w:t>B</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3</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6</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6</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0</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0</w:t>
            </w:r>
            <w:r>
              <w:rPr>
                <w:rFonts w:hint="eastAsia"/>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；表D</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.1</w:t>
            </w:r>
            <w:r>
              <w:rPr>
                <w:rFonts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；表D</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；其他（        ）</w:t>
            </w:r>
          </w:p>
        </w:tc>
        <w:tc>
          <w:tcPr>
            <w:tcW w:w="1035" w:type="dxa"/>
            <w:vAlign w:val="center"/>
          </w:tcPr>
          <w:p w14:paraId="552D5386">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128D1A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7F84E3E9">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55A214EC">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现状评价结论</w:t>
            </w:r>
          </w:p>
        </w:tc>
        <w:tc>
          <w:tcPr>
            <w:tcW w:w="5359" w:type="dxa"/>
            <w:gridSpan w:val="6"/>
            <w:vAlign w:val="center"/>
          </w:tcPr>
          <w:p w14:paraId="11E6F053">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各监测点监测结果均能达到《土壤环境质量 建设用地土壤污染风险管控标准（试行）》（GB36600-2018）第二类用地筛选值要求。</w:t>
            </w:r>
          </w:p>
        </w:tc>
        <w:tc>
          <w:tcPr>
            <w:tcW w:w="1035" w:type="dxa"/>
            <w:vAlign w:val="center"/>
          </w:tcPr>
          <w:p w14:paraId="3CC4728B">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21BA5B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3E90B9FD">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影响预测</w:t>
            </w:r>
          </w:p>
        </w:tc>
        <w:tc>
          <w:tcPr>
            <w:tcW w:w="1557" w:type="dxa"/>
            <w:vAlign w:val="center"/>
          </w:tcPr>
          <w:p w14:paraId="697C7C90">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预测因子</w:t>
            </w:r>
          </w:p>
        </w:tc>
        <w:tc>
          <w:tcPr>
            <w:tcW w:w="5359" w:type="dxa"/>
            <w:gridSpan w:val="6"/>
            <w:vAlign w:val="center"/>
          </w:tcPr>
          <w:p w14:paraId="01746F8F">
            <w:pPr>
              <w:autoSpaceDE w:val="0"/>
              <w:autoSpaceDN w:val="0"/>
              <w:adjustRightInd w:val="0"/>
              <w:spacing w:line="360" w:lineRule="exact"/>
              <w:ind w:firstLine="0" w:firstLineChars="0"/>
              <w:jc w:val="center"/>
              <w:rPr>
                <w:rFonts w:hint="eastAsia" w:ascii="Times New Roman" w:hAnsi="Times New Roman"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砷</w:t>
            </w:r>
          </w:p>
        </w:tc>
        <w:tc>
          <w:tcPr>
            <w:tcW w:w="1035" w:type="dxa"/>
            <w:vAlign w:val="center"/>
          </w:tcPr>
          <w:p w14:paraId="7BADF41D">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662AE7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7974E723">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4420FE7E">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预测方法</w:t>
            </w:r>
          </w:p>
        </w:tc>
        <w:tc>
          <w:tcPr>
            <w:tcW w:w="5359" w:type="dxa"/>
            <w:gridSpan w:val="6"/>
            <w:vAlign w:val="center"/>
          </w:tcPr>
          <w:p w14:paraId="64B9AB1C">
            <w:pPr>
              <w:tabs>
                <w:tab w:val="left" w:pos="2920"/>
              </w:tabs>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附录</w:t>
            </w:r>
            <w:r>
              <w:rPr>
                <w:rFonts w:ascii="Times New Roman" w:hAnsi="Times New Roman" w:eastAsia="宋体"/>
                <w:color w:val="000000" w:themeColor="text1"/>
                <w:spacing w:val="-2"/>
                <w:w w:val="99"/>
                <w:kern w:val="0"/>
                <w:position w:val="-1"/>
                <w:sz w:val="21"/>
                <w:szCs w:val="21"/>
                <w:highlight w:val="none"/>
                <w14:textFill>
                  <w14:solidFill>
                    <w14:schemeClr w14:val="tx1"/>
                  </w14:solidFill>
                </w14:textFill>
              </w:rPr>
              <w:t>E</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；附录</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F</w:t>
            </w:r>
            <w:r>
              <w:rPr>
                <w:rFonts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；其他（        ）</w:t>
            </w:r>
          </w:p>
        </w:tc>
        <w:tc>
          <w:tcPr>
            <w:tcW w:w="1035" w:type="dxa"/>
            <w:vAlign w:val="center"/>
          </w:tcPr>
          <w:p w14:paraId="5B1DE750">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42DEF8C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230D8A0F">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78BE5F56">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预测分析内容</w:t>
            </w:r>
          </w:p>
        </w:tc>
        <w:tc>
          <w:tcPr>
            <w:tcW w:w="5359" w:type="dxa"/>
            <w:gridSpan w:val="6"/>
            <w:vAlign w:val="center"/>
          </w:tcPr>
          <w:p w14:paraId="118D7196">
            <w:pPr>
              <w:tabs>
                <w:tab w:val="left" w:pos="1620"/>
              </w:tabs>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影响范围（ m</w:t>
            </w:r>
            <w:r>
              <w:rPr>
                <w:rFonts w:ascii="Times New Roman" w:hAnsi="Times New Roman" w:eastAsia="宋体"/>
                <w:color w:val="000000" w:themeColor="text1"/>
                <w:kern w:val="0"/>
                <w:position w:val="-1"/>
                <w:sz w:val="21"/>
                <w:szCs w:val="21"/>
                <w:highlight w:val="none"/>
                <w:vertAlign w:val="superscript"/>
                <w14:textFill>
                  <w14:solidFill>
                    <w14:schemeClr w14:val="tx1"/>
                  </w14:solidFill>
                </w14:textFill>
              </w:rPr>
              <w:t>2</w:t>
            </w:r>
            <w:r>
              <w:rPr>
                <w:rFonts w:ascii="Times New Roman" w:hAnsi="Times New Roman" w:eastAsia="宋体"/>
                <w:color w:val="000000" w:themeColor="text1"/>
                <w:kern w:val="0"/>
                <w:position w:val="-1"/>
                <w:sz w:val="21"/>
                <w:szCs w:val="21"/>
                <w:highlight w:val="none"/>
                <w14:textFill>
                  <w14:solidFill>
                    <w14:schemeClr w14:val="tx1"/>
                  </w14:solidFill>
                </w14:textFill>
              </w:rPr>
              <w:t xml:space="preserve"> ）    </w:t>
            </w:r>
            <w:r>
              <w:rPr>
                <w:rFonts w:ascii="Times New Roman" w:hAnsi="Times New Roman" w:eastAsia="宋体"/>
                <w:color w:val="000000" w:themeColor="text1"/>
                <w:kern w:val="0"/>
                <w:sz w:val="21"/>
                <w:szCs w:val="21"/>
                <w:highlight w:val="none"/>
                <w14:textFill>
                  <w14:solidFill>
                    <w14:schemeClr w14:val="tx1"/>
                  </w14:solidFill>
                </w14:textFill>
              </w:rPr>
              <w:t>影响程度</w:t>
            </w:r>
            <w:r>
              <w:rPr>
                <w:rFonts w:ascii="Times New Roman" w:hAnsi="Times New Roman" w:eastAsia="宋体"/>
                <w:color w:val="000000" w:themeColor="text1"/>
                <w:kern w:val="0"/>
                <w:position w:val="-1"/>
                <w:sz w:val="21"/>
                <w:szCs w:val="21"/>
                <w:highlight w:val="none"/>
                <w14:textFill>
                  <w14:solidFill>
                    <w14:schemeClr w14:val="tx1"/>
                  </w14:solidFill>
                </w14:textFill>
              </w:rPr>
              <w:t>（        ）</w:t>
            </w:r>
          </w:p>
        </w:tc>
        <w:tc>
          <w:tcPr>
            <w:tcW w:w="1035" w:type="dxa"/>
            <w:vAlign w:val="center"/>
          </w:tcPr>
          <w:p w14:paraId="0F8ECFE6">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1ED83B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70D71DC0">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7E28CEB6">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预测结论</w:t>
            </w:r>
          </w:p>
        </w:tc>
        <w:tc>
          <w:tcPr>
            <w:tcW w:w="5359" w:type="dxa"/>
            <w:gridSpan w:val="6"/>
            <w:vAlign w:val="center"/>
          </w:tcPr>
          <w:p w14:paraId="33AFF812">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达标结论：</w:t>
            </w:r>
            <w:r>
              <w:rPr>
                <w:rFonts w:ascii="Times New Roman" w:hAnsi="Times New Roman" w:eastAsia="宋体"/>
                <w:color w:val="000000" w:themeColor="text1"/>
                <w:spacing w:val="-1"/>
                <w:w w:val="99"/>
                <w:kern w:val="0"/>
                <w:position w:val="-1"/>
                <w:sz w:val="21"/>
                <w:szCs w:val="21"/>
                <w:highlight w:val="none"/>
                <w14:textFill>
                  <w14:solidFill>
                    <w14:schemeClr w14:val="tx1"/>
                  </w14:solidFill>
                </w14:textFill>
              </w:rPr>
              <w:t>a</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b</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ascii="Times New Roman" w:hAnsi="Times New Roman" w:eastAsia="宋体"/>
                <w:color w:val="000000" w:themeColor="text1"/>
                <w:spacing w:val="2"/>
                <w:w w:val="99"/>
                <w:kern w:val="0"/>
                <w:position w:val="-1"/>
                <w:sz w:val="21"/>
                <w:szCs w:val="21"/>
                <w:highlight w:val="none"/>
                <w14:textFill>
                  <w14:solidFill>
                    <w14:schemeClr w14:val="tx1"/>
                  </w14:solidFill>
                </w14:textFill>
              </w:rPr>
              <w:t>c</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w:t>
            </w:r>
          </w:p>
          <w:p w14:paraId="6998B36F">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不达标结论：</w:t>
            </w:r>
            <w:r>
              <w:rPr>
                <w:rFonts w:ascii="Times New Roman" w:hAnsi="Times New Roman" w:eastAsia="宋体"/>
                <w:color w:val="000000" w:themeColor="text1"/>
                <w:spacing w:val="-1"/>
                <w:w w:val="99"/>
                <w:kern w:val="0"/>
                <w:sz w:val="21"/>
                <w:szCs w:val="21"/>
                <w:highlight w:val="none"/>
                <w14:textFill>
                  <w14:solidFill>
                    <w14:schemeClr w14:val="tx1"/>
                  </w14:solidFill>
                </w14:textFill>
              </w:rPr>
              <w:t>a</w:t>
            </w:r>
            <w:r>
              <w:rPr>
                <w:rFonts w:ascii="Times New Roman" w:hAnsi="Times New Roman" w:eastAsia="宋体"/>
                <w:color w:val="000000" w:themeColor="text1"/>
                <w:kern w:val="0"/>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kern w:val="0"/>
                <w:sz w:val="21"/>
                <w:szCs w:val="21"/>
                <w:highlight w:val="none"/>
                <w14:textFill>
                  <w14:solidFill>
                    <w14:schemeClr w14:val="tx1"/>
                  </w14:solidFill>
                </w14:textFill>
              </w:rPr>
              <w:t>；</w:t>
            </w:r>
            <w:r>
              <w:rPr>
                <w:rFonts w:ascii="Times New Roman" w:hAnsi="Times New Roman" w:eastAsia="宋体"/>
                <w:color w:val="000000" w:themeColor="text1"/>
                <w:spacing w:val="-1"/>
                <w:kern w:val="0"/>
                <w:sz w:val="21"/>
                <w:szCs w:val="21"/>
                <w:highlight w:val="none"/>
                <w14:textFill>
                  <w14:solidFill>
                    <w14:schemeClr w14:val="tx1"/>
                  </w14:solidFill>
                </w14:textFill>
              </w:rPr>
              <w:t>b</w:t>
            </w:r>
            <w:r>
              <w:rPr>
                <w:rFonts w:ascii="Times New Roman" w:hAnsi="Times New Roman" w:eastAsia="宋体"/>
                <w:color w:val="000000" w:themeColor="text1"/>
                <w:kern w:val="0"/>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w:t>
            </w:r>
          </w:p>
        </w:tc>
        <w:tc>
          <w:tcPr>
            <w:tcW w:w="1035" w:type="dxa"/>
            <w:vAlign w:val="center"/>
          </w:tcPr>
          <w:p w14:paraId="1BBC7C6F">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54BCCE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2FD2B81D">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防</w:t>
            </w:r>
            <w:r>
              <w:rPr>
                <w:rFonts w:ascii="Times New Roman" w:hAnsi="Times New Roman" w:eastAsia="宋体"/>
                <w:color w:val="000000" w:themeColor="text1"/>
                <w:kern w:val="0"/>
                <w:sz w:val="21"/>
                <w:szCs w:val="21"/>
                <w:highlight w:val="none"/>
                <w14:textFill>
                  <w14:solidFill>
                    <w14:schemeClr w14:val="tx1"/>
                  </w14:solidFill>
                </w14:textFill>
              </w:rPr>
              <w:t>治</w:t>
            </w:r>
          </w:p>
          <w:p w14:paraId="37EC809E">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措施</w:t>
            </w:r>
          </w:p>
        </w:tc>
        <w:tc>
          <w:tcPr>
            <w:tcW w:w="1557" w:type="dxa"/>
            <w:vAlign w:val="center"/>
          </w:tcPr>
          <w:p w14:paraId="6DFAE5F4">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防控措施</w:t>
            </w:r>
          </w:p>
        </w:tc>
        <w:tc>
          <w:tcPr>
            <w:tcW w:w="5359" w:type="dxa"/>
            <w:gridSpan w:val="6"/>
            <w:vAlign w:val="center"/>
          </w:tcPr>
          <w:p w14:paraId="42D0ED25">
            <w:pPr>
              <w:tabs>
                <w:tab w:val="left" w:pos="5500"/>
              </w:tabs>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土壤环境质量现状保障</w:t>
            </w:r>
            <w:r>
              <w:rPr>
                <w:rFonts w:hint="eastAsia"/>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；源头控制</w:t>
            </w:r>
            <w:r>
              <w:rPr>
                <w:rFonts w:hint="eastAsia"/>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；过程防控</w:t>
            </w:r>
            <w:r>
              <w:rPr>
                <w:rFonts w:hint="eastAsia"/>
                <w:color w:val="000000" w:themeColor="text1"/>
                <w:sz w:val="21"/>
                <w:szCs w:val="21"/>
                <w:highlight w:val="none"/>
                <w:lang w:eastAsia="zh-CN"/>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；其他（        ）</w:t>
            </w:r>
          </w:p>
        </w:tc>
        <w:tc>
          <w:tcPr>
            <w:tcW w:w="1035" w:type="dxa"/>
            <w:vAlign w:val="center"/>
          </w:tcPr>
          <w:p w14:paraId="4ADD5086">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331976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6CF539C">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Merge w:val="restart"/>
            <w:vAlign w:val="center"/>
          </w:tcPr>
          <w:p w14:paraId="7A163CB0">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跟踪监测</w:t>
            </w:r>
          </w:p>
        </w:tc>
        <w:tc>
          <w:tcPr>
            <w:tcW w:w="984" w:type="dxa"/>
            <w:vAlign w:val="center"/>
          </w:tcPr>
          <w:p w14:paraId="32E93027">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监测点数</w:t>
            </w:r>
          </w:p>
        </w:tc>
        <w:tc>
          <w:tcPr>
            <w:tcW w:w="2484" w:type="dxa"/>
            <w:gridSpan w:val="3"/>
            <w:vAlign w:val="center"/>
          </w:tcPr>
          <w:p w14:paraId="345D63A3">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监测指标</w:t>
            </w:r>
          </w:p>
        </w:tc>
        <w:tc>
          <w:tcPr>
            <w:tcW w:w="1891" w:type="dxa"/>
            <w:gridSpan w:val="2"/>
            <w:vAlign w:val="center"/>
          </w:tcPr>
          <w:p w14:paraId="05E5FEC2">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监测频次</w:t>
            </w:r>
          </w:p>
        </w:tc>
        <w:tc>
          <w:tcPr>
            <w:tcW w:w="1035" w:type="dxa"/>
            <w:vMerge w:val="restart"/>
            <w:vAlign w:val="center"/>
          </w:tcPr>
          <w:p w14:paraId="00C2F1B1">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5C75E9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7314A271">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Merge w:val="continue"/>
            <w:vAlign w:val="center"/>
          </w:tcPr>
          <w:p w14:paraId="2D2C0581">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984" w:type="dxa"/>
            <w:vAlign w:val="center"/>
          </w:tcPr>
          <w:p w14:paraId="271AA8D8">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1</w:t>
            </w:r>
          </w:p>
        </w:tc>
        <w:tc>
          <w:tcPr>
            <w:tcW w:w="2484" w:type="dxa"/>
            <w:gridSpan w:val="3"/>
            <w:vAlign w:val="center"/>
          </w:tcPr>
          <w:p w14:paraId="5ED61A65">
            <w:pPr>
              <w:autoSpaceDE w:val="0"/>
              <w:autoSpaceDN w:val="0"/>
              <w:adjustRightInd w:val="0"/>
              <w:spacing w:line="360" w:lineRule="exact"/>
              <w:ind w:firstLine="0" w:firstLineChars="0"/>
              <w:jc w:val="cente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bCs/>
                <w:color w:val="000000" w:themeColor="text1"/>
                <w:sz w:val="21"/>
                <w:szCs w:val="21"/>
                <w:highlight w:val="none"/>
                <w14:textFill>
                  <w14:solidFill>
                    <w14:schemeClr w14:val="tx1"/>
                  </w14:solidFill>
                </w14:textFill>
              </w:rPr>
              <w:t>pH、砷、镉、六价铬、铜、铅、汞、镍</w:t>
            </w: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等</w:t>
            </w:r>
          </w:p>
        </w:tc>
        <w:tc>
          <w:tcPr>
            <w:tcW w:w="1891" w:type="dxa"/>
            <w:gridSpan w:val="2"/>
            <w:vAlign w:val="center"/>
          </w:tcPr>
          <w:p w14:paraId="3252D577">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表层样：</w:t>
            </w:r>
            <w:r>
              <w:rPr>
                <w:rFonts w:ascii="Times New Roman" w:hAnsi="Times New Roman" w:eastAsia="宋体"/>
                <w:color w:val="000000" w:themeColor="text1"/>
                <w:kern w:val="0"/>
                <w:sz w:val="21"/>
                <w:szCs w:val="21"/>
                <w:highlight w:val="none"/>
                <w14:textFill>
                  <w14:solidFill>
                    <w14:schemeClr w14:val="tx1"/>
                  </w14:solidFill>
                </w14:textFill>
              </w:rPr>
              <w:t>1年/次</w:t>
            </w:r>
          </w:p>
          <w:p w14:paraId="019C81B7">
            <w:pPr>
              <w:autoSpaceDE w:val="0"/>
              <w:autoSpaceDN w:val="0"/>
              <w:adjustRightInd w:val="0"/>
              <w:spacing w:line="360" w:lineRule="exact"/>
              <w:ind w:firstLine="0" w:firstLineChars="0"/>
              <w:jc w:val="cente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柱状样：3</w:t>
            </w:r>
            <w:r>
              <w:rPr>
                <w:rFonts w:ascii="Times New Roman" w:hAnsi="Times New Roman" w:eastAsia="宋体"/>
                <w:color w:val="000000" w:themeColor="text1"/>
                <w:kern w:val="0"/>
                <w:sz w:val="21"/>
                <w:szCs w:val="21"/>
                <w:highlight w:val="none"/>
                <w14:textFill>
                  <w14:solidFill>
                    <w14:schemeClr w14:val="tx1"/>
                  </w14:solidFill>
                </w14:textFill>
              </w:rPr>
              <w:t>年/次</w:t>
            </w:r>
          </w:p>
        </w:tc>
        <w:tc>
          <w:tcPr>
            <w:tcW w:w="1035" w:type="dxa"/>
            <w:vMerge w:val="continue"/>
            <w:vAlign w:val="center"/>
          </w:tcPr>
          <w:p w14:paraId="6186E309">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5E556F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33E1534B">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557" w:type="dxa"/>
            <w:vAlign w:val="center"/>
          </w:tcPr>
          <w:p w14:paraId="00134267">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信息公开指标</w:t>
            </w:r>
          </w:p>
        </w:tc>
        <w:tc>
          <w:tcPr>
            <w:tcW w:w="5359" w:type="dxa"/>
            <w:gridSpan w:val="6"/>
            <w:vAlign w:val="center"/>
          </w:tcPr>
          <w:p w14:paraId="61C4F66F">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c>
          <w:tcPr>
            <w:tcW w:w="1035" w:type="dxa"/>
            <w:vMerge w:val="continue"/>
            <w:vAlign w:val="center"/>
          </w:tcPr>
          <w:p w14:paraId="370113ED">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2632FB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940" w:type="dxa"/>
            <w:gridSpan w:val="2"/>
            <w:vAlign w:val="center"/>
          </w:tcPr>
          <w:p w14:paraId="198847AD">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评价结论</w:t>
            </w:r>
          </w:p>
        </w:tc>
        <w:tc>
          <w:tcPr>
            <w:tcW w:w="5359" w:type="dxa"/>
            <w:gridSpan w:val="6"/>
            <w:vAlign w:val="center"/>
          </w:tcPr>
          <w:p w14:paraId="691B29F1">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r>
              <w:rPr>
                <w:rFonts w:hint="eastAsia" w:ascii="Times New Roman" w:hAnsi="Times New Roman" w:eastAsia="宋体"/>
                <w:color w:val="000000" w:themeColor="text1"/>
                <w:kern w:val="0"/>
                <w:sz w:val="21"/>
                <w:szCs w:val="21"/>
                <w:highlight w:val="none"/>
                <w14:textFill>
                  <w14:solidFill>
                    <w14:schemeClr w14:val="tx1"/>
                  </w14:solidFill>
                </w14:textFill>
              </w:rPr>
              <w:t>本项目在非正常工况下废水通过点源下渗，尾矿库干滩重金属颗粒物通过大气沉降形式进入周边土壤，可能会造成土壤环境影响。根据情景预测结果，本项目尾矿库防渗膜破损泄漏事故泄漏点附近土壤中的污染物浓度升高，未出现污染物浓度超标的现象，对区域土壤环境影响可接受。大气沉降造成进入表层土壤的颗粒物增量到服务期满时，满足《土壤环境质量 建设用地土壤污染风险管控标准（试行）》（GB36600-2018）中的第二类筛选值标准，对区域土壤环境影响可接受。</w:t>
            </w:r>
          </w:p>
        </w:tc>
        <w:tc>
          <w:tcPr>
            <w:tcW w:w="1035" w:type="dxa"/>
            <w:vAlign w:val="center"/>
          </w:tcPr>
          <w:p w14:paraId="5A210C9A">
            <w:pPr>
              <w:autoSpaceDE w:val="0"/>
              <w:autoSpaceDN w:val="0"/>
              <w:adjustRightInd w:val="0"/>
              <w:spacing w:line="360" w:lineRule="exact"/>
              <w:ind w:firstLine="0" w:firstLineChars="0"/>
              <w:jc w:val="center"/>
              <w:rPr>
                <w:rFonts w:ascii="Times New Roman" w:hAnsi="Times New Roman" w:eastAsia="宋体"/>
                <w:color w:val="000000" w:themeColor="text1"/>
                <w:kern w:val="0"/>
                <w:sz w:val="21"/>
                <w:szCs w:val="21"/>
                <w:highlight w:val="none"/>
                <w14:textFill>
                  <w14:solidFill>
                    <w14:schemeClr w14:val="tx1"/>
                  </w14:solidFill>
                </w14:textFill>
              </w:rPr>
            </w:pPr>
          </w:p>
        </w:tc>
      </w:tr>
      <w:tr w14:paraId="79A4B3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8334" w:type="dxa"/>
            <w:gridSpan w:val="9"/>
            <w:vAlign w:val="center"/>
          </w:tcPr>
          <w:p w14:paraId="29D6448A">
            <w:pPr>
              <w:autoSpaceDE w:val="0"/>
              <w:autoSpaceDN w:val="0"/>
              <w:adjustRightInd w:val="0"/>
              <w:spacing w:line="360" w:lineRule="exact"/>
              <w:ind w:firstLine="0" w:firstLineChars="0"/>
              <w:jc w:val="left"/>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position w:val="-1"/>
                <w:sz w:val="21"/>
                <w:szCs w:val="21"/>
                <w:highlight w:val="none"/>
                <w14:textFill>
                  <w14:solidFill>
                    <w14:schemeClr w14:val="tx1"/>
                  </w14:solidFill>
                </w14:textFill>
              </w:rPr>
              <w:t>注</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 xml:space="preserve"> </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1</w:t>
            </w:r>
            <w:r>
              <w:rPr>
                <w:rFonts w:ascii="Times New Roman" w:hAnsi="Times New Roman" w:eastAsia="宋体"/>
                <w:color w:val="000000" w:themeColor="text1"/>
                <w:kern w:val="0"/>
                <w:position w:val="-1"/>
                <w:sz w:val="21"/>
                <w:szCs w:val="21"/>
                <w:highlight w:val="none"/>
                <w14:textFill>
                  <w14:solidFill>
                    <w14:schemeClr w14:val="tx1"/>
                  </w14:solidFill>
                </w14:textFill>
              </w:rPr>
              <w:t>：“</w:t>
            </w:r>
            <w:r>
              <w:rPr>
                <w:rFonts w:ascii="Times New Roman" w:hAnsi="Times New Roman" w:eastAsia="宋体"/>
                <w:color w:val="000000" w:themeColor="text1"/>
                <w:sz w:val="21"/>
                <w:szCs w:val="21"/>
                <w:highlight w:val="none"/>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”为勾选项，可</w:t>
            </w:r>
            <w:r>
              <w:rPr>
                <w:rFonts w:ascii="Times New Roman" w:hAnsi="Times New Roman" w:eastAsia="宋体"/>
                <w:color w:val="000000" w:themeColor="text1"/>
                <w:w w:val="142"/>
                <w:kern w:val="0"/>
                <w:position w:val="-1"/>
                <w:sz w:val="21"/>
                <w:szCs w:val="21"/>
                <w:highlight w:val="none"/>
                <w14:textFill>
                  <w14:solidFill>
                    <w14:schemeClr w14:val="tx1"/>
                  </w14:solidFill>
                </w14:textFill>
              </w:rPr>
              <w:t>√</w:t>
            </w:r>
            <w:r>
              <w:rPr>
                <w:rFonts w:ascii="Times New Roman" w:hAnsi="Times New Roman" w:eastAsia="宋体"/>
                <w:color w:val="000000" w:themeColor="text1"/>
                <w:kern w:val="0"/>
                <w:position w:val="-1"/>
                <w:sz w:val="21"/>
                <w:szCs w:val="21"/>
                <w:highlight w:val="none"/>
                <w14:textFill>
                  <w14:solidFill>
                    <w14:schemeClr w14:val="tx1"/>
                  </w14:solidFill>
                </w14:textFill>
              </w:rPr>
              <w:t xml:space="preserve">；“（ </w:t>
            </w:r>
            <w:r>
              <w:rPr>
                <w:rFonts w:ascii="Times New Roman" w:hAnsi="Times New Roman" w:eastAsia="宋体"/>
                <w:color w:val="000000" w:themeColor="text1"/>
                <w:spacing w:val="1"/>
                <w:kern w:val="0"/>
                <w:position w:val="-1"/>
                <w:sz w:val="21"/>
                <w:szCs w:val="21"/>
                <w:highlight w:val="none"/>
                <w14:textFill>
                  <w14:solidFill>
                    <w14:schemeClr w14:val="tx1"/>
                  </w14:solidFill>
                </w14:textFill>
              </w:rPr>
              <w:t xml:space="preserve"> </w:t>
            </w:r>
            <w:r>
              <w:rPr>
                <w:rFonts w:ascii="Times New Roman" w:hAnsi="Times New Roman" w:eastAsia="宋体"/>
                <w:color w:val="000000" w:themeColor="text1"/>
                <w:kern w:val="0"/>
                <w:position w:val="-1"/>
                <w:sz w:val="21"/>
                <w:szCs w:val="21"/>
                <w:highlight w:val="none"/>
                <w14:textFill>
                  <w14:solidFill>
                    <w14:schemeClr w14:val="tx1"/>
                  </w14:solidFill>
                </w14:textFill>
              </w:rPr>
              <w:t>）”为内容填写项；“备注”为其他补充内容。</w:t>
            </w:r>
          </w:p>
          <w:p w14:paraId="23E5488F">
            <w:pPr>
              <w:autoSpaceDE w:val="0"/>
              <w:autoSpaceDN w:val="0"/>
              <w:adjustRightInd w:val="0"/>
              <w:spacing w:line="360" w:lineRule="exact"/>
              <w:ind w:firstLine="0" w:firstLineChars="0"/>
              <w:jc w:val="left"/>
              <w:rPr>
                <w:rFonts w:ascii="Times New Roman" w:hAnsi="Times New Roman" w:eastAsia="宋体"/>
                <w:color w:val="000000" w:themeColor="text1"/>
                <w:kern w:val="0"/>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14:textFill>
                  <w14:solidFill>
                    <w14:schemeClr w14:val="tx1"/>
                  </w14:solidFill>
                </w14:textFill>
              </w:rPr>
              <w:t>注</w:t>
            </w:r>
            <w:r>
              <w:rPr>
                <w:rFonts w:ascii="Times New Roman" w:hAnsi="Times New Roman" w:eastAsia="宋体"/>
                <w:color w:val="000000" w:themeColor="text1"/>
                <w:spacing w:val="1"/>
                <w:kern w:val="0"/>
                <w:sz w:val="21"/>
                <w:szCs w:val="21"/>
                <w:highlight w:val="none"/>
                <w14:textFill>
                  <w14:solidFill>
                    <w14:schemeClr w14:val="tx1"/>
                  </w14:solidFill>
                </w14:textFill>
              </w:rPr>
              <w:t xml:space="preserve"> </w:t>
            </w:r>
            <w:r>
              <w:rPr>
                <w:rFonts w:ascii="Times New Roman" w:hAnsi="Times New Roman" w:eastAsia="宋体"/>
                <w:color w:val="000000" w:themeColor="text1"/>
                <w:spacing w:val="-1"/>
                <w:kern w:val="0"/>
                <w:sz w:val="21"/>
                <w:szCs w:val="21"/>
                <w:highlight w:val="none"/>
                <w14:textFill>
                  <w14:solidFill>
                    <w14:schemeClr w14:val="tx1"/>
                  </w14:solidFill>
                </w14:textFill>
              </w:rPr>
              <w:t>2</w:t>
            </w:r>
            <w:r>
              <w:rPr>
                <w:rFonts w:ascii="Times New Roman" w:hAnsi="Times New Roman" w:eastAsia="宋体"/>
                <w:color w:val="000000" w:themeColor="text1"/>
                <w:kern w:val="0"/>
                <w:sz w:val="21"/>
                <w:szCs w:val="21"/>
                <w:highlight w:val="none"/>
                <w14:textFill>
                  <w14:solidFill>
                    <w14:schemeClr w14:val="tx1"/>
                  </w14:solidFill>
                </w14:textFill>
              </w:rPr>
              <w:t>：需要分别开展土壤环境影响评级工作的，分别填写自查表。</w:t>
            </w:r>
          </w:p>
        </w:tc>
      </w:tr>
    </w:tbl>
    <w:p w14:paraId="042F3D96">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2.7运营期生态环境影响分析</w:t>
      </w:r>
      <w:bookmarkEnd w:id="760"/>
      <w:bookmarkEnd w:id="761"/>
      <w:bookmarkEnd w:id="762"/>
    </w:p>
    <w:p w14:paraId="3D00F470">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5.2.7.1</w:t>
      </w:r>
      <w:r>
        <w:rPr>
          <w:color w:val="000000" w:themeColor="text1"/>
          <w:highlight w:val="none"/>
          <w14:textFill>
            <w14:solidFill>
              <w14:schemeClr w14:val="tx1"/>
            </w14:solidFill>
          </w14:textFill>
        </w:rPr>
        <w:t>土地利用评价</w:t>
      </w:r>
    </w:p>
    <w:p w14:paraId="744293BD">
      <w:pPr>
        <w:pStyle w:val="69"/>
        <w:overflowPunct w:val="0"/>
        <w:topLinePunct/>
        <w:spacing w:line="480" w:lineRule="exact"/>
        <w:ind w:firstLine="4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对场地的影响主要表现在项目建成后的永久占地，</w:t>
      </w:r>
      <w:r>
        <w:rPr>
          <w:rFonts w:hint="eastAsia" w:eastAsia="宋体"/>
          <w:color w:val="000000" w:themeColor="text1"/>
          <w:highlight w:val="none"/>
          <w14:textFill>
            <w14:solidFill>
              <w14:schemeClr w14:val="tx1"/>
            </w14:solidFill>
          </w14:textFill>
        </w:rPr>
        <w:t>主要表现为选矿厂、尾矿库等设施</w:t>
      </w:r>
      <w:r>
        <w:rPr>
          <w:rFonts w:eastAsia="宋体"/>
          <w:color w:val="000000" w:themeColor="text1"/>
          <w:highlight w:val="none"/>
          <w14:textFill>
            <w14:solidFill>
              <w14:schemeClr w14:val="tx1"/>
            </w14:solidFill>
          </w14:textFill>
        </w:rPr>
        <w:t>，</w:t>
      </w:r>
      <w:r>
        <w:rPr>
          <w:rFonts w:hint="eastAsia" w:eastAsia="宋体"/>
          <w:color w:val="000000" w:themeColor="text1"/>
          <w:highlight w:val="none"/>
          <w14:textFill>
            <w14:solidFill>
              <w14:schemeClr w14:val="tx1"/>
            </w14:solidFill>
          </w14:textFill>
        </w:rPr>
        <w:t>另在运营期间需对</w:t>
      </w:r>
      <w:r>
        <w:rPr>
          <w:rFonts w:hint="eastAsia" w:eastAsia="宋体"/>
          <w:color w:val="000000" w:themeColor="text1"/>
          <w:highlight w:val="none"/>
          <w:lang w:eastAsia="zh-CN"/>
          <w14:textFill>
            <w14:solidFill>
              <w14:schemeClr w14:val="tx1"/>
            </w14:solidFill>
          </w14:textFill>
        </w:rPr>
        <w:t>老</w:t>
      </w:r>
      <w:r>
        <w:rPr>
          <w:rFonts w:hint="eastAsia" w:eastAsia="宋体"/>
          <w:color w:val="000000" w:themeColor="text1"/>
          <w:highlight w:val="none"/>
          <w14:textFill>
            <w14:solidFill>
              <w14:schemeClr w14:val="tx1"/>
            </w14:solidFill>
          </w14:textFill>
        </w:rPr>
        <w:t>尾矿库进行闭库、</w:t>
      </w:r>
      <w:r>
        <w:rPr>
          <w:rFonts w:eastAsia="宋体"/>
          <w:color w:val="000000" w:themeColor="text1"/>
          <w:highlight w:val="none"/>
          <w14:textFill>
            <w14:solidFill>
              <w14:schemeClr w14:val="tx1"/>
            </w14:solidFill>
          </w14:textFill>
        </w:rPr>
        <w:t>覆土平整及自然生态恢复治理。</w:t>
      </w:r>
    </w:p>
    <w:p w14:paraId="0B13B59C">
      <w:pPr>
        <w:pStyle w:val="69"/>
        <w:overflowPunct w:val="0"/>
        <w:topLinePunct/>
        <w:spacing w:line="480" w:lineRule="exact"/>
        <w:ind w:firstLine="480"/>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本项目</w:t>
      </w:r>
      <w:r>
        <w:rPr>
          <w:rFonts w:eastAsia="宋体"/>
          <w:color w:val="000000" w:themeColor="text1"/>
          <w:highlight w:val="none"/>
          <w14:textFill>
            <w14:solidFill>
              <w14:schemeClr w14:val="tx1"/>
            </w14:solidFill>
          </w14:textFill>
        </w:rPr>
        <w:t>运营期对土地利用的影响分别见表</w:t>
      </w:r>
      <w:r>
        <w:rPr>
          <w:rFonts w:hint="eastAsia" w:eastAsia="宋体"/>
          <w:color w:val="000000" w:themeColor="text1"/>
          <w:highlight w:val="none"/>
          <w14:textFill>
            <w14:solidFill>
              <w14:schemeClr w14:val="tx1"/>
            </w14:solidFill>
          </w14:textFill>
        </w:rPr>
        <w:t>5.2-</w:t>
      </w:r>
      <w:r>
        <w:rPr>
          <w:rFonts w:hint="eastAsia" w:eastAsia="宋体"/>
          <w:color w:val="000000" w:themeColor="text1"/>
          <w:highlight w:val="none"/>
          <w:lang w:val="en-US" w:eastAsia="zh-CN"/>
          <w14:textFill>
            <w14:solidFill>
              <w14:schemeClr w14:val="tx1"/>
            </w14:solidFill>
          </w14:textFill>
        </w:rPr>
        <w:t>19</w:t>
      </w:r>
      <w:r>
        <w:rPr>
          <w:rFonts w:eastAsia="宋体"/>
          <w:color w:val="000000" w:themeColor="text1"/>
          <w:highlight w:val="none"/>
          <w14:textFill>
            <w14:solidFill>
              <w14:schemeClr w14:val="tx1"/>
            </w14:solidFill>
          </w14:textFill>
        </w:rPr>
        <w:t>。</w:t>
      </w:r>
    </w:p>
    <w:p w14:paraId="2062B44E">
      <w:pPr>
        <w:pStyle w:val="69"/>
        <w:overflowPunct w:val="0"/>
        <w:topLinePunct/>
        <w:spacing w:line="480" w:lineRule="exact"/>
        <w:ind w:firstLine="480"/>
        <w:rPr>
          <w:rFonts w:eastAsia="宋体"/>
          <w:color w:val="000000" w:themeColor="text1"/>
          <w:highlight w:val="none"/>
          <w14:textFill>
            <w14:solidFill>
              <w14:schemeClr w14:val="tx1"/>
            </w14:solidFill>
          </w14:textFill>
        </w:rPr>
      </w:pPr>
    </w:p>
    <w:p w14:paraId="156F15BD">
      <w:pPr>
        <w:adjustRightInd w:val="0"/>
        <w:ind w:firstLine="0" w:firstLineChars="0"/>
        <w:jc w:val="center"/>
        <w:rPr>
          <w:b/>
          <w:bCs/>
          <w:color w:val="000000" w:themeColor="text1"/>
          <w:highlight w:val="none"/>
          <w:vertAlign w:val="superscript"/>
          <w14:textFill>
            <w14:solidFill>
              <w14:schemeClr w14:val="tx1"/>
            </w14:solidFill>
          </w14:textFill>
        </w:rPr>
      </w:pPr>
      <w:r>
        <w:rPr>
          <w:rFonts w:hint="eastAsia"/>
          <w:b/>
          <w:color w:val="000000" w:themeColor="text1"/>
          <w:kern w:val="0"/>
          <w:highlight w:val="none"/>
          <w14:textFill>
            <w14:solidFill>
              <w14:schemeClr w14:val="tx1"/>
            </w14:solidFill>
          </w14:textFill>
        </w:rPr>
        <w:t>表5.2-</w:t>
      </w:r>
      <w:r>
        <w:rPr>
          <w:rFonts w:hint="eastAsia"/>
          <w:b/>
          <w:color w:val="000000" w:themeColor="text1"/>
          <w:kern w:val="0"/>
          <w:highlight w:val="none"/>
          <w:lang w:val="en-US" w:eastAsia="zh-CN"/>
          <w14:textFill>
            <w14:solidFill>
              <w14:schemeClr w14:val="tx1"/>
            </w14:solidFill>
          </w14:textFill>
        </w:rPr>
        <w:t>19</w:t>
      </w:r>
      <w:r>
        <w:rPr>
          <w:rFonts w:hint="eastAsia"/>
          <w:b/>
          <w:color w:val="000000" w:themeColor="text1"/>
          <w:kern w:val="0"/>
          <w:highlight w:val="none"/>
          <w14:textFill>
            <w14:solidFill>
              <w14:schemeClr w14:val="tx1"/>
            </w14:solidFill>
          </w14:textFill>
        </w:rPr>
        <w:t xml:space="preserve">    </w:t>
      </w:r>
      <w:r>
        <w:rPr>
          <w:b/>
          <w:bCs/>
          <w:color w:val="000000" w:themeColor="text1"/>
          <w:highlight w:val="none"/>
          <w14:textFill>
            <w14:solidFill>
              <w14:schemeClr w14:val="tx1"/>
            </w14:solidFill>
          </w14:textFill>
        </w:rPr>
        <w:t>本项目占地面积及类型    单位：m</w:t>
      </w:r>
      <w:r>
        <w:rPr>
          <w:b/>
          <w:bCs/>
          <w:color w:val="000000" w:themeColor="text1"/>
          <w:highlight w:val="none"/>
          <w:vertAlign w:val="superscript"/>
          <w14:textFill>
            <w14:solidFill>
              <w14:schemeClr w14:val="tx1"/>
            </w14:solidFill>
          </w14:textFill>
        </w:rPr>
        <w:t>2</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701"/>
        <w:gridCol w:w="1560"/>
        <w:gridCol w:w="1275"/>
        <w:gridCol w:w="2458"/>
      </w:tblGrid>
      <w:tr w14:paraId="2DF66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95" w:type="pct"/>
            <w:vAlign w:val="center"/>
          </w:tcPr>
          <w:p w14:paraId="648CD74B">
            <w:pPr>
              <w:widowControl/>
              <w:spacing w:line="360" w:lineRule="exact"/>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名称</w:t>
            </w:r>
          </w:p>
        </w:tc>
        <w:tc>
          <w:tcPr>
            <w:tcW w:w="998" w:type="pct"/>
            <w:vAlign w:val="center"/>
          </w:tcPr>
          <w:p w14:paraId="0CC9C9B9">
            <w:pPr>
              <w:widowControl/>
              <w:spacing w:line="360" w:lineRule="exact"/>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占地面积（</w:t>
            </w:r>
            <w:r>
              <w:rPr>
                <w:rFonts w:hint="eastAsia"/>
                <w:b/>
                <w:bCs/>
                <w:color w:val="000000" w:themeColor="text1"/>
                <w:kern w:val="0"/>
                <w:sz w:val="21"/>
                <w:szCs w:val="21"/>
                <w:highlight w:val="none"/>
                <w14:textFill>
                  <w14:solidFill>
                    <w14:schemeClr w14:val="tx1"/>
                  </w14:solidFill>
                </w14:textFill>
              </w:rPr>
              <w:t>h</w:t>
            </w:r>
            <w:r>
              <w:rPr>
                <w:b/>
                <w:bCs/>
                <w:color w:val="000000" w:themeColor="text1"/>
                <w:kern w:val="0"/>
                <w:sz w:val="21"/>
                <w:szCs w:val="21"/>
                <w:highlight w:val="none"/>
                <w14:textFill>
                  <w14:solidFill>
                    <w14:schemeClr w14:val="tx1"/>
                  </w14:solidFill>
                </w14:textFill>
              </w:rPr>
              <w:t>m</w:t>
            </w:r>
            <w:r>
              <w:rPr>
                <w:b/>
                <w:bCs/>
                <w:color w:val="000000" w:themeColor="text1"/>
                <w:kern w:val="0"/>
                <w:sz w:val="21"/>
                <w:szCs w:val="21"/>
                <w:highlight w:val="none"/>
                <w:vertAlign w:val="superscript"/>
                <w14:textFill>
                  <w14:solidFill>
                    <w14:schemeClr w14:val="tx1"/>
                  </w14:solidFill>
                </w14:textFill>
              </w:rPr>
              <w:t>2</w:t>
            </w:r>
            <w:r>
              <w:rPr>
                <w:b/>
                <w:bCs/>
                <w:color w:val="000000" w:themeColor="text1"/>
                <w:kern w:val="0"/>
                <w:sz w:val="21"/>
                <w:szCs w:val="21"/>
                <w:highlight w:val="none"/>
                <w14:textFill>
                  <w14:solidFill>
                    <w14:schemeClr w14:val="tx1"/>
                  </w14:solidFill>
                </w14:textFill>
              </w:rPr>
              <w:t>）</w:t>
            </w:r>
          </w:p>
        </w:tc>
        <w:tc>
          <w:tcPr>
            <w:tcW w:w="915" w:type="pct"/>
            <w:vAlign w:val="center"/>
          </w:tcPr>
          <w:p w14:paraId="590B5C6D">
            <w:pPr>
              <w:widowControl/>
              <w:spacing w:line="360" w:lineRule="exact"/>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占地类型</w:t>
            </w:r>
          </w:p>
        </w:tc>
        <w:tc>
          <w:tcPr>
            <w:tcW w:w="748" w:type="pct"/>
            <w:vAlign w:val="center"/>
          </w:tcPr>
          <w:p w14:paraId="615C6855">
            <w:pPr>
              <w:widowControl/>
              <w:spacing w:line="360" w:lineRule="exact"/>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14:textFill>
                  <w14:solidFill>
                    <w14:schemeClr w14:val="tx1"/>
                  </w14:solidFill>
                </w14:textFill>
              </w:rPr>
              <w:t>占用时间</w:t>
            </w:r>
          </w:p>
        </w:tc>
        <w:tc>
          <w:tcPr>
            <w:tcW w:w="1442" w:type="pct"/>
            <w:vAlign w:val="center"/>
          </w:tcPr>
          <w:p w14:paraId="6B2CEB64">
            <w:pPr>
              <w:widowControl/>
              <w:spacing w:line="360" w:lineRule="exact"/>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备注</w:t>
            </w:r>
          </w:p>
        </w:tc>
      </w:tr>
      <w:tr w14:paraId="01C8ED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vAlign w:val="center"/>
          </w:tcPr>
          <w:p w14:paraId="38F7B2C8">
            <w:pPr>
              <w:widowControl/>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尾矿库</w:t>
            </w:r>
          </w:p>
        </w:tc>
        <w:tc>
          <w:tcPr>
            <w:tcW w:w="998" w:type="pct"/>
            <w:vAlign w:val="center"/>
          </w:tcPr>
          <w:p w14:paraId="3CDBAA85">
            <w:pPr>
              <w:widowControl/>
              <w:spacing w:line="360" w:lineRule="exact"/>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42.96</w:t>
            </w:r>
          </w:p>
        </w:tc>
        <w:tc>
          <w:tcPr>
            <w:tcW w:w="915" w:type="pct"/>
            <w:vAlign w:val="center"/>
          </w:tcPr>
          <w:p w14:paraId="1372800E">
            <w:pPr>
              <w:widowControl/>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裸岩石砾地</w:t>
            </w:r>
          </w:p>
        </w:tc>
        <w:tc>
          <w:tcPr>
            <w:tcW w:w="748" w:type="pct"/>
            <w:vAlign w:val="center"/>
          </w:tcPr>
          <w:p w14:paraId="3B5D8832">
            <w:pPr>
              <w:widowControl/>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永久</w:t>
            </w:r>
          </w:p>
        </w:tc>
        <w:tc>
          <w:tcPr>
            <w:tcW w:w="1442" w:type="pct"/>
            <w:vAlign w:val="center"/>
          </w:tcPr>
          <w:p w14:paraId="0A5060B2">
            <w:pPr>
              <w:widowControl/>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新增</w:t>
            </w:r>
          </w:p>
        </w:tc>
      </w:tr>
      <w:tr w14:paraId="2E1CC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vAlign w:val="center"/>
          </w:tcPr>
          <w:p w14:paraId="4C71360C">
            <w:pPr>
              <w:widowControl/>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选矿厂</w:t>
            </w:r>
          </w:p>
        </w:tc>
        <w:tc>
          <w:tcPr>
            <w:tcW w:w="998" w:type="pct"/>
            <w:vAlign w:val="center"/>
          </w:tcPr>
          <w:p w14:paraId="4FD0AD07">
            <w:pPr>
              <w:widowControl/>
              <w:spacing w:line="360" w:lineRule="exact"/>
              <w:ind w:firstLine="0" w:firstLineChars="0"/>
              <w:jc w:val="center"/>
              <w:rPr>
                <w:rFonts w:hint="eastAsia" w:eastAsia="宋体"/>
                <w:bCs/>
                <w:color w:val="000000" w:themeColor="text1"/>
                <w:sz w:val="21"/>
                <w:szCs w:val="21"/>
                <w:highlight w:val="none"/>
                <w:lang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9</w:t>
            </w:r>
          </w:p>
        </w:tc>
        <w:tc>
          <w:tcPr>
            <w:tcW w:w="915" w:type="pct"/>
            <w:vAlign w:val="center"/>
          </w:tcPr>
          <w:p w14:paraId="7EA39BF3">
            <w:pPr>
              <w:widowControl/>
              <w:spacing w:line="360" w:lineRule="exact"/>
              <w:ind w:left="0" w:leftChars="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裸岩石砾地</w:t>
            </w:r>
          </w:p>
        </w:tc>
        <w:tc>
          <w:tcPr>
            <w:tcW w:w="748" w:type="pct"/>
            <w:vAlign w:val="center"/>
          </w:tcPr>
          <w:p w14:paraId="07C65611">
            <w:pPr>
              <w:widowControl/>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永久</w:t>
            </w:r>
          </w:p>
        </w:tc>
        <w:tc>
          <w:tcPr>
            <w:tcW w:w="1442" w:type="pct"/>
            <w:vAlign w:val="center"/>
          </w:tcPr>
          <w:p w14:paraId="1412CF1D">
            <w:pPr>
              <w:widowControl/>
              <w:spacing w:line="360" w:lineRule="exact"/>
              <w:ind w:firstLine="0" w:firstLineChars="0"/>
              <w:jc w:val="center"/>
              <w:rPr>
                <w:rFonts w:hint="eastAsia" w:eastAsia="宋体"/>
                <w:color w:val="000000" w:themeColor="text1"/>
                <w:kern w:val="0"/>
                <w:sz w:val="21"/>
                <w:szCs w:val="21"/>
                <w:highlight w:val="none"/>
                <w:lang w:eastAsia="zh-CN"/>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原有</w:t>
            </w:r>
          </w:p>
        </w:tc>
      </w:tr>
      <w:tr w14:paraId="68E6E4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vAlign w:val="center"/>
          </w:tcPr>
          <w:p w14:paraId="54EC7DC5">
            <w:pPr>
              <w:widowControl/>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办公生活区</w:t>
            </w:r>
          </w:p>
        </w:tc>
        <w:tc>
          <w:tcPr>
            <w:tcW w:w="998" w:type="pct"/>
            <w:vAlign w:val="center"/>
          </w:tcPr>
          <w:p w14:paraId="3622A9AC">
            <w:pPr>
              <w:widowControl/>
              <w:spacing w:line="360" w:lineRule="exact"/>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1.16</w:t>
            </w:r>
          </w:p>
        </w:tc>
        <w:tc>
          <w:tcPr>
            <w:tcW w:w="915" w:type="pct"/>
            <w:vAlign w:val="center"/>
          </w:tcPr>
          <w:p w14:paraId="6A42ED44">
            <w:pPr>
              <w:widowControl/>
              <w:spacing w:line="360" w:lineRule="exact"/>
              <w:ind w:left="0" w:leftChars="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裸岩石砾地</w:t>
            </w:r>
          </w:p>
        </w:tc>
        <w:tc>
          <w:tcPr>
            <w:tcW w:w="748" w:type="pct"/>
            <w:vAlign w:val="center"/>
          </w:tcPr>
          <w:p w14:paraId="397BF6DE">
            <w:pPr>
              <w:widowControl/>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永久</w:t>
            </w:r>
          </w:p>
        </w:tc>
        <w:tc>
          <w:tcPr>
            <w:tcW w:w="1442" w:type="pct"/>
            <w:vAlign w:val="center"/>
          </w:tcPr>
          <w:p w14:paraId="63899623">
            <w:pPr>
              <w:widowControl/>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eastAsia="zh-CN"/>
                <w14:textFill>
                  <w14:solidFill>
                    <w14:schemeClr w14:val="tx1"/>
                  </w14:solidFill>
                </w14:textFill>
              </w:rPr>
              <w:t>原有</w:t>
            </w:r>
          </w:p>
        </w:tc>
      </w:tr>
      <w:tr w14:paraId="0BB75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vAlign w:val="center"/>
          </w:tcPr>
          <w:p w14:paraId="3066831A">
            <w:pPr>
              <w:widowControl/>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合计</w:t>
            </w:r>
          </w:p>
        </w:tc>
        <w:tc>
          <w:tcPr>
            <w:tcW w:w="998" w:type="pct"/>
            <w:vAlign w:val="center"/>
          </w:tcPr>
          <w:p w14:paraId="0CD40ECE">
            <w:pPr>
              <w:widowControl/>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53.12</w:t>
            </w:r>
          </w:p>
        </w:tc>
        <w:tc>
          <w:tcPr>
            <w:tcW w:w="915" w:type="pct"/>
            <w:vAlign w:val="center"/>
          </w:tcPr>
          <w:p w14:paraId="1BBE243C">
            <w:pPr>
              <w:widowControl/>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748" w:type="pct"/>
            <w:vAlign w:val="center"/>
          </w:tcPr>
          <w:p w14:paraId="69A0CB70">
            <w:pPr>
              <w:widowControl/>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w:t>
            </w:r>
          </w:p>
        </w:tc>
        <w:tc>
          <w:tcPr>
            <w:tcW w:w="1442" w:type="pct"/>
            <w:vAlign w:val="center"/>
          </w:tcPr>
          <w:p w14:paraId="769957B4">
            <w:pPr>
              <w:widowControl/>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w:t>
            </w:r>
          </w:p>
        </w:tc>
      </w:tr>
      <w:tr w14:paraId="2D5C1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vAlign w:val="center"/>
          </w:tcPr>
          <w:p w14:paraId="67EBD8D0">
            <w:pPr>
              <w:widowControl/>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eastAsia="zh-CN"/>
                <w14:textFill>
                  <w14:solidFill>
                    <w14:schemeClr w14:val="tx1"/>
                  </w14:solidFill>
                </w14:textFill>
              </w:rPr>
              <w:t>老</w:t>
            </w:r>
            <w:r>
              <w:rPr>
                <w:rFonts w:hint="eastAsia"/>
                <w:bCs/>
                <w:color w:val="000000" w:themeColor="text1"/>
                <w:sz w:val="21"/>
                <w:szCs w:val="21"/>
                <w:highlight w:val="none"/>
                <w14:textFill>
                  <w14:solidFill>
                    <w14:schemeClr w14:val="tx1"/>
                  </w14:solidFill>
                </w14:textFill>
              </w:rPr>
              <w:t>尾矿库</w:t>
            </w:r>
          </w:p>
        </w:tc>
        <w:tc>
          <w:tcPr>
            <w:tcW w:w="998" w:type="pct"/>
            <w:vAlign w:val="center"/>
          </w:tcPr>
          <w:p w14:paraId="568182CB">
            <w:pPr>
              <w:widowControl/>
              <w:spacing w:line="360" w:lineRule="exact"/>
              <w:ind w:firstLine="0" w:firstLineChars="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26.07</w:t>
            </w:r>
          </w:p>
        </w:tc>
        <w:tc>
          <w:tcPr>
            <w:tcW w:w="915" w:type="pct"/>
            <w:vAlign w:val="center"/>
          </w:tcPr>
          <w:p w14:paraId="03BB553C">
            <w:pPr>
              <w:widowControl/>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工矿用地</w:t>
            </w:r>
          </w:p>
        </w:tc>
        <w:tc>
          <w:tcPr>
            <w:tcW w:w="748" w:type="pct"/>
            <w:vAlign w:val="center"/>
          </w:tcPr>
          <w:p w14:paraId="42381ABB">
            <w:pPr>
              <w:widowControl/>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w:t>
            </w:r>
          </w:p>
        </w:tc>
        <w:tc>
          <w:tcPr>
            <w:tcW w:w="1442" w:type="pct"/>
            <w:vAlign w:val="center"/>
          </w:tcPr>
          <w:p w14:paraId="20542838">
            <w:pPr>
              <w:widowControl/>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需闭库</w:t>
            </w:r>
          </w:p>
        </w:tc>
      </w:tr>
    </w:tbl>
    <w:p w14:paraId="00DFE580">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由表5.2-</w:t>
      </w:r>
      <w:r>
        <w:rPr>
          <w:rFonts w:hint="eastAsia"/>
          <w:color w:val="000000" w:themeColor="text1"/>
          <w:highlight w:val="none"/>
          <w:lang w:val="en-US" w:eastAsia="zh-CN"/>
          <w14:textFill>
            <w14:solidFill>
              <w14:schemeClr w14:val="tx1"/>
            </w14:solidFill>
          </w14:textFill>
        </w:rPr>
        <w:t>19</w:t>
      </w:r>
      <w:r>
        <w:rPr>
          <w:rFonts w:hint="eastAsia"/>
          <w:color w:val="000000" w:themeColor="text1"/>
          <w:highlight w:val="none"/>
          <w14:textFill>
            <w14:solidFill>
              <w14:schemeClr w14:val="tx1"/>
            </w14:solidFill>
          </w14:textFill>
        </w:rPr>
        <w:t>可见，项目运营期占用的工业场地、道路等土地将彻底改变原有的土地利用类型，同时在运营期间</w:t>
      </w:r>
      <w:r>
        <w:rPr>
          <w:rFonts w:hint="eastAsia"/>
          <w:color w:val="000000" w:themeColor="text1"/>
          <w:highlight w:val="none"/>
          <w:lang w:eastAsia="zh-CN"/>
          <w14:textFill>
            <w14:solidFill>
              <w14:schemeClr w14:val="tx1"/>
            </w14:solidFill>
          </w14:textFill>
        </w:rPr>
        <w:t>老</w:t>
      </w:r>
      <w:r>
        <w:rPr>
          <w:rFonts w:hint="eastAsia"/>
          <w:color w:val="000000" w:themeColor="text1"/>
          <w:highlight w:val="none"/>
          <w14:textFill>
            <w14:solidFill>
              <w14:schemeClr w14:val="tx1"/>
            </w14:solidFill>
          </w14:textFill>
        </w:rPr>
        <w:t>尾矿库的闭库及生态恢复将使一部分工业用地恢复原貌，且闭库期随着矿区的生态恢复和重建，所有占地将恢复原貌，这种影响将随之消失。</w:t>
      </w:r>
    </w:p>
    <w:p w14:paraId="3441A005">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5.2.7.2对植被影响分析</w:t>
      </w:r>
    </w:p>
    <w:p w14:paraId="5997B08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（1）工程占地对植被的影响</w:t>
      </w:r>
    </w:p>
    <w:p w14:paraId="0E2AB977">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项目建设过程中，各种施工活动将破坏项目区内的植被，减少植物数量及分布范围；</w:t>
      </w:r>
      <w:r>
        <w:rPr>
          <w:rFonts w:hint="eastAsia"/>
          <w:color w:val="000000" w:themeColor="text1"/>
          <w:highlight w:val="none"/>
          <w14:textFill>
            <w14:solidFill>
              <w14:schemeClr w14:val="tx1"/>
            </w14:solidFill>
          </w14:textFill>
        </w:rPr>
        <w:t>项目所在地区域种植种类比较</w:t>
      </w:r>
      <w:r>
        <w:rPr>
          <w:rFonts w:hint="eastAsia"/>
          <w:color w:val="000000" w:themeColor="text1"/>
          <w:highlight w:val="none"/>
          <w:lang w:eastAsia="zh-CN"/>
          <w14:textFill>
            <w14:solidFill>
              <w14:schemeClr w14:val="tx1"/>
            </w14:solidFill>
          </w14:textFill>
        </w:rPr>
        <w:t>稀少</w:t>
      </w:r>
      <w:r>
        <w:rPr>
          <w:color w:val="000000" w:themeColor="text1"/>
          <w:highlight w:val="none"/>
          <w14:textFill>
            <w14:solidFill>
              <w14:schemeClr w14:val="tx1"/>
            </w14:solidFill>
          </w14:textFill>
        </w:rPr>
        <w:t>；鉴于此，评价区内的某个物种及其种群不会因为项目建设而导致灭绝。因此，尽管由于项目建设会使原有少量植被遭到局部损失，但不会使整个评价区植物群落的种类组成发生变化，也不会造成某一物种在评价区范围内的消失。</w:t>
      </w:r>
    </w:p>
    <w:p w14:paraId="2D8FC10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（2）污染物排放对土壤植被的影响</w:t>
      </w:r>
    </w:p>
    <w:p w14:paraId="1C41E3C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车辆运输过程中及生产过程产生的粉尘等污染物会对项目区周围空气环境产生影响。污染物可通过自然沉降和降水淋溶等途径进入土壤环境，从物理、化学等方面影响周围土壤的孔隙度、团粒结构、酸碱度、土壤肥力及微量元素含量等，从而间接影响植被生长。粉尘降落到植物叶面上，将堵塞叶面气孔，使光合作用强度下降。同时，覆尘叶片吸收红外光辐射的能力增强，导致叶温增高，蒸腾速度加快，引起失水，使植物生长发育不良。本项目在生产过程中采取防尘措施，将尽可能降低扩散到附近植被的粉尘量。</w:t>
      </w:r>
    </w:p>
    <w:p w14:paraId="2920C1C5">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5.2.7.3对野生动物影响分析</w:t>
      </w:r>
    </w:p>
    <w:p w14:paraId="5BAFA84E">
      <w:pPr>
        <w:widowControl/>
        <w:overflowPunct w:val="0"/>
        <w:topLinePunct/>
        <w:ind w:firstLine="480"/>
        <w:rPr>
          <w:color w:val="000000" w:themeColor="text1"/>
          <w:kern w:val="0"/>
          <w:highlight w:val="none"/>
          <w:lang w:bidi="ar"/>
          <w14:textFill>
            <w14:solidFill>
              <w14:schemeClr w14:val="tx1"/>
            </w14:solidFill>
          </w14:textFill>
        </w:rPr>
      </w:pPr>
      <w:r>
        <w:rPr>
          <w:color w:val="000000" w:themeColor="text1"/>
          <w:highlight w:val="none"/>
          <w14:textFill>
            <w14:solidFill>
              <w14:schemeClr w14:val="tx1"/>
            </w14:solidFill>
          </w14:textFill>
        </w:rPr>
        <w:t>经调查，项目区周边基本无牧民放牧场所，经过数年的开发，大型动物存在种类较少，区域生产繁衍的野生动物很少，</w:t>
      </w:r>
      <w:r>
        <w:rPr>
          <w:color w:val="000000" w:themeColor="text1"/>
          <w:kern w:val="0"/>
          <w:highlight w:val="none"/>
          <w:lang w:bidi="ar"/>
          <w14:textFill>
            <w14:solidFill>
              <w14:schemeClr w14:val="tx1"/>
            </w14:solidFill>
          </w14:textFill>
        </w:rPr>
        <w:t>现有的野生动物多为一些常见的鸟类、野兔、鼠类和昆虫等。</w:t>
      </w:r>
    </w:p>
    <w:p w14:paraId="4F1227C0">
      <w:pPr>
        <w:overflowPunct w:val="0"/>
        <w:topLinePunct/>
        <w:ind w:firstLine="480"/>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项目厂界围栏对外环境野生动物进行了隔离，避免了外界野生动物进入而造成影响。且项目区各种机械</w:t>
      </w:r>
      <w:r>
        <w:rPr>
          <w:rFonts w:hint="eastAsia"/>
          <w:color w:val="000000" w:themeColor="text1"/>
          <w:highlight w:val="none"/>
          <w:lang w:eastAsia="zh-CN"/>
          <w14:textFill>
            <w14:solidFill>
              <w14:schemeClr w14:val="tx1"/>
            </w14:solidFill>
          </w14:textFill>
        </w:rPr>
        <w:t>产生</w:t>
      </w:r>
      <w:r>
        <w:rPr>
          <w:color w:val="000000" w:themeColor="text1"/>
          <w:highlight w:val="none"/>
          <w14:textFill>
            <w14:solidFill>
              <w14:schemeClr w14:val="tx1"/>
            </w14:solidFill>
          </w14:textFill>
        </w:rPr>
        <w:t>的噪声和人员活动对外环境动物造成干扰，大型野生动物很少出现，仅有少量小型爬行类动物出没。</w:t>
      </w:r>
    </w:p>
    <w:p w14:paraId="2809F8CC">
      <w:pPr>
        <w:overflowPunct w:val="0"/>
        <w:topLinePunct/>
        <w:ind w:firstLine="480"/>
        <w:rPr>
          <w:color w:val="000000" w:themeColor="text1"/>
          <w:highlight w:val="none"/>
          <w14:textFill>
            <w14:solidFill>
              <w14:schemeClr w14:val="tx1"/>
            </w14:solidFill>
          </w14:textFill>
        </w:rPr>
      </w:pPr>
      <w:r>
        <w:rPr>
          <w:rFonts w:hint="eastAsia"/>
          <w:color w:val="000000" w:themeColor="text1"/>
          <w:kern w:val="0"/>
          <w:highlight w:val="none"/>
          <w:lang w:eastAsia="zh-CN"/>
          <w14:textFill>
            <w14:solidFill>
              <w14:schemeClr w14:val="tx1"/>
            </w14:solidFill>
          </w14:textFill>
        </w:rPr>
        <w:t>本项目</w:t>
      </w:r>
      <w:r>
        <w:rPr>
          <w:color w:val="000000" w:themeColor="text1"/>
          <w:kern w:val="0"/>
          <w:highlight w:val="none"/>
          <w14:textFill>
            <w14:solidFill>
              <w14:schemeClr w14:val="tx1"/>
            </w14:solidFill>
          </w14:textFill>
        </w:rPr>
        <w:t>为</w:t>
      </w:r>
      <w:r>
        <w:rPr>
          <w:rFonts w:hint="eastAsia"/>
          <w:color w:val="000000" w:themeColor="text1"/>
          <w:kern w:val="0"/>
          <w:highlight w:val="none"/>
          <w:lang w:eastAsia="zh-CN"/>
          <w14:textFill>
            <w14:solidFill>
              <w14:schemeClr w14:val="tx1"/>
            </w14:solidFill>
          </w14:textFill>
        </w:rPr>
        <w:t>改扩</w:t>
      </w:r>
      <w:r>
        <w:rPr>
          <w:color w:val="000000" w:themeColor="text1"/>
          <w:kern w:val="0"/>
          <w:highlight w:val="none"/>
          <w14:textFill>
            <w14:solidFill>
              <w14:schemeClr w14:val="tx1"/>
            </w14:solidFill>
          </w14:textFill>
        </w:rPr>
        <w:t>建项目，</w:t>
      </w:r>
      <w:r>
        <w:rPr>
          <w:rFonts w:hint="eastAsia"/>
          <w:color w:val="000000" w:themeColor="text1"/>
          <w:kern w:val="0"/>
          <w:highlight w:val="none"/>
          <w14:textFill>
            <w14:solidFill>
              <w14:schemeClr w14:val="tx1"/>
            </w14:solidFill>
          </w14:textFill>
        </w:rPr>
        <w:t>本次</w:t>
      </w:r>
      <w:r>
        <w:rPr>
          <w:rFonts w:hint="eastAsia"/>
          <w:color w:val="000000" w:themeColor="text1"/>
          <w:kern w:val="0"/>
          <w:highlight w:val="none"/>
          <w:lang w:eastAsia="zh-CN"/>
          <w14:textFill>
            <w14:solidFill>
              <w14:schemeClr w14:val="tx1"/>
            </w14:solidFill>
          </w14:textFill>
        </w:rPr>
        <w:t>改建</w:t>
      </w:r>
      <w:r>
        <w:rPr>
          <w:rFonts w:hint="eastAsia"/>
          <w:color w:val="000000" w:themeColor="text1"/>
          <w:kern w:val="0"/>
          <w:highlight w:val="none"/>
          <w14:textFill>
            <w14:solidFill>
              <w14:schemeClr w14:val="tx1"/>
            </w14:solidFill>
          </w14:textFill>
        </w:rPr>
        <w:t>选矿厂、</w:t>
      </w:r>
      <w:r>
        <w:rPr>
          <w:rFonts w:hint="eastAsia"/>
          <w:color w:val="000000" w:themeColor="text1"/>
          <w:kern w:val="0"/>
          <w:highlight w:val="none"/>
          <w:lang w:eastAsia="zh-CN"/>
          <w14:textFill>
            <w14:solidFill>
              <w14:schemeClr w14:val="tx1"/>
            </w14:solidFill>
          </w14:textFill>
        </w:rPr>
        <w:t>新建</w:t>
      </w:r>
      <w:r>
        <w:rPr>
          <w:rFonts w:hint="eastAsia"/>
          <w:color w:val="000000" w:themeColor="text1"/>
          <w:kern w:val="0"/>
          <w:highlight w:val="none"/>
          <w14:textFill>
            <w14:solidFill>
              <w14:schemeClr w14:val="tx1"/>
            </w14:solidFill>
          </w14:textFill>
        </w:rPr>
        <w:t>尾矿库等设施</w:t>
      </w:r>
      <w:r>
        <w:rPr>
          <w:color w:val="000000" w:themeColor="text1"/>
          <w:kern w:val="0"/>
          <w:highlight w:val="none"/>
          <w14:textFill>
            <w14:solidFill>
              <w14:schemeClr w14:val="tx1"/>
            </w14:solidFill>
          </w14:textFill>
        </w:rPr>
        <w:t>。在项目的建设过程中，会破坏</w:t>
      </w:r>
      <w:r>
        <w:rPr>
          <w:rFonts w:hint="eastAsia"/>
          <w:color w:val="000000" w:themeColor="text1"/>
          <w:kern w:val="0"/>
          <w:highlight w:val="none"/>
          <w14:textFill>
            <w14:solidFill>
              <w14:schemeClr w14:val="tx1"/>
            </w14:solidFill>
          </w14:textFill>
        </w:rPr>
        <w:t>部分</w:t>
      </w:r>
      <w:r>
        <w:rPr>
          <w:color w:val="000000" w:themeColor="text1"/>
          <w:kern w:val="0"/>
          <w:highlight w:val="none"/>
          <w14:textFill>
            <w14:solidFill>
              <w14:schemeClr w14:val="tx1"/>
            </w14:solidFill>
          </w14:textFill>
        </w:rPr>
        <w:t>鼠类的洞穴和导致部分洞穴中的鼠类死亡，对飞翔的鸟类，项目建设有驱赶作用，但影响不大。对爬行动物及昆虫，其影响与对鼠类的影响近似，由于该区域野生动物密度较低，总体上影响较小。</w:t>
      </w:r>
    </w:p>
    <w:p w14:paraId="4DD35F5A">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5.2.7.4对自然景观影响分析</w:t>
      </w:r>
    </w:p>
    <w:p w14:paraId="0B168427">
      <w:pPr>
        <w:widowControl/>
        <w:overflowPunct w:val="0"/>
        <w:topLinePunct/>
        <w:ind w:firstLine="48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经过多年的生产建设，</w:t>
      </w:r>
      <w:r>
        <w:rPr>
          <w:rFonts w:hint="eastAsia"/>
          <w:color w:val="000000" w:themeColor="text1"/>
          <w:kern w:val="0"/>
          <w:highlight w:val="none"/>
          <w14:textFill>
            <w14:solidFill>
              <w14:schemeClr w14:val="tx1"/>
            </w14:solidFill>
          </w14:textFill>
        </w:rPr>
        <w:t>项目区</w:t>
      </w:r>
      <w:r>
        <w:rPr>
          <w:color w:val="000000" w:themeColor="text1"/>
          <w:kern w:val="0"/>
          <w:highlight w:val="none"/>
          <w14:textFill>
            <w14:solidFill>
              <w14:schemeClr w14:val="tx1"/>
            </w14:solidFill>
          </w14:textFill>
        </w:rPr>
        <w:t>在一定程度上已经破坏了范围内原有的景观格局，使区域内自然景观类型变为容纳工业厂房、</w:t>
      </w:r>
      <w:r>
        <w:rPr>
          <w:rFonts w:hint="eastAsia"/>
          <w:color w:val="000000" w:themeColor="text1"/>
          <w:kern w:val="0"/>
          <w:highlight w:val="none"/>
          <w14:textFill>
            <w14:solidFill>
              <w14:schemeClr w14:val="tx1"/>
            </w14:solidFill>
          </w14:textFill>
        </w:rPr>
        <w:t>尾矿库</w:t>
      </w:r>
      <w:r>
        <w:rPr>
          <w:color w:val="000000" w:themeColor="text1"/>
          <w:kern w:val="0"/>
          <w:highlight w:val="none"/>
          <w14:textFill>
            <w14:solidFill>
              <w14:schemeClr w14:val="tx1"/>
            </w14:solidFill>
          </w14:textFill>
        </w:rPr>
        <w:t>、道路等人工景观，从而对原来的景观进行分隔，造成空间上的非连续性和一些人为的劣质景观，与周围自然环境不协调</w:t>
      </w:r>
      <w:r>
        <w:rPr>
          <w:rFonts w:hint="eastAsia"/>
          <w:color w:val="000000" w:themeColor="text1"/>
          <w:kern w:val="0"/>
          <w:highlight w:val="none"/>
          <w14:textFill>
            <w14:solidFill>
              <w14:schemeClr w14:val="tx1"/>
            </w14:solidFill>
          </w14:textFill>
        </w:rPr>
        <w:t>。</w:t>
      </w:r>
    </w:p>
    <w:p w14:paraId="167FEAC0">
      <w:pPr>
        <w:overflowPunct w:val="0"/>
        <w:topLinePunct/>
        <w:ind w:firstLine="480"/>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本次项目为</w:t>
      </w:r>
      <w:r>
        <w:rPr>
          <w:rFonts w:hint="eastAsia"/>
          <w:color w:val="000000" w:themeColor="text1"/>
          <w:kern w:val="0"/>
          <w:highlight w:val="none"/>
          <w:lang w:eastAsia="zh-CN"/>
          <w14:textFill>
            <w14:solidFill>
              <w14:schemeClr w14:val="tx1"/>
            </w14:solidFill>
          </w14:textFill>
        </w:rPr>
        <w:t>改</w:t>
      </w:r>
      <w:r>
        <w:rPr>
          <w:rFonts w:hint="eastAsia"/>
          <w:color w:val="000000" w:themeColor="text1"/>
          <w:kern w:val="0"/>
          <w:highlight w:val="none"/>
          <w14:textFill>
            <w14:solidFill>
              <w14:schemeClr w14:val="tx1"/>
            </w14:solidFill>
          </w14:textFill>
        </w:rPr>
        <w:t>扩建工程，本次</w:t>
      </w:r>
      <w:r>
        <w:rPr>
          <w:rFonts w:hint="eastAsia"/>
          <w:color w:val="000000" w:themeColor="text1"/>
          <w:kern w:val="0"/>
          <w:highlight w:val="none"/>
          <w:lang w:eastAsia="zh-CN"/>
          <w14:textFill>
            <w14:solidFill>
              <w14:schemeClr w14:val="tx1"/>
            </w14:solidFill>
          </w14:textFill>
        </w:rPr>
        <w:t>改建</w:t>
      </w:r>
      <w:r>
        <w:rPr>
          <w:rFonts w:hint="eastAsia"/>
          <w:color w:val="000000" w:themeColor="text1"/>
          <w:kern w:val="0"/>
          <w:highlight w:val="none"/>
          <w14:textFill>
            <w14:solidFill>
              <w14:schemeClr w14:val="tx1"/>
            </w14:solidFill>
          </w14:textFill>
        </w:rPr>
        <w:t>选矿厂、新增尾矿库等配套设施，在项目建成后，带来的人工生态系统优势度增加及</w:t>
      </w:r>
      <w:r>
        <w:rPr>
          <w:rFonts w:hint="eastAsia"/>
          <w:color w:val="000000" w:themeColor="text1"/>
          <w:kern w:val="0"/>
          <w:highlight w:val="none"/>
          <w:lang w:eastAsia="zh-CN"/>
          <w14:textFill>
            <w14:solidFill>
              <w14:schemeClr w14:val="tx1"/>
            </w14:solidFill>
          </w14:textFill>
        </w:rPr>
        <w:t>荒漠</w:t>
      </w:r>
      <w:r>
        <w:rPr>
          <w:rFonts w:hint="eastAsia"/>
          <w:color w:val="000000" w:themeColor="text1"/>
          <w:kern w:val="0"/>
          <w:highlight w:val="none"/>
          <w14:textFill>
            <w14:solidFill>
              <w14:schemeClr w14:val="tx1"/>
            </w14:solidFill>
          </w14:textFill>
        </w:rPr>
        <w:t>生态系统的减少，将会对项目区自然景观将会产生较大影响。根据生态环境现状调查可知，本项目各主要工程建设场地是依照所处位置的地形地貌及项目要求进行了较为合理的布局，因此，本次项目建设将原有的</w:t>
      </w:r>
      <w:r>
        <w:rPr>
          <w:rFonts w:hint="eastAsia"/>
          <w:color w:val="000000" w:themeColor="text1"/>
          <w:kern w:val="0"/>
          <w:highlight w:val="none"/>
          <w:lang w:eastAsia="zh-CN"/>
          <w14:textFill>
            <w14:solidFill>
              <w14:schemeClr w14:val="tx1"/>
            </w14:solidFill>
          </w14:textFill>
        </w:rPr>
        <w:t>荒漠</w:t>
      </w:r>
      <w:r>
        <w:rPr>
          <w:rFonts w:hint="eastAsia"/>
          <w:color w:val="000000" w:themeColor="text1"/>
          <w:kern w:val="0"/>
          <w:highlight w:val="none"/>
          <w14:textFill>
            <w14:solidFill>
              <w14:schemeClr w14:val="tx1"/>
            </w14:solidFill>
          </w14:textFill>
        </w:rPr>
        <w:t>景观改变为工矿用地景观，对于周边景观格局和功能不会带来明显改变。本次环评要求服务期满后，对项目区进行生态恢复，在工业场地及</w:t>
      </w:r>
      <w:r>
        <w:rPr>
          <w:rFonts w:hint="eastAsia"/>
          <w:color w:val="000000" w:themeColor="text1"/>
          <w:kern w:val="0"/>
          <w:highlight w:val="none"/>
          <w:lang w:eastAsia="zh-CN"/>
          <w14:textFill>
            <w14:solidFill>
              <w14:schemeClr w14:val="tx1"/>
            </w14:solidFill>
          </w14:textFill>
        </w:rPr>
        <w:t>老</w:t>
      </w:r>
      <w:r>
        <w:rPr>
          <w:rFonts w:hint="eastAsia"/>
          <w:color w:val="000000" w:themeColor="text1"/>
          <w:kern w:val="0"/>
          <w:highlight w:val="none"/>
          <w14:textFill>
            <w14:solidFill>
              <w14:schemeClr w14:val="tx1"/>
            </w14:solidFill>
          </w14:textFill>
        </w:rPr>
        <w:t>尾矿库均拆除及进行了生态恢复的前提下，自然景观影响将得到一定程度的恢复和改善。</w:t>
      </w:r>
    </w:p>
    <w:p w14:paraId="62FC712C">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5.2.7</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5对土壤理化性状影响分析</w:t>
      </w:r>
    </w:p>
    <w:p w14:paraId="7C816F68">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区域内植被因场地建设原因破坏后，地面裸露，即使没有被冲刷，表土的温度变幅将增加，对土壤的理化性质即会有不利影响。其中，最明显的变化是有机质分解作用加强，使土壤内有机质含量降低，不利于植物生长。</w:t>
      </w:r>
    </w:p>
    <w:p w14:paraId="0C1E7F2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另外，由于施工破坏和机械挖运，可能使土壤富集过程受阻，表现在下述方面：</w:t>
      </w:r>
    </w:p>
    <w:p w14:paraId="4B8F8E94">
      <w:pPr>
        <w:overflowPunct w:val="0"/>
        <w:topLinePunct/>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影响了生物对灰分元素的吸收与富集。通过生物吸收使营养元素重新回到土壤中的</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生物自肥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作用虽然比较微弱，而施工破坏了植被，从而阻断了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生物自肥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途径。</w:t>
      </w:r>
    </w:p>
    <w:p w14:paraId="3C5B780B">
      <w:pPr>
        <w:overflowPunct w:val="0"/>
        <w:topLinePunct/>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阻断了生物与土壤间的物质交换</w:t>
      </w:r>
    </w:p>
    <w:p w14:paraId="0A70734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土壤理化性质的变化，直接影响到植被的重新恢复，因此要求在施工中尽量维护土壤现状，使开垦与保护土壤相结合。</w:t>
      </w:r>
    </w:p>
    <w:p w14:paraId="03BCD4B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施工期地表扰动之后，使得地表土壤结构变化，上下土层混合，土壤肥力降低，极易发生土壤侵蚀。</w:t>
      </w:r>
    </w:p>
    <w:p w14:paraId="3A9E0530">
      <w:pPr>
        <w:pStyle w:val="5"/>
        <w:ind w:firstLine="482" w:firstLineChars="200"/>
        <w:rPr>
          <w:color w:val="000000" w:themeColor="text1"/>
          <w:highlight w:val="none"/>
          <w14:textFill>
            <w14:solidFill>
              <w14:schemeClr w14:val="tx1"/>
            </w14:solidFill>
          </w14:textFill>
        </w:rPr>
      </w:pPr>
      <w:bookmarkStart w:id="775" w:name="_Toc24054"/>
      <w:bookmarkStart w:id="776" w:name="_Toc30657"/>
      <w:bookmarkStart w:id="777" w:name="_Toc7815"/>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水土流失影响评价</w:t>
      </w:r>
      <w:bookmarkEnd w:id="775"/>
      <w:bookmarkEnd w:id="776"/>
      <w:bookmarkEnd w:id="777"/>
    </w:p>
    <w:p w14:paraId="4489E702">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施工期对水土流失的影响分析</w:t>
      </w:r>
    </w:p>
    <w:p w14:paraId="2AAA3AF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（1）本项目建设过程中场地平整、场地道路建设、各建筑物占地、施工机械及人员践踏、</w:t>
      </w:r>
      <w:r>
        <w:rPr>
          <w:rFonts w:hint="eastAsia"/>
          <w:color w:val="000000" w:themeColor="text1"/>
          <w:highlight w:val="none"/>
          <w:lang w:eastAsia="zh-CN"/>
          <w14:textFill>
            <w14:solidFill>
              <w14:schemeClr w14:val="tx1"/>
            </w14:solidFill>
          </w14:textFill>
        </w:rPr>
        <w:t>碾轧</w:t>
      </w:r>
      <w:r>
        <w:rPr>
          <w:rFonts w:hint="eastAsia"/>
          <w:color w:val="000000" w:themeColor="text1"/>
          <w:highlight w:val="none"/>
          <w14:textFill>
            <w14:solidFill>
              <w14:schemeClr w14:val="tx1"/>
            </w14:solidFill>
          </w14:textFill>
        </w:rPr>
        <w:t>的都将不同程度</w:t>
      </w:r>
      <w:r>
        <w:rPr>
          <w:rFonts w:hint="eastAsia"/>
          <w:color w:val="000000" w:themeColor="text1"/>
          <w:highlight w:val="none"/>
          <w:lang w:eastAsia="zh-CN"/>
          <w14:textFill>
            <w14:solidFill>
              <w14:schemeClr w14:val="tx1"/>
            </w14:solidFill>
          </w14:textFill>
        </w:rPr>
        <w:t>地</w:t>
      </w:r>
      <w:r>
        <w:rPr>
          <w:rFonts w:hint="eastAsia"/>
          <w:color w:val="000000" w:themeColor="text1"/>
          <w:highlight w:val="none"/>
          <w14:textFill>
            <w14:solidFill>
              <w14:schemeClr w14:val="tx1"/>
            </w14:solidFill>
          </w14:textFill>
        </w:rPr>
        <w:t>破坏地表原始结构，改变原始地貌、损坏天然植被，从而造成或加剧水土流失。</w:t>
      </w:r>
    </w:p>
    <w:p w14:paraId="5C74394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（2）各建筑物占地要占压</w:t>
      </w:r>
      <w:r>
        <w:rPr>
          <w:rFonts w:hint="eastAsia"/>
          <w:color w:val="000000" w:themeColor="text1"/>
          <w:highlight w:val="none"/>
          <w:lang w:eastAsia="zh-CN"/>
          <w14:textFill>
            <w14:solidFill>
              <w14:schemeClr w14:val="tx1"/>
            </w14:solidFill>
          </w14:textFill>
        </w:rPr>
        <w:t>土地</w:t>
      </w:r>
      <w:r>
        <w:rPr>
          <w:rFonts w:hint="eastAsia"/>
          <w:color w:val="000000" w:themeColor="text1"/>
          <w:highlight w:val="none"/>
          <w14:textFill>
            <w14:solidFill>
              <w14:schemeClr w14:val="tx1"/>
            </w14:solidFill>
          </w14:textFill>
        </w:rPr>
        <w:t>，形成裸地，诱发水土流失。</w:t>
      </w:r>
    </w:p>
    <w:p w14:paraId="37E009CE">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（3）建筑过程中被扰动的地表未被建（构）筑物覆盖的地区，若不能及时平整、硬化或绿化，则会诱发水土流失。</w:t>
      </w:r>
    </w:p>
    <w:p w14:paraId="05793872">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（4）施工车辆不按指定便道行驶，任意碾压，会诱发水土流失。</w:t>
      </w:r>
    </w:p>
    <w:p w14:paraId="76BE3A46">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（5）道路建设形成的挖填方，输水及输电线路的敷设要形成松散土壤、土埂，从而诱发水土流失。施工人员及机械作业会对土壤及植被造成破坏，形成裸地，也会加剧水土流失。</w:t>
      </w:r>
    </w:p>
    <w:p w14:paraId="4B3DA9CC">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rFonts w:hint="eastAsia"/>
          <w:color w:val="000000" w:themeColor="text1"/>
          <w:highlight w:val="none"/>
          <w:lang w:eastAsia="zh-CN"/>
          <w14:textFill>
            <w14:solidFill>
              <w14:schemeClr w14:val="tx1"/>
            </w14:solidFill>
          </w14:textFill>
        </w:rPr>
        <w:t>尾矿库</w:t>
      </w:r>
      <w:r>
        <w:rPr>
          <w:rFonts w:hint="eastAsia"/>
          <w:color w:val="000000" w:themeColor="text1"/>
          <w:highlight w:val="none"/>
          <w14:textFill>
            <w14:solidFill>
              <w14:schemeClr w14:val="tx1"/>
            </w14:solidFill>
          </w14:textFill>
        </w:rPr>
        <w:t>的场地平整，在建设施工中要剥离表层土和风化层。产生挖填方，挖填若不能实现平整，产生的弃土会诱发水土流失。</w:t>
      </w:r>
    </w:p>
    <w:p w14:paraId="5882C083">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2、运营期</w:t>
      </w:r>
      <w:r>
        <w:rPr>
          <w:color w:val="000000" w:themeColor="text1"/>
          <w:highlight w:val="none"/>
          <w14:textFill>
            <w14:solidFill>
              <w14:schemeClr w14:val="tx1"/>
            </w14:solidFill>
          </w14:textFill>
        </w:rPr>
        <w:t>对水土流失的影响分析</w:t>
      </w:r>
    </w:p>
    <w:p w14:paraId="1DFE5685">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进出厂运输车辆超范围行驶，任意碾压地表，易引起水土流失。</w:t>
      </w:r>
    </w:p>
    <w:p w14:paraId="146D91C6">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7土地沙化</w:t>
      </w:r>
      <w:r>
        <w:rPr>
          <w:rFonts w:hint="eastAsia"/>
          <w:color w:val="000000" w:themeColor="text1"/>
          <w:highlight w:val="none"/>
          <w14:textFill>
            <w14:solidFill>
              <w14:schemeClr w14:val="tx1"/>
            </w14:solidFill>
          </w14:textFill>
        </w:rPr>
        <w:t>影响评价</w:t>
      </w:r>
    </w:p>
    <w:p w14:paraId="73ABC983">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项目建设过程中对原地貌的扰动将降低项目占地范围内的土壤抗侵蚀能力，造成土地沙化</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，但影响程度不大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；此外，由于项目地处内陆地区，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风速较小，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空气干燥，若</w:t>
      </w:r>
      <w:r>
        <w:rPr>
          <w:rFonts w:hint="eastAsia" w:cs="Times New Roman"/>
          <w:color w:val="000000" w:themeColor="text1"/>
          <w:sz w:val="24"/>
          <w:szCs w:val="24"/>
          <w:highlight w:val="none"/>
          <w:lang w:val="en-US" w:eastAsia="zh-CN"/>
          <w14:textFill>
            <w14:solidFill>
              <w14:schemeClr w14:val="tx1"/>
            </w14:solidFill>
          </w14:textFill>
        </w:rPr>
        <w:t>运行期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间尾矿库干滩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堆存过程中采取</w:t>
      </w:r>
      <w:r>
        <w:rPr>
          <w:rFonts w:hint="eastAsia" w:cs="Times New Roman"/>
          <w:color w:val="000000" w:themeColor="text1"/>
          <w:sz w:val="24"/>
          <w:szCs w:val="24"/>
          <w:highlight w:val="none"/>
          <w:lang w:val="en-US" w:eastAsia="zh-CN"/>
          <w14:textFill>
            <w14:solidFill>
              <w14:schemeClr w14:val="tx1"/>
            </w14:solidFill>
          </w14:textFill>
        </w:rPr>
        <w:t>抑尘剂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措施，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将不会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对原有地表土壤造成扰动，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从而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造成地表原有结构的破坏。</w:t>
      </w:r>
    </w:p>
    <w:p w14:paraId="6600E17C">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运营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过程中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不会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对原</w:t>
      </w:r>
      <w:r>
        <w:rPr>
          <w:rFonts w:hint="eastAsia" w:cs="Times New Roman"/>
          <w:color w:val="000000" w:themeColor="text1"/>
          <w:sz w:val="24"/>
          <w:szCs w:val="24"/>
          <w:highlight w:val="none"/>
          <w:lang w:val="en-US" w:eastAsia="zh-CN"/>
          <w14:textFill>
            <w14:solidFill>
              <w14:schemeClr w14:val="tx1"/>
            </w14:solidFill>
          </w14:textFill>
        </w:rPr>
        <w:t>地貌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造成较大的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扰动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，进而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降低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尾矿库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占地范围内</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及周边地表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的土壤抗侵蚀能力</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若未采取相应的防护措施，遇大风天气，极易加重区域沙尘天气。</w:t>
      </w:r>
    </w:p>
    <w:p w14:paraId="06298D3A">
      <w:pPr>
        <w:overflowPunct w:val="0"/>
        <w:topLinePunct/>
        <w:ind w:firstLine="480"/>
        <w:rPr>
          <w:rFonts w:hint="eastAsia"/>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综上所述，</w:t>
      </w:r>
      <w:r>
        <w:rPr>
          <w:rFonts w:hint="eastAsia" w:cs="Times New Roman"/>
          <w:color w:val="000000" w:themeColor="text1"/>
          <w:sz w:val="24"/>
          <w:szCs w:val="24"/>
          <w:highlight w:val="none"/>
          <w:lang w:val="en-US" w:eastAsia="zh-CN"/>
          <w14:textFill>
            <w14:solidFill>
              <w14:schemeClr w14:val="tx1"/>
            </w14:solidFill>
          </w14:textFill>
        </w:rPr>
        <w:t>运行期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对周围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防风固沙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环境有一定影响，采取相应防治措施后对周围环境的影响较小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6077FAE">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生态影响评价自查表见表5</w:t>
      </w:r>
      <w:r>
        <w:rPr>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14:textFill>
            <w14:solidFill>
              <w14:schemeClr w14:val="tx1"/>
            </w14:solidFill>
          </w14:textFill>
        </w:rPr>
        <w:t>。</w:t>
      </w:r>
    </w:p>
    <w:p w14:paraId="67BA30C1">
      <w:pPr>
        <w:overflowPunct w:val="0"/>
        <w:topLinePunct/>
        <w:ind w:firstLine="0" w:firstLineChars="0"/>
        <w:jc w:val="center"/>
        <w:rPr>
          <w:color w:val="000000" w:themeColor="text1"/>
          <w:highlight w:val="none"/>
          <w14:textFill>
            <w14:solidFill>
              <w14:schemeClr w14:val="tx1"/>
            </w14:solidFill>
          </w14:textFill>
        </w:rPr>
      </w:pPr>
      <w:r>
        <w:rPr>
          <w:b/>
          <w:color w:val="000000" w:themeColor="text1"/>
          <w:kern w:val="0"/>
          <w:highlight w:val="none"/>
          <w14:textFill>
            <w14:solidFill>
              <w14:schemeClr w14:val="tx1"/>
            </w14:solidFill>
          </w14:textFill>
        </w:rPr>
        <w:t>表5.2-</w:t>
      </w:r>
      <w:r>
        <w:rPr>
          <w:rFonts w:hint="eastAsia"/>
          <w:b/>
          <w:color w:val="000000" w:themeColor="text1"/>
          <w:kern w:val="0"/>
          <w:highlight w:val="none"/>
          <w:lang w:val="en-US" w:eastAsia="zh-CN"/>
          <w14:textFill>
            <w14:solidFill>
              <w14:schemeClr w14:val="tx1"/>
            </w14:solidFill>
          </w14:textFill>
        </w:rPr>
        <w:t>20</w:t>
      </w:r>
      <w:r>
        <w:rPr>
          <w:b/>
          <w:color w:val="000000" w:themeColor="text1"/>
          <w:kern w:val="0"/>
          <w:highlight w:val="none"/>
          <w14:textFill>
            <w14:solidFill>
              <w14:schemeClr w14:val="tx1"/>
            </w14:solidFill>
          </w14:textFill>
        </w:rPr>
        <w:t xml:space="preserve"> </w:t>
      </w:r>
      <w:r>
        <w:rPr>
          <w:rFonts w:hint="eastAsia"/>
          <w:b/>
          <w:color w:val="000000" w:themeColor="text1"/>
          <w:kern w:val="0"/>
          <w:highlight w:val="none"/>
          <w14:textFill>
            <w14:solidFill>
              <w14:schemeClr w14:val="tx1"/>
            </w14:solidFill>
          </w14:textFill>
        </w:rPr>
        <w:t xml:space="preserve">   生态影响评价自查表</w:t>
      </w:r>
    </w:p>
    <w:tbl>
      <w:tblPr>
        <w:tblStyle w:val="32"/>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89"/>
        <w:gridCol w:w="1257"/>
        <w:gridCol w:w="6190"/>
      </w:tblGrid>
      <w:tr w14:paraId="272E36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6" w:hRule="atLeast"/>
          <w:tblHeader/>
        </w:trPr>
        <w:tc>
          <w:tcPr>
            <w:tcW w:w="2146" w:type="dxa"/>
            <w:gridSpan w:val="2"/>
            <w:vAlign w:val="center"/>
          </w:tcPr>
          <w:p w14:paraId="7A82C388">
            <w:pPr>
              <w:pStyle w:val="45"/>
              <w:spacing w:before="0" w:beforeAutospacing="0" w:line="360" w:lineRule="exact"/>
              <w:ind w:firstLine="0" w:firstLineChars="0"/>
              <w:jc w:val="center"/>
              <w:rPr>
                <w:b/>
                <w:bCs/>
                <w:snapToGrid w:val="0"/>
                <w:color w:val="000000" w:themeColor="text1"/>
                <w:sz w:val="21"/>
                <w:szCs w:val="21"/>
                <w:highlight w:val="none"/>
                <w14:textFill>
                  <w14:solidFill>
                    <w14:schemeClr w14:val="tx1"/>
                  </w14:solidFill>
                </w14:textFill>
              </w:rPr>
            </w:pPr>
            <w:r>
              <w:rPr>
                <w:b/>
                <w:bCs/>
                <w:snapToGrid w:val="0"/>
                <w:color w:val="000000" w:themeColor="text1"/>
                <w:sz w:val="21"/>
                <w:szCs w:val="21"/>
                <w:highlight w:val="none"/>
                <w14:textFill>
                  <w14:solidFill>
                    <w14:schemeClr w14:val="tx1"/>
                  </w14:solidFill>
                </w14:textFill>
              </w:rPr>
              <w:t>工作内容</w:t>
            </w:r>
          </w:p>
        </w:tc>
        <w:tc>
          <w:tcPr>
            <w:tcW w:w="6190" w:type="dxa"/>
            <w:vAlign w:val="center"/>
          </w:tcPr>
          <w:p w14:paraId="26E2BD7E">
            <w:pPr>
              <w:pStyle w:val="45"/>
              <w:spacing w:before="0" w:beforeAutospacing="0" w:line="360" w:lineRule="exact"/>
              <w:ind w:firstLine="0" w:firstLineChars="0"/>
              <w:jc w:val="center"/>
              <w:rPr>
                <w:b/>
                <w:bCs/>
                <w:snapToGrid w:val="0"/>
                <w:color w:val="000000" w:themeColor="text1"/>
                <w:sz w:val="21"/>
                <w:szCs w:val="21"/>
                <w:highlight w:val="none"/>
                <w14:textFill>
                  <w14:solidFill>
                    <w14:schemeClr w14:val="tx1"/>
                  </w14:solidFill>
                </w14:textFill>
              </w:rPr>
            </w:pPr>
            <w:r>
              <w:rPr>
                <w:b/>
                <w:bCs/>
                <w:snapToGrid w:val="0"/>
                <w:color w:val="000000" w:themeColor="text1"/>
                <w:sz w:val="21"/>
                <w:szCs w:val="21"/>
                <w:highlight w:val="none"/>
                <w14:textFill>
                  <w14:solidFill>
                    <w14:schemeClr w14:val="tx1"/>
                  </w14:solidFill>
                </w14:textFill>
              </w:rPr>
              <w:t>自查项目</w:t>
            </w:r>
          </w:p>
        </w:tc>
      </w:tr>
      <w:tr w14:paraId="304A15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889" w:type="dxa"/>
            <w:vMerge w:val="restart"/>
            <w:vAlign w:val="center"/>
          </w:tcPr>
          <w:p w14:paraId="771097A7">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生态影响识别</w:t>
            </w:r>
          </w:p>
        </w:tc>
        <w:tc>
          <w:tcPr>
            <w:tcW w:w="1257" w:type="dxa"/>
            <w:vAlign w:val="center"/>
          </w:tcPr>
          <w:p w14:paraId="3314DC6C">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生态保护目标</w:t>
            </w:r>
          </w:p>
        </w:tc>
        <w:tc>
          <w:tcPr>
            <w:tcW w:w="6190" w:type="dxa"/>
            <w:vAlign w:val="center"/>
          </w:tcPr>
          <w:p w14:paraId="4C1799C7">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重要物种□；国家公园□；自然保护区□；自然公园□；世界自然遗产□；生态保护红线□；重要生境□；其他具有重要生态功能、对保护生物多样性具有重要意义的区域□；其他□</w:t>
            </w:r>
          </w:p>
        </w:tc>
      </w:tr>
      <w:tr w14:paraId="01B703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889" w:type="dxa"/>
            <w:vMerge w:val="continue"/>
            <w:vAlign w:val="center"/>
          </w:tcPr>
          <w:p w14:paraId="09884908">
            <w:pPr>
              <w:spacing w:line="360" w:lineRule="exact"/>
              <w:ind w:firstLine="0" w:firstLineChars="0"/>
              <w:jc w:val="center"/>
              <w:rPr>
                <w:snapToGrid w:val="0"/>
                <w:color w:val="000000" w:themeColor="text1"/>
                <w:kern w:val="0"/>
                <w:sz w:val="21"/>
                <w:szCs w:val="21"/>
                <w:highlight w:val="none"/>
                <w14:textFill>
                  <w14:solidFill>
                    <w14:schemeClr w14:val="tx1"/>
                  </w14:solidFill>
                </w14:textFill>
              </w:rPr>
            </w:pPr>
          </w:p>
        </w:tc>
        <w:tc>
          <w:tcPr>
            <w:tcW w:w="1257" w:type="dxa"/>
            <w:vAlign w:val="center"/>
          </w:tcPr>
          <w:p w14:paraId="356E9713">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影响方式</w:t>
            </w:r>
          </w:p>
        </w:tc>
        <w:tc>
          <w:tcPr>
            <w:tcW w:w="6190" w:type="dxa"/>
            <w:vAlign w:val="center"/>
          </w:tcPr>
          <w:p w14:paraId="524996D3">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工程占用</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；施工活动干扰</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；改变环境条件□；其他□</w:t>
            </w:r>
          </w:p>
        </w:tc>
      </w:tr>
      <w:tr w14:paraId="6F942A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412" w:hRule="atLeast"/>
        </w:trPr>
        <w:tc>
          <w:tcPr>
            <w:tcW w:w="889" w:type="dxa"/>
            <w:vMerge w:val="continue"/>
            <w:vAlign w:val="center"/>
          </w:tcPr>
          <w:p w14:paraId="09020B80">
            <w:pPr>
              <w:spacing w:line="360" w:lineRule="exact"/>
              <w:ind w:firstLine="0" w:firstLineChars="0"/>
              <w:jc w:val="center"/>
              <w:rPr>
                <w:snapToGrid w:val="0"/>
                <w:color w:val="000000" w:themeColor="text1"/>
                <w:kern w:val="0"/>
                <w:sz w:val="21"/>
                <w:szCs w:val="21"/>
                <w:highlight w:val="none"/>
                <w14:textFill>
                  <w14:solidFill>
                    <w14:schemeClr w14:val="tx1"/>
                  </w14:solidFill>
                </w14:textFill>
              </w:rPr>
            </w:pPr>
          </w:p>
        </w:tc>
        <w:tc>
          <w:tcPr>
            <w:tcW w:w="1257" w:type="dxa"/>
            <w:vAlign w:val="center"/>
          </w:tcPr>
          <w:p w14:paraId="1BB977E0">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评价因子</w:t>
            </w:r>
          </w:p>
        </w:tc>
        <w:tc>
          <w:tcPr>
            <w:tcW w:w="6190" w:type="dxa"/>
            <w:vAlign w:val="center"/>
          </w:tcPr>
          <w:p w14:paraId="73CC5EB6">
            <w:pPr>
              <w:pStyle w:val="45"/>
              <w:tabs>
                <w:tab w:val="left" w:pos="3092"/>
              </w:tabs>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物种</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w:t>
            </w:r>
            <w:r>
              <w:rPr>
                <w:rFonts w:hint="eastAsia"/>
                <w:snapToGrid w:val="0"/>
                <w:color w:val="000000" w:themeColor="text1"/>
                <w:sz w:val="21"/>
                <w:szCs w:val="21"/>
                <w:highlight w:val="none"/>
                <w14:textFill>
                  <w14:solidFill>
                    <w14:schemeClr w14:val="tx1"/>
                  </w14:solidFill>
                </w14:textFill>
              </w:rPr>
              <w:t>物种种类、物种结构</w:t>
            </w:r>
            <w:r>
              <w:rPr>
                <w:snapToGrid w:val="0"/>
                <w:color w:val="000000" w:themeColor="text1"/>
                <w:sz w:val="21"/>
                <w:szCs w:val="21"/>
                <w:highlight w:val="none"/>
                <w14:textFill>
                  <w14:solidFill>
                    <w14:schemeClr w14:val="tx1"/>
                  </w14:solidFill>
                </w14:textFill>
              </w:rPr>
              <w:t>）</w:t>
            </w:r>
          </w:p>
          <w:p w14:paraId="5C16ECB8">
            <w:pPr>
              <w:pStyle w:val="45"/>
              <w:tabs>
                <w:tab w:val="left" w:pos="3092"/>
              </w:tabs>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生境□（</w:t>
            </w:r>
            <w:r>
              <w:rPr>
                <w:rFonts w:hint="eastAsia"/>
                <w:snapToGrid w:val="0"/>
                <w:color w:val="000000" w:themeColor="text1"/>
                <w:sz w:val="21"/>
                <w:szCs w:val="21"/>
                <w:highlight w:val="none"/>
                <w14:textFill>
                  <w14:solidFill>
                    <w14:schemeClr w14:val="tx1"/>
                  </w14:solidFill>
                </w14:textFill>
              </w:rPr>
              <w:t>生境质量、连通性</w:t>
            </w:r>
            <w:r>
              <w:rPr>
                <w:snapToGrid w:val="0"/>
                <w:color w:val="000000" w:themeColor="text1"/>
                <w:sz w:val="21"/>
                <w:szCs w:val="21"/>
                <w:highlight w:val="none"/>
                <w14:textFill>
                  <w14:solidFill>
                    <w14:schemeClr w14:val="tx1"/>
                  </w14:solidFill>
                </w14:textFill>
              </w:rPr>
              <w:t>）</w:t>
            </w:r>
          </w:p>
          <w:p w14:paraId="71E5BD3A">
            <w:pPr>
              <w:pStyle w:val="45"/>
              <w:tabs>
                <w:tab w:val="left" w:pos="3092"/>
              </w:tabs>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生物群落</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（生物量、植被类型、土地利用类型等）</w:t>
            </w:r>
          </w:p>
          <w:p w14:paraId="12C946FC">
            <w:pPr>
              <w:pStyle w:val="45"/>
              <w:tabs>
                <w:tab w:val="left" w:pos="3092"/>
              </w:tabs>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生态系统</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w:t>
            </w:r>
            <w:r>
              <w:rPr>
                <w:rFonts w:hint="eastAsia"/>
                <w:snapToGrid w:val="0"/>
                <w:color w:val="000000" w:themeColor="text1"/>
                <w:sz w:val="21"/>
                <w:szCs w:val="21"/>
                <w:highlight w:val="none"/>
                <w14:textFill>
                  <w14:solidFill>
                    <w14:schemeClr w14:val="tx1"/>
                  </w14:solidFill>
                </w14:textFill>
              </w:rPr>
              <w:t>植被覆盖度、</w:t>
            </w:r>
            <w:r>
              <w:rPr>
                <w:snapToGrid w:val="0"/>
                <w:color w:val="000000" w:themeColor="text1"/>
                <w:sz w:val="21"/>
                <w:szCs w:val="21"/>
                <w:highlight w:val="none"/>
                <w14:textFill>
                  <w14:solidFill>
                    <w14:schemeClr w14:val="tx1"/>
                  </w14:solidFill>
                </w14:textFill>
              </w:rPr>
              <w:t>生态</w:t>
            </w:r>
            <w:r>
              <w:rPr>
                <w:rFonts w:hint="eastAsia"/>
                <w:snapToGrid w:val="0"/>
                <w:color w:val="000000" w:themeColor="text1"/>
                <w:sz w:val="21"/>
                <w:szCs w:val="21"/>
                <w:highlight w:val="none"/>
                <w14:textFill>
                  <w14:solidFill>
                    <w14:schemeClr w14:val="tx1"/>
                  </w14:solidFill>
                </w14:textFill>
              </w:rPr>
              <w:t>系统</w:t>
            </w:r>
            <w:r>
              <w:rPr>
                <w:snapToGrid w:val="0"/>
                <w:color w:val="000000" w:themeColor="text1"/>
                <w:sz w:val="21"/>
                <w:szCs w:val="21"/>
                <w:highlight w:val="none"/>
                <w14:textFill>
                  <w14:solidFill>
                    <w14:schemeClr w14:val="tx1"/>
                  </w14:solidFill>
                </w14:textFill>
              </w:rPr>
              <w:t>功能等）</w:t>
            </w:r>
          </w:p>
          <w:p w14:paraId="5A4A1F3B">
            <w:pPr>
              <w:pStyle w:val="45"/>
              <w:tabs>
                <w:tab w:val="left" w:pos="3092"/>
              </w:tabs>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生物多样性</w:t>
            </w:r>
            <w:r>
              <w:rPr>
                <w:snapToGrid w:val="0"/>
                <w:color w:val="000000" w:themeColor="text1"/>
                <w:sz w:val="21"/>
                <w:szCs w:val="21"/>
                <w:highlight w:val="none"/>
                <w14:textFill>
                  <w14:solidFill>
                    <w14:schemeClr w14:val="tx1"/>
                  </w14:solidFill>
                </w14:textFill>
              </w:rPr>
              <w:sym w:font="Wingdings 2" w:char="00A3"/>
            </w:r>
            <w:r>
              <w:rPr>
                <w:snapToGrid w:val="0"/>
                <w:color w:val="000000" w:themeColor="text1"/>
                <w:sz w:val="21"/>
                <w:szCs w:val="21"/>
                <w:highlight w:val="none"/>
                <w14:textFill>
                  <w14:solidFill>
                    <w14:schemeClr w14:val="tx1"/>
                  </w14:solidFill>
                </w14:textFill>
              </w:rPr>
              <w:t>（</w:t>
            </w:r>
            <w:r>
              <w:rPr>
                <w:snapToGrid w:val="0"/>
                <w:color w:val="000000" w:themeColor="text1"/>
                <w:sz w:val="21"/>
                <w:szCs w:val="21"/>
                <w:highlight w:val="none"/>
                <w14:textFill>
                  <w14:solidFill>
                    <w14:schemeClr w14:val="tx1"/>
                  </w14:solidFill>
                </w14:textFill>
              </w:rPr>
              <w:tab/>
            </w:r>
            <w:r>
              <w:rPr>
                <w:snapToGrid w:val="0"/>
                <w:color w:val="000000" w:themeColor="text1"/>
                <w:sz w:val="21"/>
                <w:szCs w:val="21"/>
                <w:highlight w:val="none"/>
                <w14:textFill>
                  <w14:solidFill>
                    <w14:schemeClr w14:val="tx1"/>
                  </w14:solidFill>
                </w14:textFill>
              </w:rPr>
              <w:t>）</w:t>
            </w:r>
          </w:p>
          <w:p w14:paraId="700762B5">
            <w:pPr>
              <w:pStyle w:val="45"/>
              <w:tabs>
                <w:tab w:val="left" w:pos="3092"/>
              </w:tabs>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生态敏感区</w:t>
            </w:r>
            <w:r>
              <w:rPr>
                <w:snapToGrid w:val="0"/>
                <w:color w:val="000000" w:themeColor="text1"/>
                <w:sz w:val="21"/>
                <w:szCs w:val="21"/>
                <w:highlight w:val="none"/>
                <w14:textFill>
                  <w14:solidFill>
                    <w14:schemeClr w14:val="tx1"/>
                  </w14:solidFill>
                </w14:textFill>
              </w:rPr>
              <w:sym w:font="Wingdings 2" w:char="00A3"/>
            </w:r>
            <w:r>
              <w:rPr>
                <w:snapToGrid w:val="0"/>
                <w:color w:val="000000" w:themeColor="text1"/>
                <w:sz w:val="21"/>
                <w:szCs w:val="21"/>
                <w:highlight w:val="none"/>
                <w14:textFill>
                  <w14:solidFill>
                    <w14:schemeClr w14:val="tx1"/>
                  </w14:solidFill>
                </w14:textFill>
              </w:rPr>
              <w:t>（</w:t>
            </w:r>
            <w:r>
              <w:rPr>
                <w:rFonts w:hint="eastAsia"/>
                <w:snapToGrid w:val="0"/>
                <w:color w:val="000000" w:themeColor="text1"/>
                <w:sz w:val="21"/>
                <w:szCs w:val="21"/>
                <w:highlight w:val="none"/>
                <w:lang w:val="en-US" w:eastAsia="zh-CN"/>
                <w14:textFill>
                  <w14:solidFill>
                    <w14:schemeClr w14:val="tx1"/>
                  </w14:solidFill>
                </w14:textFill>
              </w:rPr>
              <w:t xml:space="preserve">                </w:t>
            </w:r>
            <w:r>
              <w:rPr>
                <w:snapToGrid w:val="0"/>
                <w:color w:val="000000" w:themeColor="text1"/>
                <w:sz w:val="21"/>
                <w:szCs w:val="21"/>
                <w:highlight w:val="none"/>
                <w14:textFill>
                  <w14:solidFill>
                    <w14:schemeClr w14:val="tx1"/>
                  </w14:solidFill>
                </w14:textFill>
              </w:rPr>
              <w:t>）</w:t>
            </w:r>
          </w:p>
          <w:p w14:paraId="086BD779">
            <w:pPr>
              <w:pStyle w:val="45"/>
              <w:tabs>
                <w:tab w:val="left" w:pos="3092"/>
              </w:tabs>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自然景观</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w:t>
            </w:r>
            <w:r>
              <w:rPr>
                <w:rFonts w:hint="eastAsia"/>
                <w:snapToGrid w:val="0"/>
                <w:color w:val="000000" w:themeColor="text1"/>
                <w:sz w:val="21"/>
                <w:szCs w:val="21"/>
                <w:highlight w:val="none"/>
                <w14:textFill>
                  <w14:solidFill>
                    <w14:schemeClr w14:val="tx1"/>
                  </w14:solidFill>
                </w14:textFill>
              </w:rPr>
              <w:t>景观多样性</w:t>
            </w:r>
            <w:r>
              <w:rPr>
                <w:snapToGrid w:val="0"/>
                <w:color w:val="000000" w:themeColor="text1"/>
                <w:sz w:val="21"/>
                <w:szCs w:val="21"/>
                <w:highlight w:val="none"/>
                <w14:textFill>
                  <w14:solidFill>
                    <w14:schemeClr w14:val="tx1"/>
                  </w14:solidFill>
                </w14:textFill>
              </w:rPr>
              <w:t>）</w:t>
            </w:r>
          </w:p>
          <w:p w14:paraId="769D4C1D">
            <w:pPr>
              <w:pStyle w:val="45"/>
              <w:tabs>
                <w:tab w:val="left" w:pos="3092"/>
              </w:tabs>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自然遗迹□（</w:t>
            </w:r>
            <w:r>
              <w:rPr>
                <w:snapToGrid w:val="0"/>
                <w:color w:val="000000" w:themeColor="text1"/>
                <w:sz w:val="21"/>
                <w:szCs w:val="21"/>
                <w:highlight w:val="none"/>
                <w14:textFill>
                  <w14:solidFill>
                    <w14:schemeClr w14:val="tx1"/>
                  </w14:solidFill>
                </w14:textFill>
              </w:rPr>
              <w:tab/>
            </w:r>
            <w:r>
              <w:rPr>
                <w:snapToGrid w:val="0"/>
                <w:color w:val="000000" w:themeColor="text1"/>
                <w:sz w:val="21"/>
                <w:szCs w:val="21"/>
                <w:highlight w:val="none"/>
                <w14:textFill>
                  <w14:solidFill>
                    <w14:schemeClr w14:val="tx1"/>
                  </w14:solidFill>
                </w14:textFill>
              </w:rPr>
              <w:t>）</w:t>
            </w:r>
          </w:p>
          <w:p w14:paraId="2822622D">
            <w:pPr>
              <w:pStyle w:val="45"/>
              <w:tabs>
                <w:tab w:val="left" w:pos="3092"/>
              </w:tabs>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其他□（</w:t>
            </w:r>
            <w:r>
              <w:rPr>
                <w:snapToGrid w:val="0"/>
                <w:color w:val="000000" w:themeColor="text1"/>
                <w:sz w:val="21"/>
                <w:szCs w:val="21"/>
                <w:highlight w:val="none"/>
                <w14:textFill>
                  <w14:solidFill>
                    <w14:schemeClr w14:val="tx1"/>
                  </w14:solidFill>
                </w14:textFill>
              </w:rPr>
              <w:tab/>
            </w:r>
            <w:r>
              <w:rPr>
                <w:snapToGrid w:val="0"/>
                <w:color w:val="000000" w:themeColor="text1"/>
                <w:sz w:val="21"/>
                <w:szCs w:val="21"/>
                <w:highlight w:val="none"/>
                <w14:textFill>
                  <w14:solidFill>
                    <w14:schemeClr w14:val="tx1"/>
                  </w14:solidFill>
                </w14:textFill>
              </w:rPr>
              <w:t>）</w:t>
            </w:r>
          </w:p>
        </w:tc>
      </w:tr>
      <w:tr w14:paraId="25B381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2146" w:type="dxa"/>
            <w:gridSpan w:val="2"/>
            <w:vAlign w:val="center"/>
          </w:tcPr>
          <w:p w14:paraId="4011E0E5">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评价等级</w:t>
            </w:r>
          </w:p>
        </w:tc>
        <w:tc>
          <w:tcPr>
            <w:tcW w:w="6190" w:type="dxa"/>
            <w:vAlign w:val="center"/>
          </w:tcPr>
          <w:p w14:paraId="1AB6E4DF">
            <w:pPr>
              <w:pStyle w:val="45"/>
              <w:tabs>
                <w:tab w:val="left" w:pos="1471"/>
                <w:tab w:val="left" w:pos="2823"/>
              </w:tabs>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一级□    二级□    三级</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 xml:space="preserve">    生态影响简单分析□</w:t>
            </w:r>
          </w:p>
        </w:tc>
      </w:tr>
      <w:tr w14:paraId="2B4A9E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2146" w:type="dxa"/>
            <w:gridSpan w:val="2"/>
            <w:vAlign w:val="center"/>
          </w:tcPr>
          <w:p w14:paraId="46985E77">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评价范围</w:t>
            </w:r>
          </w:p>
        </w:tc>
        <w:tc>
          <w:tcPr>
            <w:tcW w:w="6190" w:type="dxa"/>
            <w:vAlign w:val="center"/>
          </w:tcPr>
          <w:p w14:paraId="624DE573">
            <w:pPr>
              <w:pStyle w:val="45"/>
              <w:tabs>
                <w:tab w:val="left" w:pos="1560"/>
              </w:tabs>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陆域面积：（</w:t>
            </w:r>
            <w:r>
              <w:rPr>
                <w:rFonts w:hint="eastAsia"/>
                <w:snapToGrid w:val="0"/>
                <w:color w:val="000000" w:themeColor="text1"/>
                <w:sz w:val="21"/>
                <w:szCs w:val="21"/>
                <w:highlight w:val="none"/>
                <w:lang w:val="en-US" w:eastAsia="zh-CN"/>
                <w14:textFill>
                  <w14:solidFill>
                    <w14:schemeClr w14:val="tx1"/>
                  </w14:solidFill>
                </w14:textFill>
              </w:rPr>
              <w:t>1.92</w:t>
            </w:r>
            <w:r>
              <w:rPr>
                <w:snapToGrid w:val="0"/>
                <w:color w:val="000000" w:themeColor="text1"/>
                <w:sz w:val="21"/>
                <w:szCs w:val="21"/>
                <w:highlight w:val="none"/>
                <w14:textFill>
                  <w14:solidFill>
                    <w14:schemeClr w14:val="tx1"/>
                  </w14:solidFill>
                </w14:textFill>
              </w:rPr>
              <w:t>）</w:t>
            </w:r>
            <w:r>
              <w:rPr>
                <w:rFonts w:eastAsia="Times New Roman"/>
                <w:snapToGrid w:val="0"/>
                <w:color w:val="000000" w:themeColor="text1"/>
                <w:sz w:val="21"/>
                <w:szCs w:val="21"/>
                <w:highlight w:val="none"/>
                <w14:textFill>
                  <w14:solidFill>
                    <w14:schemeClr w14:val="tx1"/>
                  </w14:solidFill>
                </w14:textFill>
              </w:rPr>
              <w:t>km</w:t>
            </w:r>
            <w:r>
              <w:rPr>
                <w:rFonts w:eastAsia="Times New Roman"/>
                <w:snapToGrid w:val="0"/>
                <w:color w:val="000000" w:themeColor="text1"/>
                <w:sz w:val="21"/>
                <w:szCs w:val="21"/>
                <w:highlight w:val="none"/>
                <w:vertAlign w:val="superscript"/>
                <w14:textFill>
                  <w14:solidFill>
                    <w14:schemeClr w14:val="tx1"/>
                  </w14:solidFill>
                </w14:textFill>
              </w:rPr>
              <w:t>2</w:t>
            </w:r>
            <w:r>
              <w:rPr>
                <w:snapToGrid w:val="0"/>
                <w:color w:val="000000" w:themeColor="text1"/>
                <w:sz w:val="21"/>
                <w:szCs w:val="21"/>
                <w:highlight w:val="none"/>
                <w14:textFill>
                  <w14:solidFill>
                    <w14:schemeClr w14:val="tx1"/>
                  </w14:solidFill>
                </w14:textFill>
              </w:rPr>
              <w:t>；水域面积：（ ）</w:t>
            </w:r>
            <w:r>
              <w:rPr>
                <w:rFonts w:eastAsia="Times New Roman"/>
                <w:snapToGrid w:val="0"/>
                <w:color w:val="000000" w:themeColor="text1"/>
                <w:sz w:val="21"/>
                <w:szCs w:val="21"/>
                <w:highlight w:val="none"/>
                <w14:textFill>
                  <w14:solidFill>
                    <w14:schemeClr w14:val="tx1"/>
                  </w14:solidFill>
                </w14:textFill>
              </w:rPr>
              <w:t>km</w:t>
            </w:r>
            <w:r>
              <w:rPr>
                <w:rFonts w:eastAsia="Times New Roman"/>
                <w:snapToGrid w:val="0"/>
                <w:color w:val="000000" w:themeColor="text1"/>
                <w:sz w:val="21"/>
                <w:szCs w:val="21"/>
                <w:highlight w:val="none"/>
                <w:vertAlign w:val="superscript"/>
                <w14:textFill>
                  <w14:solidFill>
                    <w14:schemeClr w14:val="tx1"/>
                  </w14:solidFill>
                </w14:textFill>
              </w:rPr>
              <w:t>2</w:t>
            </w:r>
          </w:p>
        </w:tc>
      </w:tr>
      <w:tr w14:paraId="34873A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0" w:hRule="atLeast"/>
        </w:trPr>
        <w:tc>
          <w:tcPr>
            <w:tcW w:w="889" w:type="dxa"/>
            <w:vMerge w:val="restart"/>
            <w:vAlign w:val="center"/>
          </w:tcPr>
          <w:p w14:paraId="5FE3AF97">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生态现状调查与评价</w:t>
            </w:r>
          </w:p>
        </w:tc>
        <w:tc>
          <w:tcPr>
            <w:tcW w:w="1257" w:type="dxa"/>
            <w:vAlign w:val="center"/>
          </w:tcPr>
          <w:p w14:paraId="1E6993AC">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调查方法</w:t>
            </w:r>
          </w:p>
        </w:tc>
        <w:tc>
          <w:tcPr>
            <w:tcW w:w="6190" w:type="dxa"/>
            <w:vAlign w:val="center"/>
          </w:tcPr>
          <w:p w14:paraId="460626B3">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资料收集</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；遥感调查</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；调查样方、样线</w:t>
            </w:r>
            <w:r>
              <w:rPr>
                <w:rFonts w:hint="eastAsia"/>
                <w:snapToGrid w:val="0"/>
                <w:color w:val="000000" w:themeColor="text1"/>
                <w:sz w:val="21"/>
                <w:szCs w:val="21"/>
                <w:highlight w:val="none"/>
                <w:lang w:eastAsia="zh-CN"/>
                <w14:textFill>
                  <w14:solidFill>
                    <w14:schemeClr w14:val="tx1"/>
                  </w14:solidFill>
                </w14:textFill>
              </w:rPr>
              <w:t>□</w:t>
            </w:r>
            <w:r>
              <w:rPr>
                <w:snapToGrid w:val="0"/>
                <w:color w:val="000000" w:themeColor="text1"/>
                <w:sz w:val="21"/>
                <w:szCs w:val="21"/>
                <w:highlight w:val="none"/>
                <w14:textFill>
                  <w14:solidFill>
                    <w14:schemeClr w14:val="tx1"/>
                  </w14:solidFill>
                </w14:textFill>
              </w:rPr>
              <w:t>；调查点位、断面□；专家和公众咨询法□；其他□</w:t>
            </w:r>
          </w:p>
        </w:tc>
      </w:tr>
      <w:tr w14:paraId="3666EF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8" w:hRule="atLeast"/>
        </w:trPr>
        <w:tc>
          <w:tcPr>
            <w:tcW w:w="889" w:type="dxa"/>
            <w:vMerge w:val="continue"/>
            <w:vAlign w:val="center"/>
          </w:tcPr>
          <w:p w14:paraId="21CB3B75">
            <w:pPr>
              <w:spacing w:line="360" w:lineRule="exact"/>
              <w:ind w:firstLine="0" w:firstLineChars="0"/>
              <w:jc w:val="center"/>
              <w:rPr>
                <w:snapToGrid w:val="0"/>
                <w:color w:val="000000" w:themeColor="text1"/>
                <w:kern w:val="0"/>
                <w:sz w:val="21"/>
                <w:szCs w:val="21"/>
                <w:highlight w:val="none"/>
                <w14:textFill>
                  <w14:solidFill>
                    <w14:schemeClr w14:val="tx1"/>
                  </w14:solidFill>
                </w14:textFill>
              </w:rPr>
            </w:pPr>
          </w:p>
        </w:tc>
        <w:tc>
          <w:tcPr>
            <w:tcW w:w="1257" w:type="dxa"/>
            <w:vAlign w:val="center"/>
          </w:tcPr>
          <w:p w14:paraId="7D655AA7">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调查时间</w:t>
            </w:r>
          </w:p>
        </w:tc>
        <w:tc>
          <w:tcPr>
            <w:tcW w:w="6190" w:type="dxa"/>
            <w:vAlign w:val="center"/>
          </w:tcPr>
          <w:p w14:paraId="6629B7B1">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春季□；夏季</w:t>
            </w:r>
            <w:r>
              <w:rPr>
                <w:snapToGrid w:val="0"/>
                <w:color w:val="000000" w:themeColor="text1"/>
                <w:sz w:val="21"/>
                <w:szCs w:val="21"/>
                <w:highlight w:val="none"/>
                <w14:textFill>
                  <w14:solidFill>
                    <w14:schemeClr w14:val="tx1"/>
                  </w14:solidFill>
                </w14:textFill>
              </w:rPr>
              <w:sym w:font="Wingdings 2" w:char="00A3"/>
            </w:r>
            <w:r>
              <w:rPr>
                <w:snapToGrid w:val="0"/>
                <w:color w:val="000000" w:themeColor="text1"/>
                <w:sz w:val="21"/>
                <w:szCs w:val="21"/>
                <w:highlight w:val="none"/>
                <w14:textFill>
                  <w14:solidFill>
                    <w14:schemeClr w14:val="tx1"/>
                  </w14:solidFill>
                </w14:textFill>
              </w:rPr>
              <w:t>；秋季</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；冬季</w:t>
            </w:r>
            <w:r>
              <w:rPr>
                <w:rFonts w:hint="eastAsia"/>
                <w:snapToGrid w:val="0"/>
                <w:color w:val="000000" w:themeColor="text1"/>
                <w:sz w:val="21"/>
                <w:szCs w:val="21"/>
                <w:highlight w:val="none"/>
                <w:lang w:eastAsia="zh-CN"/>
                <w14:textFill>
                  <w14:solidFill>
                    <w14:schemeClr w14:val="tx1"/>
                  </w14:solidFill>
                </w14:textFill>
              </w:rPr>
              <w:t>☑</w:t>
            </w:r>
            <w:r>
              <w:rPr>
                <w:snapToGrid w:val="0"/>
                <w:color w:val="000000" w:themeColor="text1"/>
                <w:sz w:val="21"/>
                <w:szCs w:val="21"/>
                <w:highlight w:val="none"/>
                <w14:textFill>
                  <w14:solidFill>
                    <w14:schemeClr w14:val="tx1"/>
                  </w14:solidFill>
                </w14:textFill>
              </w:rPr>
              <w:t xml:space="preserve"> 丰水期□；枯水期□；平水期□</w:t>
            </w:r>
          </w:p>
        </w:tc>
      </w:tr>
      <w:tr w14:paraId="583F2B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1" w:hRule="atLeast"/>
        </w:trPr>
        <w:tc>
          <w:tcPr>
            <w:tcW w:w="889" w:type="dxa"/>
            <w:vMerge w:val="continue"/>
            <w:vAlign w:val="center"/>
          </w:tcPr>
          <w:p w14:paraId="6771C44C">
            <w:pPr>
              <w:spacing w:line="360" w:lineRule="exact"/>
              <w:ind w:firstLine="0" w:firstLineChars="0"/>
              <w:jc w:val="center"/>
              <w:rPr>
                <w:snapToGrid w:val="0"/>
                <w:color w:val="000000" w:themeColor="text1"/>
                <w:kern w:val="0"/>
                <w:sz w:val="21"/>
                <w:szCs w:val="21"/>
                <w:highlight w:val="none"/>
                <w14:textFill>
                  <w14:solidFill>
                    <w14:schemeClr w14:val="tx1"/>
                  </w14:solidFill>
                </w14:textFill>
              </w:rPr>
            </w:pPr>
          </w:p>
        </w:tc>
        <w:tc>
          <w:tcPr>
            <w:tcW w:w="1257" w:type="dxa"/>
            <w:vAlign w:val="center"/>
          </w:tcPr>
          <w:p w14:paraId="11D37D5E">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所在区域的生态问题</w:t>
            </w:r>
          </w:p>
        </w:tc>
        <w:tc>
          <w:tcPr>
            <w:tcW w:w="6190" w:type="dxa"/>
            <w:vAlign w:val="center"/>
          </w:tcPr>
          <w:p w14:paraId="2E283E2B">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水土流失</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；沙漠化□；石漠化□；盐渍化□；生物入侵□；污染危害</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；其他□</w:t>
            </w:r>
          </w:p>
        </w:tc>
      </w:tr>
      <w:tr w14:paraId="064A34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889" w:type="dxa"/>
            <w:vMerge w:val="continue"/>
            <w:vAlign w:val="center"/>
          </w:tcPr>
          <w:p w14:paraId="2A6A2662">
            <w:pPr>
              <w:spacing w:line="360" w:lineRule="exact"/>
              <w:ind w:firstLine="0" w:firstLineChars="0"/>
              <w:jc w:val="center"/>
              <w:rPr>
                <w:snapToGrid w:val="0"/>
                <w:color w:val="000000" w:themeColor="text1"/>
                <w:kern w:val="0"/>
                <w:sz w:val="21"/>
                <w:szCs w:val="21"/>
                <w:highlight w:val="none"/>
                <w14:textFill>
                  <w14:solidFill>
                    <w14:schemeClr w14:val="tx1"/>
                  </w14:solidFill>
                </w14:textFill>
              </w:rPr>
            </w:pPr>
          </w:p>
        </w:tc>
        <w:tc>
          <w:tcPr>
            <w:tcW w:w="1257" w:type="dxa"/>
            <w:vAlign w:val="center"/>
          </w:tcPr>
          <w:p w14:paraId="18E5084B">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评价内容</w:t>
            </w:r>
          </w:p>
        </w:tc>
        <w:tc>
          <w:tcPr>
            <w:tcW w:w="6190" w:type="dxa"/>
            <w:vAlign w:val="center"/>
          </w:tcPr>
          <w:p w14:paraId="1826CB90">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植被</w:t>
            </w:r>
            <w:r>
              <w:rPr>
                <w:rFonts w:eastAsia="Times New Roman"/>
                <w:snapToGrid w:val="0"/>
                <w:color w:val="000000" w:themeColor="text1"/>
                <w:sz w:val="21"/>
                <w:szCs w:val="21"/>
                <w:highlight w:val="none"/>
                <w14:textFill>
                  <w14:solidFill>
                    <w14:schemeClr w14:val="tx1"/>
                  </w14:solidFill>
                </w14:textFill>
              </w:rPr>
              <w:t>/</w:t>
            </w:r>
            <w:r>
              <w:rPr>
                <w:snapToGrid w:val="0"/>
                <w:color w:val="000000" w:themeColor="text1"/>
                <w:sz w:val="21"/>
                <w:szCs w:val="21"/>
                <w:highlight w:val="none"/>
                <w14:textFill>
                  <w14:solidFill>
                    <w14:schemeClr w14:val="tx1"/>
                  </w14:solidFill>
                </w14:textFill>
              </w:rPr>
              <w:t>植物群落</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；土地利用</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；生态系统</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；生物多样性</w:t>
            </w:r>
            <w:r>
              <w:rPr>
                <w:snapToGrid w:val="0"/>
                <w:color w:val="000000" w:themeColor="text1"/>
                <w:sz w:val="21"/>
                <w:szCs w:val="21"/>
                <w:highlight w:val="none"/>
                <w14:textFill>
                  <w14:solidFill>
                    <w14:schemeClr w14:val="tx1"/>
                  </w14:solidFill>
                </w14:textFill>
              </w:rPr>
              <w:sym w:font="Wingdings 2" w:char="00A3"/>
            </w:r>
            <w:r>
              <w:rPr>
                <w:snapToGrid w:val="0"/>
                <w:color w:val="000000" w:themeColor="text1"/>
                <w:sz w:val="21"/>
                <w:szCs w:val="21"/>
                <w:highlight w:val="none"/>
                <w14:textFill>
                  <w14:solidFill>
                    <w14:schemeClr w14:val="tx1"/>
                  </w14:solidFill>
                </w14:textFill>
              </w:rPr>
              <w:t>；重要物种□；生态敏感区□；其他□</w:t>
            </w:r>
          </w:p>
        </w:tc>
      </w:tr>
      <w:tr w14:paraId="7121EA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7" w:hRule="atLeast"/>
        </w:trPr>
        <w:tc>
          <w:tcPr>
            <w:tcW w:w="889" w:type="dxa"/>
            <w:vMerge w:val="restart"/>
            <w:vAlign w:val="center"/>
          </w:tcPr>
          <w:p w14:paraId="7EAD98A5">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生态影响预测与评价</w:t>
            </w:r>
          </w:p>
        </w:tc>
        <w:tc>
          <w:tcPr>
            <w:tcW w:w="1257" w:type="dxa"/>
            <w:vAlign w:val="center"/>
          </w:tcPr>
          <w:p w14:paraId="4FBC0989">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评价方法</w:t>
            </w:r>
          </w:p>
        </w:tc>
        <w:tc>
          <w:tcPr>
            <w:tcW w:w="6190" w:type="dxa"/>
            <w:vAlign w:val="center"/>
          </w:tcPr>
          <w:p w14:paraId="187F8022">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定性□；定性和定量</w:t>
            </w:r>
            <w:r>
              <w:rPr>
                <w:snapToGrid w:val="0"/>
                <w:color w:val="000000" w:themeColor="text1"/>
                <w:sz w:val="21"/>
                <w:szCs w:val="21"/>
                <w:highlight w:val="none"/>
                <w14:textFill>
                  <w14:solidFill>
                    <w14:schemeClr w14:val="tx1"/>
                  </w14:solidFill>
                </w14:textFill>
              </w:rPr>
              <w:sym w:font="Wingdings 2" w:char="0052"/>
            </w:r>
          </w:p>
        </w:tc>
      </w:tr>
      <w:tr w14:paraId="6300B3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889" w:type="dxa"/>
            <w:vMerge w:val="continue"/>
            <w:vAlign w:val="center"/>
          </w:tcPr>
          <w:p w14:paraId="514B0AE4">
            <w:pPr>
              <w:spacing w:line="360" w:lineRule="exact"/>
              <w:ind w:firstLine="0" w:firstLineChars="0"/>
              <w:jc w:val="center"/>
              <w:rPr>
                <w:snapToGrid w:val="0"/>
                <w:color w:val="000000" w:themeColor="text1"/>
                <w:kern w:val="0"/>
                <w:sz w:val="21"/>
                <w:szCs w:val="21"/>
                <w:highlight w:val="none"/>
                <w14:textFill>
                  <w14:solidFill>
                    <w14:schemeClr w14:val="tx1"/>
                  </w14:solidFill>
                </w14:textFill>
              </w:rPr>
            </w:pPr>
          </w:p>
        </w:tc>
        <w:tc>
          <w:tcPr>
            <w:tcW w:w="1257" w:type="dxa"/>
            <w:vAlign w:val="center"/>
          </w:tcPr>
          <w:p w14:paraId="666BD140">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评价内容</w:t>
            </w:r>
          </w:p>
        </w:tc>
        <w:tc>
          <w:tcPr>
            <w:tcW w:w="6190" w:type="dxa"/>
            <w:vAlign w:val="center"/>
          </w:tcPr>
          <w:p w14:paraId="0140DBA1">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植被</w:t>
            </w:r>
            <w:r>
              <w:rPr>
                <w:rFonts w:eastAsia="Times New Roman"/>
                <w:snapToGrid w:val="0"/>
                <w:color w:val="000000" w:themeColor="text1"/>
                <w:sz w:val="21"/>
                <w:szCs w:val="21"/>
                <w:highlight w:val="none"/>
                <w14:textFill>
                  <w14:solidFill>
                    <w14:schemeClr w14:val="tx1"/>
                  </w14:solidFill>
                </w14:textFill>
              </w:rPr>
              <w:t>/</w:t>
            </w:r>
            <w:r>
              <w:rPr>
                <w:snapToGrid w:val="0"/>
                <w:color w:val="000000" w:themeColor="text1"/>
                <w:sz w:val="21"/>
                <w:szCs w:val="21"/>
                <w:highlight w:val="none"/>
                <w14:textFill>
                  <w14:solidFill>
                    <w14:schemeClr w14:val="tx1"/>
                  </w14:solidFill>
                </w14:textFill>
              </w:rPr>
              <w:t>植物群落</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；土地利用</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；生态系统</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；生物多样性</w:t>
            </w:r>
            <w:r>
              <w:rPr>
                <w:snapToGrid w:val="0"/>
                <w:color w:val="000000" w:themeColor="text1"/>
                <w:sz w:val="21"/>
                <w:szCs w:val="21"/>
                <w:highlight w:val="none"/>
                <w14:textFill>
                  <w14:solidFill>
                    <w14:schemeClr w14:val="tx1"/>
                  </w14:solidFill>
                </w14:textFill>
              </w:rPr>
              <w:sym w:font="Wingdings 2" w:char="00A3"/>
            </w:r>
            <w:r>
              <w:rPr>
                <w:snapToGrid w:val="0"/>
                <w:color w:val="000000" w:themeColor="text1"/>
                <w:sz w:val="21"/>
                <w:szCs w:val="21"/>
                <w:highlight w:val="none"/>
                <w14:textFill>
                  <w14:solidFill>
                    <w14:schemeClr w14:val="tx1"/>
                  </w14:solidFill>
                </w14:textFill>
              </w:rPr>
              <w:t>；重要物种□；生态敏感区</w:t>
            </w:r>
            <w:r>
              <w:rPr>
                <w:snapToGrid w:val="0"/>
                <w:color w:val="000000" w:themeColor="text1"/>
                <w:sz w:val="21"/>
                <w:szCs w:val="21"/>
                <w:highlight w:val="none"/>
                <w14:textFill>
                  <w14:solidFill>
                    <w14:schemeClr w14:val="tx1"/>
                  </w14:solidFill>
                </w14:textFill>
              </w:rPr>
              <w:sym w:font="Wingdings 2" w:char="00A3"/>
            </w:r>
            <w:r>
              <w:rPr>
                <w:snapToGrid w:val="0"/>
                <w:color w:val="000000" w:themeColor="text1"/>
                <w:sz w:val="21"/>
                <w:szCs w:val="21"/>
                <w:highlight w:val="none"/>
                <w14:textFill>
                  <w14:solidFill>
                    <w14:schemeClr w14:val="tx1"/>
                  </w14:solidFill>
                </w14:textFill>
              </w:rPr>
              <w:t>；生物入侵风险□；其他□</w:t>
            </w:r>
          </w:p>
        </w:tc>
      </w:tr>
      <w:tr w14:paraId="3E4242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889" w:type="dxa"/>
            <w:vMerge w:val="restart"/>
            <w:vAlign w:val="center"/>
          </w:tcPr>
          <w:p w14:paraId="53F6FAE8">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生态保护对策措施</w:t>
            </w:r>
          </w:p>
        </w:tc>
        <w:tc>
          <w:tcPr>
            <w:tcW w:w="1257" w:type="dxa"/>
            <w:vAlign w:val="center"/>
          </w:tcPr>
          <w:p w14:paraId="71A89BB6">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对策措施</w:t>
            </w:r>
          </w:p>
        </w:tc>
        <w:tc>
          <w:tcPr>
            <w:tcW w:w="6190" w:type="dxa"/>
            <w:vAlign w:val="center"/>
          </w:tcPr>
          <w:p w14:paraId="580F3266">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避让□；减缓</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；生态修复</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；生态补偿□；科研□；其他□</w:t>
            </w:r>
          </w:p>
        </w:tc>
      </w:tr>
      <w:tr w14:paraId="347823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7" w:hRule="atLeast"/>
        </w:trPr>
        <w:tc>
          <w:tcPr>
            <w:tcW w:w="889" w:type="dxa"/>
            <w:vMerge w:val="continue"/>
            <w:vAlign w:val="center"/>
          </w:tcPr>
          <w:p w14:paraId="3F99E089">
            <w:pPr>
              <w:spacing w:line="360" w:lineRule="exact"/>
              <w:ind w:firstLine="0" w:firstLineChars="0"/>
              <w:jc w:val="center"/>
              <w:rPr>
                <w:snapToGrid w:val="0"/>
                <w:color w:val="000000" w:themeColor="text1"/>
                <w:kern w:val="0"/>
                <w:sz w:val="21"/>
                <w:szCs w:val="21"/>
                <w:highlight w:val="none"/>
                <w14:textFill>
                  <w14:solidFill>
                    <w14:schemeClr w14:val="tx1"/>
                  </w14:solidFill>
                </w14:textFill>
              </w:rPr>
            </w:pPr>
          </w:p>
        </w:tc>
        <w:tc>
          <w:tcPr>
            <w:tcW w:w="1257" w:type="dxa"/>
            <w:vAlign w:val="center"/>
          </w:tcPr>
          <w:p w14:paraId="62707AB9">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生态监测计划</w:t>
            </w:r>
          </w:p>
        </w:tc>
        <w:tc>
          <w:tcPr>
            <w:tcW w:w="6190" w:type="dxa"/>
            <w:vAlign w:val="center"/>
          </w:tcPr>
          <w:p w14:paraId="240622B3">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全生命周期□；长期跟踪</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；常规□；无□</w:t>
            </w:r>
          </w:p>
        </w:tc>
      </w:tr>
      <w:tr w14:paraId="313970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889" w:type="dxa"/>
            <w:vMerge w:val="continue"/>
            <w:vAlign w:val="center"/>
          </w:tcPr>
          <w:p w14:paraId="5E1E1443">
            <w:pPr>
              <w:spacing w:line="360" w:lineRule="exact"/>
              <w:ind w:firstLine="0" w:firstLineChars="0"/>
              <w:jc w:val="center"/>
              <w:rPr>
                <w:snapToGrid w:val="0"/>
                <w:color w:val="000000" w:themeColor="text1"/>
                <w:kern w:val="0"/>
                <w:sz w:val="21"/>
                <w:szCs w:val="21"/>
                <w:highlight w:val="none"/>
                <w14:textFill>
                  <w14:solidFill>
                    <w14:schemeClr w14:val="tx1"/>
                  </w14:solidFill>
                </w14:textFill>
              </w:rPr>
            </w:pPr>
          </w:p>
        </w:tc>
        <w:tc>
          <w:tcPr>
            <w:tcW w:w="1257" w:type="dxa"/>
            <w:vAlign w:val="center"/>
          </w:tcPr>
          <w:p w14:paraId="41A32E09">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环境管理</w:t>
            </w:r>
          </w:p>
        </w:tc>
        <w:tc>
          <w:tcPr>
            <w:tcW w:w="6190" w:type="dxa"/>
            <w:vAlign w:val="center"/>
          </w:tcPr>
          <w:p w14:paraId="21D9CDD6">
            <w:pPr>
              <w:pStyle w:val="45"/>
              <w:spacing w:before="0" w:beforeAutospacing="0" w:line="360" w:lineRule="exact"/>
              <w:ind w:firstLine="0" w:firstLineChars="0"/>
              <w:jc w:val="center"/>
              <w:rPr>
                <w:rFonts w:hint="eastAsia" w:eastAsia="宋体"/>
                <w:snapToGrid w:val="0"/>
                <w:color w:val="000000" w:themeColor="text1"/>
                <w:sz w:val="21"/>
                <w:szCs w:val="21"/>
                <w:highlight w:val="none"/>
                <w:lang w:eastAsia="zh-CN"/>
                <w14:textFill>
                  <w14:solidFill>
                    <w14:schemeClr w14:val="tx1"/>
                  </w14:solidFill>
                </w14:textFill>
              </w:rPr>
            </w:pPr>
            <w:r>
              <w:rPr>
                <w:snapToGrid w:val="0"/>
                <w:color w:val="000000" w:themeColor="text1"/>
                <w:sz w:val="21"/>
                <w:szCs w:val="21"/>
                <w:highlight w:val="none"/>
                <w14:textFill>
                  <w14:solidFill>
                    <w14:schemeClr w14:val="tx1"/>
                  </w14:solidFill>
                </w14:textFill>
              </w:rPr>
              <w:t>环境监理</w:t>
            </w:r>
            <w:r>
              <w:rPr>
                <w:snapToGrid w:val="0"/>
                <w:color w:val="000000" w:themeColor="text1"/>
                <w:sz w:val="21"/>
                <w:szCs w:val="21"/>
                <w:highlight w:val="none"/>
                <w14:textFill>
                  <w14:solidFill>
                    <w14:schemeClr w14:val="tx1"/>
                  </w14:solidFill>
                </w14:textFill>
              </w:rPr>
              <w:sym w:font="Wingdings 2" w:char="00A3"/>
            </w:r>
            <w:r>
              <w:rPr>
                <w:snapToGrid w:val="0"/>
                <w:color w:val="000000" w:themeColor="text1"/>
                <w:sz w:val="21"/>
                <w:szCs w:val="21"/>
                <w:highlight w:val="none"/>
                <w14:textFill>
                  <w14:solidFill>
                    <w14:schemeClr w14:val="tx1"/>
                  </w14:solidFill>
                </w14:textFill>
              </w:rPr>
              <w:t>；环境影响后评价</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；其他</w:t>
            </w:r>
            <w:r>
              <w:rPr>
                <w:rFonts w:hint="eastAsia"/>
                <w:snapToGrid w:val="0"/>
                <w:color w:val="000000" w:themeColor="text1"/>
                <w:sz w:val="21"/>
                <w:szCs w:val="21"/>
                <w:highlight w:val="none"/>
                <w:lang w:eastAsia="zh-CN"/>
                <w14:textFill>
                  <w14:solidFill>
                    <w14:schemeClr w14:val="tx1"/>
                  </w14:solidFill>
                </w14:textFill>
              </w:rPr>
              <w:t>☑</w:t>
            </w:r>
          </w:p>
        </w:tc>
      </w:tr>
      <w:tr w14:paraId="4A7B9D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4" w:hRule="atLeast"/>
        </w:trPr>
        <w:tc>
          <w:tcPr>
            <w:tcW w:w="889" w:type="dxa"/>
            <w:vAlign w:val="center"/>
          </w:tcPr>
          <w:p w14:paraId="78908C14">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评价结论</w:t>
            </w:r>
          </w:p>
        </w:tc>
        <w:tc>
          <w:tcPr>
            <w:tcW w:w="1257" w:type="dxa"/>
            <w:vAlign w:val="center"/>
          </w:tcPr>
          <w:p w14:paraId="5CB790FA">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生态影响</w:t>
            </w:r>
          </w:p>
        </w:tc>
        <w:tc>
          <w:tcPr>
            <w:tcW w:w="6190" w:type="dxa"/>
            <w:vAlign w:val="center"/>
          </w:tcPr>
          <w:p w14:paraId="385978CB">
            <w:pPr>
              <w:pStyle w:val="45"/>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可行</w:t>
            </w:r>
            <w:r>
              <w:rPr>
                <w:snapToGrid w:val="0"/>
                <w:color w:val="000000" w:themeColor="text1"/>
                <w:sz w:val="21"/>
                <w:szCs w:val="21"/>
                <w:highlight w:val="none"/>
                <w14:textFill>
                  <w14:solidFill>
                    <w14:schemeClr w14:val="tx1"/>
                  </w14:solidFill>
                </w14:textFill>
              </w:rPr>
              <w:sym w:font="Wingdings 2" w:char="0052"/>
            </w:r>
            <w:r>
              <w:rPr>
                <w:snapToGrid w:val="0"/>
                <w:color w:val="000000" w:themeColor="text1"/>
                <w:sz w:val="21"/>
                <w:szCs w:val="21"/>
                <w:highlight w:val="none"/>
                <w14:textFill>
                  <w14:solidFill>
                    <w14:schemeClr w14:val="tx1"/>
                  </w14:solidFill>
                </w14:textFill>
              </w:rPr>
              <w:t>；不可行□</w:t>
            </w:r>
          </w:p>
        </w:tc>
      </w:tr>
      <w:tr w14:paraId="5B3ED2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6" w:hRule="atLeast"/>
        </w:trPr>
        <w:tc>
          <w:tcPr>
            <w:tcW w:w="8336" w:type="dxa"/>
            <w:gridSpan w:val="3"/>
            <w:vAlign w:val="center"/>
          </w:tcPr>
          <w:p w14:paraId="1EB39F12">
            <w:pPr>
              <w:pStyle w:val="45"/>
              <w:tabs>
                <w:tab w:val="left" w:pos="3259"/>
              </w:tabs>
              <w:spacing w:before="0" w:beforeAutospacing="0" w:line="360" w:lineRule="exact"/>
              <w:ind w:firstLine="0" w:firstLineChars="0"/>
              <w:jc w:val="center"/>
              <w:rPr>
                <w:snapToGrid w:val="0"/>
                <w:color w:val="000000" w:themeColor="text1"/>
                <w:sz w:val="21"/>
                <w:szCs w:val="21"/>
                <w:highlight w:val="none"/>
                <w14:textFill>
                  <w14:solidFill>
                    <w14:schemeClr w14:val="tx1"/>
                  </w14:solidFill>
                </w14:textFill>
              </w:rPr>
            </w:pPr>
            <w:r>
              <w:rPr>
                <w:snapToGrid w:val="0"/>
                <w:color w:val="000000" w:themeColor="text1"/>
                <w:sz w:val="21"/>
                <w:szCs w:val="21"/>
                <w:highlight w:val="none"/>
                <w14:textFill>
                  <w14:solidFill>
                    <w14:schemeClr w14:val="tx1"/>
                  </w14:solidFill>
                </w14:textFill>
              </w:rPr>
              <w:t>注： “□” 为勾选项 ，可√ ；“（</w:t>
            </w:r>
            <w:r>
              <w:rPr>
                <w:snapToGrid w:val="0"/>
                <w:color w:val="000000" w:themeColor="text1"/>
                <w:sz w:val="21"/>
                <w:szCs w:val="21"/>
                <w:highlight w:val="none"/>
                <w14:textFill>
                  <w14:solidFill>
                    <w14:schemeClr w14:val="tx1"/>
                  </w14:solidFill>
                </w14:textFill>
              </w:rPr>
              <w:tab/>
            </w:r>
            <w:r>
              <w:rPr>
                <w:snapToGrid w:val="0"/>
                <w:color w:val="000000" w:themeColor="text1"/>
                <w:sz w:val="21"/>
                <w:szCs w:val="21"/>
                <w:highlight w:val="none"/>
                <w14:textFill>
                  <w14:solidFill>
                    <w14:schemeClr w14:val="tx1"/>
                  </w14:solidFill>
                </w14:textFill>
              </w:rPr>
              <w:t>）” 为内容填写项。</w:t>
            </w:r>
          </w:p>
        </w:tc>
      </w:tr>
    </w:tbl>
    <w:p w14:paraId="39E3ADBD">
      <w:pPr>
        <w:pStyle w:val="3"/>
        <w:rPr>
          <w:color w:val="000000" w:themeColor="text1"/>
          <w:highlight w:val="none"/>
          <w14:textFill>
            <w14:solidFill>
              <w14:schemeClr w14:val="tx1"/>
            </w14:solidFill>
          </w14:textFill>
        </w:rPr>
      </w:pPr>
      <w:bookmarkStart w:id="778" w:name="_Toc1827"/>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3环境风险分析</w:t>
      </w:r>
      <w:bookmarkEnd w:id="763"/>
      <w:bookmarkEnd w:id="764"/>
      <w:bookmarkEnd w:id="765"/>
      <w:bookmarkEnd w:id="766"/>
      <w:bookmarkEnd w:id="767"/>
      <w:bookmarkEnd w:id="768"/>
      <w:bookmarkEnd w:id="778"/>
    </w:p>
    <w:p w14:paraId="4282620F">
      <w:pPr>
        <w:keepNext w:val="0"/>
        <w:keepLines w:val="0"/>
        <w:widowControl w:val="0"/>
        <w:suppressLineNumbers w:val="0"/>
        <w:spacing w:before="0" w:beforeAutospacing="0" w:after="0" w:afterAutospacing="0" w:line="480" w:lineRule="exact"/>
        <w:ind w:left="0" w:right="0" w:firstLine="480" w:firstLineChars="200"/>
        <w:jc w:val="both"/>
        <w:rPr>
          <w:color w:val="000000" w:themeColor="text1"/>
          <w:sz w:val="24"/>
          <w:szCs w:val="22"/>
          <w:highlight w:val="none"/>
          <w:lang w:val="en-US"/>
          <w14:textFill>
            <w14:solidFill>
              <w14:schemeClr w14:val="tx1"/>
            </w14:solidFill>
          </w14:textFill>
        </w:rPr>
      </w:pPr>
      <w:r>
        <w:rPr>
          <w:rFonts w:hint="eastAsia" w:ascii="Times New Roman" w:hAnsi="Times New Roman" w:eastAsia="宋体" w:cs="宋体"/>
          <w:color w:val="000000" w:themeColor="text1"/>
          <w:kern w:val="2"/>
          <w:sz w:val="24"/>
          <w:szCs w:val="22"/>
          <w:highlight w:val="none"/>
          <w:lang w:val="en-US" w:eastAsia="zh-CN" w:bidi="ar"/>
          <w14:textFill>
            <w14:solidFill>
              <w14:schemeClr w14:val="tx1"/>
            </w14:solidFill>
          </w14:textFill>
        </w:rPr>
        <w:t>环境风险是指突发性事故对环境造成的危害程度及可能性。其特点是危害大、影响范围广、发生概率具有很大的不确定性。环境风险评价的目的是分析和预测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14:paraId="5EAFAB8D">
      <w:pPr>
        <w:keepNext w:val="0"/>
        <w:keepLines w:val="0"/>
        <w:widowControl/>
        <w:suppressLineNumbers w:val="0"/>
        <w:jc w:val="both"/>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kern w:val="2"/>
          <w:sz w:val="24"/>
          <w:szCs w:val="22"/>
          <w:highlight w:val="none"/>
          <w:lang w:val="en-US" w:eastAsia="zh-CN" w:bidi="ar"/>
          <w14:textFill>
            <w14:solidFill>
              <w14:schemeClr w14:val="tx1"/>
            </w14:solidFill>
          </w14:textFill>
        </w:rPr>
        <w:t>本次评价遵照《关于进一步加强环境影响评价管理防范环境风险的通知》（环发〔</w:t>
      </w:r>
      <w:r>
        <w:rPr>
          <w:rFonts w:hint="default" w:ascii="Times New Roman" w:hAnsi="Times New Roman" w:eastAsia="宋体" w:cs="Times New Roman"/>
          <w:color w:val="000000" w:themeColor="text1"/>
          <w:kern w:val="2"/>
          <w:sz w:val="24"/>
          <w:szCs w:val="22"/>
          <w:highlight w:val="none"/>
          <w:lang w:val="en-US" w:eastAsia="zh-CN" w:bidi="ar"/>
          <w14:textFill>
            <w14:solidFill>
              <w14:schemeClr w14:val="tx1"/>
            </w14:solidFill>
          </w14:textFill>
        </w:rPr>
        <w:t>2012</w:t>
      </w:r>
      <w:r>
        <w:rPr>
          <w:rFonts w:hint="eastAsia" w:ascii="Times New Roman" w:hAnsi="Times New Roman" w:eastAsia="宋体" w:cs="Times New Roman"/>
          <w:color w:val="000000" w:themeColor="text1"/>
          <w:kern w:val="2"/>
          <w:sz w:val="24"/>
          <w:szCs w:val="22"/>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4"/>
          <w:szCs w:val="22"/>
          <w:highlight w:val="none"/>
          <w:lang w:val="en-US" w:eastAsia="zh-CN" w:bidi="ar"/>
          <w14:textFill>
            <w14:solidFill>
              <w14:schemeClr w14:val="tx1"/>
            </w14:solidFill>
          </w14:textFill>
        </w:rPr>
        <w:t>77</w:t>
      </w:r>
      <w:r>
        <w:rPr>
          <w:rFonts w:hint="eastAsia" w:ascii="Times New Roman" w:hAnsi="Times New Roman" w:eastAsia="宋体" w:cs="Times New Roman"/>
          <w:color w:val="000000" w:themeColor="text1"/>
          <w:kern w:val="2"/>
          <w:sz w:val="24"/>
          <w:szCs w:val="22"/>
          <w:highlight w:val="none"/>
          <w:lang w:val="en-US" w:eastAsia="zh-CN" w:bidi="ar"/>
          <w14:textFill>
            <w14:solidFill>
              <w14:schemeClr w14:val="tx1"/>
            </w14:solidFill>
          </w14:textFill>
        </w:rPr>
        <w:t>号），以《建设项目环境风险评价技术导则》（</w:t>
      </w:r>
      <w:r>
        <w:rPr>
          <w:rFonts w:hint="default" w:ascii="Times New Roman" w:hAnsi="Times New Roman" w:eastAsia="宋体" w:cs="Times New Roman"/>
          <w:color w:val="000000" w:themeColor="text1"/>
          <w:kern w:val="2"/>
          <w:sz w:val="24"/>
          <w:szCs w:val="22"/>
          <w:highlight w:val="none"/>
          <w:lang w:val="en-US" w:eastAsia="zh-CN" w:bidi="ar"/>
          <w14:textFill>
            <w14:solidFill>
              <w14:schemeClr w14:val="tx1"/>
            </w14:solidFill>
          </w14:textFill>
        </w:rPr>
        <w:t>HJ169-2018</w:t>
      </w:r>
      <w:r>
        <w:rPr>
          <w:rFonts w:hint="eastAsia" w:ascii="Times New Roman" w:hAnsi="Times New Roman" w:eastAsia="宋体" w:cs="Times New Roman"/>
          <w:color w:val="000000" w:themeColor="text1"/>
          <w:kern w:val="2"/>
          <w:sz w:val="24"/>
          <w:szCs w:val="22"/>
          <w:highlight w:val="none"/>
          <w:lang w:val="en-US" w:eastAsia="zh-CN" w:bidi="ar"/>
          <w14:textFill>
            <w14:solidFill>
              <w14:schemeClr w14:val="tx1"/>
            </w14:solidFill>
          </w14:textFill>
        </w:rPr>
        <w:t>）为指导，以突发性事故导致的危险物质环境急性损害防控为目标，对建设项目的环境风险进行分析、预测和评估，提出环境风险预防、控制、减缓措施，明确环境风险监控及应急建议要求，为建设项目环境风险防控提供科学依据，达到降低危险、减少危害的目的</w:t>
      </w:r>
      <w:r>
        <w:rPr>
          <w:color w:val="000000" w:themeColor="text1"/>
          <w:highlight w:val="none"/>
          <w14:textFill>
            <w14:solidFill>
              <w14:schemeClr w14:val="tx1"/>
            </w14:solidFill>
          </w14:textFill>
        </w:rPr>
        <w:t>。</w:t>
      </w:r>
    </w:p>
    <w:p w14:paraId="7EE8830E">
      <w:pPr>
        <w:keepNext/>
        <w:keepLines/>
        <w:spacing w:before="60" w:after="60"/>
        <w:ind w:firstLine="0" w:firstLineChars="0"/>
        <w:outlineLvl w:val="2"/>
        <w:rPr>
          <w:rFonts w:hint="eastAsia" w:eastAsia="宋体"/>
          <w:b/>
          <w:bCs/>
          <w:color w:val="000000" w:themeColor="text1"/>
          <w:sz w:val="30"/>
          <w:szCs w:val="32"/>
          <w:highlight w:val="none"/>
          <w:lang w:val="en-US" w:eastAsia="zh-CN"/>
          <w14:textFill>
            <w14:solidFill>
              <w14:schemeClr w14:val="tx1"/>
            </w14:solidFill>
          </w14:textFill>
        </w:rPr>
      </w:pPr>
      <w:r>
        <w:rPr>
          <w:b/>
          <w:bCs/>
          <w:color w:val="000000" w:themeColor="text1"/>
          <w:sz w:val="30"/>
          <w:szCs w:val="32"/>
          <w:highlight w:val="none"/>
          <w14:textFill>
            <w14:solidFill>
              <w14:schemeClr w14:val="tx1"/>
            </w14:solidFill>
          </w14:textFill>
        </w:rPr>
        <w:t>5.3.</w:t>
      </w:r>
      <w:r>
        <w:rPr>
          <w:rFonts w:hint="eastAsia"/>
          <w:b/>
          <w:bCs/>
          <w:color w:val="000000" w:themeColor="text1"/>
          <w:sz w:val="30"/>
          <w:szCs w:val="32"/>
          <w:highlight w:val="none"/>
          <w14:textFill>
            <w14:solidFill>
              <w14:schemeClr w14:val="tx1"/>
            </w14:solidFill>
          </w14:textFill>
        </w:rPr>
        <w:t>1</w:t>
      </w:r>
      <w:r>
        <w:rPr>
          <w:rFonts w:hint="eastAsia"/>
          <w:b/>
          <w:bCs/>
          <w:color w:val="000000" w:themeColor="text1"/>
          <w:sz w:val="30"/>
          <w:szCs w:val="32"/>
          <w:highlight w:val="none"/>
          <w:lang w:val="en-US" w:eastAsia="zh-CN"/>
          <w14:textFill>
            <w14:solidFill>
              <w14:schemeClr w14:val="tx1"/>
            </w14:solidFill>
          </w14:textFill>
        </w:rPr>
        <w:t>环境风险评价程序</w:t>
      </w:r>
    </w:p>
    <w:p w14:paraId="19685561">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default" w:ascii="Times New Roman" w:hAnsi="Times New Roman" w:eastAsia="宋体" w:cs="Times New Roman"/>
          <w:color w:val="000000" w:themeColor="text1"/>
          <w:kern w:val="2"/>
          <w:sz w:val="24"/>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4"/>
          <w:szCs w:val="22"/>
          <w:highlight w:val="none"/>
          <w:lang w:val="en-US" w:eastAsia="zh-CN" w:bidi="ar"/>
          <w14:textFill>
            <w14:solidFill>
              <w14:schemeClr w14:val="tx1"/>
            </w14:solidFill>
          </w14:textFill>
        </w:rPr>
        <w:t>本项目环境风险评价程序详见图</w:t>
      </w:r>
      <w:r>
        <w:rPr>
          <w:rFonts w:hint="default" w:ascii="Times New Roman" w:hAnsi="Times New Roman" w:eastAsia="宋体" w:cs="Times New Roman"/>
          <w:color w:val="000000" w:themeColor="text1"/>
          <w:kern w:val="2"/>
          <w:sz w:val="24"/>
          <w:szCs w:val="22"/>
          <w:highlight w:val="none"/>
          <w:lang w:val="en-US" w:eastAsia="zh-CN" w:bidi="ar"/>
          <w14:textFill>
            <w14:solidFill>
              <w14:schemeClr w14:val="tx1"/>
            </w14:solidFill>
          </w14:textFill>
        </w:rPr>
        <w:t>5.3-1</w:t>
      </w:r>
      <w:r>
        <w:rPr>
          <w:rFonts w:hint="eastAsia" w:ascii="Times New Roman" w:hAnsi="Times New Roman" w:eastAsia="宋体" w:cs="Times New Roman"/>
          <w:color w:val="000000" w:themeColor="text1"/>
          <w:kern w:val="2"/>
          <w:sz w:val="24"/>
          <w:szCs w:val="22"/>
          <w:highlight w:val="none"/>
          <w:lang w:val="en-US" w:eastAsia="zh-CN" w:bidi="ar"/>
          <w14:textFill>
            <w14:solidFill>
              <w14:schemeClr w14:val="tx1"/>
            </w14:solidFill>
          </w14:textFill>
        </w:rPr>
        <w:t>。</w:t>
      </w:r>
    </w:p>
    <w:p w14:paraId="41BE663A">
      <w:pPr>
        <w:keepNext w:val="0"/>
        <w:keepLines w:val="0"/>
        <w:widowControl w:val="0"/>
        <w:suppressLineNumbers w:val="0"/>
        <w:spacing w:before="0" w:beforeAutospacing="0" w:after="0" w:afterAutospacing="0" w:line="240" w:lineRule="auto"/>
        <w:ind w:left="0" w:right="0"/>
        <w:jc w:val="center"/>
        <w:rPr>
          <w:color w:val="000000" w:themeColor="text1"/>
          <w:sz w:val="24"/>
          <w:szCs w:val="22"/>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2"/>
          <w:highlight w:val="none"/>
          <w:lang w:val="en-US" w:eastAsia="zh-CN" w:bidi="ar"/>
          <w14:textFill>
            <w14:solidFill>
              <w14:schemeClr w14:val="tx1"/>
            </w14:solidFill>
          </w14:textFill>
        </w:rPr>
        <w:object>
          <v:shape id="_x0000_i1026" o:spt="75" type="#_x0000_t75" style="height:474pt;width:358.5pt;" o:ole="t" filled="f" o:preferrelative="t" stroked="f" coordsize="21600,21600">
            <v:path/>
            <v:fill on="f" focussize="0,0"/>
            <v:stroke on="f"/>
            <v:imagedata r:id="rId41" o:title=""/>
            <o:lock v:ext="edit" aspectratio="t"/>
            <w10:wrap type="none"/>
            <w10:anchorlock/>
          </v:shape>
          <o:OLEObject Type="Embed" ProgID="Visio.Drawing.11" ShapeID="_x0000_i1026" DrawAspect="Content" ObjectID="_1468075726" r:id="rId40">
            <o:LockedField>false</o:LockedField>
          </o:OLEObject>
        </w:object>
      </w:r>
    </w:p>
    <w:p w14:paraId="13351828">
      <w:pPr>
        <w:pStyle w:val="59"/>
        <w:widowControl/>
        <w:spacing w:line="480" w:lineRule="exact"/>
        <w:ind w:left="0" w:firstLine="0" w:firstLineChars="0"/>
        <w:jc w:val="center"/>
        <w:rPr>
          <w:rFonts w:ascii="Times New Roman" w:hAnsi="Times New Roman"/>
          <w:b/>
          <w:bCs w:val="0"/>
          <w:color w:val="000000" w:themeColor="text1"/>
          <w:sz w:val="24"/>
          <w:highlight w:val="none"/>
          <w:lang w:val="en-US"/>
          <w14:textFill>
            <w14:solidFill>
              <w14:schemeClr w14:val="tx1"/>
            </w14:solidFill>
          </w14:textFill>
        </w:rPr>
      </w:pPr>
      <w:r>
        <w:rPr>
          <w:rFonts w:hint="eastAsia" w:ascii="Times New Roman" w:hAnsi="Times New Roman" w:eastAsia="宋体" w:cs="宋体"/>
          <w:b/>
          <w:bCs w:val="0"/>
          <w:color w:val="000000" w:themeColor="text1"/>
          <w:sz w:val="24"/>
          <w:highlight w:val="none"/>
          <w:lang w:eastAsia="zh-CN"/>
          <w14:textFill>
            <w14:solidFill>
              <w14:schemeClr w14:val="tx1"/>
            </w14:solidFill>
          </w14:textFill>
        </w:rPr>
        <w:t>图</w:t>
      </w:r>
      <w:r>
        <w:rPr>
          <w:rFonts w:ascii="Times New Roman" w:hAnsi="Times New Roman"/>
          <w:b/>
          <w:bCs w:val="0"/>
          <w:color w:val="000000" w:themeColor="text1"/>
          <w:sz w:val="24"/>
          <w:highlight w:val="none"/>
          <w:lang w:val="en-US"/>
          <w14:textFill>
            <w14:solidFill>
              <w14:schemeClr w14:val="tx1"/>
            </w14:solidFill>
          </w14:textFill>
        </w:rPr>
        <w:t xml:space="preserve">5.3-1    </w:t>
      </w:r>
      <w:r>
        <w:rPr>
          <w:rFonts w:hint="eastAsia" w:ascii="Times New Roman" w:hAnsi="Times New Roman" w:eastAsia="宋体" w:cs="宋体"/>
          <w:b/>
          <w:bCs w:val="0"/>
          <w:color w:val="000000" w:themeColor="text1"/>
          <w:sz w:val="24"/>
          <w:highlight w:val="none"/>
          <w:lang w:eastAsia="zh-CN"/>
          <w14:textFill>
            <w14:solidFill>
              <w14:schemeClr w14:val="tx1"/>
            </w14:solidFill>
          </w14:textFill>
        </w:rPr>
        <w:t>环境风险评价工作程序图</w:t>
      </w:r>
    </w:p>
    <w:p w14:paraId="2BE329A1">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b/>
          <w:bCs/>
          <w:color w:val="000000" w:themeColor="text1"/>
          <w:sz w:val="30"/>
          <w:szCs w:val="32"/>
          <w:highlight w:val="none"/>
          <w14:textFill>
            <w14:solidFill>
              <w14:schemeClr w14:val="tx1"/>
            </w14:solidFill>
          </w14:textFill>
        </w:rPr>
        <w:t>5.3.</w:t>
      </w:r>
      <w:r>
        <w:rPr>
          <w:rFonts w:hint="eastAsia"/>
          <w:b/>
          <w:bCs/>
          <w:color w:val="000000" w:themeColor="text1"/>
          <w:sz w:val="30"/>
          <w:szCs w:val="32"/>
          <w:highlight w:val="none"/>
          <w:lang w:val="en-US" w:eastAsia="zh-CN"/>
          <w14:textFill>
            <w14:solidFill>
              <w14:schemeClr w14:val="tx1"/>
            </w14:solidFill>
          </w14:textFill>
        </w:rPr>
        <w:t>2</w:t>
      </w:r>
      <w:r>
        <w:rPr>
          <w:b/>
          <w:bCs/>
          <w:color w:val="000000" w:themeColor="text1"/>
          <w:sz w:val="30"/>
          <w:szCs w:val="32"/>
          <w:highlight w:val="none"/>
          <w14:textFill>
            <w14:solidFill>
              <w14:schemeClr w14:val="tx1"/>
            </w14:solidFill>
          </w14:textFill>
        </w:rPr>
        <w:t>风险调查</w:t>
      </w:r>
    </w:p>
    <w:p w14:paraId="3A1728FF">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.1建设项目风险源调查</w:t>
      </w:r>
    </w:p>
    <w:p w14:paraId="4B1D8867">
      <w:pPr>
        <w:overflowPunct w:val="0"/>
        <w:topLinePunct/>
        <w:ind w:firstLine="480"/>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根据《建设项目环境风险评价技术导则》（HJ169-2018）中有关规定，</w:t>
      </w:r>
      <w:r>
        <w:rPr>
          <w:color w:val="000000" w:themeColor="text1"/>
          <w:kern w:val="0"/>
          <w:highlight w:val="none"/>
          <w14:textFill>
            <w14:solidFill>
              <w14:schemeClr w14:val="tx1"/>
            </w14:solidFill>
          </w14:textFill>
        </w:rPr>
        <w:t>本次风险评价的识别范围主要是</w:t>
      </w:r>
      <w:r>
        <w:rPr>
          <w:rFonts w:hint="eastAsia"/>
          <w:color w:val="000000" w:themeColor="text1"/>
          <w:kern w:val="0"/>
          <w:highlight w:val="none"/>
          <w14:textFill>
            <w14:solidFill>
              <w14:schemeClr w14:val="tx1"/>
            </w14:solidFill>
          </w14:textFill>
        </w:rPr>
        <w:t>选矿厂和尾矿库。</w:t>
      </w:r>
    </w:p>
    <w:p w14:paraId="5267A5B6">
      <w:pPr>
        <w:overflowPunct w:val="0"/>
        <w:topLinePunct/>
        <w:adjustRightInd w:val="0"/>
        <w:snapToGri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（1）物质危险性识别</w:t>
      </w:r>
    </w:p>
    <w:p w14:paraId="571D52B1">
      <w:pPr>
        <w:overflowPunct w:val="0"/>
        <w:topLinePunct/>
        <w:adjustRightInd w:val="0"/>
        <w:snapToGrid w:val="0"/>
        <w:ind w:firstLine="480"/>
        <w:rPr>
          <w:rFonts w:ascii="宋体" w:cs="宋体"/>
          <w:color w:val="000000" w:themeColor="text1"/>
          <w:highlight w:val="none"/>
          <w:lang w:bidi="ar"/>
          <w14:textFill>
            <w14:solidFill>
              <w14:schemeClr w14:val="tx1"/>
            </w14:solidFill>
          </w14:textFill>
        </w:rPr>
      </w:pPr>
      <w:r>
        <w:rPr>
          <w:rFonts w:hint="eastAsia" w:ascii="宋体" w:cs="宋体"/>
          <w:color w:val="000000" w:themeColor="text1"/>
          <w:highlight w:val="none"/>
          <w:lang w:val="en-US" w:eastAsia="zh-CN" w:bidi="ar"/>
          <w14:textFill>
            <w14:solidFill>
              <w14:schemeClr w14:val="tx1"/>
            </w14:solidFill>
          </w14:textFill>
        </w:rPr>
        <w:t>物质风险源指存在物质意外释放，并可能产生环境危害的源。本项目运行过程中涉及的危险物质为废机油</w:t>
      </w:r>
      <w:r>
        <w:rPr>
          <w:rFonts w:hint="eastAsia" w:ascii="宋体" w:cs="宋体"/>
          <w:color w:val="000000" w:themeColor="text1"/>
          <w:highlight w:val="none"/>
          <w:lang w:bidi="ar"/>
          <w14:textFill>
            <w14:solidFill>
              <w14:schemeClr w14:val="tx1"/>
            </w14:solidFill>
          </w14:textFill>
        </w:rPr>
        <w:t>。</w:t>
      </w:r>
    </w:p>
    <w:p w14:paraId="2A132021">
      <w:pPr>
        <w:adjustRightInd w:val="0"/>
        <w:snapToGrid w:val="0"/>
        <w:ind w:firstLine="0" w:firstLineChars="0"/>
        <w:jc w:val="center"/>
        <w:rPr>
          <w:b/>
          <w:color w:val="000000" w:themeColor="text1"/>
          <w:highlight w:val="none"/>
          <w14:textFill>
            <w14:solidFill>
              <w14:schemeClr w14:val="tx1"/>
            </w14:solidFill>
          </w14:textFill>
        </w:rPr>
      </w:pPr>
      <w:bookmarkStart w:id="779" w:name="_Toc1142_WPSOffice_Level2"/>
      <w:r>
        <w:rPr>
          <w:rFonts w:hint="eastAsia"/>
          <w:b/>
          <w:color w:val="000000" w:themeColor="text1"/>
          <w:highlight w:val="none"/>
          <w14:textFill>
            <w14:solidFill>
              <w14:schemeClr w14:val="tx1"/>
            </w14:solidFill>
          </w14:textFill>
        </w:rPr>
        <w:t xml:space="preserve">表5.3-1    </w:t>
      </w:r>
      <w:r>
        <w:rPr>
          <w:rFonts w:hint="eastAsia"/>
          <w:b/>
          <w:color w:val="000000" w:themeColor="text1"/>
          <w:highlight w:val="none"/>
          <w:lang w:val="en-US" w:eastAsia="zh-CN"/>
          <w14:textFill>
            <w14:solidFill>
              <w14:schemeClr w14:val="tx1"/>
            </w14:solidFill>
          </w14:textFill>
        </w:rPr>
        <w:t>本项目危险物质数量与临界量的比值</w:t>
      </w:r>
      <w:bookmarkEnd w:id="779"/>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4"/>
        <w:gridCol w:w="1499"/>
        <w:gridCol w:w="1740"/>
        <w:gridCol w:w="1870"/>
        <w:gridCol w:w="1389"/>
        <w:gridCol w:w="1190"/>
      </w:tblGrid>
      <w:tr w14:paraId="24041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834" w:type="dxa"/>
            <w:noWrap w:val="0"/>
            <w:vAlign w:val="center"/>
          </w:tcPr>
          <w:p w14:paraId="03252CBD">
            <w:pPr>
              <w:tabs>
                <w:tab w:val="left" w:pos="576"/>
              </w:tabs>
              <w:spacing w:line="360" w:lineRule="exact"/>
              <w:ind w:firstLine="0" w:firstLineChars="0"/>
              <w:jc w:val="center"/>
              <w:rPr>
                <w:rFonts w:hint="eastAsia" w:eastAsia="宋体"/>
                <w:b/>
                <w:snapToGrid w:val="0"/>
                <w:color w:val="000000" w:themeColor="text1"/>
                <w:kern w:val="0"/>
                <w:sz w:val="21"/>
                <w:szCs w:val="21"/>
                <w:highlight w:val="none"/>
                <w:lang w:val="en-US" w:eastAsia="zh-CN"/>
                <w14:textFill>
                  <w14:solidFill>
                    <w14:schemeClr w14:val="tx1"/>
                  </w14:solidFill>
                </w14:textFill>
              </w:rPr>
            </w:pPr>
            <w:r>
              <w:rPr>
                <w:rFonts w:hint="eastAsia"/>
                <w:b/>
                <w:snapToGrid w:val="0"/>
                <w:color w:val="000000" w:themeColor="text1"/>
                <w:kern w:val="0"/>
                <w:sz w:val="21"/>
                <w:szCs w:val="21"/>
                <w:highlight w:val="none"/>
                <w:lang w:val="en-US" w:eastAsia="zh-CN"/>
                <w14:textFill>
                  <w14:solidFill>
                    <w14:schemeClr w14:val="tx1"/>
                  </w14:solidFill>
                </w14:textFill>
              </w:rPr>
              <w:t>序号</w:t>
            </w:r>
          </w:p>
        </w:tc>
        <w:tc>
          <w:tcPr>
            <w:tcW w:w="1499" w:type="dxa"/>
            <w:noWrap w:val="0"/>
            <w:vAlign w:val="center"/>
          </w:tcPr>
          <w:p w14:paraId="1E9C3AE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b/>
                <w:snapToGrid w:val="0"/>
                <w:color w:val="000000" w:themeColor="text1"/>
                <w:kern w:val="0"/>
                <w:sz w:val="21"/>
                <w:szCs w:val="21"/>
                <w:highlight w:val="none"/>
                <w14:textFill>
                  <w14:solidFill>
                    <w14:schemeClr w14:val="tx1"/>
                  </w14:solidFill>
                </w14:textFill>
              </w:rPr>
            </w:pPr>
            <w:r>
              <w:rPr>
                <w:rFonts w:hint="eastAsia" w:ascii="Times New Roman" w:hAnsi="Times New Roman" w:eastAsia="宋体" w:cs="宋体"/>
                <w:b/>
                <w:color w:val="000000" w:themeColor="text1"/>
                <w:spacing w:val="-1"/>
                <w:kern w:val="0"/>
                <w:sz w:val="21"/>
                <w:szCs w:val="21"/>
                <w:highlight w:val="none"/>
                <w:lang w:val="en-US" w:eastAsia="zh-CN" w:bidi="ar"/>
                <w14:textFill>
                  <w14:solidFill>
                    <w14:schemeClr w14:val="tx1"/>
                  </w14:solidFill>
                </w14:textFill>
              </w:rPr>
              <w:t>设施</w:t>
            </w:r>
          </w:p>
        </w:tc>
        <w:tc>
          <w:tcPr>
            <w:tcW w:w="1740" w:type="dxa"/>
            <w:noWrap w:val="0"/>
            <w:vAlign w:val="center"/>
          </w:tcPr>
          <w:p w14:paraId="5EFDA93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b/>
                <w:snapToGrid w:val="0"/>
                <w:color w:val="000000" w:themeColor="text1"/>
                <w:kern w:val="0"/>
                <w:sz w:val="21"/>
                <w:szCs w:val="21"/>
                <w:highlight w:val="none"/>
                <w14:textFill>
                  <w14:solidFill>
                    <w14:schemeClr w14:val="tx1"/>
                  </w14:solidFill>
                </w14:textFill>
              </w:rPr>
            </w:pPr>
            <w:r>
              <w:rPr>
                <w:rFonts w:hint="eastAsia" w:ascii="Times New Roman" w:hAnsi="Times New Roman" w:eastAsia="宋体" w:cs="宋体"/>
                <w:b/>
                <w:color w:val="000000" w:themeColor="text1"/>
                <w:spacing w:val="-1"/>
                <w:kern w:val="0"/>
                <w:sz w:val="21"/>
                <w:szCs w:val="21"/>
                <w:highlight w:val="none"/>
                <w:lang w:val="en-US" w:eastAsia="zh-CN" w:bidi="ar"/>
                <w14:textFill>
                  <w14:solidFill>
                    <w14:schemeClr w14:val="tx1"/>
                  </w14:solidFill>
                </w14:textFill>
              </w:rPr>
              <w:t>物质名称</w:t>
            </w:r>
          </w:p>
        </w:tc>
        <w:tc>
          <w:tcPr>
            <w:tcW w:w="1870" w:type="dxa"/>
            <w:noWrap w:val="0"/>
            <w:vAlign w:val="center"/>
          </w:tcPr>
          <w:p w14:paraId="0C856AD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b/>
                <w:snapToGrid w:val="0"/>
                <w:color w:val="000000" w:themeColor="text1"/>
                <w:kern w:val="0"/>
                <w:sz w:val="21"/>
                <w:szCs w:val="21"/>
                <w:highlight w:val="none"/>
                <w14:textFill>
                  <w14:solidFill>
                    <w14:schemeClr w14:val="tx1"/>
                  </w14:solidFill>
                </w14:textFill>
              </w:rPr>
            </w:pPr>
            <w:r>
              <w:rPr>
                <w:rFonts w:hint="eastAsia" w:ascii="Times New Roman" w:hAnsi="Times New Roman" w:eastAsia="宋体" w:cs="宋体"/>
                <w:b/>
                <w:color w:val="000000" w:themeColor="text1"/>
                <w:spacing w:val="-1"/>
                <w:kern w:val="0"/>
                <w:sz w:val="21"/>
                <w:szCs w:val="21"/>
                <w:highlight w:val="none"/>
                <w:lang w:val="en-US" w:eastAsia="zh-CN" w:bidi="ar"/>
                <w14:textFill>
                  <w14:solidFill>
                    <w14:schemeClr w14:val="tx1"/>
                  </w14:solidFill>
                </w14:textFill>
              </w:rPr>
              <w:t>临界量</w:t>
            </w:r>
            <w:r>
              <w:rPr>
                <w:rFonts w:hint="default" w:ascii="Times New Roman" w:hAnsi="Times New Roman" w:eastAsia="宋体" w:cs="Times New Roman"/>
                <w:b/>
                <w:color w:val="000000" w:themeColor="text1"/>
                <w:spacing w:val="-1"/>
                <w:kern w:val="0"/>
                <w:sz w:val="21"/>
                <w:szCs w:val="21"/>
                <w:highlight w:val="none"/>
                <w:lang w:val="en-US" w:eastAsia="zh-CN" w:bidi="ar"/>
                <w14:textFill>
                  <w14:solidFill>
                    <w14:schemeClr w14:val="tx1"/>
                  </w14:solidFill>
                </w14:textFill>
              </w:rPr>
              <w:t>/t</w:t>
            </w:r>
          </w:p>
        </w:tc>
        <w:tc>
          <w:tcPr>
            <w:tcW w:w="1389" w:type="dxa"/>
            <w:noWrap w:val="0"/>
            <w:vAlign w:val="center"/>
          </w:tcPr>
          <w:p w14:paraId="7CF3DC0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b/>
                <w:snapToGrid w:val="0"/>
                <w:color w:val="000000" w:themeColor="text1"/>
                <w:kern w:val="0"/>
                <w:sz w:val="21"/>
                <w:szCs w:val="21"/>
                <w:highlight w:val="none"/>
                <w14:textFill>
                  <w14:solidFill>
                    <w14:schemeClr w14:val="tx1"/>
                  </w14:solidFill>
                </w14:textFill>
              </w:rPr>
            </w:pPr>
            <w:r>
              <w:rPr>
                <w:rFonts w:hint="eastAsia" w:ascii="Times New Roman" w:hAnsi="Times New Roman" w:eastAsia="宋体" w:cs="宋体"/>
                <w:b/>
                <w:color w:val="000000" w:themeColor="text1"/>
                <w:spacing w:val="-1"/>
                <w:kern w:val="0"/>
                <w:sz w:val="21"/>
                <w:szCs w:val="21"/>
                <w:highlight w:val="none"/>
                <w:lang w:val="en-US" w:eastAsia="zh-CN" w:bidi="ar"/>
                <w14:textFill>
                  <w14:solidFill>
                    <w14:schemeClr w14:val="tx1"/>
                  </w14:solidFill>
                </w14:textFill>
              </w:rPr>
              <w:t>储存量</w:t>
            </w:r>
            <w:r>
              <w:rPr>
                <w:rFonts w:hint="default" w:ascii="Times New Roman" w:hAnsi="Times New Roman" w:eastAsia="宋体" w:cs="Times New Roman"/>
                <w:b/>
                <w:color w:val="000000" w:themeColor="text1"/>
                <w:spacing w:val="-1"/>
                <w:kern w:val="0"/>
                <w:sz w:val="21"/>
                <w:szCs w:val="21"/>
                <w:highlight w:val="none"/>
                <w:lang w:val="en-US" w:eastAsia="zh-CN" w:bidi="ar"/>
                <w14:textFill>
                  <w14:solidFill>
                    <w14:schemeClr w14:val="tx1"/>
                  </w14:solidFill>
                </w14:textFill>
              </w:rPr>
              <w:t>/t</w:t>
            </w:r>
          </w:p>
        </w:tc>
        <w:tc>
          <w:tcPr>
            <w:tcW w:w="1190" w:type="dxa"/>
            <w:noWrap w:val="0"/>
            <w:vAlign w:val="center"/>
          </w:tcPr>
          <w:p w14:paraId="1549D80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b/>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spacing w:val="-1"/>
                <w:kern w:val="0"/>
                <w:sz w:val="21"/>
                <w:szCs w:val="21"/>
                <w:highlight w:val="none"/>
                <w:lang w:val="en-US" w:eastAsia="zh-CN" w:bidi="ar"/>
                <w14:textFill>
                  <w14:solidFill>
                    <w14:schemeClr w14:val="tx1"/>
                  </w14:solidFill>
                </w14:textFill>
              </w:rPr>
              <w:t>Q</w:t>
            </w:r>
          </w:p>
        </w:tc>
      </w:tr>
      <w:tr w14:paraId="1F91A7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4" w:type="dxa"/>
            <w:noWrap w:val="0"/>
            <w:vAlign w:val="center"/>
          </w:tcPr>
          <w:p w14:paraId="79EB43EC">
            <w:pPr>
              <w:tabs>
                <w:tab w:val="left" w:pos="576"/>
              </w:tabs>
              <w:spacing w:line="360" w:lineRule="exact"/>
              <w:ind w:firstLine="0" w:firstLineChars="0"/>
              <w:jc w:val="center"/>
              <w:rPr>
                <w:rFonts w:hint="eastAsia" w:eastAsia="宋体"/>
                <w:snapToGrid w:val="0"/>
                <w:color w:val="000000" w:themeColor="text1"/>
                <w:kern w:val="0"/>
                <w:sz w:val="21"/>
                <w:szCs w:val="21"/>
                <w:highlight w:val="none"/>
                <w:lang w:val="en-US" w:eastAsia="zh-CN"/>
                <w14:textFill>
                  <w14:solidFill>
                    <w14:schemeClr w14:val="tx1"/>
                  </w14:solidFill>
                </w14:textFill>
              </w:rPr>
            </w:pPr>
            <w:r>
              <w:rPr>
                <w:rFonts w:hint="eastAsia"/>
                <w:snapToGrid w:val="0"/>
                <w:color w:val="000000" w:themeColor="text1"/>
                <w:kern w:val="0"/>
                <w:sz w:val="21"/>
                <w:szCs w:val="21"/>
                <w:highlight w:val="none"/>
                <w:lang w:val="en-US" w:eastAsia="zh-CN"/>
                <w14:textFill>
                  <w14:solidFill>
                    <w14:schemeClr w14:val="tx1"/>
                  </w14:solidFill>
                </w14:textFill>
              </w:rPr>
              <w:t>1</w:t>
            </w:r>
          </w:p>
        </w:tc>
        <w:tc>
          <w:tcPr>
            <w:tcW w:w="1499" w:type="dxa"/>
            <w:noWrap w:val="0"/>
            <w:vAlign w:val="center"/>
          </w:tcPr>
          <w:p w14:paraId="328808C1">
            <w:pPr>
              <w:tabs>
                <w:tab w:val="left" w:pos="576"/>
              </w:tabs>
              <w:spacing w:line="360" w:lineRule="exact"/>
              <w:ind w:firstLine="0" w:firstLineChars="0"/>
              <w:jc w:val="center"/>
              <w:rPr>
                <w:rFonts w:hint="eastAsia" w:eastAsia="宋体"/>
                <w:b w:val="0"/>
                <w:bCs w:val="0"/>
                <w:snapToGrid w:val="0"/>
                <w:color w:val="000000" w:themeColor="text1"/>
                <w:kern w:val="0"/>
                <w:sz w:val="21"/>
                <w:szCs w:val="21"/>
                <w:highlight w:val="none"/>
                <w:lang w:val="en-US" w:eastAsia="zh-CN"/>
                <w14:textFill>
                  <w14:solidFill>
                    <w14:schemeClr w14:val="tx1"/>
                  </w14:solidFill>
                </w14:textFill>
              </w:rPr>
            </w:pPr>
            <w:r>
              <w:rPr>
                <w:rFonts w:hint="eastAsia"/>
                <w:b w:val="0"/>
                <w:bCs w:val="0"/>
                <w:snapToGrid w:val="0"/>
                <w:color w:val="000000" w:themeColor="text1"/>
                <w:kern w:val="0"/>
                <w:sz w:val="21"/>
                <w:szCs w:val="21"/>
                <w:highlight w:val="none"/>
                <w:lang w:val="en-US" w:eastAsia="zh-CN"/>
                <w14:textFill>
                  <w14:solidFill>
                    <w14:schemeClr w14:val="tx1"/>
                  </w14:solidFill>
                </w14:textFill>
              </w:rPr>
              <w:t>危废贮存点</w:t>
            </w:r>
          </w:p>
        </w:tc>
        <w:tc>
          <w:tcPr>
            <w:tcW w:w="1740" w:type="dxa"/>
            <w:noWrap w:val="0"/>
            <w:vAlign w:val="center"/>
          </w:tcPr>
          <w:p w14:paraId="5B19B7C1">
            <w:pPr>
              <w:tabs>
                <w:tab w:val="left" w:pos="576"/>
              </w:tabs>
              <w:spacing w:line="360" w:lineRule="exact"/>
              <w:ind w:firstLine="0" w:firstLineChars="0"/>
              <w:jc w:val="center"/>
              <w:rPr>
                <w:rFonts w:hint="eastAsia"/>
                <w:snapToGrid w:val="0"/>
                <w:color w:val="000000" w:themeColor="text1"/>
                <w:kern w:val="0"/>
                <w:sz w:val="21"/>
                <w:szCs w:val="21"/>
                <w:highlight w:val="none"/>
                <w:lang w:val="en-US" w:eastAsia="zh-CN"/>
                <w14:textFill>
                  <w14:solidFill>
                    <w14:schemeClr w14:val="tx1"/>
                  </w14:solidFill>
                </w14:textFill>
              </w:rPr>
            </w:pPr>
            <w:r>
              <w:rPr>
                <w:rFonts w:hint="eastAsia"/>
                <w:snapToGrid w:val="0"/>
                <w:color w:val="000000" w:themeColor="text1"/>
                <w:kern w:val="0"/>
                <w:sz w:val="21"/>
                <w:szCs w:val="21"/>
                <w:highlight w:val="none"/>
                <w:lang w:val="en-US" w:eastAsia="zh-CN"/>
                <w14:textFill>
                  <w14:solidFill>
                    <w14:schemeClr w14:val="tx1"/>
                  </w14:solidFill>
                </w14:textFill>
              </w:rPr>
              <w:t>废机油</w:t>
            </w:r>
          </w:p>
        </w:tc>
        <w:tc>
          <w:tcPr>
            <w:tcW w:w="1870" w:type="dxa"/>
            <w:noWrap w:val="0"/>
            <w:vAlign w:val="center"/>
          </w:tcPr>
          <w:p w14:paraId="6BB7A400">
            <w:pPr>
              <w:tabs>
                <w:tab w:val="left" w:pos="576"/>
              </w:tabs>
              <w:spacing w:line="360" w:lineRule="exact"/>
              <w:ind w:firstLine="0" w:firstLineChars="0"/>
              <w:jc w:val="center"/>
              <w:rPr>
                <w:rFonts w:hint="eastAsia"/>
                <w:snapToGrid w:val="0"/>
                <w:color w:val="000000" w:themeColor="text1"/>
                <w:kern w:val="0"/>
                <w:sz w:val="21"/>
                <w:szCs w:val="21"/>
                <w:highlight w:val="none"/>
                <w:lang w:val="en-US" w:eastAsia="zh-CN"/>
                <w14:textFill>
                  <w14:solidFill>
                    <w14:schemeClr w14:val="tx1"/>
                  </w14:solidFill>
                </w14:textFill>
              </w:rPr>
            </w:pPr>
            <w:r>
              <w:rPr>
                <w:rFonts w:hint="eastAsia"/>
                <w:snapToGrid w:val="0"/>
                <w:color w:val="000000" w:themeColor="text1"/>
                <w:kern w:val="0"/>
                <w:sz w:val="21"/>
                <w:szCs w:val="21"/>
                <w:highlight w:val="none"/>
                <w:lang w:val="en-US" w:eastAsia="zh-CN"/>
                <w14:textFill>
                  <w14:solidFill>
                    <w14:schemeClr w14:val="tx1"/>
                  </w14:solidFill>
                </w14:textFill>
              </w:rPr>
              <w:t>2500</w:t>
            </w:r>
          </w:p>
        </w:tc>
        <w:tc>
          <w:tcPr>
            <w:tcW w:w="1389" w:type="dxa"/>
            <w:noWrap w:val="0"/>
            <w:vAlign w:val="center"/>
          </w:tcPr>
          <w:p w14:paraId="4758114A">
            <w:pPr>
              <w:tabs>
                <w:tab w:val="left" w:pos="576"/>
              </w:tabs>
              <w:spacing w:line="360" w:lineRule="exact"/>
              <w:ind w:firstLine="0" w:firstLineChars="0"/>
              <w:jc w:val="center"/>
              <w:rPr>
                <w:rFonts w:hint="eastAsia"/>
                <w:snapToGrid w:val="0"/>
                <w:color w:val="000000" w:themeColor="text1"/>
                <w:kern w:val="0"/>
                <w:sz w:val="21"/>
                <w:szCs w:val="21"/>
                <w:highlight w:val="none"/>
                <w:lang w:val="en-US" w:eastAsia="zh-CN"/>
                <w14:textFill>
                  <w14:solidFill>
                    <w14:schemeClr w14:val="tx1"/>
                  </w14:solidFill>
                </w14:textFill>
              </w:rPr>
            </w:pPr>
            <w:r>
              <w:rPr>
                <w:rFonts w:hint="eastAsia"/>
                <w:snapToGrid w:val="0"/>
                <w:color w:val="000000" w:themeColor="text1"/>
                <w:kern w:val="0"/>
                <w:sz w:val="21"/>
                <w:szCs w:val="21"/>
                <w:highlight w:val="none"/>
                <w:lang w:val="en-US" w:eastAsia="zh-CN"/>
                <w14:textFill>
                  <w14:solidFill>
                    <w14:schemeClr w14:val="tx1"/>
                  </w14:solidFill>
                </w14:textFill>
              </w:rPr>
              <w:t>1.5</w:t>
            </w:r>
          </w:p>
        </w:tc>
        <w:tc>
          <w:tcPr>
            <w:tcW w:w="1190" w:type="dxa"/>
            <w:noWrap w:val="0"/>
            <w:vAlign w:val="center"/>
          </w:tcPr>
          <w:p w14:paraId="0AB60728">
            <w:pPr>
              <w:tabs>
                <w:tab w:val="left" w:pos="576"/>
              </w:tabs>
              <w:spacing w:line="360" w:lineRule="exact"/>
              <w:ind w:firstLine="0" w:firstLineChars="0"/>
              <w:jc w:val="center"/>
              <w:rPr>
                <w:rFonts w:hint="eastAsia"/>
                <w:snapToGrid w:val="0"/>
                <w:color w:val="000000" w:themeColor="text1"/>
                <w:kern w:val="0"/>
                <w:sz w:val="21"/>
                <w:szCs w:val="21"/>
                <w:highlight w:val="none"/>
                <w:lang w:val="en-US" w:eastAsia="zh-CN"/>
                <w14:textFill>
                  <w14:solidFill>
                    <w14:schemeClr w14:val="tx1"/>
                  </w14:solidFill>
                </w14:textFill>
              </w:rPr>
            </w:pPr>
            <w:r>
              <w:rPr>
                <w:rFonts w:hint="eastAsia"/>
                <w:snapToGrid w:val="0"/>
                <w:color w:val="000000" w:themeColor="text1"/>
                <w:kern w:val="0"/>
                <w:sz w:val="21"/>
                <w:szCs w:val="21"/>
                <w:highlight w:val="none"/>
                <w:lang w:val="en-US" w:eastAsia="zh-CN"/>
                <w14:textFill>
                  <w14:solidFill>
                    <w14:schemeClr w14:val="tx1"/>
                  </w14:solidFill>
                </w14:textFill>
              </w:rPr>
              <w:t>0.0006</w:t>
            </w:r>
          </w:p>
        </w:tc>
      </w:tr>
      <w:tr w14:paraId="39A1D5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32" w:type="dxa"/>
            <w:gridSpan w:val="5"/>
            <w:noWrap w:val="0"/>
            <w:vAlign w:val="center"/>
          </w:tcPr>
          <w:p w14:paraId="754DB144">
            <w:pPr>
              <w:tabs>
                <w:tab w:val="left" w:pos="576"/>
              </w:tabs>
              <w:spacing w:line="360" w:lineRule="exact"/>
              <w:ind w:firstLine="0" w:firstLineChars="0"/>
              <w:jc w:val="center"/>
              <w:rPr>
                <w:rFonts w:hint="default"/>
                <w:snapToGrid w:val="0"/>
                <w:color w:val="000000" w:themeColor="text1"/>
                <w:kern w:val="0"/>
                <w:sz w:val="21"/>
                <w:szCs w:val="21"/>
                <w:highlight w:val="none"/>
                <w:lang w:val="en-US" w:eastAsia="zh-CN"/>
                <w14:textFill>
                  <w14:solidFill>
                    <w14:schemeClr w14:val="tx1"/>
                  </w14:solidFill>
                </w14:textFill>
              </w:rPr>
            </w:pPr>
            <w:r>
              <w:rPr>
                <w:rFonts w:hint="eastAsia"/>
                <w:snapToGrid w:val="0"/>
                <w:color w:val="000000" w:themeColor="text1"/>
                <w:kern w:val="0"/>
                <w:sz w:val="21"/>
                <w:szCs w:val="21"/>
                <w:highlight w:val="none"/>
                <w:lang w:val="en-US" w:eastAsia="zh-CN"/>
                <w14:textFill>
                  <w14:solidFill>
                    <w14:schemeClr w14:val="tx1"/>
                  </w14:solidFill>
                </w14:textFill>
              </w:rPr>
              <w:t>合计</w:t>
            </w:r>
          </w:p>
        </w:tc>
        <w:tc>
          <w:tcPr>
            <w:tcW w:w="1190" w:type="dxa"/>
            <w:noWrap w:val="0"/>
            <w:vAlign w:val="center"/>
          </w:tcPr>
          <w:p w14:paraId="2548476C">
            <w:pPr>
              <w:tabs>
                <w:tab w:val="left" w:pos="576"/>
              </w:tabs>
              <w:spacing w:line="360" w:lineRule="exact"/>
              <w:ind w:firstLine="0" w:firstLineChars="0"/>
              <w:jc w:val="center"/>
              <w:rPr>
                <w:rFonts w:hint="default"/>
                <w:snapToGrid w:val="0"/>
                <w:color w:val="000000" w:themeColor="text1"/>
                <w:kern w:val="0"/>
                <w:sz w:val="21"/>
                <w:szCs w:val="21"/>
                <w:highlight w:val="none"/>
                <w:lang w:val="en-US" w:eastAsia="zh-CN"/>
                <w14:textFill>
                  <w14:solidFill>
                    <w14:schemeClr w14:val="tx1"/>
                  </w14:solidFill>
                </w14:textFill>
              </w:rPr>
            </w:pPr>
            <w:r>
              <w:rPr>
                <w:rFonts w:hint="eastAsia"/>
                <w:snapToGrid w:val="0"/>
                <w:color w:val="000000" w:themeColor="text1"/>
                <w:kern w:val="0"/>
                <w:sz w:val="21"/>
                <w:szCs w:val="21"/>
                <w:highlight w:val="none"/>
                <w:lang w:val="en-US" w:eastAsia="zh-CN"/>
                <w14:textFill>
                  <w14:solidFill>
                    <w14:schemeClr w14:val="tx1"/>
                  </w14:solidFill>
                </w14:textFill>
              </w:rPr>
              <w:t>0.0006</w:t>
            </w:r>
          </w:p>
        </w:tc>
      </w:tr>
    </w:tbl>
    <w:p w14:paraId="4CC0A382">
      <w:pPr>
        <w:overflowPunct w:val="0"/>
        <w:topLinePunct/>
        <w:adjustRightInd w:val="0"/>
        <w:snapToGrid w:val="0"/>
        <w:ind w:firstLine="480"/>
        <w:rPr>
          <w:rFonts w:hint="eastAsia" w:eastAsia="宋体"/>
          <w:color w:val="000000" w:themeColor="text1"/>
          <w:highlight w:val="none"/>
          <w:lang w:val="en-US" w:eastAsia="zh-CN"/>
          <w14:textFill>
            <w14:solidFill>
              <w14:schemeClr w14:val="tx1"/>
            </w14:solidFill>
          </w14:textFill>
        </w:rPr>
      </w:pPr>
      <w:r>
        <w:rPr>
          <w:color w:val="000000" w:themeColor="text1"/>
          <w:sz w:val="24"/>
          <w14:textFill>
            <w14:solidFill>
              <w14:schemeClr w14:val="tx1"/>
            </w14:solidFill>
          </w14:textFill>
        </w:rPr>
        <w:t>项目危险物质数量与临界量比值Q为</w:t>
      </w:r>
      <w:r>
        <w:rPr>
          <w:rFonts w:hint="eastAsia"/>
          <w:color w:val="000000" w:themeColor="text1"/>
          <w:sz w:val="24"/>
          <w:lang w:val="en-US" w:eastAsia="zh-CN"/>
          <w14:textFill>
            <w14:solidFill>
              <w14:schemeClr w14:val="tx1"/>
            </w14:solidFill>
          </w14:textFill>
        </w:rPr>
        <w:t>0.0006</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则判定本项目环境风险潜势为</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ROMAN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本项目环境风险仅进行简单分析</w:t>
      </w:r>
      <w:r>
        <w:rPr>
          <w:rFonts w:hint="eastAsia"/>
          <w:color w:val="000000" w:themeColor="text1"/>
          <w:sz w:val="24"/>
          <w:lang w:eastAsia="zh-CN"/>
          <w14:textFill>
            <w14:solidFill>
              <w14:schemeClr w14:val="tx1"/>
            </w14:solidFill>
          </w14:textFill>
        </w:rPr>
        <w:t>。</w:t>
      </w:r>
    </w:p>
    <w:p w14:paraId="70F94036">
      <w:pPr>
        <w:overflowPunct w:val="0"/>
        <w:topLinePunct/>
        <w:adjustRightInd w:val="0"/>
        <w:snapToGri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（2）物质危险识别</w:t>
      </w:r>
    </w:p>
    <w:p w14:paraId="523BF0C3">
      <w:pPr>
        <w:overflowPunct w:val="0"/>
        <w:topLinePunct/>
        <w:adjustRightInd w:val="0"/>
        <w:snapToGrid w:val="0"/>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废机油理化性质及基本特征情况见表5.3-2。</w:t>
      </w:r>
    </w:p>
    <w:p w14:paraId="67F7A26D">
      <w:pPr>
        <w:keepNext w:val="0"/>
        <w:keepLines w:val="0"/>
        <w:widowControl w:val="0"/>
        <w:suppressLineNumbers w:val="0"/>
        <w:spacing w:before="0" w:beforeAutospacing="0" w:after="0" w:afterAutospacing="0" w:line="480" w:lineRule="exact"/>
        <w:ind w:left="0" w:right="0"/>
        <w:jc w:val="center"/>
        <w:rPr>
          <w:b/>
          <w:color w:val="000000" w:themeColor="text1"/>
          <w:sz w:val="24"/>
          <w:szCs w:val="22"/>
          <w:highlight w:val="none"/>
          <w:lang w:val="en-US"/>
          <w14:textFill>
            <w14:solidFill>
              <w14:schemeClr w14:val="tx1"/>
            </w14:solidFill>
          </w14:textFill>
        </w:rPr>
      </w:pPr>
      <w:r>
        <w:rPr>
          <w:rFonts w:hint="eastAsia" w:ascii="Times New Roman" w:hAnsi="Times New Roman" w:eastAsia="宋体" w:cs="宋体"/>
          <w:b/>
          <w:color w:val="000000" w:themeColor="text1"/>
          <w:kern w:val="2"/>
          <w:sz w:val="24"/>
          <w:szCs w:val="22"/>
          <w:highlight w:val="none"/>
          <w:lang w:val="en-US" w:eastAsia="zh-CN" w:bidi="ar"/>
          <w14:textFill>
            <w14:solidFill>
              <w14:schemeClr w14:val="tx1"/>
            </w14:solidFill>
          </w14:textFill>
        </w:rPr>
        <w:t>表</w:t>
      </w:r>
      <w:r>
        <w:rPr>
          <w:rFonts w:hint="default" w:ascii="Times New Roman" w:hAnsi="Times New Roman" w:eastAsia="宋体" w:cs="Times New Roman"/>
          <w:b/>
          <w:color w:val="000000" w:themeColor="text1"/>
          <w:kern w:val="2"/>
          <w:sz w:val="24"/>
          <w:szCs w:val="22"/>
          <w:highlight w:val="none"/>
          <w:lang w:val="en-US" w:eastAsia="zh-CN" w:bidi="ar"/>
          <w14:textFill>
            <w14:solidFill>
              <w14:schemeClr w14:val="tx1"/>
            </w14:solidFill>
          </w14:textFill>
        </w:rPr>
        <w:t>5.3-</w:t>
      </w:r>
      <w:r>
        <w:rPr>
          <w:rFonts w:hint="eastAsia" w:ascii="Times New Roman" w:hAnsi="Times New Roman" w:eastAsia="宋体" w:cs="Times New Roman"/>
          <w:b/>
          <w:color w:val="000000" w:themeColor="text1"/>
          <w:kern w:val="2"/>
          <w:sz w:val="24"/>
          <w:szCs w:val="22"/>
          <w:highlight w:val="none"/>
          <w:lang w:val="en-US" w:eastAsia="zh-CN" w:bidi="ar"/>
          <w14:textFill>
            <w14:solidFill>
              <w14:schemeClr w14:val="tx1"/>
            </w14:solidFill>
          </w14:textFill>
        </w:rPr>
        <w:t>2</w:t>
      </w:r>
      <w:r>
        <w:rPr>
          <w:rFonts w:hint="default" w:ascii="Times New Roman" w:hAnsi="Times New Roman" w:eastAsia="宋体" w:cs="Times New Roman"/>
          <w:b/>
          <w:color w:val="000000" w:themeColor="text1"/>
          <w:kern w:val="2"/>
          <w:sz w:val="24"/>
          <w:szCs w:val="22"/>
          <w:highlight w:val="none"/>
          <w:lang w:val="en-US" w:eastAsia="zh-CN" w:bidi="ar"/>
          <w14:textFill>
            <w14:solidFill>
              <w14:schemeClr w14:val="tx1"/>
            </w14:solidFill>
          </w14:textFill>
        </w:rPr>
        <w:t xml:space="preserve">    </w:t>
      </w:r>
      <w:r>
        <w:rPr>
          <w:rFonts w:hint="eastAsia" w:ascii="Times New Roman" w:hAnsi="Times New Roman" w:eastAsia="宋体" w:cs="宋体"/>
          <w:b/>
          <w:color w:val="000000" w:themeColor="text1"/>
          <w:kern w:val="2"/>
          <w:sz w:val="24"/>
          <w:szCs w:val="22"/>
          <w:highlight w:val="none"/>
          <w:lang w:val="en-US" w:eastAsia="zh-CN" w:bidi="ar"/>
          <w14:textFill>
            <w14:solidFill>
              <w14:schemeClr w14:val="tx1"/>
            </w14:solidFill>
          </w14:textFill>
        </w:rPr>
        <w:t>废机油的</w:t>
      </w:r>
      <w:r>
        <w:rPr>
          <w:rFonts w:hint="eastAsia" w:ascii="Times New Roman" w:hAnsi="Times New Roman" w:eastAsia="宋体" w:cs="宋体"/>
          <w:b/>
          <w:bCs w:val="0"/>
          <w:color w:val="000000" w:themeColor="text1"/>
          <w:kern w:val="2"/>
          <w:sz w:val="24"/>
          <w:szCs w:val="24"/>
          <w:highlight w:val="none"/>
          <w:lang w:val="en-US" w:eastAsia="zh-CN" w:bidi="ar"/>
          <w14:textFill>
            <w14:solidFill>
              <w14:schemeClr w14:val="tx1"/>
            </w14:solidFill>
          </w14:textFill>
        </w:rPr>
        <w:t>理化性质及危险特性</w:t>
      </w:r>
      <w:r>
        <w:rPr>
          <w:rFonts w:hint="eastAsia" w:ascii="Times New Roman" w:hAnsi="Times New Roman" w:eastAsia="宋体" w:cs="宋体"/>
          <w:b/>
          <w:color w:val="000000" w:themeColor="text1"/>
          <w:kern w:val="2"/>
          <w:sz w:val="24"/>
          <w:szCs w:val="22"/>
          <w:highlight w:val="none"/>
          <w:lang w:val="en-US" w:eastAsia="zh-CN" w:bidi="ar"/>
          <w14:textFill>
            <w14:solidFill>
              <w14:schemeClr w14:val="tx1"/>
            </w14:solidFill>
          </w14:textFill>
        </w:rPr>
        <w:t>一览表</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183"/>
        <w:gridCol w:w="2477"/>
        <w:gridCol w:w="3661"/>
      </w:tblGrid>
      <w:tr w14:paraId="07E86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11" w:type="dxa"/>
            <w:vMerge w:val="restart"/>
            <w:tcBorders>
              <w:tl2br w:val="nil"/>
              <w:tr2bl w:val="nil"/>
            </w:tcBorders>
            <w:noWrap w:val="0"/>
            <w:vAlign w:val="center"/>
          </w:tcPr>
          <w:p w14:paraId="03883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eastAsia="仿宋"/>
                <w:b/>
                <w:color w:val="000000" w:themeColor="text1"/>
                <w:sz w:val="21"/>
                <w:szCs w:val="21"/>
                <w:highlight w:val="none"/>
                <w:lang w:val="en-US"/>
                <w14:textFill>
                  <w14:solidFill>
                    <w14:schemeClr w14:val="tx1"/>
                  </w14:solidFill>
                </w14:textFill>
              </w:rPr>
            </w:pPr>
            <w:r>
              <w:rPr>
                <w:rFonts w:hint="eastAsia" w:ascii="Times New Roman" w:hAnsi="Times New Roman" w:eastAsia="宋体" w:cs="宋体"/>
                <w:b/>
                <w:color w:val="000000" w:themeColor="text1"/>
                <w:kern w:val="2"/>
                <w:sz w:val="21"/>
                <w:szCs w:val="21"/>
                <w:highlight w:val="none"/>
                <w:lang w:val="en-US" w:eastAsia="zh-CN" w:bidi="ar"/>
                <w14:textFill>
                  <w14:solidFill>
                    <w14:schemeClr w14:val="tx1"/>
                  </w14:solidFill>
                </w14:textFill>
              </w:rPr>
              <w:t>标识</w:t>
            </w:r>
          </w:p>
        </w:tc>
        <w:tc>
          <w:tcPr>
            <w:tcW w:w="7321" w:type="dxa"/>
            <w:gridSpan w:val="3"/>
            <w:tcBorders>
              <w:tl2br w:val="nil"/>
              <w:tr2bl w:val="nil"/>
            </w:tcBorders>
            <w:noWrap w:val="0"/>
            <w:vAlign w:val="center"/>
          </w:tcPr>
          <w:p w14:paraId="62DC6B29">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中文名：矿物油</w:t>
            </w:r>
          </w:p>
        </w:tc>
      </w:tr>
      <w:tr w14:paraId="318A7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vMerge w:val="continue"/>
            <w:tcBorders>
              <w:tl2br w:val="nil"/>
              <w:tr2bl w:val="nil"/>
            </w:tcBorders>
            <w:noWrap w:val="0"/>
            <w:vAlign w:val="center"/>
          </w:tcPr>
          <w:p w14:paraId="3B632506">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cs="Times New Roman"/>
                <w:color w:val="000000" w:themeColor="text1"/>
                <w:sz w:val="21"/>
                <w:szCs w:val="21"/>
                <w:highlight w:val="none"/>
                <w14:textFill>
                  <w14:solidFill>
                    <w14:schemeClr w14:val="tx1"/>
                  </w14:solidFill>
                </w14:textFill>
              </w:rPr>
            </w:pPr>
          </w:p>
        </w:tc>
        <w:tc>
          <w:tcPr>
            <w:tcW w:w="7321" w:type="dxa"/>
            <w:gridSpan w:val="3"/>
            <w:tcBorders>
              <w:tl2br w:val="nil"/>
              <w:tr2bl w:val="nil"/>
            </w:tcBorders>
            <w:noWrap w:val="0"/>
            <w:vAlign w:val="center"/>
          </w:tcPr>
          <w:p w14:paraId="4D6B9913">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英文名：</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paraffin</w:t>
            </w:r>
          </w:p>
        </w:tc>
      </w:tr>
      <w:tr w14:paraId="76FC2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vMerge w:val="continue"/>
            <w:tcBorders>
              <w:tl2br w:val="nil"/>
              <w:tr2bl w:val="nil"/>
            </w:tcBorders>
            <w:noWrap w:val="0"/>
            <w:vAlign w:val="center"/>
          </w:tcPr>
          <w:p w14:paraId="73728505">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cs="Times New Roman"/>
                <w:color w:val="000000" w:themeColor="text1"/>
                <w:sz w:val="21"/>
                <w:szCs w:val="21"/>
                <w:highlight w:val="none"/>
                <w14:textFill>
                  <w14:solidFill>
                    <w14:schemeClr w14:val="tx1"/>
                  </w14:solidFill>
                </w14:textFill>
              </w:rPr>
            </w:pPr>
          </w:p>
        </w:tc>
        <w:tc>
          <w:tcPr>
            <w:tcW w:w="7321" w:type="dxa"/>
            <w:gridSpan w:val="3"/>
            <w:tcBorders>
              <w:tl2br w:val="nil"/>
              <w:tr2bl w:val="nil"/>
            </w:tcBorders>
            <w:noWrap w:val="0"/>
            <w:vAlign w:val="center"/>
          </w:tcPr>
          <w:p w14:paraId="0A1068CD">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危险性类别：可燃液体</w:t>
            </w:r>
          </w:p>
        </w:tc>
      </w:tr>
      <w:tr w14:paraId="12AD97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11" w:type="dxa"/>
            <w:vMerge w:val="restart"/>
            <w:tcBorders>
              <w:tl2br w:val="nil"/>
              <w:tr2bl w:val="nil"/>
            </w:tcBorders>
            <w:noWrap w:val="0"/>
            <w:vAlign w:val="center"/>
          </w:tcPr>
          <w:p w14:paraId="0A289D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eastAsia="仿宋"/>
                <w:b/>
                <w:color w:val="000000" w:themeColor="text1"/>
                <w:sz w:val="21"/>
                <w:szCs w:val="21"/>
                <w:highlight w:val="none"/>
                <w:lang w:val="en-US"/>
                <w14:textFill>
                  <w14:solidFill>
                    <w14:schemeClr w14:val="tx1"/>
                  </w14:solidFill>
                </w14:textFill>
              </w:rPr>
            </w:pPr>
            <w:r>
              <w:rPr>
                <w:rFonts w:hint="eastAsia" w:ascii="Times New Roman" w:hAnsi="Times New Roman" w:eastAsia="宋体" w:cs="宋体"/>
                <w:b/>
                <w:color w:val="000000" w:themeColor="text1"/>
                <w:kern w:val="2"/>
                <w:sz w:val="21"/>
                <w:szCs w:val="21"/>
                <w:highlight w:val="none"/>
                <w:lang w:val="en-US" w:eastAsia="zh-CN" w:bidi="ar"/>
                <w14:textFill>
                  <w14:solidFill>
                    <w14:schemeClr w14:val="tx1"/>
                  </w14:solidFill>
                </w14:textFill>
              </w:rPr>
              <w:t>理化性质</w:t>
            </w:r>
          </w:p>
        </w:tc>
        <w:tc>
          <w:tcPr>
            <w:tcW w:w="7321" w:type="dxa"/>
            <w:gridSpan w:val="3"/>
            <w:tcBorders>
              <w:tl2br w:val="nil"/>
              <w:tr2bl w:val="nil"/>
            </w:tcBorders>
            <w:noWrap w:val="0"/>
            <w:vAlign w:val="center"/>
          </w:tcPr>
          <w:p w14:paraId="653009B1">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密度：</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0.85 g/mL at 20</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w:t>
            </w:r>
          </w:p>
        </w:tc>
      </w:tr>
      <w:tr w14:paraId="49065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vMerge w:val="continue"/>
            <w:tcBorders>
              <w:tl2br w:val="nil"/>
              <w:tr2bl w:val="nil"/>
            </w:tcBorders>
            <w:noWrap w:val="0"/>
            <w:vAlign w:val="center"/>
          </w:tcPr>
          <w:p w14:paraId="26D4B23F">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cs="Times New Roman"/>
                <w:color w:val="000000" w:themeColor="text1"/>
                <w:sz w:val="21"/>
                <w:szCs w:val="21"/>
                <w:highlight w:val="none"/>
                <w14:textFill>
                  <w14:solidFill>
                    <w14:schemeClr w14:val="tx1"/>
                  </w14:solidFill>
                </w14:textFill>
              </w:rPr>
            </w:pPr>
          </w:p>
        </w:tc>
        <w:tc>
          <w:tcPr>
            <w:tcW w:w="7321" w:type="dxa"/>
            <w:gridSpan w:val="3"/>
            <w:tcBorders>
              <w:tl2br w:val="nil"/>
              <w:tr2bl w:val="nil"/>
            </w:tcBorders>
            <w:noWrap w:val="0"/>
            <w:vAlign w:val="center"/>
          </w:tcPr>
          <w:p w14:paraId="5382FD65">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溶解性：不溶于水、甘油、冷乙醇。溶于热乙醇、二硫化碳、乙醚、酯、氯仿、苯、石油醚。除蓖麻油外</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与许多油脂和蜡都能混合</w:t>
            </w:r>
          </w:p>
        </w:tc>
      </w:tr>
      <w:tr w14:paraId="45C90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vMerge w:val="restart"/>
            <w:tcBorders>
              <w:tl2br w:val="nil"/>
              <w:tr2bl w:val="nil"/>
            </w:tcBorders>
            <w:noWrap w:val="0"/>
            <w:vAlign w:val="center"/>
          </w:tcPr>
          <w:p w14:paraId="366D50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b/>
                <w:color w:val="000000" w:themeColor="text1"/>
                <w:sz w:val="21"/>
                <w:szCs w:val="21"/>
                <w:highlight w:val="none"/>
                <w:lang w:val="en-US"/>
                <w14:textFill>
                  <w14:solidFill>
                    <w14:schemeClr w14:val="tx1"/>
                  </w14:solidFill>
                </w14:textFill>
              </w:rPr>
            </w:pPr>
            <w:r>
              <w:rPr>
                <w:rFonts w:hint="eastAsia" w:ascii="Times New Roman" w:hAnsi="Times New Roman" w:eastAsia="宋体" w:cs="宋体"/>
                <w:b/>
                <w:color w:val="000000" w:themeColor="text1"/>
                <w:kern w:val="2"/>
                <w:sz w:val="21"/>
                <w:szCs w:val="21"/>
                <w:highlight w:val="none"/>
                <w:lang w:val="en-US" w:eastAsia="zh-CN" w:bidi="ar"/>
                <w14:textFill>
                  <w14:solidFill>
                    <w14:schemeClr w14:val="tx1"/>
                  </w14:solidFill>
                </w14:textFill>
              </w:rPr>
              <w:t>燃烧爆炸危险性</w:t>
            </w:r>
          </w:p>
        </w:tc>
        <w:tc>
          <w:tcPr>
            <w:tcW w:w="7321" w:type="dxa"/>
            <w:gridSpan w:val="3"/>
            <w:tcBorders>
              <w:tl2br w:val="nil"/>
              <w:tr2bl w:val="nil"/>
            </w:tcBorders>
            <w:noWrap w:val="0"/>
            <w:vAlign w:val="center"/>
          </w:tcPr>
          <w:p w14:paraId="3D5FD26E">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燃烧性：本品可燃，具窒息</w:t>
            </w:r>
          </w:p>
        </w:tc>
      </w:tr>
      <w:tr w14:paraId="37868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vMerge w:val="continue"/>
            <w:tcBorders>
              <w:tl2br w:val="nil"/>
              <w:tr2bl w:val="nil"/>
            </w:tcBorders>
            <w:noWrap w:val="0"/>
            <w:vAlign w:val="center"/>
          </w:tcPr>
          <w:p w14:paraId="7F1F33FB">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cs="Times New Roman"/>
                <w:color w:val="000000" w:themeColor="text1"/>
                <w:sz w:val="21"/>
                <w:szCs w:val="21"/>
                <w:highlight w:val="none"/>
                <w14:textFill>
                  <w14:solidFill>
                    <w14:schemeClr w14:val="tx1"/>
                  </w14:solidFill>
                </w14:textFill>
              </w:rPr>
            </w:pPr>
          </w:p>
        </w:tc>
        <w:tc>
          <w:tcPr>
            <w:tcW w:w="3660" w:type="dxa"/>
            <w:gridSpan w:val="2"/>
            <w:tcBorders>
              <w:tl2br w:val="nil"/>
              <w:tr2bl w:val="nil"/>
            </w:tcBorders>
            <w:noWrap w:val="0"/>
            <w:vAlign w:val="center"/>
          </w:tcPr>
          <w:p w14:paraId="007582E3">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引燃温度（℃）：</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300</w:t>
            </w:r>
          </w:p>
        </w:tc>
        <w:tc>
          <w:tcPr>
            <w:tcW w:w="3661" w:type="dxa"/>
            <w:tcBorders>
              <w:tl2br w:val="nil"/>
              <w:tr2bl w:val="nil"/>
            </w:tcBorders>
            <w:noWrap w:val="0"/>
            <w:vAlign w:val="center"/>
          </w:tcPr>
          <w:p w14:paraId="1BF64B9E">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闪点（℃）：</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220</w:t>
            </w:r>
          </w:p>
        </w:tc>
      </w:tr>
      <w:tr w14:paraId="30055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vMerge w:val="continue"/>
            <w:tcBorders>
              <w:tl2br w:val="nil"/>
              <w:tr2bl w:val="nil"/>
            </w:tcBorders>
            <w:noWrap w:val="0"/>
            <w:vAlign w:val="center"/>
          </w:tcPr>
          <w:p w14:paraId="0655FC2E">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cs="Times New Roman"/>
                <w:color w:val="000000" w:themeColor="text1"/>
                <w:sz w:val="21"/>
                <w:szCs w:val="21"/>
                <w:highlight w:val="none"/>
                <w14:textFill>
                  <w14:solidFill>
                    <w14:schemeClr w14:val="tx1"/>
                  </w14:solidFill>
                </w14:textFill>
              </w:rPr>
            </w:pPr>
          </w:p>
        </w:tc>
        <w:tc>
          <w:tcPr>
            <w:tcW w:w="3660" w:type="dxa"/>
            <w:gridSpan w:val="2"/>
            <w:tcBorders>
              <w:tl2br w:val="nil"/>
              <w:tr2bl w:val="nil"/>
            </w:tcBorders>
            <w:noWrap w:val="0"/>
            <w:vAlign w:val="center"/>
          </w:tcPr>
          <w:p w14:paraId="13E04C53">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爆炸下限（</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p>
        </w:tc>
        <w:tc>
          <w:tcPr>
            <w:tcW w:w="3661" w:type="dxa"/>
            <w:tcBorders>
              <w:tl2br w:val="nil"/>
              <w:tr2bl w:val="nil"/>
            </w:tcBorders>
            <w:noWrap w:val="0"/>
            <w:vAlign w:val="center"/>
          </w:tcPr>
          <w:p w14:paraId="2286CE00">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爆炸上限（</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p>
        </w:tc>
      </w:tr>
      <w:tr w14:paraId="2D4F1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vMerge w:val="continue"/>
            <w:tcBorders>
              <w:tl2br w:val="nil"/>
              <w:tr2bl w:val="nil"/>
            </w:tcBorders>
            <w:noWrap w:val="0"/>
            <w:vAlign w:val="center"/>
          </w:tcPr>
          <w:p w14:paraId="06B1D92C">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cs="Times New Roman"/>
                <w:color w:val="000000" w:themeColor="text1"/>
                <w:sz w:val="21"/>
                <w:szCs w:val="21"/>
                <w:highlight w:val="none"/>
                <w14:textFill>
                  <w14:solidFill>
                    <w14:schemeClr w14:val="tx1"/>
                  </w14:solidFill>
                </w14:textFill>
              </w:rPr>
            </w:pPr>
          </w:p>
        </w:tc>
        <w:tc>
          <w:tcPr>
            <w:tcW w:w="3660" w:type="dxa"/>
            <w:gridSpan w:val="2"/>
            <w:tcBorders>
              <w:tl2br w:val="nil"/>
              <w:tr2bl w:val="nil"/>
            </w:tcBorders>
            <w:noWrap w:val="0"/>
            <w:vAlign w:val="center"/>
          </w:tcPr>
          <w:p w14:paraId="5C83E08F">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最小点火能（</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mj</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p>
        </w:tc>
        <w:tc>
          <w:tcPr>
            <w:tcW w:w="3661" w:type="dxa"/>
            <w:tcBorders>
              <w:tl2br w:val="nil"/>
              <w:tr2bl w:val="nil"/>
            </w:tcBorders>
            <w:noWrap w:val="0"/>
            <w:vAlign w:val="center"/>
          </w:tcPr>
          <w:p w14:paraId="2D87EAF0">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最大爆炸压力（</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MPa</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p>
        </w:tc>
      </w:tr>
      <w:tr w14:paraId="7D72F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vMerge w:val="continue"/>
            <w:tcBorders>
              <w:tl2br w:val="nil"/>
              <w:tr2bl w:val="nil"/>
            </w:tcBorders>
            <w:noWrap w:val="0"/>
            <w:vAlign w:val="center"/>
          </w:tcPr>
          <w:p w14:paraId="3A1FD61A">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cs="Times New Roman"/>
                <w:color w:val="000000" w:themeColor="text1"/>
                <w:sz w:val="21"/>
                <w:szCs w:val="21"/>
                <w:highlight w:val="none"/>
                <w14:textFill>
                  <w14:solidFill>
                    <w14:schemeClr w14:val="tx1"/>
                  </w14:solidFill>
                </w14:textFill>
              </w:rPr>
            </w:pPr>
          </w:p>
        </w:tc>
        <w:tc>
          <w:tcPr>
            <w:tcW w:w="1183" w:type="dxa"/>
            <w:tcBorders>
              <w:tl2br w:val="nil"/>
              <w:tr2bl w:val="nil"/>
            </w:tcBorders>
            <w:noWrap w:val="0"/>
            <w:vAlign w:val="center"/>
          </w:tcPr>
          <w:p w14:paraId="15A99BEE">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危险特性</w:t>
            </w:r>
          </w:p>
        </w:tc>
        <w:tc>
          <w:tcPr>
            <w:tcW w:w="6138" w:type="dxa"/>
            <w:gridSpan w:val="2"/>
            <w:tcBorders>
              <w:tl2br w:val="nil"/>
              <w:tr2bl w:val="nil"/>
            </w:tcBorders>
            <w:noWrap w:val="0"/>
            <w:vAlign w:val="center"/>
          </w:tcPr>
          <w:p w14:paraId="16A91D17">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遇明火、高热</w:t>
            </w:r>
          </w:p>
        </w:tc>
      </w:tr>
      <w:tr w14:paraId="171D3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vMerge w:val="continue"/>
            <w:tcBorders>
              <w:tl2br w:val="nil"/>
              <w:tr2bl w:val="nil"/>
            </w:tcBorders>
            <w:noWrap w:val="0"/>
            <w:vAlign w:val="center"/>
          </w:tcPr>
          <w:p w14:paraId="442EF876">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cs="Times New Roman"/>
                <w:color w:val="000000" w:themeColor="text1"/>
                <w:sz w:val="21"/>
                <w:szCs w:val="21"/>
                <w:highlight w:val="none"/>
                <w14:textFill>
                  <w14:solidFill>
                    <w14:schemeClr w14:val="tx1"/>
                  </w14:solidFill>
                </w14:textFill>
              </w:rPr>
            </w:pPr>
          </w:p>
        </w:tc>
        <w:tc>
          <w:tcPr>
            <w:tcW w:w="1183" w:type="dxa"/>
            <w:tcBorders>
              <w:tl2br w:val="nil"/>
              <w:tr2bl w:val="nil"/>
            </w:tcBorders>
            <w:noWrap w:val="0"/>
            <w:vAlign w:val="center"/>
          </w:tcPr>
          <w:p w14:paraId="3F115205">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禁配物</w:t>
            </w:r>
          </w:p>
        </w:tc>
        <w:tc>
          <w:tcPr>
            <w:tcW w:w="6138" w:type="dxa"/>
            <w:gridSpan w:val="2"/>
            <w:tcBorders>
              <w:tl2br w:val="nil"/>
              <w:tr2bl w:val="nil"/>
            </w:tcBorders>
            <w:noWrap w:val="0"/>
            <w:vAlign w:val="center"/>
          </w:tcPr>
          <w:p w14:paraId="6050B56A">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p>
        </w:tc>
      </w:tr>
      <w:tr w14:paraId="03774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vMerge w:val="continue"/>
            <w:tcBorders>
              <w:tl2br w:val="nil"/>
              <w:tr2bl w:val="nil"/>
            </w:tcBorders>
            <w:noWrap w:val="0"/>
            <w:vAlign w:val="center"/>
          </w:tcPr>
          <w:p w14:paraId="2BA1D7F3">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cs="Times New Roman"/>
                <w:color w:val="000000" w:themeColor="text1"/>
                <w:sz w:val="21"/>
                <w:szCs w:val="21"/>
                <w:highlight w:val="none"/>
                <w14:textFill>
                  <w14:solidFill>
                    <w14:schemeClr w14:val="tx1"/>
                  </w14:solidFill>
                </w14:textFill>
              </w:rPr>
            </w:pPr>
          </w:p>
        </w:tc>
        <w:tc>
          <w:tcPr>
            <w:tcW w:w="1183" w:type="dxa"/>
            <w:tcBorders>
              <w:tl2br w:val="nil"/>
              <w:tr2bl w:val="nil"/>
            </w:tcBorders>
            <w:noWrap w:val="0"/>
            <w:vAlign w:val="center"/>
          </w:tcPr>
          <w:p w14:paraId="52B214EE">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消防措施</w:t>
            </w:r>
          </w:p>
        </w:tc>
        <w:tc>
          <w:tcPr>
            <w:tcW w:w="6138" w:type="dxa"/>
            <w:gridSpan w:val="2"/>
            <w:tcBorders>
              <w:tl2br w:val="nil"/>
              <w:tr2bl w:val="nil"/>
            </w:tcBorders>
            <w:noWrap w:val="0"/>
            <w:vAlign w:val="center"/>
          </w:tcPr>
          <w:p w14:paraId="6B074D51">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消防人员须佩戴防毒面具、穿全身消防服，在</w:t>
            </w:r>
            <w:r>
              <w:rPr>
                <w:rFonts w:hint="eastAsia" w:cs="宋体"/>
                <w:color w:val="000000" w:themeColor="text1"/>
                <w:kern w:val="2"/>
                <w:sz w:val="21"/>
                <w:szCs w:val="21"/>
                <w:highlight w:val="none"/>
                <w:lang w:val="en-US" w:eastAsia="zh-CN" w:bidi="ar"/>
                <w14:textFill>
                  <w14:solidFill>
                    <w14:schemeClr w14:val="tx1"/>
                  </w14:solidFill>
                </w14:textFill>
              </w:rPr>
              <w:t>上风向灭火</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。尽可能将容器从火场移至空旷处。喷水保持火场容器冷却，直至</w:t>
            </w:r>
            <w:r>
              <w:rPr>
                <w:rFonts w:hint="eastAsia" w:cs="宋体"/>
                <w:color w:val="000000" w:themeColor="text1"/>
                <w:kern w:val="2"/>
                <w:sz w:val="21"/>
                <w:szCs w:val="21"/>
                <w:highlight w:val="none"/>
                <w:lang w:val="en-US" w:eastAsia="zh-CN" w:bidi="ar"/>
                <w14:textFill>
                  <w14:solidFill>
                    <w14:schemeClr w14:val="tx1"/>
                  </w14:solidFill>
                </w14:textFill>
              </w:rPr>
              <w:t>灭火</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结束。处在火场中的容器若已变色或从安全泄压装置中产生声音，须马上撤离。灭火剂：雾状水、泡沫、干粉、二氧化碳、砂土。</w:t>
            </w:r>
          </w:p>
        </w:tc>
      </w:tr>
      <w:tr w14:paraId="760D8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1211" w:type="dxa"/>
            <w:vMerge w:val="restart"/>
            <w:tcBorders>
              <w:tl2br w:val="nil"/>
              <w:tr2bl w:val="nil"/>
            </w:tcBorders>
            <w:noWrap w:val="0"/>
            <w:vAlign w:val="center"/>
          </w:tcPr>
          <w:p w14:paraId="5B4B11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b/>
                <w:color w:val="000000" w:themeColor="text1"/>
                <w:sz w:val="21"/>
                <w:szCs w:val="21"/>
                <w:highlight w:val="none"/>
                <w:lang w:val="en-US"/>
                <w14:textFill>
                  <w14:solidFill>
                    <w14:schemeClr w14:val="tx1"/>
                  </w14:solidFill>
                </w14:textFill>
              </w:rPr>
            </w:pPr>
            <w:r>
              <w:rPr>
                <w:rFonts w:hint="eastAsia" w:ascii="Times New Roman" w:hAnsi="Times New Roman" w:eastAsia="宋体" w:cs="宋体"/>
                <w:b/>
                <w:color w:val="000000" w:themeColor="text1"/>
                <w:kern w:val="2"/>
                <w:sz w:val="21"/>
                <w:szCs w:val="21"/>
                <w:highlight w:val="none"/>
                <w:lang w:val="en-US" w:eastAsia="zh-CN" w:bidi="ar"/>
                <w14:textFill>
                  <w14:solidFill>
                    <w14:schemeClr w14:val="tx1"/>
                  </w14:solidFill>
                </w14:textFill>
              </w:rPr>
              <w:t>毒性</w:t>
            </w:r>
          </w:p>
        </w:tc>
        <w:tc>
          <w:tcPr>
            <w:tcW w:w="1183" w:type="dxa"/>
            <w:tcBorders>
              <w:tl2br w:val="nil"/>
              <w:tr2bl w:val="nil"/>
            </w:tcBorders>
            <w:noWrap w:val="0"/>
            <w:vAlign w:val="center"/>
          </w:tcPr>
          <w:p w14:paraId="73A5B671">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健康危害</w:t>
            </w:r>
          </w:p>
        </w:tc>
        <w:tc>
          <w:tcPr>
            <w:tcW w:w="6138" w:type="dxa"/>
            <w:gridSpan w:val="2"/>
            <w:tcBorders>
              <w:tl2br w:val="nil"/>
              <w:tr2bl w:val="nil"/>
            </w:tcBorders>
            <w:noWrap w:val="0"/>
            <w:vAlign w:val="center"/>
          </w:tcPr>
          <w:p w14:paraId="29F81689">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侵入途径：吸入、食入；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14:paraId="3907D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vMerge w:val="continue"/>
            <w:tcBorders>
              <w:tl2br w:val="nil"/>
              <w:tr2bl w:val="nil"/>
            </w:tcBorders>
            <w:noWrap w:val="0"/>
            <w:vAlign w:val="center"/>
          </w:tcPr>
          <w:p w14:paraId="7C4E5217">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cs="Times New Roman"/>
                <w:color w:val="000000" w:themeColor="text1"/>
                <w:sz w:val="21"/>
                <w:szCs w:val="21"/>
                <w:highlight w:val="none"/>
                <w14:textFill>
                  <w14:solidFill>
                    <w14:schemeClr w14:val="tx1"/>
                  </w14:solidFill>
                </w14:textFill>
              </w:rPr>
            </w:pPr>
          </w:p>
        </w:tc>
        <w:tc>
          <w:tcPr>
            <w:tcW w:w="1183" w:type="dxa"/>
            <w:tcBorders>
              <w:tl2br w:val="nil"/>
              <w:tr2bl w:val="nil"/>
            </w:tcBorders>
            <w:noWrap w:val="0"/>
            <w:vAlign w:val="center"/>
          </w:tcPr>
          <w:p w14:paraId="26669BBF">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防护</w:t>
            </w:r>
          </w:p>
        </w:tc>
        <w:tc>
          <w:tcPr>
            <w:tcW w:w="6138" w:type="dxa"/>
            <w:gridSpan w:val="2"/>
            <w:tcBorders>
              <w:tl2br w:val="nil"/>
              <w:tr2bl w:val="nil"/>
            </w:tcBorders>
            <w:noWrap w:val="0"/>
            <w:vAlign w:val="center"/>
          </w:tcPr>
          <w:p w14:paraId="47D75E87">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工程控制：密闭操作，注意通风；</w:t>
            </w:r>
          </w:p>
          <w:p w14:paraId="3151E181">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呼吸系统防护：空气中浓度超标时，建议佩戴自吸过滤式防毒面具（半面罩）。紧急事态抢救或撤离时，应该佩戴空气呼吸器。</w:t>
            </w:r>
          </w:p>
          <w:p w14:paraId="655615C2">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眼睛防护：戴化学安全防护眼镜。</w:t>
            </w:r>
          </w:p>
          <w:p w14:paraId="0CE442E0">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身体防护：穿防毒物渗透工作服；</w:t>
            </w:r>
          </w:p>
          <w:p w14:paraId="340EC7FA">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手防护：戴橡胶耐油手套；</w:t>
            </w:r>
          </w:p>
          <w:p w14:paraId="554BE274">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其他：工作现场禁止吸烟。避免长期反复接触。</w:t>
            </w:r>
          </w:p>
        </w:tc>
      </w:tr>
      <w:tr w14:paraId="7D314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vMerge w:val="continue"/>
            <w:tcBorders>
              <w:tl2br w:val="nil"/>
              <w:tr2bl w:val="nil"/>
            </w:tcBorders>
            <w:noWrap w:val="0"/>
            <w:vAlign w:val="center"/>
          </w:tcPr>
          <w:p w14:paraId="5066C0F9">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cs="Times New Roman"/>
                <w:color w:val="000000" w:themeColor="text1"/>
                <w:sz w:val="21"/>
                <w:szCs w:val="21"/>
                <w:highlight w:val="none"/>
                <w14:textFill>
                  <w14:solidFill>
                    <w14:schemeClr w14:val="tx1"/>
                  </w14:solidFill>
                </w14:textFill>
              </w:rPr>
            </w:pPr>
          </w:p>
        </w:tc>
        <w:tc>
          <w:tcPr>
            <w:tcW w:w="1183" w:type="dxa"/>
            <w:tcBorders>
              <w:tl2br w:val="nil"/>
              <w:tr2bl w:val="nil"/>
            </w:tcBorders>
            <w:noWrap w:val="0"/>
            <w:vAlign w:val="center"/>
          </w:tcPr>
          <w:p w14:paraId="55B390F9">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急救措施</w:t>
            </w:r>
          </w:p>
        </w:tc>
        <w:tc>
          <w:tcPr>
            <w:tcW w:w="6138" w:type="dxa"/>
            <w:gridSpan w:val="2"/>
            <w:tcBorders>
              <w:tl2br w:val="nil"/>
              <w:tr2bl w:val="nil"/>
            </w:tcBorders>
            <w:noWrap w:val="0"/>
            <w:vAlign w:val="center"/>
          </w:tcPr>
          <w:p w14:paraId="7D062C81">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皮肤接触：立即脱去被污染的衣着，用大量清水冲洗；</w:t>
            </w:r>
          </w:p>
          <w:p w14:paraId="7BB183CA">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cs="宋体"/>
                <w:color w:val="000000" w:themeColor="text1"/>
                <w:kern w:val="2"/>
                <w:sz w:val="21"/>
                <w:szCs w:val="21"/>
                <w:highlight w:val="none"/>
                <w:lang w:val="en-US" w:eastAsia="zh-CN" w:bidi="ar"/>
                <w14:textFill>
                  <w14:solidFill>
                    <w14:schemeClr w14:val="tx1"/>
                  </w14:solidFill>
                </w14:textFill>
              </w:rPr>
              <w:t>眼睛</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接触：立即提起眼睑，用大量流动清水或生理盐水冲洗，就医；</w:t>
            </w:r>
          </w:p>
          <w:p w14:paraId="3C4D133F">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吸入：迅速脱离现场至空气新鲜处，保持呼吸道通畅，如呼吸困难，给输氧；如呼吸停止，立即进行人工呼吸，就医；</w:t>
            </w:r>
          </w:p>
          <w:p w14:paraId="7D25D6C4">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食入：饮足量温水，催吐，就医。</w:t>
            </w:r>
          </w:p>
        </w:tc>
      </w:tr>
      <w:tr w14:paraId="2CE1F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tcBorders>
              <w:tl2br w:val="nil"/>
              <w:tr2bl w:val="nil"/>
            </w:tcBorders>
            <w:noWrap w:val="0"/>
            <w:vAlign w:val="center"/>
          </w:tcPr>
          <w:p w14:paraId="508F0C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b/>
                <w:color w:val="000000" w:themeColor="text1"/>
                <w:sz w:val="21"/>
                <w:szCs w:val="21"/>
                <w:highlight w:val="none"/>
                <w:lang w:val="en-US"/>
                <w14:textFill>
                  <w14:solidFill>
                    <w14:schemeClr w14:val="tx1"/>
                  </w14:solidFill>
                </w14:textFill>
              </w:rPr>
            </w:pPr>
            <w:r>
              <w:rPr>
                <w:rFonts w:hint="eastAsia" w:ascii="Times New Roman" w:hAnsi="Times New Roman" w:eastAsia="宋体" w:cs="宋体"/>
                <w:b/>
                <w:color w:val="000000" w:themeColor="text1"/>
                <w:kern w:val="2"/>
                <w:sz w:val="21"/>
                <w:szCs w:val="21"/>
                <w:highlight w:val="none"/>
                <w:lang w:val="en-US" w:eastAsia="zh-CN" w:bidi="ar"/>
                <w14:textFill>
                  <w14:solidFill>
                    <w14:schemeClr w14:val="tx1"/>
                  </w14:solidFill>
                </w14:textFill>
              </w:rPr>
              <w:t>贮运条件</w:t>
            </w:r>
          </w:p>
        </w:tc>
        <w:tc>
          <w:tcPr>
            <w:tcW w:w="7321" w:type="dxa"/>
            <w:gridSpan w:val="3"/>
            <w:tcBorders>
              <w:tl2br w:val="nil"/>
              <w:tr2bl w:val="nil"/>
            </w:tcBorders>
            <w:noWrap w:val="0"/>
            <w:vAlign w:val="center"/>
          </w:tcPr>
          <w:p w14:paraId="514F509A">
            <w:pPr>
              <w:keepNext w:val="0"/>
              <w:keepLines w:val="0"/>
              <w:pageBreakBefore w:val="0"/>
              <w:widowControl w:val="0"/>
              <w:suppressLineNumbers w:val="0"/>
              <w:tabs>
                <w:tab w:val="left" w:pos="310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储存于阴凉、通风的库房。远离火种、热源。应与氧化剂分开存放，</w:t>
            </w:r>
            <w:r>
              <w:rPr>
                <w:rFonts w:hint="eastAsia" w:cs="宋体"/>
                <w:color w:val="000000" w:themeColor="text1"/>
                <w:kern w:val="2"/>
                <w:sz w:val="21"/>
                <w:szCs w:val="21"/>
                <w:highlight w:val="none"/>
                <w:lang w:val="en-US" w:eastAsia="zh-CN" w:bidi="ar"/>
                <w14:textFill>
                  <w14:solidFill>
                    <w14:schemeClr w14:val="tx1"/>
                  </w14:solidFill>
                </w14:textFill>
              </w:rPr>
              <w:t>切忌</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混储。配备相应品种和数量的消防器材。出去应备有泄漏应急处理设备和合适的收容材料。运输前应先检查包装容器是否完整、密封，运输过程中要确保容器不泄漏、不倒塌、不坠落、不损坏。严禁与氧化剂、食用化学品等混装混运。运输车船必须彻底清洗、消毒，否则不得装运其他物品。船运时，配装位置应远离卧室、厨房，并与电源、火源等部位隔离。公路运输时要按规定路线行驶。</w:t>
            </w:r>
          </w:p>
        </w:tc>
      </w:tr>
      <w:tr w14:paraId="4C818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1" w:type="dxa"/>
            <w:tcBorders>
              <w:tl2br w:val="nil"/>
              <w:tr2bl w:val="nil"/>
            </w:tcBorders>
            <w:noWrap w:val="0"/>
            <w:vAlign w:val="center"/>
          </w:tcPr>
          <w:p w14:paraId="5C24E6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b/>
                <w:color w:val="000000" w:themeColor="text1"/>
                <w:sz w:val="21"/>
                <w:szCs w:val="21"/>
                <w:highlight w:val="none"/>
                <w:lang w:val="en-US"/>
                <w14:textFill>
                  <w14:solidFill>
                    <w14:schemeClr w14:val="tx1"/>
                  </w14:solidFill>
                </w14:textFill>
              </w:rPr>
            </w:pPr>
            <w:r>
              <w:rPr>
                <w:rFonts w:hint="eastAsia" w:ascii="Times New Roman" w:hAnsi="Times New Roman" w:eastAsia="宋体" w:cs="宋体"/>
                <w:b/>
                <w:color w:val="000000" w:themeColor="text1"/>
                <w:kern w:val="2"/>
                <w:sz w:val="21"/>
                <w:szCs w:val="21"/>
                <w:highlight w:val="none"/>
                <w:lang w:val="en-US" w:eastAsia="zh-CN" w:bidi="ar"/>
                <w14:textFill>
                  <w14:solidFill>
                    <w14:schemeClr w14:val="tx1"/>
                  </w14:solidFill>
                </w14:textFill>
              </w:rPr>
              <w:t>泄漏应急处理</w:t>
            </w:r>
          </w:p>
        </w:tc>
        <w:tc>
          <w:tcPr>
            <w:tcW w:w="7321" w:type="dxa"/>
            <w:gridSpan w:val="3"/>
            <w:tcBorders>
              <w:tl2br w:val="nil"/>
              <w:tr2bl w:val="nil"/>
            </w:tcBorders>
            <w:noWrap w:val="0"/>
            <w:vAlign w:val="center"/>
          </w:tcPr>
          <w:p w14:paraId="33E53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迅速撤离泄漏污染区人员至安全区，并进行隔离，严格限制出入。切断火源。建议应急处理人员戴自给正压式呼吸器，穿防毒服。尽可能切断泄漏源。</w:t>
            </w:r>
            <w:r>
              <w:rPr>
                <w:rFonts w:hint="eastAsia" w:cs="宋体"/>
                <w:color w:val="000000" w:themeColor="text1"/>
                <w:kern w:val="2"/>
                <w:sz w:val="21"/>
                <w:szCs w:val="21"/>
                <w:highlight w:val="none"/>
                <w:lang w:val="en-US" w:eastAsia="zh-CN" w:bidi="ar"/>
                <w14:textFill>
                  <w14:solidFill>
                    <w14:schemeClr w14:val="tx1"/>
                  </w14:solidFill>
                </w14:textFill>
              </w:rPr>
              <w:t>防止</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流入下水道、排洪沟等限制性空间。小量泄漏：用砂土或其他不燃材料吸附或吸收。大量泄漏：构筑</w:t>
            </w:r>
            <w:r>
              <w:rPr>
                <w:rFonts w:hint="eastAsia" w:cs="宋体"/>
                <w:color w:val="000000" w:themeColor="text1"/>
                <w:kern w:val="2"/>
                <w:sz w:val="21"/>
                <w:szCs w:val="21"/>
                <w:highlight w:val="none"/>
                <w:lang w:val="en-US" w:eastAsia="zh-CN" w:bidi="ar"/>
                <w14:textFill>
                  <w14:solidFill>
                    <w14:schemeClr w14:val="tx1"/>
                  </w14:solidFill>
                </w14:textFill>
              </w:rPr>
              <w:t>围堤</w:t>
            </w: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或挖坑收容。用泵转移至槽车或专用收集器内，回收或运至废物处理场所处置。</w:t>
            </w:r>
          </w:p>
        </w:tc>
      </w:tr>
    </w:tbl>
    <w:p w14:paraId="0F92F5E9">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（3）生产单元（设施）危险性识别</w:t>
      </w:r>
    </w:p>
    <w:p w14:paraId="472D72EB">
      <w:pPr>
        <w:overflowPunct w:val="0"/>
        <w:topLinePunct/>
        <w:adjustRightInd w:val="0"/>
        <w:snapToGri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1）选矿水循环系统</w:t>
      </w:r>
    </w:p>
    <w:p w14:paraId="04605840">
      <w:pPr>
        <w:overflowPunct w:val="0"/>
        <w:topLinePunct/>
        <w:adjustRightInd w:val="0"/>
        <w:snapToGri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本项目选矿废水闭路循环，不外排。选矿水循环系统因设备老化、故障、操作不当以及建筑破损等原因可能发生选矿废水泄漏事故。</w:t>
      </w:r>
    </w:p>
    <w:p w14:paraId="5E011435">
      <w:pPr>
        <w:overflowPunct w:val="0"/>
        <w:topLinePunct/>
        <w:adjustRightInd w:val="0"/>
        <w:snapToGri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2）尾矿库</w:t>
      </w:r>
    </w:p>
    <w:p w14:paraId="6A35E858">
      <w:pPr>
        <w:overflowPunct w:val="0"/>
        <w:topLinePunct/>
        <w:adjustRightInd w:val="0"/>
        <w:snapToGri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①尾矿排放</w:t>
      </w:r>
    </w:p>
    <w:p w14:paraId="49AB200D">
      <w:pPr>
        <w:overflowPunct w:val="0"/>
        <w:topLinePunct/>
        <w:adjustRightInd w:val="0"/>
        <w:snapToGri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若尾矿库溃坝，则可能造成人身安全、财产损失、环境污染、生态破坏等突发环境事件。</w:t>
      </w:r>
    </w:p>
    <w:p w14:paraId="04A07364">
      <w:pPr>
        <w:overflowPunct w:val="0"/>
        <w:topLinePunct/>
        <w:adjustRightInd w:val="0"/>
        <w:snapToGri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②管道破裂、渗漏</w:t>
      </w:r>
    </w:p>
    <w:p w14:paraId="66D9EB6C">
      <w:pPr>
        <w:overflowPunct w:val="0"/>
        <w:topLinePunct/>
        <w:adjustRightInd w:val="0"/>
        <w:snapToGri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尾矿浆通过总砂泵站统一把尾砂输送至尾矿库多点均匀放矿。输送管路全长</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km，采用D377×16耐磨管道输送至坝前。尾矿输送管路如遇施工机械破坏或其他人为破坏，可能发生管道破裂、尾矿浆泄漏事故，可能会导致废水渗漏、外泄，致使周边土壤环境、地表水及地下水等受污染。</w:t>
      </w:r>
    </w:p>
    <w:p w14:paraId="11F02277">
      <w:pPr>
        <w:overflowPunct w:val="0"/>
        <w:topLinePunct/>
        <w:adjustRightInd w:val="0"/>
        <w:snapToGrid w:val="0"/>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s="Times New Roman"/>
          <w:color w:val="000000" w:themeColor="text1"/>
          <w:kern w:val="2"/>
          <w:sz w:val="24"/>
          <w:szCs w:val="24"/>
          <w:highlight w:val="none"/>
          <w:lang w:val="en-US" w:eastAsia="zh-CN" w:bidi="ar"/>
          <w14:textFill>
            <w14:solidFill>
              <w14:schemeClr w14:val="tx1"/>
            </w14:solidFill>
          </w14:textFill>
        </w:rPr>
        <w:t>危废贮存点</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废油泄漏</w:t>
      </w:r>
    </w:p>
    <w:p w14:paraId="5FF0C0DD">
      <w:pPr>
        <w:overflowPunct w:val="0"/>
        <w:topLinePunct/>
        <w:adjustRightInd w:val="0"/>
        <w:snapToGrid w:val="0"/>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本项目废机油贮存在采矿区危废贮存点内，废机油泄漏或引起火灾，对周围空气环境、水环境及生态环境造成危害</w:t>
      </w:r>
      <w:r>
        <w:rPr>
          <w:rFonts w:hint="eastAsia"/>
          <w:color w:val="000000" w:themeColor="text1"/>
          <w:highlight w:val="none"/>
          <w14:textFill>
            <w14:solidFill>
              <w14:schemeClr w14:val="tx1"/>
            </w14:solidFill>
          </w14:textFill>
        </w:rPr>
        <w:t>。</w:t>
      </w:r>
    </w:p>
    <w:p w14:paraId="7CD7B22A">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本项目环评主要针对尾矿库可能发生的环境风险事故，进行环境影响预测分析，并提出风险防范措施及应急预案，力求将环境风险影响降至最低</w:t>
      </w:r>
      <w:r>
        <w:rPr>
          <w:rFonts w:hint="eastAsia"/>
          <w:color w:val="000000" w:themeColor="text1"/>
          <w:highlight w:val="none"/>
          <w14:textFill>
            <w14:solidFill>
              <w14:schemeClr w14:val="tx1"/>
            </w14:solidFill>
          </w14:textFill>
        </w:rPr>
        <w:t>。</w:t>
      </w:r>
    </w:p>
    <w:p w14:paraId="5B6AFEA6">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.2环境敏感目标调查</w:t>
      </w:r>
    </w:p>
    <w:p w14:paraId="4691A406">
      <w:pPr>
        <w:ind w:firstLine="0" w:firstLineChars="0"/>
        <w:jc w:val="center"/>
        <w:rPr>
          <w:b/>
          <w:color w:val="000000" w:themeColor="text1"/>
          <w:kern w:val="0"/>
          <w:szCs w:val="21"/>
          <w:highlight w:val="none"/>
          <w:lang w:val="zh-CN"/>
          <w14:textFill>
            <w14:solidFill>
              <w14:schemeClr w14:val="tx1"/>
            </w14:solidFill>
          </w14:textFill>
        </w:rPr>
      </w:pPr>
      <w:r>
        <w:rPr>
          <w:b/>
          <w:color w:val="000000" w:themeColor="text1"/>
          <w:kern w:val="0"/>
          <w:szCs w:val="21"/>
          <w:highlight w:val="none"/>
          <w:lang w:val="zh-CN"/>
          <w14:textFill>
            <w14:solidFill>
              <w14:schemeClr w14:val="tx1"/>
            </w14:solidFill>
          </w14:textFill>
        </w:rPr>
        <w:t>表</w:t>
      </w:r>
      <w:r>
        <w:rPr>
          <w:b/>
          <w:color w:val="000000" w:themeColor="text1"/>
          <w:kern w:val="0"/>
          <w:szCs w:val="21"/>
          <w:highlight w:val="none"/>
          <w14:textFill>
            <w14:solidFill>
              <w14:schemeClr w14:val="tx1"/>
            </w14:solidFill>
          </w14:textFill>
        </w:rPr>
        <w:t>5.3-</w:t>
      </w:r>
      <w:r>
        <w:rPr>
          <w:rFonts w:hint="eastAsia"/>
          <w:b/>
          <w:color w:val="000000" w:themeColor="text1"/>
          <w:kern w:val="0"/>
          <w:szCs w:val="21"/>
          <w:highlight w:val="none"/>
          <w:lang w:val="en-US" w:eastAsia="zh-CN"/>
          <w14:textFill>
            <w14:solidFill>
              <w14:schemeClr w14:val="tx1"/>
            </w14:solidFill>
          </w14:textFill>
        </w:rPr>
        <w:t>3</w:t>
      </w:r>
      <w:r>
        <w:rPr>
          <w:b/>
          <w:color w:val="000000" w:themeColor="text1"/>
          <w:kern w:val="0"/>
          <w:szCs w:val="21"/>
          <w:highlight w:val="none"/>
          <w14:textFill>
            <w14:solidFill>
              <w14:schemeClr w14:val="tx1"/>
            </w14:solidFill>
          </w14:textFill>
        </w:rPr>
        <w:t xml:space="preserve">    </w:t>
      </w:r>
      <w:r>
        <w:rPr>
          <w:b/>
          <w:color w:val="000000" w:themeColor="text1"/>
          <w:kern w:val="0"/>
          <w:szCs w:val="21"/>
          <w:highlight w:val="none"/>
          <w:lang w:val="zh-CN"/>
          <w14:textFill>
            <w14:solidFill>
              <w14:schemeClr w14:val="tx1"/>
            </w14:solidFill>
          </w14:textFill>
        </w:rPr>
        <w:t>调查范围内环境敏感目标一览表</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3"/>
        <w:gridCol w:w="929"/>
        <w:gridCol w:w="1512"/>
        <w:gridCol w:w="1560"/>
        <w:gridCol w:w="1200"/>
        <w:gridCol w:w="1140"/>
        <w:gridCol w:w="1208"/>
      </w:tblGrid>
      <w:tr w14:paraId="1B4F8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973" w:type="dxa"/>
            <w:tcBorders>
              <w:top w:val="single" w:color="auto" w:sz="12" w:space="0"/>
              <w:left w:val="single" w:color="auto" w:sz="12" w:space="0"/>
              <w:bottom w:val="single" w:color="auto" w:sz="6" w:space="0"/>
              <w:right w:val="single" w:color="auto" w:sz="6" w:space="0"/>
            </w:tcBorders>
            <w:noWrap w:val="0"/>
            <w:vAlign w:val="center"/>
          </w:tcPr>
          <w:p w14:paraId="0D58A104">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类别</w:t>
            </w:r>
          </w:p>
        </w:tc>
        <w:tc>
          <w:tcPr>
            <w:tcW w:w="7549" w:type="dxa"/>
            <w:gridSpan w:val="6"/>
            <w:tcBorders>
              <w:top w:val="single" w:color="auto" w:sz="12" w:space="0"/>
              <w:left w:val="single" w:color="auto" w:sz="6" w:space="0"/>
              <w:bottom w:val="single" w:color="auto" w:sz="6" w:space="0"/>
              <w:right w:val="single" w:color="auto" w:sz="12" w:space="0"/>
            </w:tcBorders>
            <w:noWrap w:val="0"/>
            <w:vAlign w:val="center"/>
          </w:tcPr>
          <w:p w14:paraId="16DE5FE6">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环境敏感特征</w:t>
            </w:r>
          </w:p>
        </w:tc>
      </w:tr>
      <w:tr w14:paraId="5264D4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973" w:type="dxa"/>
            <w:vMerge w:val="restart"/>
            <w:tcBorders>
              <w:top w:val="single" w:color="auto" w:sz="6" w:space="0"/>
              <w:left w:val="single" w:color="auto" w:sz="12" w:space="0"/>
              <w:bottom w:val="single" w:color="auto" w:sz="6" w:space="0"/>
              <w:right w:val="single" w:color="auto" w:sz="6" w:space="0"/>
            </w:tcBorders>
            <w:noWrap w:val="0"/>
            <w:vAlign w:val="center"/>
          </w:tcPr>
          <w:p w14:paraId="57F97C8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w:t>
            </w:r>
          </w:p>
          <w:p w14:paraId="6FFAF70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空气</w:t>
            </w:r>
          </w:p>
        </w:tc>
        <w:tc>
          <w:tcPr>
            <w:tcW w:w="7549" w:type="dxa"/>
            <w:gridSpan w:val="6"/>
            <w:tcBorders>
              <w:top w:val="single" w:color="auto" w:sz="6" w:space="0"/>
              <w:left w:val="single" w:color="auto" w:sz="6" w:space="0"/>
              <w:bottom w:val="single" w:color="auto" w:sz="6" w:space="0"/>
              <w:right w:val="single" w:color="auto" w:sz="12" w:space="0"/>
            </w:tcBorders>
            <w:noWrap w:val="0"/>
            <w:vAlign w:val="center"/>
          </w:tcPr>
          <w:p w14:paraId="329F696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厂址周边5km范围内</w:t>
            </w:r>
          </w:p>
        </w:tc>
      </w:tr>
      <w:tr w14:paraId="776A7B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973" w:type="dxa"/>
            <w:vMerge w:val="continue"/>
            <w:tcBorders>
              <w:top w:val="single" w:color="auto" w:sz="6" w:space="0"/>
              <w:left w:val="single" w:color="auto" w:sz="12" w:space="0"/>
              <w:bottom w:val="single" w:color="auto" w:sz="6" w:space="0"/>
              <w:right w:val="single" w:color="auto" w:sz="6" w:space="0"/>
            </w:tcBorders>
            <w:noWrap w:val="0"/>
            <w:vAlign w:val="center"/>
          </w:tcPr>
          <w:p w14:paraId="27BD904B">
            <w:pPr>
              <w:widowControl/>
              <w:spacing w:line="360" w:lineRule="exact"/>
              <w:ind w:firstLine="0" w:firstLineChars="0"/>
              <w:jc w:val="left"/>
              <w:rPr>
                <w:color w:val="000000" w:themeColor="text1"/>
                <w:sz w:val="21"/>
                <w:szCs w:val="21"/>
                <w:highlight w:val="none"/>
                <w14:textFill>
                  <w14:solidFill>
                    <w14:schemeClr w14:val="tx1"/>
                  </w14:solidFill>
                </w14:textFill>
              </w:rPr>
            </w:pPr>
          </w:p>
        </w:tc>
        <w:tc>
          <w:tcPr>
            <w:tcW w:w="929" w:type="dxa"/>
            <w:tcBorders>
              <w:top w:val="single" w:color="auto" w:sz="6" w:space="0"/>
              <w:left w:val="single" w:color="auto" w:sz="6" w:space="0"/>
              <w:bottom w:val="single" w:color="auto" w:sz="6" w:space="0"/>
              <w:right w:val="single" w:color="auto" w:sz="6" w:space="0"/>
            </w:tcBorders>
            <w:noWrap w:val="0"/>
            <w:vAlign w:val="center"/>
          </w:tcPr>
          <w:p w14:paraId="7496A9A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序号</w:t>
            </w:r>
          </w:p>
        </w:tc>
        <w:tc>
          <w:tcPr>
            <w:tcW w:w="1512" w:type="dxa"/>
            <w:tcBorders>
              <w:top w:val="single" w:color="auto" w:sz="6" w:space="0"/>
              <w:left w:val="single" w:color="auto" w:sz="6" w:space="0"/>
              <w:bottom w:val="single" w:color="auto" w:sz="6" w:space="0"/>
              <w:right w:val="single" w:color="auto" w:sz="6" w:space="0"/>
            </w:tcBorders>
            <w:noWrap w:val="0"/>
            <w:vAlign w:val="center"/>
          </w:tcPr>
          <w:p w14:paraId="5F9F7BA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敏感目标名称</w:t>
            </w:r>
          </w:p>
        </w:tc>
        <w:tc>
          <w:tcPr>
            <w:tcW w:w="1560" w:type="dxa"/>
            <w:tcBorders>
              <w:top w:val="single" w:color="auto" w:sz="6" w:space="0"/>
              <w:left w:val="single" w:color="auto" w:sz="6" w:space="0"/>
              <w:bottom w:val="single" w:color="auto" w:sz="6" w:space="0"/>
              <w:right w:val="single" w:color="auto" w:sz="6" w:space="0"/>
            </w:tcBorders>
            <w:noWrap w:val="0"/>
            <w:vAlign w:val="center"/>
          </w:tcPr>
          <w:p w14:paraId="6CA7887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相对方位</w:t>
            </w:r>
          </w:p>
        </w:tc>
        <w:tc>
          <w:tcPr>
            <w:tcW w:w="1200" w:type="dxa"/>
            <w:tcBorders>
              <w:top w:val="single" w:color="auto" w:sz="6" w:space="0"/>
              <w:left w:val="single" w:color="auto" w:sz="6" w:space="0"/>
              <w:bottom w:val="single" w:color="auto" w:sz="6" w:space="0"/>
              <w:right w:val="single" w:color="auto" w:sz="6" w:space="0"/>
            </w:tcBorders>
            <w:noWrap w:val="0"/>
            <w:vAlign w:val="center"/>
          </w:tcPr>
          <w:p w14:paraId="4837CD1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距离/m</w:t>
            </w:r>
          </w:p>
        </w:tc>
        <w:tc>
          <w:tcPr>
            <w:tcW w:w="1140" w:type="dxa"/>
            <w:tcBorders>
              <w:top w:val="single" w:color="auto" w:sz="6" w:space="0"/>
              <w:left w:val="single" w:color="auto" w:sz="6" w:space="0"/>
              <w:bottom w:val="single" w:color="auto" w:sz="6" w:space="0"/>
              <w:right w:val="single" w:color="auto" w:sz="6" w:space="0"/>
            </w:tcBorders>
            <w:noWrap w:val="0"/>
            <w:vAlign w:val="center"/>
          </w:tcPr>
          <w:p w14:paraId="026C605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属性</w:t>
            </w:r>
          </w:p>
        </w:tc>
        <w:tc>
          <w:tcPr>
            <w:tcW w:w="1208" w:type="dxa"/>
            <w:tcBorders>
              <w:top w:val="single" w:color="auto" w:sz="6" w:space="0"/>
              <w:left w:val="single" w:color="auto" w:sz="6" w:space="0"/>
              <w:bottom w:val="single" w:color="auto" w:sz="6" w:space="0"/>
              <w:right w:val="single" w:color="auto" w:sz="12" w:space="0"/>
            </w:tcBorders>
            <w:noWrap w:val="0"/>
            <w:vAlign w:val="center"/>
          </w:tcPr>
          <w:p w14:paraId="1AB9598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人口数</w:t>
            </w:r>
          </w:p>
        </w:tc>
      </w:tr>
      <w:tr w14:paraId="58E2D8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noWrap w:val="0"/>
            <w:vAlign w:val="center"/>
          </w:tcPr>
          <w:p w14:paraId="63B62C82">
            <w:pPr>
              <w:widowControl/>
              <w:spacing w:line="360" w:lineRule="exact"/>
              <w:ind w:firstLine="0" w:firstLineChars="0"/>
              <w:jc w:val="left"/>
              <w:rPr>
                <w:color w:val="000000" w:themeColor="text1"/>
                <w:sz w:val="21"/>
                <w:szCs w:val="21"/>
                <w:highlight w:val="none"/>
                <w14:textFill>
                  <w14:solidFill>
                    <w14:schemeClr w14:val="tx1"/>
                  </w14:solidFill>
                </w14:textFill>
              </w:rPr>
            </w:pPr>
          </w:p>
        </w:tc>
        <w:tc>
          <w:tcPr>
            <w:tcW w:w="929" w:type="dxa"/>
            <w:tcBorders>
              <w:top w:val="single" w:color="auto" w:sz="6" w:space="0"/>
              <w:left w:val="single" w:color="auto" w:sz="6" w:space="0"/>
              <w:bottom w:val="single" w:color="auto" w:sz="6" w:space="0"/>
              <w:right w:val="single" w:color="auto" w:sz="6" w:space="0"/>
            </w:tcBorders>
            <w:noWrap w:val="0"/>
            <w:vAlign w:val="center"/>
          </w:tcPr>
          <w:p w14:paraId="0CA802A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512" w:type="dxa"/>
            <w:tcBorders>
              <w:top w:val="single" w:color="auto" w:sz="6" w:space="0"/>
              <w:left w:val="single" w:color="auto" w:sz="6" w:space="0"/>
              <w:bottom w:val="single" w:color="auto" w:sz="6" w:space="0"/>
              <w:right w:val="single" w:color="auto" w:sz="6" w:space="0"/>
            </w:tcBorders>
            <w:noWrap w:val="0"/>
            <w:vAlign w:val="center"/>
          </w:tcPr>
          <w:p w14:paraId="4CB6236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cBorders>
            <w:noWrap w:val="0"/>
            <w:vAlign w:val="center"/>
          </w:tcPr>
          <w:p w14:paraId="1751042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200" w:type="dxa"/>
            <w:tcBorders>
              <w:top w:val="single" w:color="auto" w:sz="6" w:space="0"/>
              <w:left w:val="single" w:color="auto" w:sz="6" w:space="0"/>
              <w:bottom w:val="single" w:color="auto" w:sz="6" w:space="0"/>
              <w:right w:val="single" w:color="auto" w:sz="6" w:space="0"/>
            </w:tcBorders>
            <w:noWrap w:val="0"/>
            <w:vAlign w:val="center"/>
          </w:tcPr>
          <w:p w14:paraId="01F37D1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140" w:type="dxa"/>
            <w:tcBorders>
              <w:top w:val="single" w:color="auto" w:sz="6" w:space="0"/>
              <w:left w:val="single" w:color="auto" w:sz="6" w:space="0"/>
              <w:bottom w:val="single" w:color="auto" w:sz="6" w:space="0"/>
              <w:right w:val="single" w:color="auto" w:sz="6" w:space="0"/>
            </w:tcBorders>
            <w:noWrap w:val="0"/>
            <w:vAlign w:val="center"/>
          </w:tcPr>
          <w:p w14:paraId="5077352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208" w:type="dxa"/>
            <w:tcBorders>
              <w:top w:val="single" w:color="auto" w:sz="6" w:space="0"/>
              <w:left w:val="single" w:color="auto" w:sz="6" w:space="0"/>
              <w:bottom w:val="single" w:color="auto" w:sz="6" w:space="0"/>
              <w:right w:val="single" w:color="auto" w:sz="12" w:space="0"/>
            </w:tcBorders>
            <w:noWrap w:val="0"/>
            <w:vAlign w:val="center"/>
          </w:tcPr>
          <w:p w14:paraId="698ABAB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2DF1D3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noWrap w:val="0"/>
            <w:vAlign w:val="center"/>
          </w:tcPr>
          <w:p w14:paraId="6A7690B6">
            <w:pPr>
              <w:widowControl/>
              <w:spacing w:line="360" w:lineRule="exact"/>
              <w:ind w:firstLine="0" w:firstLineChars="0"/>
              <w:jc w:val="left"/>
              <w:rPr>
                <w:color w:val="000000" w:themeColor="text1"/>
                <w:sz w:val="21"/>
                <w:szCs w:val="21"/>
                <w:highlight w:val="none"/>
                <w14:textFill>
                  <w14:solidFill>
                    <w14:schemeClr w14:val="tx1"/>
                  </w14:solidFill>
                </w14:textFill>
              </w:rPr>
            </w:pPr>
          </w:p>
        </w:tc>
        <w:tc>
          <w:tcPr>
            <w:tcW w:w="6341" w:type="dxa"/>
            <w:gridSpan w:val="5"/>
            <w:tcBorders>
              <w:top w:val="single" w:color="auto" w:sz="6" w:space="0"/>
              <w:left w:val="single" w:color="auto" w:sz="6" w:space="0"/>
              <w:bottom w:val="single" w:color="auto" w:sz="6" w:space="0"/>
              <w:right w:val="single" w:color="auto" w:sz="6" w:space="0"/>
            </w:tcBorders>
            <w:noWrap w:val="0"/>
            <w:vAlign w:val="center"/>
          </w:tcPr>
          <w:p w14:paraId="102D926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厂址周边500m范围内人口数小计</w:t>
            </w:r>
          </w:p>
        </w:tc>
        <w:tc>
          <w:tcPr>
            <w:tcW w:w="1208" w:type="dxa"/>
            <w:tcBorders>
              <w:top w:val="single" w:color="auto" w:sz="6" w:space="0"/>
              <w:left w:val="single" w:color="auto" w:sz="6" w:space="0"/>
              <w:bottom w:val="single" w:color="auto" w:sz="6" w:space="0"/>
              <w:right w:val="single" w:color="auto" w:sz="12" w:space="0"/>
            </w:tcBorders>
            <w:noWrap w:val="0"/>
            <w:vAlign w:val="center"/>
          </w:tcPr>
          <w:p w14:paraId="1D67AB05">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150</w:t>
            </w:r>
          </w:p>
        </w:tc>
      </w:tr>
      <w:tr w14:paraId="4E86B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noWrap w:val="0"/>
            <w:vAlign w:val="center"/>
          </w:tcPr>
          <w:p w14:paraId="2005FDA1">
            <w:pPr>
              <w:widowControl/>
              <w:spacing w:line="360" w:lineRule="exact"/>
              <w:ind w:firstLine="0" w:firstLineChars="0"/>
              <w:jc w:val="left"/>
              <w:rPr>
                <w:color w:val="000000" w:themeColor="text1"/>
                <w:sz w:val="21"/>
                <w:szCs w:val="21"/>
                <w:highlight w:val="none"/>
                <w14:textFill>
                  <w14:solidFill>
                    <w14:schemeClr w14:val="tx1"/>
                  </w14:solidFill>
                </w14:textFill>
              </w:rPr>
            </w:pPr>
          </w:p>
        </w:tc>
        <w:tc>
          <w:tcPr>
            <w:tcW w:w="6341" w:type="dxa"/>
            <w:gridSpan w:val="5"/>
            <w:tcBorders>
              <w:top w:val="single" w:color="auto" w:sz="6" w:space="0"/>
              <w:left w:val="single" w:color="auto" w:sz="6" w:space="0"/>
              <w:bottom w:val="single" w:color="auto" w:sz="6" w:space="0"/>
              <w:right w:val="single" w:color="auto" w:sz="6" w:space="0"/>
            </w:tcBorders>
            <w:noWrap w:val="0"/>
            <w:vAlign w:val="center"/>
          </w:tcPr>
          <w:p w14:paraId="032BFB7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厂址周边5km范围内人口数小计</w:t>
            </w:r>
          </w:p>
        </w:tc>
        <w:tc>
          <w:tcPr>
            <w:tcW w:w="1208" w:type="dxa"/>
            <w:tcBorders>
              <w:top w:val="single" w:color="auto" w:sz="6" w:space="0"/>
              <w:left w:val="single" w:color="auto" w:sz="6" w:space="0"/>
              <w:bottom w:val="single" w:color="auto" w:sz="6" w:space="0"/>
              <w:right w:val="single" w:color="auto" w:sz="12" w:space="0"/>
            </w:tcBorders>
            <w:noWrap w:val="0"/>
            <w:vAlign w:val="center"/>
          </w:tcPr>
          <w:p w14:paraId="0531B8BC">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450</w:t>
            </w:r>
          </w:p>
        </w:tc>
      </w:tr>
      <w:tr w14:paraId="4152D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noWrap w:val="0"/>
            <w:vAlign w:val="center"/>
          </w:tcPr>
          <w:p w14:paraId="11649270">
            <w:pPr>
              <w:widowControl/>
              <w:spacing w:line="360" w:lineRule="exact"/>
              <w:ind w:firstLine="0" w:firstLineChars="0"/>
              <w:jc w:val="left"/>
              <w:rPr>
                <w:color w:val="000000" w:themeColor="text1"/>
                <w:sz w:val="21"/>
                <w:szCs w:val="21"/>
                <w:highlight w:val="none"/>
                <w14:textFill>
                  <w14:solidFill>
                    <w14:schemeClr w14:val="tx1"/>
                  </w14:solidFill>
                </w14:textFill>
              </w:rPr>
            </w:pPr>
          </w:p>
        </w:tc>
        <w:tc>
          <w:tcPr>
            <w:tcW w:w="6341" w:type="dxa"/>
            <w:gridSpan w:val="5"/>
            <w:tcBorders>
              <w:top w:val="single" w:color="auto" w:sz="6" w:space="0"/>
              <w:left w:val="single" w:color="auto" w:sz="6" w:space="0"/>
              <w:bottom w:val="single" w:color="auto" w:sz="6" w:space="0"/>
              <w:right w:val="single" w:color="auto" w:sz="6" w:space="0"/>
            </w:tcBorders>
            <w:noWrap w:val="0"/>
            <w:vAlign w:val="center"/>
          </w:tcPr>
          <w:p w14:paraId="30AA46F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大气环境敏感程度E值</w:t>
            </w:r>
          </w:p>
        </w:tc>
        <w:tc>
          <w:tcPr>
            <w:tcW w:w="1208" w:type="dxa"/>
            <w:tcBorders>
              <w:top w:val="single" w:color="auto" w:sz="6" w:space="0"/>
              <w:left w:val="single" w:color="auto" w:sz="6" w:space="0"/>
              <w:bottom w:val="single" w:color="auto" w:sz="6" w:space="0"/>
              <w:right w:val="single" w:color="auto" w:sz="12" w:space="0"/>
            </w:tcBorders>
            <w:noWrap w:val="0"/>
            <w:vAlign w:val="center"/>
          </w:tcPr>
          <w:p w14:paraId="5C1A260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E3</w:t>
            </w:r>
          </w:p>
        </w:tc>
      </w:tr>
      <w:tr w14:paraId="7D479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restart"/>
            <w:tcBorders>
              <w:top w:val="single" w:color="auto" w:sz="6" w:space="0"/>
              <w:left w:val="single" w:color="auto" w:sz="12" w:space="0"/>
              <w:bottom w:val="single" w:color="auto" w:sz="6" w:space="0"/>
              <w:right w:val="single" w:color="auto" w:sz="6" w:space="0"/>
            </w:tcBorders>
            <w:noWrap w:val="0"/>
            <w:vAlign w:val="center"/>
          </w:tcPr>
          <w:p w14:paraId="5E56256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地表水</w:t>
            </w:r>
          </w:p>
        </w:tc>
        <w:tc>
          <w:tcPr>
            <w:tcW w:w="7549" w:type="dxa"/>
            <w:gridSpan w:val="6"/>
            <w:tcBorders>
              <w:top w:val="single" w:color="auto" w:sz="6" w:space="0"/>
              <w:left w:val="single" w:color="auto" w:sz="6" w:space="0"/>
              <w:bottom w:val="single" w:color="auto" w:sz="6" w:space="0"/>
              <w:right w:val="single" w:color="auto" w:sz="12" w:space="0"/>
            </w:tcBorders>
            <w:noWrap w:val="0"/>
            <w:vAlign w:val="center"/>
          </w:tcPr>
          <w:p w14:paraId="52D5470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受纳水体</w:t>
            </w:r>
          </w:p>
        </w:tc>
      </w:tr>
      <w:tr w14:paraId="6554E9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noWrap w:val="0"/>
            <w:vAlign w:val="center"/>
          </w:tcPr>
          <w:p w14:paraId="7C64D082">
            <w:pPr>
              <w:widowControl/>
              <w:spacing w:line="360" w:lineRule="exact"/>
              <w:ind w:firstLine="0" w:firstLineChars="0"/>
              <w:jc w:val="left"/>
              <w:rPr>
                <w:color w:val="000000" w:themeColor="text1"/>
                <w:sz w:val="21"/>
                <w:szCs w:val="21"/>
                <w:highlight w:val="none"/>
                <w14:textFill>
                  <w14:solidFill>
                    <w14:schemeClr w14:val="tx1"/>
                  </w14:solidFill>
                </w14:textFill>
              </w:rPr>
            </w:pPr>
          </w:p>
        </w:tc>
        <w:tc>
          <w:tcPr>
            <w:tcW w:w="929" w:type="dxa"/>
            <w:tcBorders>
              <w:top w:val="single" w:color="auto" w:sz="6" w:space="0"/>
              <w:left w:val="single" w:color="auto" w:sz="6" w:space="0"/>
              <w:bottom w:val="single" w:color="auto" w:sz="6" w:space="0"/>
              <w:right w:val="single" w:color="auto" w:sz="6" w:space="0"/>
            </w:tcBorders>
            <w:noWrap w:val="0"/>
            <w:vAlign w:val="center"/>
          </w:tcPr>
          <w:p w14:paraId="3A3584C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序号</w:t>
            </w:r>
          </w:p>
        </w:tc>
        <w:tc>
          <w:tcPr>
            <w:tcW w:w="1512" w:type="dxa"/>
            <w:tcBorders>
              <w:top w:val="single" w:color="auto" w:sz="6" w:space="0"/>
              <w:left w:val="single" w:color="auto" w:sz="6" w:space="0"/>
              <w:bottom w:val="single" w:color="auto" w:sz="6" w:space="0"/>
              <w:right w:val="single" w:color="auto" w:sz="6" w:space="0"/>
            </w:tcBorders>
            <w:noWrap w:val="0"/>
            <w:vAlign w:val="center"/>
          </w:tcPr>
          <w:p w14:paraId="37BF1A8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受纳水体名称</w:t>
            </w:r>
          </w:p>
        </w:tc>
        <w:tc>
          <w:tcPr>
            <w:tcW w:w="2760" w:type="dxa"/>
            <w:gridSpan w:val="2"/>
            <w:tcBorders>
              <w:top w:val="single" w:color="auto" w:sz="6" w:space="0"/>
              <w:left w:val="single" w:color="auto" w:sz="6" w:space="0"/>
              <w:bottom w:val="single" w:color="auto" w:sz="6" w:space="0"/>
              <w:right w:val="single" w:color="auto" w:sz="6" w:space="0"/>
            </w:tcBorders>
            <w:noWrap w:val="0"/>
            <w:vAlign w:val="center"/>
          </w:tcPr>
          <w:p w14:paraId="5D8FC84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排放点水域环境功能</w:t>
            </w:r>
          </w:p>
        </w:tc>
        <w:tc>
          <w:tcPr>
            <w:tcW w:w="2348" w:type="dxa"/>
            <w:gridSpan w:val="2"/>
            <w:tcBorders>
              <w:top w:val="single" w:color="auto" w:sz="6" w:space="0"/>
              <w:left w:val="single" w:color="auto" w:sz="6" w:space="0"/>
              <w:bottom w:val="single" w:color="auto" w:sz="6" w:space="0"/>
              <w:right w:val="single" w:color="auto" w:sz="12" w:space="0"/>
            </w:tcBorders>
            <w:noWrap w:val="0"/>
            <w:vAlign w:val="center"/>
          </w:tcPr>
          <w:p w14:paraId="20EF184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24h内流经范围</w:t>
            </w:r>
          </w:p>
        </w:tc>
      </w:tr>
      <w:tr w14:paraId="0F304A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noWrap w:val="0"/>
            <w:vAlign w:val="center"/>
          </w:tcPr>
          <w:p w14:paraId="0DFED7FC">
            <w:pPr>
              <w:widowControl/>
              <w:spacing w:line="360" w:lineRule="exact"/>
              <w:ind w:firstLine="0" w:firstLineChars="0"/>
              <w:jc w:val="left"/>
              <w:rPr>
                <w:color w:val="000000" w:themeColor="text1"/>
                <w:sz w:val="21"/>
                <w:szCs w:val="21"/>
                <w:highlight w:val="none"/>
                <w14:textFill>
                  <w14:solidFill>
                    <w14:schemeClr w14:val="tx1"/>
                  </w14:solidFill>
                </w14:textFill>
              </w:rPr>
            </w:pPr>
          </w:p>
        </w:tc>
        <w:tc>
          <w:tcPr>
            <w:tcW w:w="929" w:type="dxa"/>
            <w:tcBorders>
              <w:top w:val="single" w:color="auto" w:sz="6" w:space="0"/>
              <w:left w:val="single" w:color="auto" w:sz="6" w:space="0"/>
              <w:bottom w:val="single" w:color="auto" w:sz="6" w:space="0"/>
              <w:right w:val="single" w:color="auto" w:sz="6" w:space="0"/>
            </w:tcBorders>
            <w:noWrap w:val="0"/>
            <w:vAlign w:val="center"/>
          </w:tcPr>
          <w:p w14:paraId="6D015F5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512" w:type="dxa"/>
            <w:tcBorders>
              <w:top w:val="single" w:color="auto" w:sz="6" w:space="0"/>
              <w:left w:val="single" w:color="auto" w:sz="6" w:space="0"/>
              <w:bottom w:val="single" w:color="auto" w:sz="6" w:space="0"/>
              <w:right w:val="single" w:color="auto" w:sz="6" w:space="0"/>
            </w:tcBorders>
            <w:noWrap w:val="0"/>
            <w:vAlign w:val="center"/>
          </w:tcPr>
          <w:p w14:paraId="212B9A2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无</w:t>
            </w:r>
          </w:p>
        </w:tc>
        <w:tc>
          <w:tcPr>
            <w:tcW w:w="2760" w:type="dxa"/>
            <w:gridSpan w:val="2"/>
            <w:tcBorders>
              <w:top w:val="single" w:color="auto" w:sz="6" w:space="0"/>
              <w:left w:val="single" w:color="auto" w:sz="6" w:space="0"/>
              <w:bottom w:val="single" w:color="auto" w:sz="6" w:space="0"/>
              <w:right w:val="single" w:color="auto" w:sz="6" w:space="0"/>
            </w:tcBorders>
            <w:noWrap w:val="0"/>
            <w:vAlign w:val="center"/>
          </w:tcPr>
          <w:p w14:paraId="202082E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2348" w:type="dxa"/>
            <w:gridSpan w:val="2"/>
            <w:tcBorders>
              <w:top w:val="single" w:color="auto" w:sz="6" w:space="0"/>
              <w:left w:val="single" w:color="auto" w:sz="6" w:space="0"/>
              <w:bottom w:val="single" w:color="auto" w:sz="6" w:space="0"/>
              <w:right w:val="single" w:color="auto" w:sz="12" w:space="0"/>
            </w:tcBorders>
            <w:noWrap w:val="0"/>
            <w:vAlign w:val="center"/>
          </w:tcPr>
          <w:p w14:paraId="0D8CCD3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2C286F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noWrap w:val="0"/>
            <w:vAlign w:val="center"/>
          </w:tcPr>
          <w:p w14:paraId="39D19DF8">
            <w:pPr>
              <w:widowControl/>
              <w:spacing w:line="360" w:lineRule="exact"/>
              <w:ind w:firstLine="0" w:firstLineChars="0"/>
              <w:jc w:val="left"/>
              <w:rPr>
                <w:color w:val="000000" w:themeColor="text1"/>
                <w:sz w:val="21"/>
                <w:szCs w:val="21"/>
                <w:highlight w:val="none"/>
                <w14:textFill>
                  <w14:solidFill>
                    <w14:schemeClr w14:val="tx1"/>
                  </w14:solidFill>
                </w14:textFill>
              </w:rPr>
            </w:pPr>
          </w:p>
        </w:tc>
        <w:tc>
          <w:tcPr>
            <w:tcW w:w="7549" w:type="dxa"/>
            <w:gridSpan w:val="6"/>
            <w:tcBorders>
              <w:top w:val="single" w:color="auto" w:sz="6" w:space="0"/>
              <w:left w:val="single" w:color="auto" w:sz="6" w:space="0"/>
              <w:bottom w:val="single" w:color="auto" w:sz="6" w:space="0"/>
              <w:right w:val="single" w:color="auto" w:sz="12" w:space="0"/>
            </w:tcBorders>
            <w:noWrap w:val="0"/>
            <w:vAlign w:val="center"/>
          </w:tcPr>
          <w:p w14:paraId="64F3F4E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内陆水体排放点下游10km（近岸海域一个潮周期最大水平距离两倍）范围内敏感目标</w:t>
            </w:r>
          </w:p>
        </w:tc>
      </w:tr>
      <w:tr w14:paraId="0DA1E2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noWrap w:val="0"/>
            <w:vAlign w:val="center"/>
          </w:tcPr>
          <w:p w14:paraId="53009793">
            <w:pPr>
              <w:widowControl/>
              <w:spacing w:line="360" w:lineRule="exact"/>
              <w:ind w:firstLine="0" w:firstLineChars="0"/>
              <w:jc w:val="left"/>
              <w:rPr>
                <w:color w:val="000000" w:themeColor="text1"/>
                <w:sz w:val="21"/>
                <w:szCs w:val="21"/>
                <w:highlight w:val="none"/>
                <w14:textFill>
                  <w14:solidFill>
                    <w14:schemeClr w14:val="tx1"/>
                  </w14:solidFill>
                </w14:textFill>
              </w:rPr>
            </w:pPr>
          </w:p>
        </w:tc>
        <w:tc>
          <w:tcPr>
            <w:tcW w:w="929" w:type="dxa"/>
            <w:tcBorders>
              <w:top w:val="single" w:color="auto" w:sz="6" w:space="0"/>
              <w:left w:val="single" w:color="auto" w:sz="6" w:space="0"/>
              <w:bottom w:val="single" w:color="auto" w:sz="6" w:space="0"/>
              <w:right w:val="single" w:color="auto" w:sz="6" w:space="0"/>
            </w:tcBorders>
            <w:noWrap w:val="0"/>
            <w:vAlign w:val="center"/>
          </w:tcPr>
          <w:p w14:paraId="7CDFF26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序号</w:t>
            </w:r>
          </w:p>
        </w:tc>
        <w:tc>
          <w:tcPr>
            <w:tcW w:w="1512" w:type="dxa"/>
            <w:tcBorders>
              <w:top w:val="single" w:color="auto" w:sz="6" w:space="0"/>
              <w:left w:val="single" w:color="auto" w:sz="6" w:space="0"/>
              <w:bottom w:val="single" w:color="auto" w:sz="6" w:space="0"/>
              <w:right w:val="single" w:color="auto" w:sz="6" w:space="0"/>
            </w:tcBorders>
            <w:noWrap w:val="0"/>
            <w:vAlign w:val="center"/>
          </w:tcPr>
          <w:p w14:paraId="5EE4FBE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敏感目标名称</w:t>
            </w:r>
          </w:p>
        </w:tc>
        <w:tc>
          <w:tcPr>
            <w:tcW w:w="1560" w:type="dxa"/>
            <w:tcBorders>
              <w:top w:val="single" w:color="auto" w:sz="6" w:space="0"/>
              <w:left w:val="single" w:color="auto" w:sz="6" w:space="0"/>
              <w:bottom w:val="single" w:color="auto" w:sz="6" w:space="0"/>
              <w:right w:val="single" w:color="auto" w:sz="6" w:space="0"/>
            </w:tcBorders>
            <w:noWrap w:val="0"/>
            <w:vAlign w:val="center"/>
          </w:tcPr>
          <w:p w14:paraId="5F4F183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环境敏感特征</w:t>
            </w:r>
          </w:p>
        </w:tc>
        <w:tc>
          <w:tcPr>
            <w:tcW w:w="2340" w:type="dxa"/>
            <w:gridSpan w:val="2"/>
            <w:tcBorders>
              <w:top w:val="single" w:color="auto" w:sz="6" w:space="0"/>
              <w:left w:val="single" w:color="auto" w:sz="6" w:space="0"/>
              <w:bottom w:val="single" w:color="auto" w:sz="6" w:space="0"/>
              <w:right w:val="single" w:color="auto" w:sz="6" w:space="0"/>
            </w:tcBorders>
            <w:noWrap w:val="0"/>
            <w:vAlign w:val="center"/>
          </w:tcPr>
          <w:p w14:paraId="452EBF3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水质目标</w:t>
            </w:r>
          </w:p>
        </w:tc>
        <w:tc>
          <w:tcPr>
            <w:tcW w:w="1208" w:type="dxa"/>
            <w:tcBorders>
              <w:top w:val="single" w:color="auto" w:sz="6" w:space="0"/>
              <w:left w:val="single" w:color="auto" w:sz="6" w:space="0"/>
              <w:bottom w:val="single" w:color="auto" w:sz="6" w:space="0"/>
              <w:right w:val="single" w:color="auto" w:sz="12" w:space="0"/>
            </w:tcBorders>
            <w:noWrap w:val="0"/>
            <w:vAlign w:val="center"/>
          </w:tcPr>
          <w:p w14:paraId="0453FC1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与排放点距离/m</w:t>
            </w:r>
          </w:p>
        </w:tc>
      </w:tr>
      <w:tr w14:paraId="62EC01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noWrap w:val="0"/>
            <w:vAlign w:val="center"/>
          </w:tcPr>
          <w:p w14:paraId="5AC89153">
            <w:pPr>
              <w:widowControl/>
              <w:spacing w:line="360" w:lineRule="exact"/>
              <w:ind w:firstLine="0" w:firstLineChars="0"/>
              <w:jc w:val="left"/>
              <w:rPr>
                <w:color w:val="000000" w:themeColor="text1"/>
                <w:sz w:val="21"/>
                <w:szCs w:val="21"/>
                <w:highlight w:val="none"/>
                <w14:textFill>
                  <w14:solidFill>
                    <w14:schemeClr w14:val="tx1"/>
                  </w14:solidFill>
                </w14:textFill>
              </w:rPr>
            </w:pPr>
          </w:p>
        </w:tc>
        <w:tc>
          <w:tcPr>
            <w:tcW w:w="929" w:type="dxa"/>
            <w:tcBorders>
              <w:top w:val="single" w:color="auto" w:sz="6" w:space="0"/>
              <w:left w:val="single" w:color="auto" w:sz="6" w:space="0"/>
              <w:bottom w:val="single" w:color="auto" w:sz="6" w:space="0"/>
              <w:right w:val="single" w:color="auto" w:sz="6" w:space="0"/>
            </w:tcBorders>
            <w:noWrap w:val="0"/>
            <w:vAlign w:val="center"/>
          </w:tcPr>
          <w:p w14:paraId="13DE828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512" w:type="dxa"/>
            <w:tcBorders>
              <w:top w:val="single" w:color="auto" w:sz="6" w:space="0"/>
              <w:left w:val="single" w:color="auto" w:sz="6" w:space="0"/>
              <w:bottom w:val="single" w:color="auto" w:sz="6" w:space="0"/>
              <w:right w:val="single" w:color="auto" w:sz="6" w:space="0"/>
            </w:tcBorders>
            <w:noWrap w:val="0"/>
            <w:vAlign w:val="center"/>
          </w:tcPr>
          <w:p w14:paraId="54DED0B2">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w:t>
            </w:r>
          </w:p>
        </w:tc>
        <w:tc>
          <w:tcPr>
            <w:tcW w:w="1560" w:type="dxa"/>
            <w:tcBorders>
              <w:top w:val="single" w:color="auto" w:sz="6" w:space="0"/>
              <w:left w:val="single" w:color="auto" w:sz="6" w:space="0"/>
              <w:bottom w:val="single" w:color="auto" w:sz="6" w:space="0"/>
              <w:right w:val="single" w:color="auto" w:sz="6" w:space="0"/>
            </w:tcBorders>
            <w:noWrap w:val="0"/>
            <w:vAlign w:val="center"/>
          </w:tcPr>
          <w:p w14:paraId="79268241">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340" w:type="dxa"/>
            <w:gridSpan w:val="2"/>
            <w:tcBorders>
              <w:top w:val="single" w:color="auto" w:sz="6" w:space="0"/>
              <w:left w:val="single" w:color="auto" w:sz="6" w:space="0"/>
              <w:bottom w:val="single" w:color="auto" w:sz="6" w:space="0"/>
              <w:right w:val="single" w:color="auto" w:sz="6" w:space="0"/>
            </w:tcBorders>
            <w:noWrap w:val="0"/>
            <w:vAlign w:val="center"/>
          </w:tcPr>
          <w:p w14:paraId="51E64667">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208" w:type="dxa"/>
            <w:tcBorders>
              <w:top w:val="single" w:color="auto" w:sz="6" w:space="0"/>
              <w:left w:val="single" w:color="auto" w:sz="6" w:space="0"/>
              <w:bottom w:val="single" w:color="auto" w:sz="6" w:space="0"/>
              <w:right w:val="single" w:color="auto" w:sz="12" w:space="0"/>
            </w:tcBorders>
            <w:noWrap w:val="0"/>
            <w:vAlign w:val="center"/>
          </w:tcPr>
          <w:p w14:paraId="0360DF5E">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2DAE50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noWrap w:val="0"/>
            <w:vAlign w:val="center"/>
          </w:tcPr>
          <w:p w14:paraId="3892F94C">
            <w:pPr>
              <w:widowControl/>
              <w:spacing w:line="360" w:lineRule="exact"/>
              <w:ind w:firstLine="0" w:firstLineChars="0"/>
              <w:jc w:val="left"/>
              <w:rPr>
                <w:color w:val="000000" w:themeColor="text1"/>
                <w:sz w:val="21"/>
                <w:szCs w:val="21"/>
                <w:highlight w:val="none"/>
                <w14:textFill>
                  <w14:solidFill>
                    <w14:schemeClr w14:val="tx1"/>
                  </w14:solidFill>
                </w14:textFill>
              </w:rPr>
            </w:pPr>
          </w:p>
        </w:tc>
        <w:tc>
          <w:tcPr>
            <w:tcW w:w="6341" w:type="dxa"/>
            <w:gridSpan w:val="5"/>
            <w:tcBorders>
              <w:top w:val="single" w:color="auto" w:sz="6" w:space="0"/>
              <w:left w:val="single" w:color="auto" w:sz="6" w:space="0"/>
              <w:bottom w:val="single" w:color="auto" w:sz="6" w:space="0"/>
              <w:right w:val="single" w:color="auto" w:sz="6" w:space="0"/>
            </w:tcBorders>
            <w:noWrap w:val="0"/>
            <w:vAlign w:val="center"/>
          </w:tcPr>
          <w:p w14:paraId="6A6185E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地表水环境敏感程度E值</w:t>
            </w:r>
          </w:p>
        </w:tc>
        <w:tc>
          <w:tcPr>
            <w:tcW w:w="1208" w:type="dxa"/>
            <w:tcBorders>
              <w:top w:val="single" w:color="auto" w:sz="6" w:space="0"/>
              <w:left w:val="single" w:color="auto" w:sz="6" w:space="0"/>
              <w:bottom w:val="single" w:color="auto" w:sz="6" w:space="0"/>
              <w:right w:val="single" w:color="auto" w:sz="12" w:space="0"/>
            </w:tcBorders>
            <w:noWrap w:val="0"/>
            <w:vAlign w:val="center"/>
          </w:tcPr>
          <w:p w14:paraId="1C88CE79">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3</w:t>
            </w:r>
          </w:p>
        </w:tc>
      </w:tr>
      <w:tr w14:paraId="1A90F4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restart"/>
            <w:tcBorders>
              <w:top w:val="single" w:color="auto" w:sz="6" w:space="0"/>
              <w:left w:val="single" w:color="auto" w:sz="12" w:space="0"/>
              <w:bottom w:val="single" w:color="auto" w:sz="12" w:space="0"/>
              <w:right w:val="single" w:color="auto" w:sz="6" w:space="0"/>
            </w:tcBorders>
            <w:noWrap w:val="0"/>
            <w:vAlign w:val="center"/>
          </w:tcPr>
          <w:p w14:paraId="5177376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地下水</w:t>
            </w:r>
          </w:p>
        </w:tc>
        <w:tc>
          <w:tcPr>
            <w:tcW w:w="929" w:type="dxa"/>
            <w:tcBorders>
              <w:top w:val="single" w:color="auto" w:sz="6" w:space="0"/>
              <w:left w:val="single" w:color="auto" w:sz="6" w:space="0"/>
              <w:bottom w:val="single" w:color="auto" w:sz="6" w:space="0"/>
              <w:right w:val="single" w:color="auto" w:sz="6" w:space="0"/>
            </w:tcBorders>
            <w:noWrap w:val="0"/>
            <w:vAlign w:val="center"/>
          </w:tcPr>
          <w:p w14:paraId="2F884B8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序号</w:t>
            </w:r>
          </w:p>
        </w:tc>
        <w:tc>
          <w:tcPr>
            <w:tcW w:w="1512" w:type="dxa"/>
            <w:tcBorders>
              <w:top w:val="single" w:color="auto" w:sz="6" w:space="0"/>
              <w:left w:val="single" w:color="auto" w:sz="6" w:space="0"/>
              <w:bottom w:val="single" w:color="auto" w:sz="6" w:space="0"/>
              <w:right w:val="single" w:color="auto" w:sz="6" w:space="0"/>
            </w:tcBorders>
            <w:noWrap w:val="0"/>
            <w:vAlign w:val="center"/>
          </w:tcPr>
          <w:p w14:paraId="61CA44D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环境敏感区名称</w:t>
            </w:r>
          </w:p>
        </w:tc>
        <w:tc>
          <w:tcPr>
            <w:tcW w:w="1560" w:type="dxa"/>
            <w:tcBorders>
              <w:top w:val="single" w:color="auto" w:sz="6" w:space="0"/>
              <w:left w:val="single" w:color="auto" w:sz="6" w:space="0"/>
              <w:bottom w:val="single" w:color="auto" w:sz="6" w:space="0"/>
              <w:right w:val="single" w:color="auto" w:sz="6" w:space="0"/>
            </w:tcBorders>
            <w:noWrap w:val="0"/>
            <w:vAlign w:val="center"/>
          </w:tcPr>
          <w:p w14:paraId="371313B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环境敏感特征</w:t>
            </w:r>
          </w:p>
        </w:tc>
        <w:tc>
          <w:tcPr>
            <w:tcW w:w="1200" w:type="dxa"/>
            <w:tcBorders>
              <w:top w:val="single" w:color="auto" w:sz="6" w:space="0"/>
              <w:left w:val="single" w:color="auto" w:sz="6" w:space="0"/>
              <w:bottom w:val="single" w:color="auto" w:sz="6" w:space="0"/>
              <w:right w:val="single" w:color="auto" w:sz="6" w:space="0"/>
            </w:tcBorders>
            <w:noWrap w:val="0"/>
            <w:vAlign w:val="center"/>
          </w:tcPr>
          <w:p w14:paraId="19111F7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水质目标</w:t>
            </w:r>
          </w:p>
        </w:tc>
        <w:tc>
          <w:tcPr>
            <w:tcW w:w="1140" w:type="dxa"/>
            <w:tcBorders>
              <w:top w:val="single" w:color="auto" w:sz="6" w:space="0"/>
              <w:left w:val="single" w:color="auto" w:sz="6" w:space="0"/>
              <w:bottom w:val="single" w:color="auto" w:sz="6" w:space="0"/>
              <w:right w:val="single" w:color="auto" w:sz="6" w:space="0"/>
            </w:tcBorders>
            <w:noWrap w:val="0"/>
            <w:vAlign w:val="center"/>
          </w:tcPr>
          <w:p w14:paraId="7CD2477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包气带防污性能</w:t>
            </w:r>
          </w:p>
        </w:tc>
        <w:tc>
          <w:tcPr>
            <w:tcW w:w="1208" w:type="dxa"/>
            <w:tcBorders>
              <w:top w:val="single" w:color="auto" w:sz="6" w:space="0"/>
              <w:left w:val="single" w:color="auto" w:sz="6" w:space="0"/>
              <w:bottom w:val="single" w:color="auto" w:sz="6" w:space="0"/>
              <w:right w:val="single" w:color="auto" w:sz="12" w:space="0"/>
            </w:tcBorders>
            <w:noWrap w:val="0"/>
            <w:vAlign w:val="center"/>
          </w:tcPr>
          <w:p w14:paraId="3B0DC1C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与下游厂界距离/m</w:t>
            </w:r>
          </w:p>
        </w:tc>
      </w:tr>
      <w:tr w14:paraId="20AD77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12" w:space="0"/>
              <w:right w:val="single" w:color="auto" w:sz="6" w:space="0"/>
            </w:tcBorders>
            <w:noWrap w:val="0"/>
            <w:vAlign w:val="center"/>
          </w:tcPr>
          <w:p w14:paraId="04B469E0">
            <w:pPr>
              <w:widowControl/>
              <w:spacing w:line="360" w:lineRule="exact"/>
              <w:ind w:firstLine="0" w:firstLineChars="0"/>
              <w:jc w:val="left"/>
              <w:rPr>
                <w:color w:val="000000" w:themeColor="text1"/>
                <w:sz w:val="21"/>
                <w:szCs w:val="21"/>
                <w:highlight w:val="none"/>
                <w14:textFill>
                  <w14:solidFill>
                    <w14:schemeClr w14:val="tx1"/>
                  </w14:solidFill>
                </w14:textFill>
              </w:rPr>
            </w:pPr>
          </w:p>
        </w:tc>
        <w:tc>
          <w:tcPr>
            <w:tcW w:w="929" w:type="dxa"/>
            <w:tcBorders>
              <w:top w:val="single" w:color="auto" w:sz="6" w:space="0"/>
              <w:left w:val="single" w:color="auto" w:sz="6" w:space="0"/>
              <w:bottom w:val="single" w:color="auto" w:sz="6" w:space="0"/>
              <w:right w:val="single" w:color="auto" w:sz="6" w:space="0"/>
            </w:tcBorders>
            <w:noWrap w:val="0"/>
            <w:vAlign w:val="center"/>
          </w:tcPr>
          <w:p w14:paraId="00C83C6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512" w:type="dxa"/>
            <w:tcBorders>
              <w:top w:val="single" w:color="auto" w:sz="6" w:space="0"/>
              <w:left w:val="single" w:color="auto" w:sz="6" w:space="0"/>
              <w:bottom w:val="single" w:color="auto" w:sz="6" w:space="0"/>
              <w:right w:val="single" w:color="auto" w:sz="6" w:space="0"/>
            </w:tcBorders>
            <w:noWrap w:val="0"/>
            <w:vAlign w:val="center"/>
          </w:tcPr>
          <w:p w14:paraId="18CB107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560" w:type="dxa"/>
            <w:tcBorders>
              <w:top w:val="single" w:color="auto" w:sz="6" w:space="0"/>
              <w:left w:val="single" w:color="auto" w:sz="6" w:space="0"/>
              <w:bottom w:val="single" w:color="auto" w:sz="6" w:space="0"/>
              <w:right w:val="single" w:color="auto" w:sz="6" w:space="0"/>
            </w:tcBorders>
            <w:noWrap w:val="0"/>
            <w:vAlign w:val="center"/>
          </w:tcPr>
          <w:p w14:paraId="56C4837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不敏感G3</w:t>
            </w:r>
          </w:p>
        </w:tc>
        <w:tc>
          <w:tcPr>
            <w:tcW w:w="1200" w:type="dxa"/>
            <w:tcBorders>
              <w:top w:val="single" w:color="auto" w:sz="6" w:space="0"/>
              <w:left w:val="single" w:color="auto" w:sz="6" w:space="0"/>
              <w:bottom w:val="single" w:color="auto" w:sz="6" w:space="0"/>
              <w:right w:val="single" w:color="auto" w:sz="6" w:space="0"/>
            </w:tcBorders>
            <w:noWrap w:val="0"/>
            <w:vAlign w:val="center"/>
          </w:tcPr>
          <w:p w14:paraId="62A3BB1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Ⅲ类</w:t>
            </w:r>
          </w:p>
        </w:tc>
        <w:tc>
          <w:tcPr>
            <w:tcW w:w="1140" w:type="dxa"/>
            <w:tcBorders>
              <w:top w:val="single" w:color="auto" w:sz="6" w:space="0"/>
              <w:left w:val="single" w:color="auto" w:sz="6" w:space="0"/>
              <w:bottom w:val="single" w:color="auto" w:sz="6" w:space="0"/>
              <w:right w:val="single" w:color="auto" w:sz="6" w:space="0"/>
            </w:tcBorders>
            <w:noWrap w:val="0"/>
            <w:vAlign w:val="center"/>
          </w:tcPr>
          <w:p w14:paraId="47394CB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D1</w:t>
            </w:r>
          </w:p>
        </w:tc>
        <w:tc>
          <w:tcPr>
            <w:tcW w:w="1208" w:type="dxa"/>
            <w:tcBorders>
              <w:top w:val="single" w:color="auto" w:sz="6" w:space="0"/>
              <w:left w:val="single" w:color="auto" w:sz="6" w:space="0"/>
              <w:bottom w:val="single" w:color="auto" w:sz="6" w:space="0"/>
              <w:right w:val="single" w:color="auto" w:sz="12" w:space="0"/>
            </w:tcBorders>
            <w:noWrap w:val="0"/>
            <w:vAlign w:val="center"/>
          </w:tcPr>
          <w:p w14:paraId="19E225B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52CC6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12" w:space="0"/>
              <w:right w:val="single" w:color="auto" w:sz="6" w:space="0"/>
            </w:tcBorders>
            <w:noWrap w:val="0"/>
            <w:vAlign w:val="center"/>
          </w:tcPr>
          <w:p w14:paraId="44672529">
            <w:pPr>
              <w:widowControl/>
              <w:spacing w:line="360" w:lineRule="exact"/>
              <w:ind w:firstLine="0" w:firstLineChars="0"/>
              <w:jc w:val="left"/>
              <w:rPr>
                <w:color w:val="000000" w:themeColor="text1"/>
                <w:sz w:val="21"/>
                <w:szCs w:val="21"/>
                <w:highlight w:val="none"/>
                <w14:textFill>
                  <w14:solidFill>
                    <w14:schemeClr w14:val="tx1"/>
                  </w14:solidFill>
                </w14:textFill>
              </w:rPr>
            </w:pPr>
          </w:p>
        </w:tc>
        <w:tc>
          <w:tcPr>
            <w:tcW w:w="6341" w:type="dxa"/>
            <w:gridSpan w:val="5"/>
            <w:tcBorders>
              <w:top w:val="single" w:color="auto" w:sz="6" w:space="0"/>
              <w:left w:val="single" w:color="auto" w:sz="6" w:space="0"/>
              <w:bottom w:val="single" w:color="auto" w:sz="12" w:space="0"/>
              <w:right w:val="single" w:color="auto" w:sz="6" w:space="0"/>
            </w:tcBorders>
            <w:noWrap w:val="0"/>
            <w:vAlign w:val="center"/>
          </w:tcPr>
          <w:p w14:paraId="4609BA6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地下水环境敏感程度E值</w:t>
            </w:r>
          </w:p>
        </w:tc>
        <w:tc>
          <w:tcPr>
            <w:tcW w:w="1208" w:type="dxa"/>
            <w:tcBorders>
              <w:top w:val="single" w:color="auto" w:sz="6" w:space="0"/>
              <w:left w:val="single" w:color="auto" w:sz="6" w:space="0"/>
              <w:bottom w:val="single" w:color="auto" w:sz="12" w:space="0"/>
              <w:right w:val="single" w:color="auto" w:sz="12" w:space="0"/>
            </w:tcBorders>
            <w:noWrap w:val="0"/>
            <w:vAlign w:val="center"/>
          </w:tcPr>
          <w:p w14:paraId="36FCCB9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E2</w:t>
            </w:r>
          </w:p>
        </w:tc>
      </w:tr>
    </w:tbl>
    <w:p w14:paraId="1A481F07">
      <w:pPr>
        <w:overflowPunct w:val="0"/>
        <w:topLinePunct/>
        <w:ind w:firstLine="480"/>
        <w:rPr>
          <w:b/>
          <w:bCs/>
          <w:color w:val="000000" w:themeColor="text1"/>
          <w:sz w:val="30"/>
          <w:szCs w:val="32"/>
          <w:highlight w:val="none"/>
          <w14:textFill>
            <w14:solidFill>
              <w14:schemeClr w14:val="tx1"/>
            </w14:solidFill>
          </w14:textFill>
        </w:rPr>
      </w:pPr>
      <w:r>
        <w:rPr>
          <w:color w:val="000000" w:themeColor="text1"/>
          <w:highlight w:val="none"/>
          <w14:textFill>
            <w14:solidFill>
              <w14:schemeClr w14:val="tx1"/>
            </w14:solidFill>
          </w14:textFill>
        </w:rPr>
        <w:t>根据调查，本项目</w:t>
      </w:r>
      <w:r>
        <w:rPr>
          <w:rFonts w:hint="eastAsia"/>
          <w:color w:val="000000" w:themeColor="text1"/>
          <w:highlight w:val="none"/>
          <w:lang w:val="en-US" w:eastAsia="zh-CN"/>
          <w14:textFill>
            <w14:solidFill>
              <w14:schemeClr w14:val="tx1"/>
            </w14:solidFill>
          </w14:textFill>
        </w:rPr>
        <w:t>不</w:t>
      </w:r>
      <w:r>
        <w:rPr>
          <w:color w:val="000000" w:themeColor="text1"/>
          <w:highlight w:val="none"/>
          <w14:textFill>
            <w14:solidFill>
              <w14:schemeClr w14:val="tx1"/>
            </w14:solidFill>
          </w14:textFill>
        </w:rPr>
        <w:t>涉及环境风险敏感目标。</w:t>
      </w:r>
    </w:p>
    <w:p w14:paraId="2B444258">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b/>
          <w:bCs/>
          <w:color w:val="000000" w:themeColor="text1"/>
          <w:sz w:val="30"/>
          <w:szCs w:val="32"/>
          <w:highlight w:val="none"/>
          <w14:textFill>
            <w14:solidFill>
              <w14:schemeClr w14:val="tx1"/>
            </w14:solidFill>
          </w14:textFill>
        </w:rPr>
        <w:t>5.3.</w:t>
      </w:r>
      <w:r>
        <w:rPr>
          <w:rFonts w:hint="eastAsia"/>
          <w:b/>
          <w:bCs/>
          <w:color w:val="000000" w:themeColor="text1"/>
          <w:sz w:val="30"/>
          <w:szCs w:val="32"/>
          <w:highlight w:val="none"/>
          <w14:textFill>
            <w14:solidFill>
              <w14:schemeClr w14:val="tx1"/>
            </w14:solidFill>
          </w14:textFill>
        </w:rPr>
        <w:t>2</w:t>
      </w:r>
      <w:r>
        <w:rPr>
          <w:b/>
          <w:bCs/>
          <w:color w:val="000000" w:themeColor="text1"/>
          <w:sz w:val="30"/>
          <w:szCs w:val="32"/>
          <w:highlight w:val="none"/>
          <w14:textFill>
            <w14:solidFill>
              <w14:schemeClr w14:val="tx1"/>
            </w14:solidFill>
          </w14:textFill>
        </w:rPr>
        <w:t>环境风险潜势初判</w:t>
      </w:r>
    </w:p>
    <w:p w14:paraId="398E4D56">
      <w:pPr>
        <w:keepNext/>
        <w:keepLines/>
        <w:spacing w:line="480" w:lineRule="exact"/>
        <w:ind w:firstLine="482" w:firstLineChars="200"/>
        <w:outlineLvl w:val="3"/>
        <w:rPr>
          <w:rFonts w:hint="eastAsia"/>
          <w:b/>
          <w:bCs/>
          <w:color w:val="000000" w:themeColor="text1"/>
          <w:sz w:val="24"/>
          <w:szCs w:val="28"/>
          <w:lang w:val="en-US" w:eastAsia="zh-CN"/>
          <w14:textFill>
            <w14:solidFill>
              <w14:schemeClr w14:val="tx1"/>
            </w14:solidFill>
          </w14:textFill>
        </w:rPr>
      </w:pPr>
      <w:r>
        <w:rPr>
          <w:rFonts w:hint="eastAsia"/>
          <w:b/>
          <w:bCs/>
          <w:color w:val="000000" w:themeColor="text1"/>
          <w:sz w:val="24"/>
          <w:szCs w:val="28"/>
          <w:lang w:val="en-US" w:eastAsia="zh-CN"/>
          <w14:textFill>
            <w14:solidFill>
              <w14:schemeClr w14:val="tx1"/>
            </w14:solidFill>
          </w14:textFill>
        </w:rPr>
        <w:t>5.3.2.1</w:t>
      </w:r>
      <w:r>
        <w:rPr>
          <w:rFonts w:hint="eastAsia"/>
          <w:b/>
          <w:bCs/>
          <w:color w:val="000000" w:themeColor="text1"/>
          <w:sz w:val="24"/>
          <w:szCs w:val="28"/>
          <w14:textFill>
            <w14:solidFill>
              <w14:schemeClr w14:val="tx1"/>
            </w14:solidFill>
          </w14:textFill>
        </w:rPr>
        <w:t>选矿厂</w:t>
      </w:r>
      <w:r>
        <w:rPr>
          <w:rFonts w:hint="eastAsia"/>
          <w:b/>
          <w:bCs/>
          <w:color w:val="000000" w:themeColor="text1"/>
          <w:sz w:val="24"/>
          <w:szCs w:val="28"/>
          <w:lang w:val="en-US" w:eastAsia="zh-CN"/>
          <w14:textFill>
            <w14:solidFill>
              <w14:schemeClr w14:val="tx1"/>
            </w14:solidFill>
          </w14:textFill>
        </w:rPr>
        <w:t>环境风险潜势初判</w:t>
      </w:r>
    </w:p>
    <w:p w14:paraId="4D124501">
      <w:pPr>
        <w:overflowPunct w:val="0"/>
        <w:topLinePunct/>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color w:val="000000" w:themeColor="text1"/>
          <w:sz w:val="24"/>
          <w:szCs w:val="24"/>
          <w14:textFill>
            <w14:solidFill>
              <w14:schemeClr w14:val="tx1"/>
            </w14:solidFill>
          </w14:textFill>
        </w:rPr>
        <w:t>危险物质数量与临界量比值</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Q</w:t>
      </w:r>
      <w:r>
        <w:rPr>
          <w:rFonts w:hint="eastAsia"/>
          <w:color w:val="000000" w:themeColor="text1"/>
          <w:sz w:val="24"/>
          <w:szCs w:val="24"/>
          <w:lang w:eastAsia="zh-CN"/>
          <w14:textFill>
            <w14:solidFill>
              <w14:schemeClr w14:val="tx1"/>
            </w14:solidFill>
          </w14:textFill>
        </w:rPr>
        <w:t>）</w:t>
      </w:r>
    </w:p>
    <w:p w14:paraId="5BD7E31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计算所涉及的每种危险物质在厂界内的最大存在总量与其在附录B中对应临界量的比值Q</w:t>
      </w:r>
      <w:r>
        <w:rPr>
          <w:color w:val="000000" w:themeColor="text1"/>
          <w:sz w:val="21"/>
          <w:szCs w:val="21"/>
          <w:highlight w:val="none"/>
          <w14:textFill>
            <w14:solidFill>
              <w14:schemeClr w14:val="tx1"/>
            </w14:solidFill>
          </w14:textFill>
        </w:rPr>
        <w:t>，</w:t>
      </w:r>
      <w:r>
        <w:rPr>
          <w:color w:val="000000" w:themeColor="text1"/>
          <w:highlight w:val="none"/>
          <w14:textFill>
            <w14:solidFill>
              <w14:schemeClr w14:val="tx1"/>
            </w14:solidFill>
          </w14:textFill>
        </w:rPr>
        <w:t>计算公式如下：</w:t>
      </w:r>
    </w:p>
    <w:p w14:paraId="513F67FC">
      <w:pPr>
        <w:spacing w:line="360" w:lineRule="auto"/>
        <w:ind w:firstLine="420"/>
        <w:jc w:val="center"/>
        <w:rPr>
          <w:color w:val="000000" w:themeColor="text1"/>
          <w:sz w:val="21"/>
          <w:szCs w:val="21"/>
          <w:highlight w:val="none"/>
          <w14:textFill>
            <w14:solidFill>
              <w14:schemeClr w14:val="tx1"/>
            </w14:solidFill>
          </w14:textFill>
        </w:rPr>
      </w:pPr>
      <w:r>
        <w:rPr>
          <w:color w:val="000000" w:themeColor="text1"/>
          <w:position w:val="-30"/>
          <w:sz w:val="21"/>
          <w:szCs w:val="21"/>
          <w:highlight w:val="none"/>
          <w14:textFill>
            <w14:solidFill>
              <w14:schemeClr w14:val="tx1"/>
            </w14:solidFill>
          </w14:textFill>
        </w:rPr>
        <w:object>
          <v:shape id="_x0000_i1027" o:spt="75" type="#_x0000_t75" style="height:36pt;width:108pt;" o:ole="t" filled="f" o:preferrelative="t" stroked="f" coordsize="21600,21600">
            <v:path/>
            <v:fill on="f" focussize="0,0"/>
            <v:stroke on="f" joinstyle="miter"/>
            <v:imagedata r:id="rId43" o:title=""/>
            <o:lock v:ext="edit" aspectratio="t"/>
            <w10:wrap type="none"/>
            <w10:anchorlock/>
          </v:shape>
          <o:OLEObject Type="Embed" ProgID="Equation.3" ShapeID="_x0000_i1027" DrawAspect="Content" ObjectID="_1468075727" r:id="rId42">
            <o:LockedField>false</o:LockedField>
          </o:OLEObject>
        </w:object>
      </w:r>
    </w:p>
    <w:p w14:paraId="13A0C500">
      <w:pPr>
        <w:widowControl/>
        <w:overflowPunct w:val="0"/>
        <w:topLinePunct/>
        <w:ind w:firstLine="476"/>
        <w:rPr>
          <w:color w:val="000000" w:themeColor="text1"/>
          <w:kern w:val="0"/>
          <w:position w:val="2"/>
          <w:highlight w:val="none"/>
          <w14:textFill>
            <w14:solidFill>
              <w14:schemeClr w14:val="tx1"/>
            </w14:solidFill>
          </w14:textFill>
        </w:rPr>
      </w:pPr>
      <w:r>
        <w:rPr>
          <w:color w:val="000000" w:themeColor="text1"/>
          <w:spacing w:val="-1"/>
          <w:kern w:val="0"/>
          <w:position w:val="2"/>
          <w:highlight w:val="none"/>
          <w14:textFill>
            <w14:solidFill>
              <w14:schemeClr w14:val="tx1"/>
            </w14:solidFill>
          </w14:textFill>
        </w:rPr>
        <w:t>式中：q</w:t>
      </w:r>
      <w:r>
        <w:rPr>
          <w:color w:val="000000" w:themeColor="text1"/>
          <w:spacing w:val="-1"/>
          <w:kern w:val="0"/>
          <w:highlight w:val="none"/>
          <w:vertAlign w:val="subscript"/>
          <w14:textFill>
            <w14:solidFill>
              <w14:schemeClr w14:val="tx1"/>
            </w14:solidFill>
          </w14:textFill>
        </w:rPr>
        <w:t>1</w:t>
      </w:r>
      <w:r>
        <w:rPr>
          <w:color w:val="000000" w:themeColor="text1"/>
          <w:spacing w:val="-1"/>
          <w:kern w:val="0"/>
          <w:position w:val="2"/>
          <w:highlight w:val="none"/>
          <w14:textFill>
            <w14:solidFill>
              <w14:schemeClr w14:val="tx1"/>
            </w14:solidFill>
          </w14:textFill>
        </w:rPr>
        <w:t>、q</w:t>
      </w:r>
      <w:r>
        <w:rPr>
          <w:color w:val="000000" w:themeColor="text1"/>
          <w:spacing w:val="-1"/>
          <w:kern w:val="0"/>
          <w:highlight w:val="none"/>
          <w:vertAlign w:val="subscript"/>
          <w14:textFill>
            <w14:solidFill>
              <w14:schemeClr w14:val="tx1"/>
            </w14:solidFill>
          </w14:textFill>
        </w:rPr>
        <w:t>2</w:t>
      </w:r>
      <w:r>
        <w:rPr>
          <w:color w:val="000000" w:themeColor="text1"/>
          <w:spacing w:val="-1"/>
          <w:kern w:val="0"/>
          <w:position w:val="2"/>
          <w:highlight w:val="none"/>
          <w14:textFill>
            <w14:solidFill>
              <w14:schemeClr w14:val="tx1"/>
            </w14:solidFill>
          </w14:textFill>
        </w:rPr>
        <w:t>、…</w:t>
      </w:r>
      <w:r>
        <w:rPr>
          <w:color w:val="000000" w:themeColor="text1"/>
          <w:kern w:val="0"/>
          <w:position w:val="2"/>
          <w:highlight w:val="none"/>
          <w14:textFill>
            <w14:solidFill>
              <w14:schemeClr w14:val="tx1"/>
            </w14:solidFill>
          </w14:textFill>
        </w:rPr>
        <w:t>q</w:t>
      </w:r>
      <w:r>
        <w:rPr>
          <w:color w:val="000000" w:themeColor="text1"/>
          <w:kern w:val="0"/>
          <w:highlight w:val="none"/>
          <w:vertAlign w:val="subscript"/>
          <w14:textFill>
            <w14:solidFill>
              <w14:schemeClr w14:val="tx1"/>
            </w14:solidFill>
          </w14:textFill>
        </w:rPr>
        <w:t>n</w:t>
      </w:r>
      <w:r>
        <w:rPr>
          <w:color w:val="000000" w:themeColor="text1"/>
          <w:kern w:val="0"/>
          <w:position w:val="2"/>
          <w:highlight w:val="none"/>
          <w14:textFill>
            <w14:solidFill>
              <w14:schemeClr w14:val="tx1"/>
            </w14:solidFill>
          </w14:textFill>
        </w:rPr>
        <w:t>----每种危险物质的最大存在总量，t；</w:t>
      </w:r>
    </w:p>
    <w:p w14:paraId="494B3D29">
      <w:pPr>
        <w:widowControl/>
        <w:overflowPunct w:val="0"/>
        <w:topLinePunct/>
        <w:ind w:firstLine="1190" w:firstLineChars="500"/>
        <w:rPr>
          <w:color w:val="000000" w:themeColor="text1"/>
          <w:kern w:val="0"/>
          <w:position w:val="2"/>
          <w:highlight w:val="none"/>
          <w14:textFill>
            <w14:solidFill>
              <w14:schemeClr w14:val="tx1"/>
            </w14:solidFill>
          </w14:textFill>
        </w:rPr>
      </w:pPr>
      <w:r>
        <w:rPr>
          <w:color w:val="000000" w:themeColor="text1"/>
          <w:spacing w:val="-1"/>
          <w:kern w:val="0"/>
          <w:position w:val="2"/>
          <w:highlight w:val="none"/>
          <w14:textFill>
            <w14:solidFill>
              <w14:schemeClr w14:val="tx1"/>
            </w14:solidFill>
          </w14:textFill>
        </w:rPr>
        <w:t>Q</w:t>
      </w:r>
      <w:r>
        <w:rPr>
          <w:color w:val="000000" w:themeColor="text1"/>
          <w:spacing w:val="-1"/>
          <w:kern w:val="0"/>
          <w:highlight w:val="none"/>
          <w:vertAlign w:val="subscript"/>
          <w14:textFill>
            <w14:solidFill>
              <w14:schemeClr w14:val="tx1"/>
            </w14:solidFill>
          </w14:textFill>
        </w:rPr>
        <w:t>1</w:t>
      </w:r>
      <w:r>
        <w:rPr>
          <w:color w:val="000000" w:themeColor="text1"/>
          <w:spacing w:val="-1"/>
          <w:kern w:val="0"/>
          <w:position w:val="2"/>
          <w:highlight w:val="none"/>
          <w14:textFill>
            <w14:solidFill>
              <w14:schemeClr w14:val="tx1"/>
            </w14:solidFill>
          </w14:textFill>
        </w:rPr>
        <w:t>、Q</w:t>
      </w:r>
      <w:r>
        <w:rPr>
          <w:color w:val="000000" w:themeColor="text1"/>
          <w:spacing w:val="-1"/>
          <w:kern w:val="0"/>
          <w:highlight w:val="none"/>
          <w:vertAlign w:val="subscript"/>
          <w14:textFill>
            <w14:solidFill>
              <w14:schemeClr w14:val="tx1"/>
            </w14:solidFill>
          </w14:textFill>
        </w:rPr>
        <w:t>2</w:t>
      </w:r>
      <w:r>
        <w:rPr>
          <w:color w:val="000000" w:themeColor="text1"/>
          <w:spacing w:val="-1"/>
          <w:kern w:val="0"/>
          <w:position w:val="2"/>
          <w:highlight w:val="none"/>
          <w14:textFill>
            <w14:solidFill>
              <w14:schemeClr w14:val="tx1"/>
            </w14:solidFill>
          </w14:textFill>
        </w:rPr>
        <w:t>、…</w:t>
      </w:r>
      <w:r>
        <w:rPr>
          <w:color w:val="000000" w:themeColor="text1"/>
          <w:kern w:val="0"/>
          <w:position w:val="2"/>
          <w:highlight w:val="none"/>
          <w14:textFill>
            <w14:solidFill>
              <w14:schemeClr w14:val="tx1"/>
            </w14:solidFill>
          </w14:textFill>
        </w:rPr>
        <w:t>Q</w:t>
      </w:r>
      <w:r>
        <w:rPr>
          <w:color w:val="000000" w:themeColor="text1"/>
          <w:kern w:val="0"/>
          <w:highlight w:val="none"/>
          <w:vertAlign w:val="subscript"/>
          <w14:textFill>
            <w14:solidFill>
              <w14:schemeClr w14:val="tx1"/>
            </w14:solidFill>
          </w14:textFill>
        </w:rPr>
        <w:t>n</w:t>
      </w:r>
      <w:r>
        <w:rPr>
          <w:color w:val="000000" w:themeColor="text1"/>
          <w:kern w:val="0"/>
          <w:position w:val="2"/>
          <w:highlight w:val="none"/>
          <w14:textFill>
            <w14:solidFill>
              <w14:schemeClr w14:val="tx1"/>
            </w14:solidFill>
          </w14:textFill>
        </w:rPr>
        <w:t>----每种危险物质相对应的临界量，t。</w:t>
      </w:r>
    </w:p>
    <w:p w14:paraId="0397E3CA">
      <w:pPr>
        <w:widowControl/>
        <w:overflowPunct w:val="0"/>
        <w:topLinePunct/>
        <w:ind w:firstLine="1190" w:firstLineChars="500"/>
        <w:rPr>
          <w:color w:val="000000" w:themeColor="text1"/>
          <w:kern w:val="0"/>
          <w:highlight w:val="none"/>
          <w14:textFill>
            <w14:solidFill>
              <w14:schemeClr w14:val="tx1"/>
            </w14:solidFill>
          </w14:textFill>
        </w:rPr>
      </w:pPr>
      <w:r>
        <w:rPr>
          <w:color w:val="000000" w:themeColor="text1"/>
          <w:spacing w:val="-1"/>
          <w:kern w:val="0"/>
          <w:highlight w:val="none"/>
          <w14:textFill>
            <w14:solidFill>
              <w14:schemeClr w14:val="tx1"/>
            </w14:solidFill>
          </w14:textFill>
        </w:rPr>
        <w:t>计算出Q值后，当Q＜1时，该项目环境风险潜势为Ⅰ。当</w:t>
      </w:r>
      <w:r>
        <w:rPr>
          <w:i/>
          <w:color w:val="000000" w:themeColor="text1"/>
          <w:kern w:val="0"/>
          <w:highlight w:val="none"/>
          <w14:textFill>
            <w14:solidFill>
              <w14:schemeClr w14:val="tx1"/>
            </w14:solidFill>
          </w14:textFill>
        </w:rPr>
        <w:t>Q</w:t>
      </w:r>
      <w:r>
        <w:rPr>
          <w:color w:val="000000" w:themeColor="text1"/>
          <w:kern w:val="0"/>
          <w:highlight w:val="none"/>
          <w14:textFill>
            <w14:solidFill>
              <w14:schemeClr w14:val="tx1"/>
            </w14:solidFill>
          </w14:textFill>
        </w:rPr>
        <w:t>≥1时，将</w:t>
      </w:r>
      <w:r>
        <w:rPr>
          <w:i/>
          <w:color w:val="000000" w:themeColor="text1"/>
          <w:kern w:val="0"/>
          <w:highlight w:val="none"/>
          <w14:textFill>
            <w14:solidFill>
              <w14:schemeClr w14:val="tx1"/>
            </w14:solidFill>
          </w14:textFill>
        </w:rPr>
        <w:t>Q</w:t>
      </w:r>
      <w:r>
        <w:rPr>
          <w:color w:val="000000" w:themeColor="text1"/>
          <w:kern w:val="0"/>
          <w:highlight w:val="none"/>
          <w14:textFill>
            <w14:solidFill>
              <w14:schemeClr w14:val="tx1"/>
            </w14:solidFill>
          </w14:textFill>
        </w:rPr>
        <w:t>值划分为</w:t>
      </w:r>
      <w:r>
        <w:rPr>
          <w:color w:val="000000" w:themeColor="text1"/>
          <w:spacing w:val="-120"/>
          <w:kern w:val="0"/>
          <w:highlight w:val="none"/>
          <w14:textFill>
            <w14:solidFill>
              <w14:schemeClr w14:val="tx1"/>
            </w14:solidFill>
          </w14:textFill>
        </w:rPr>
        <w:t>：</w:t>
      </w:r>
      <w:r>
        <w:rPr>
          <w:color w:val="000000" w:themeColor="text1"/>
          <w:kern w:val="0"/>
          <w:highlight w:val="none"/>
          <w14:textFill>
            <w14:solidFill>
              <w14:schemeClr w14:val="tx1"/>
            </w14:solidFill>
          </w14:textFill>
        </w:rPr>
        <w:t>（1）1≤</w:t>
      </w:r>
      <w:r>
        <w:rPr>
          <w:i/>
          <w:color w:val="000000" w:themeColor="text1"/>
          <w:kern w:val="0"/>
          <w:highlight w:val="none"/>
          <w14:textFill>
            <w14:solidFill>
              <w14:schemeClr w14:val="tx1"/>
            </w14:solidFill>
          </w14:textFill>
        </w:rPr>
        <w:t>Q</w:t>
      </w:r>
      <w:r>
        <w:rPr>
          <w:color w:val="000000" w:themeColor="text1"/>
          <w:kern w:val="0"/>
          <w:highlight w:val="none"/>
          <w14:textFill>
            <w14:solidFill>
              <w14:schemeClr w14:val="tx1"/>
            </w14:solidFill>
          </w14:textFill>
        </w:rPr>
        <w:t>＜10</w:t>
      </w:r>
      <w:r>
        <w:rPr>
          <w:color w:val="000000" w:themeColor="text1"/>
          <w:spacing w:val="-120"/>
          <w:kern w:val="0"/>
          <w:highlight w:val="none"/>
          <w14:textFill>
            <w14:solidFill>
              <w14:schemeClr w14:val="tx1"/>
            </w14:solidFill>
          </w14:textFill>
        </w:rPr>
        <w:t>；</w:t>
      </w:r>
      <w:r>
        <w:rPr>
          <w:color w:val="000000" w:themeColor="text1"/>
          <w:kern w:val="0"/>
          <w:highlight w:val="none"/>
          <w14:textFill>
            <w14:solidFill>
              <w14:schemeClr w14:val="tx1"/>
            </w14:solidFill>
          </w14:textFill>
        </w:rPr>
        <w:t>（2）10≤</w:t>
      </w:r>
      <w:r>
        <w:rPr>
          <w:i/>
          <w:color w:val="000000" w:themeColor="text1"/>
          <w:kern w:val="0"/>
          <w:highlight w:val="none"/>
          <w14:textFill>
            <w14:solidFill>
              <w14:schemeClr w14:val="tx1"/>
            </w14:solidFill>
          </w14:textFill>
        </w:rPr>
        <w:t>Q</w:t>
      </w:r>
      <w:r>
        <w:rPr>
          <w:color w:val="000000" w:themeColor="text1"/>
          <w:kern w:val="0"/>
          <w:highlight w:val="none"/>
          <w14:textFill>
            <w14:solidFill>
              <w14:schemeClr w14:val="tx1"/>
            </w14:solidFill>
          </w14:textFill>
        </w:rPr>
        <w:t>＜100</w:t>
      </w:r>
      <w:r>
        <w:rPr>
          <w:color w:val="000000" w:themeColor="text1"/>
          <w:spacing w:val="-120"/>
          <w:kern w:val="0"/>
          <w:highlight w:val="none"/>
          <w14:textFill>
            <w14:solidFill>
              <w14:schemeClr w14:val="tx1"/>
            </w14:solidFill>
          </w14:textFill>
        </w:rPr>
        <w:t>；</w:t>
      </w:r>
      <w:r>
        <w:rPr>
          <w:color w:val="000000" w:themeColor="text1"/>
          <w:kern w:val="0"/>
          <w:highlight w:val="none"/>
          <w14:textFill>
            <w14:solidFill>
              <w14:schemeClr w14:val="tx1"/>
            </w14:solidFill>
          </w14:textFill>
        </w:rPr>
        <w:t>（3）</w:t>
      </w:r>
      <w:r>
        <w:rPr>
          <w:i/>
          <w:color w:val="000000" w:themeColor="text1"/>
          <w:kern w:val="0"/>
          <w:highlight w:val="none"/>
          <w14:textFill>
            <w14:solidFill>
              <w14:schemeClr w14:val="tx1"/>
            </w14:solidFill>
          </w14:textFill>
        </w:rPr>
        <w:t>Q</w:t>
      </w:r>
      <w:r>
        <w:rPr>
          <w:color w:val="000000" w:themeColor="text1"/>
          <w:kern w:val="0"/>
          <w:highlight w:val="none"/>
          <w14:textFill>
            <w14:solidFill>
              <w14:schemeClr w14:val="tx1"/>
            </w14:solidFill>
          </w14:textFill>
        </w:rPr>
        <w:t>≥100。</w:t>
      </w:r>
    </w:p>
    <w:p w14:paraId="0E8C8F19">
      <w:pPr>
        <w:widowControl/>
        <w:overflowPunct w:val="0"/>
        <w:topLinePunct/>
        <w:adjustRightInd w:val="0"/>
        <w:snapToGrid w:val="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针对企业的生产原料、燃料、辅助生产物料等，对照《建设项目环境风险评价技术导则》（HJ169-2018）附录B环境风险物质，本项目危险物质数量与临界量比值情况具体见表5.3-</w:t>
      </w:r>
      <w:r>
        <w:rPr>
          <w:rFonts w:hint="eastAsia"/>
          <w:color w:val="000000" w:themeColor="text1"/>
          <w:highlight w:val="none"/>
          <w:lang w:val="en-US" w:eastAsia="zh-CN"/>
          <w14:textFill>
            <w14:solidFill>
              <w14:schemeClr w14:val="tx1"/>
            </w14:solidFill>
          </w14:textFill>
        </w:rPr>
        <w:t>1，Q=0.0006</w:t>
      </w:r>
      <w:r>
        <w:rPr>
          <w:color w:val="000000" w:themeColor="text1"/>
          <w:kern w:val="0"/>
          <w:highlight w:val="none"/>
          <w14:textFill>
            <w14:solidFill>
              <w14:schemeClr w14:val="tx1"/>
            </w14:solidFill>
          </w14:textFill>
        </w:rPr>
        <w:t>＜1</w:t>
      </w:r>
      <w:r>
        <w:rPr>
          <w:color w:val="000000" w:themeColor="text1"/>
          <w:highlight w:val="none"/>
          <w14:textFill>
            <w14:solidFill>
              <w14:schemeClr w14:val="tx1"/>
            </w14:solidFill>
          </w14:textFill>
        </w:rPr>
        <w:t>。</w:t>
      </w:r>
    </w:p>
    <w:p w14:paraId="51440A0F">
      <w:pPr>
        <w:widowControl/>
        <w:overflowPunct w:val="0"/>
        <w:topLinePunct/>
        <w:adjustRightInd w:val="0"/>
        <w:snapToGrid w:val="0"/>
        <w:ind w:firstLine="48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根据《建设项目环境风险评价技术导则》（HJ169-2018），建设项目环境风险潜势划分为I、II、II、IV/IV</w:t>
      </w:r>
      <w:r>
        <w:rPr>
          <w:color w:val="000000" w:themeColor="text1"/>
          <w:kern w:val="0"/>
          <w:highlight w:val="none"/>
          <w:vertAlign w:val="superscript"/>
          <w14:textFill>
            <w14:solidFill>
              <w14:schemeClr w14:val="tx1"/>
            </w14:solidFill>
          </w14:textFill>
        </w:rPr>
        <w:t>+</w:t>
      </w:r>
      <w:r>
        <w:rPr>
          <w:color w:val="000000" w:themeColor="text1"/>
          <w:kern w:val="0"/>
          <w:highlight w:val="none"/>
          <w14:textFill>
            <w14:solidFill>
              <w14:schemeClr w14:val="tx1"/>
            </w14:solidFill>
          </w14:textFill>
        </w:rPr>
        <w:t>级。</w:t>
      </w:r>
    </w:p>
    <w:p w14:paraId="0B468E22">
      <w:pPr>
        <w:widowControl/>
        <w:overflowPunct w:val="0"/>
        <w:topLinePunct/>
        <w:adjustRightInd w:val="0"/>
        <w:snapToGrid w:val="0"/>
        <w:ind w:firstLine="48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根据建设项目涉及的物质和工艺系统的危险性及其所在地的环境敏感程度，结合事故情形下环境影响途径，对建设项目潜在环境危害程度进行概化分析，按照表5.3-</w:t>
      </w:r>
      <w:r>
        <w:rPr>
          <w:rFonts w:hint="eastAsia"/>
          <w:color w:val="000000" w:themeColor="text1"/>
          <w:kern w:val="0"/>
          <w:highlight w:val="none"/>
          <w:lang w:val="en-US" w:eastAsia="zh-CN"/>
          <w14:textFill>
            <w14:solidFill>
              <w14:schemeClr w14:val="tx1"/>
            </w14:solidFill>
          </w14:textFill>
        </w:rPr>
        <w:t>4</w:t>
      </w:r>
      <w:r>
        <w:rPr>
          <w:color w:val="000000" w:themeColor="text1"/>
          <w:kern w:val="0"/>
          <w:highlight w:val="none"/>
          <w14:textFill>
            <w14:solidFill>
              <w14:schemeClr w14:val="tx1"/>
            </w14:solidFill>
          </w14:textFill>
        </w:rPr>
        <w:t>确定环境风险潜势。</w:t>
      </w:r>
    </w:p>
    <w:p w14:paraId="008AD3CE">
      <w:pPr>
        <w:tabs>
          <w:tab w:val="left" w:pos="0"/>
          <w:tab w:val="left" w:pos="993"/>
        </w:tabs>
        <w:adjustRightInd w:val="0"/>
        <w:snapToGrid w:val="0"/>
        <w:ind w:firstLine="0" w:firstLineChars="0"/>
        <w:jc w:val="center"/>
        <w:rPr>
          <w:b/>
          <w:color w:val="000000" w:themeColor="text1"/>
          <w:szCs w:val="22"/>
          <w:highlight w:val="none"/>
          <w14:textFill>
            <w14:solidFill>
              <w14:schemeClr w14:val="tx1"/>
            </w14:solidFill>
          </w14:textFill>
        </w:rPr>
      </w:pPr>
      <w:r>
        <w:rPr>
          <w:b/>
          <w:color w:val="000000" w:themeColor="text1"/>
          <w:szCs w:val="22"/>
          <w:highlight w:val="none"/>
          <w14:textFill>
            <w14:solidFill>
              <w14:schemeClr w14:val="tx1"/>
            </w14:solidFill>
          </w14:textFill>
        </w:rPr>
        <w:t>表5.3-</w:t>
      </w:r>
      <w:r>
        <w:rPr>
          <w:rFonts w:hint="eastAsia"/>
          <w:b/>
          <w:color w:val="000000" w:themeColor="text1"/>
          <w:szCs w:val="22"/>
          <w:highlight w:val="none"/>
          <w:lang w:val="en-US" w:eastAsia="zh-CN"/>
          <w14:textFill>
            <w14:solidFill>
              <w14:schemeClr w14:val="tx1"/>
            </w14:solidFill>
          </w14:textFill>
        </w:rPr>
        <w:t>4</w:t>
      </w:r>
      <w:r>
        <w:rPr>
          <w:b/>
          <w:color w:val="000000" w:themeColor="text1"/>
          <w:szCs w:val="22"/>
          <w:highlight w:val="none"/>
          <w14:textFill>
            <w14:solidFill>
              <w14:schemeClr w14:val="tx1"/>
            </w14:solidFill>
          </w14:textFill>
        </w:rPr>
        <w:t xml:space="preserve">    建设项目环境风险潜势划分</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81"/>
        <w:gridCol w:w="1561"/>
        <w:gridCol w:w="1558"/>
        <w:gridCol w:w="1562"/>
        <w:gridCol w:w="1560"/>
      </w:tblGrid>
      <w:tr w14:paraId="5865C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1" w:type="dxa"/>
            <w:vMerge w:val="restart"/>
            <w:tcBorders>
              <w:top w:val="single" w:color="auto" w:sz="12" w:space="0"/>
              <w:left w:val="single" w:color="auto" w:sz="12" w:space="0"/>
              <w:bottom w:val="single" w:color="auto" w:sz="4" w:space="0"/>
              <w:right w:val="single" w:color="auto" w:sz="4" w:space="0"/>
            </w:tcBorders>
            <w:noWrap w:val="0"/>
            <w:vAlign w:val="center"/>
          </w:tcPr>
          <w:p w14:paraId="7DA20109">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环境敏感程度（E）</w:t>
            </w:r>
          </w:p>
        </w:tc>
        <w:tc>
          <w:tcPr>
            <w:tcW w:w="6241" w:type="dxa"/>
            <w:gridSpan w:val="4"/>
            <w:tcBorders>
              <w:top w:val="single" w:color="auto" w:sz="12" w:space="0"/>
              <w:left w:val="single" w:color="auto" w:sz="4" w:space="0"/>
              <w:bottom w:val="single" w:color="auto" w:sz="4" w:space="0"/>
              <w:right w:val="single" w:color="auto" w:sz="12" w:space="0"/>
            </w:tcBorders>
            <w:noWrap w:val="0"/>
            <w:vAlign w:val="center"/>
          </w:tcPr>
          <w:p w14:paraId="29CD1C7E">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危险物质及工艺系统危险性（P）</w:t>
            </w:r>
          </w:p>
        </w:tc>
      </w:tr>
      <w:tr w14:paraId="614B0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1" w:type="dxa"/>
            <w:vMerge w:val="continue"/>
            <w:tcBorders>
              <w:top w:val="single" w:color="auto" w:sz="12" w:space="0"/>
              <w:left w:val="single" w:color="auto" w:sz="12" w:space="0"/>
              <w:bottom w:val="single" w:color="auto" w:sz="4" w:space="0"/>
              <w:right w:val="single" w:color="auto" w:sz="4" w:space="0"/>
            </w:tcBorders>
            <w:noWrap w:val="0"/>
            <w:vAlign w:val="center"/>
          </w:tcPr>
          <w:p w14:paraId="25169040">
            <w:pPr>
              <w:widowControl/>
              <w:spacing w:line="360" w:lineRule="exact"/>
              <w:ind w:firstLine="0" w:firstLineChars="0"/>
              <w:jc w:val="left"/>
              <w:rPr>
                <w:b/>
                <w:bCs/>
                <w:color w:val="000000" w:themeColor="text1"/>
                <w:sz w:val="21"/>
                <w:szCs w:val="21"/>
                <w:highlight w:val="none"/>
                <w14:textFill>
                  <w14:solidFill>
                    <w14:schemeClr w14:val="tx1"/>
                  </w14:solidFill>
                </w14:textFill>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14:paraId="1C4B304C">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极高危害（P1）</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1822DBD9">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高度危害（P2）</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055F12E8">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中度危害（P3）</w:t>
            </w:r>
          </w:p>
        </w:tc>
        <w:tc>
          <w:tcPr>
            <w:tcW w:w="1560" w:type="dxa"/>
            <w:tcBorders>
              <w:top w:val="single" w:color="auto" w:sz="4" w:space="0"/>
              <w:left w:val="single" w:color="auto" w:sz="4" w:space="0"/>
              <w:bottom w:val="single" w:color="auto" w:sz="4" w:space="0"/>
              <w:right w:val="single" w:color="auto" w:sz="12" w:space="0"/>
            </w:tcBorders>
            <w:noWrap w:val="0"/>
            <w:vAlign w:val="center"/>
          </w:tcPr>
          <w:p w14:paraId="58863CD4">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轻度危害（P4）</w:t>
            </w:r>
          </w:p>
        </w:tc>
      </w:tr>
      <w:tr w14:paraId="2AEB7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1" w:type="dxa"/>
            <w:tcBorders>
              <w:top w:val="single" w:color="auto" w:sz="4" w:space="0"/>
              <w:left w:val="single" w:color="auto" w:sz="12" w:space="0"/>
              <w:bottom w:val="single" w:color="auto" w:sz="4" w:space="0"/>
              <w:right w:val="single" w:color="auto" w:sz="4" w:space="0"/>
            </w:tcBorders>
            <w:noWrap w:val="0"/>
            <w:vAlign w:val="center"/>
          </w:tcPr>
          <w:p w14:paraId="035D46A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环境高度敏感区（E1）</w:t>
            </w:r>
          </w:p>
        </w:tc>
        <w:tc>
          <w:tcPr>
            <w:tcW w:w="1561" w:type="dxa"/>
            <w:tcBorders>
              <w:top w:val="single" w:color="auto" w:sz="4" w:space="0"/>
              <w:left w:val="single" w:color="auto" w:sz="4" w:space="0"/>
              <w:bottom w:val="single" w:color="auto" w:sz="4" w:space="0"/>
              <w:right w:val="single" w:color="auto" w:sz="4" w:space="0"/>
            </w:tcBorders>
            <w:noWrap w:val="0"/>
            <w:vAlign w:val="center"/>
          </w:tcPr>
          <w:p w14:paraId="0E8C498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IV</w:t>
            </w:r>
            <w:r>
              <w:rPr>
                <w:color w:val="000000" w:themeColor="text1"/>
                <w:sz w:val="21"/>
                <w:szCs w:val="21"/>
                <w:highlight w:val="none"/>
                <w:vertAlign w:val="superscript"/>
                <w14:textFill>
                  <w14:solidFill>
                    <w14:schemeClr w14:val="tx1"/>
                  </w14:solidFill>
                </w14:textFill>
              </w:rPr>
              <w:t>+</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7E482C7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IV</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7677DEB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III</w:t>
            </w:r>
          </w:p>
        </w:tc>
        <w:tc>
          <w:tcPr>
            <w:tcW w:w="1560" w:type="dxa"/>
            <w:tcBorders>
              <w:top w:val="single" w:color="auto" w:sz="4" w:space="0"/>
              <w:left w:val="single" w:color="auto" w:sz="4" w:space="0"/>
              <w:bottom w:val="single" w:color="auto" w:sz="4" w:space="0"/>
              <w:right w:val="single" w:color="auto" w:sz="12" w:space="0"/>
            </w:tcBorders>
            <w:noWrap w:val="0"/>
            <w:vAlign w:val="center"/>
          </w:tcPr>
          <w:p w14:paraId="3A5F0687">
            <w:pPr>
              <w:spacing w:line="360" w:lineRule="exact"/>
              <w:ind w:firstLine="0" w:firstLineChars="0"/>
              <w:jc w:val="center"/>
              <w:rPr>
                <w:b/>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III</w:t>
            </w:r>
          </w:p>
        </w:tc>
      </w:tr>
      <w:tr w14:paraId="20DED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1" w:type="dxa"/>
            <w:tcBorders>
              <w:top w:val="single" w:color="auto" w:sz="4" w:space="0"/>
              <w:left w:val="single" w:color="auto" w:sz="12" w:space="0"/>
              <w:bottom w:val="single" w:color="auto" w:sz="4" w:space="0"/>
              <w:right w:val="single" w:color="auto" w:sz="4" w:space="0"/>
            </w:tcBorders>
            <w:noWrap w:val="0"/>
            <w:vAlign w:val="center"/>
          </w:tcPr>
          <w:p w14:paraId="2FDB61B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环境中度敏感区（E2）</w:t>
            </w:r>
          </w:p>
        </w:tc>
        <w:tc>
          <w:tcPr>
            <w:tcW w:w="1561" w:type="dxa"/>
            <w:tcBorders>
              <w:top w:val="single" w:color="auto" w:sz="4" w:space="0"/>
              <w:left w:val="single" w:color="auto" w:sz="4" w:space="0"/>
              <w:bottom w:val="single" w:color="auto" w:sz="4" w:space="0"/>
              <w:right w:val="single" w:color="auto" w:sz="4" w:space="0"/>
            </w:tcBorders>
            <w:noWrap w:val="0"/>
            <w:vAlign w:val="center"/>
          </w:tcPr>
          <w:p w14:paraId="05A42CE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IV</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09A79CE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III</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4DC2546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III</w:t>
            </w:r>
          </w:p>
        </w:tc>
        <w:tc>
          <w:tcPr>
            <w:tcW w:w="1560" w:type="dxa"/>
            <w:tcBorders>
              <w:top w:val="single" w:color="auto" w:sz="4" w:space="0"/>
              <w:left w:val="single" w:color="auto" w:sz="4" w:space="0"/>
              <w:bottom w:val="single" w:color="auto" w:sz="4" w:space="0"/>
              <w:right w:val="single" w:color="auto" w:sz="12" w:space="0"/>
            </w:tcBorders>
            <w:noWrap w:val="0"/>
            <w:vAlign w:val="center"/>
          </w:tcPr>
          <w:p w14:paraId="5A4B45C9">
            <w:pPr>
              <w:spacing w:line="360" w:lineRule="exact"/>
              <w:ind w:firstLine="0" w:firstLineChars="0"/>
              <w:jc w:val="center"/>
              <w:rPr>
                <w:b/>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II</w:t>
            </w:r>
          </w:p>
        </w:tc>
      </w:tr>
      <w:tr w14:paraId="435DC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1" w:type="dxa"/>
            <w:tcBorders>
              <w:top w:val="single" w:color="auto" w:sz="4" w:space="0"/>
              <w:left w:val="single" w:color="auto" w:sz="12" w:space="0"/>
              <w:bottom w:val="single" w:color="auto" w:sz="4" w:space="0"/>
              <w:right w:val="single" w:color="auto" w:sz="4" w:space="0"/>
            </w:tcBorders>
            <w:noWrap w:val="0"/>
            <w:vAlign w:val="center"/>
          </w:tcPr>
          <w:p w14:paraId="45617CE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环境低度敏感区（E3）</w:t>
            </w:r>
          </w:p>
        </w:tc>
        <w:tc>
          <w:tcPr>
            <w:tcW w:w="1561" w:type="dxa"/>
            <w:tcBorders>
              <w:top w:val="single" w:color="auto" w:sz="4" w:space="0"/>
              <w:left w:val="single" w:color="auto" w:sz="4" w:space="0"/>
              <w:bottom w:val="single" w:color="auto" w:sz="4" w:space="0"/>
              <w:right w:val="single" w:color="auto" w:sz="4" w:space="0"/>
            </w:tcBorders>
            <w:noWrap w:val="0"/>
            <w:vAlign w:val="center"/>
          </w:tcPr>
          <w:p w14:paraId="53EE16F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III</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6099099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III</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1FCEF9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II</w:t>
            </w:r>
          </w:p>
        </w:tc>
        <w:tc>
          <w:tcPr>
            <w:tcW w:w="1560" w:type="dxa"/>
            <w:tcBorders>
              <w:top w:val="single" w:color="auto" w:sz="4" w:space="0"/>
              <w:left w:val="single" w:color="auto" w:sz="4" w:space="0"/>
              <w:bottom w:val="single" w:color="auto" w:sz="4" w:space="0"/>
              <w:right w:val="single" w:color="auto" w:sz="12" w:space="0"/>
            </w:tcBorders>
            <w:noWrap w:val="0"/>
            <w:vAlign w:val="center"/>
          </w:tcPr>
          <w:p w14:paraId="0909A263">
            <w:pPr>
              <w:spacing w:line="360" w:lineRule="exact"/>
              <w:ind w:firstLine="0" w:firstLineChars="0"/>
              <w:jc w:val="center"/>
              <w:rPr>
                <w:b/>
                <w:color w:val="000000" w:themeColor="text1"/>
                <w:sz w:val="21"/>
                <w:szCs w:val="21"/>
                <w:highlight w:val="none"/>
                <w14:textFill>
                  <w14:solidFill>
                    <w14:schemeClr w14:val="tx1"/>
                  </w14:solidFill>
                </w14:textFill>
              </w:rPr>
            </w:pPr>
            <w:r>
              <w:rPr>
                <w:bCs/>
                <w:color w:val="000000" w:themeColor="text1"/>
                <w:sz w:val="21"/>
                <w:szCs w:val="21"/>
                <w:highlight w:val="none"/>
                <w14:textFill>
                  <w14:solidFill>
                    <w14:schemeClr w14:val="tx1"/>
                  </w14:solidFill>
                </w14:textFill>
              </w:rPr>
              <w:t>I</w:t>
            </w:r>
          </w:p>
        </w:tc>
      </w:tr>
      <w:tr w14:paraId="27EBF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2" w:type="dxa"/>
            <w:gridSpan w:val="5"/>
            <w:tcBorders>
              <w:top w:val="single" w:color="auto" w:sz="4" w:space="0"/>
              <w:left w:val="single" w:color="auto" w:sz="12" w:space="0"/>
              <w:bottom w:val="single" w:color="auto" w:sz="12" w:space="0"/>
              <w:right w:val="single" w:color="auto" w:sz="12" w:space="0"/>
            </w:tcBorders>
            <w:noWrap w:val="0"/>
            <w:vAlign w:val="center"/>
          </w:tcPr>
          <w:p w14:paraId="1A7F95B0">
            <w:pPr>
              <w:spacing w:line="360" w:lineRule="exact"/>
              <w:ind w:firstLine="0" w:firstLineChars="0"/>
              <w:rPr>
                <w:b/>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注：IV</w:t>
            </w:r>
            <w:r>
              <w:rPr>
                <w:color w:val="000000" w:themeColor="text1"/>
                <w:sz w:val="21"/>
                <w:szCs w:val="21"/>
                <w:highlight w:val="none"/>
                <w:vertAlign w:val="superscript"/>
                <w14:textFill>
                  <w14:solidFill>
                    <w14:schemeClr w14:val="tx1"/>
                  </w14:solidFill>
                </w14:textFill>
              </w:rPr>
              <w:t xml:space="preserve">+ </w:t>
            </w:r>
            <w:r>
              <w:rPr>
                <w:color w:val="000000" w:themeColor="text1"/>
                <w:sz w:val="21"/>
                <w:szCs w:val="21"/>
                <w:highlight w:val="none"/>
                <w14:textFill>
                  <w14:solidFill>
                    <w14:schemeClr w14:val="tx1"/>
                  </w14:solidFill>
                </w14:textFill>
              </w:rPr>
              <w:t>为极高环境风险</w:t>
            </w:r>
          </w:p>
        </w:tc>
      </w:tr>
    </w:tbl>
    <w:p w14:paraId="2AB0749F">
      <w:pPr>
        <w:widowControl/>
        <w:overflowPunct w:val="0"/>
        <w:topLinePunct/>
        <w:adjustRightInd w:val="0"/>
        <w:snapToGrid w:val="0"/>
        <w:ind w:firstLine="480"/>
        <w:rPr>
          <w:color w:val="000000" w:themeColor="text1"/>
          <w:highlight w:val="none"/>
          <w14:textFill>
            <w14:solidFill>
              <w14:schemeClr w14:val="tx1"/>
            </w14:solidFill>
          </w14:textFill>
        </w:rPr>
      </w:pPr>
      <w:r>
        <w:rPr>
          <w:rFonts w:hint="eastAsia"/>
          <w:color w:val="000000" w:themeColor="text1"/>
          <w:lang w:val="en-US" w:eastAsia="zh-CN"/>
          <w14:textFill>
            <w14:solidFill>
              <w14:schemeClr w14:val="tx1"/>
            </w14:solidFill>
          </w14:textFill>
        </w:rPr>
        <w:t>当Q＜1时，</w:t>
      </w:r>
      <w:r>
        <w:rPr>
          <w:rFonts w:hint="eastAsia"/>
          <w:color w:val="000000" w:themeColor="text1"/>
          <w:sz w:val="24"/>
          <w14:textFill>
            <w14:solidFill>
              <w14:schemeClr w14:val="tx1"/>
            </w14:solidFill>
          </w14:textFill>
        </w:rPr>
        <w:t>本项目</w:t>
      </w:r>
      <w:r>
        <w:rPr>
          <w:rFonts w:hint="eastAsia"/>
          <w:color w:val="000000" w:themeColor="text1"/>
          <w:lang w:val="en-US" w:eastAsia="zh-CN"/>
          <w14:textFill>
            <w14:solidFill>
              <w14:schemeClr w14:val="tx1"/>
            </w14:solidFill>
          </w14:textFill>
        </w:rPr>
        <w:t>环境风险潜势直接判定为</w:t>
      </w:r>
      <w:r>
        <w:rPr>
          <w:color w:val="000000" w:themeColor="text1"/>
          <w:sz w:val="24"/>
          <w14:textFill>
            <w14:solidFill>
              <w14:schemeClr w14:val="tx1"/>
            </w14:solidFill>
          </w14:textFill>
        </w:rPr>
        <w:t>Ⅰ</w:t>
      </w:r>
      <w:r>
        <w:rPr>
          <w:rFonts w:hint="eastAsia"/>
          <w:color w:val="000000" w:themeColor="text1"/>
          <w14:textFill>
            <w14:solidFill>
              <w14:schemeClr w14:val="tx1"/>
            </w14:solidFill>
          </w14:textFill>
        </w:rPr>
        <w:t>。</w:t>
      </w:r>
    </w:p>
    <w:p w14:paraId="43506328">
      <w:pPr>
        <w:widowControl/>
        <w:overflowPunct w:val="0"/>
        <w:topLinePunct/>
        <w:adjustRightInd w:val="0"/>
        <w:snapToGrid w:val="0"/>
        <w:ind w:firstLine="480"/>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2</w:t>
      </w:r>
      <w:r>
        <w:rPr>
          <w:rFonts w:hint="eastAsia"/>
          <w:color w:val="000000" w:themeColor="text1"/>
          <w:kern w:val="0"/>
          <w:highlight w:val="none"/>
          <w:lang w:eastAsia="zh-CN"/>
          <w14:textFill>
            <w14:solidFill>
              <w14:schemeClr w14:val="tx1"/>
            </w14:solidFill>
          </w14:textFill>
        </w:rPr>
        <w:t>）环境风险评价等级的确定</w:t>
      </w:r>
    </w:p>
    <w:p w14:paraId="5B4A70E3">
      <w:pPr>
        <w:widowControl/>
        <w:overflowPunct w:val="0"/>
        <w:topLinePunct/>
        <w:adjustRightInd w:val="0"/>
        <w:snapToGrid w:val="0"/>
        <w:ind w:firstLine="480"/>
        <w:rPr>
          <w:rFonts w:hint="eastAsia"/>
          <w:i w:val="0"/>
          <w:iCs w:val="0"/>
          <w:color w:val="000000" w:themeColor="text1"/>
          <w:sz w:val="24"/>
          <w:szCs w:val="24"/>
          <w:highlight w:val="none"/>
          <w:lang w:eastAsia="zh-CN"/>
          <w14:textFill>
            <w14:solidFill>
              <w14:schemeClr w14:val="tx1"/>
            </w14:solidFill>
          </w14:textFill>
        </w:rPr>
      </w:pPr>
      <w:r>
        <w:rPr>
          <w:rFonts w:hint="eastAsia"/>
          <w:i w:val="0"/>
          <w:iCs w:val="0"/>
          <w:color w:val="000000" w:themeColor="text1"/>
          <w:sz w:val="24"/>
          <w:szCs w:val="24"/>
          <w:highlight w:val="none"/>
          <w:lang w:eastAsia="zh-CN"/>
          <w14:textFill>
            <w14:solidFill>
              <w14:schemeClr w14:val="tx1"/>
            </w14:solidFill>
          </w14:textFill>
        </w:rPr>
        <w:t>环境风险评价工作等级划分为一级、二级、三级。根据建设项目涉及的物质及工艺系统危险性和所在地的环境敏感性确定环境风险潜势，按照表1确定评价工作等级。风险潜势为Ⅳ及以上，进行一级评价；风险潜势为Ⅲ，进行二级评价；风险潜势为Ⅱ，进行三级评价；风险潜势为Ⅰ，可开展简单分析。</w:t>
      </w:r>
    </w:p>
    <w:p w14:paraId="76F8013C">
      <w:pPr>
        <w:widowControl/>
        <w:overflowPunct w:val="0"/>
        <w:topLinePunct/>
        <w:adjustRightInd w:val="0"/>
        <w:snapToGrid w:val="0"/>
        <w:ind w:firstLine="480"/>
        <w:rPr>
          <w:rFonts w:hint="eastAsia"/>
          <w:i w:val="0"/>
          <w:iCs w:val="0"/>
          <w:color w:val="000000" w:themeColor="text1"/>
          <w:sz w:val="24"/>
          <w:szCs w:val="24"/>
          <w:highlight w:val="none"/>
          <w:lang w:eastAsia="zh-CN"/>
          <w14:textFill>
            <w14:solidFill>
              <w14:schemeClr w14:val="tx1"/>
            </w14:solidFill>
          </w14:textFill>
        </w:rPr>
      </w:pPr>
    </w:p>
    <w:p w14:paraId="68A66454">
      <w:pPr>
        <w:widowControl/>
        <w:overflowPunct w:val="0"/>
        <w:topLinePunct/>
        <w:adjustRightInd w:val="0"/>
        <w:snapToGrid w:val="0"/>
        <w:ind w:firstLine="480"/>
        <w:rPr>
          <w:rFonts w:hint="eastAsia"/>
          <w:i w:val="0"/>
          <w:iCs w:val="0"/>
          <w:color w:val="000000" w:themeColor="text1"/>
          <w:sz w:val="24"/>
          <w:szCs w:val="24"/>
          <w:highlight w:val="none"/>
          <w:lang w:eastAsia="zh-CN"/>
          <w14:textFill>
            <w14:solidFill>
              <w14:schemeClr w14:val="tx1"/>
            </w14:solidFill>
          </w14:textFill>
        </w:rPr>
      </w:pPr>
    </w:p>
    <w:p w14:paraId="3852C03B">
      <w:pPr>
        <w:widowControl/>
        <w:overflowPunct w:val="0"/>
        <w:topLinePunct/>
        <w:adjustRightInd w:val="0"/>
        <w:snapToGrid w:val="0"/>
        <w:ind w:firstLine="480"/>
        <w:rPr>
          <w:rFonts w:hint="eastAsia"/>
          <w:i w:val="0"/>
          <w:iCs w:val="0"/>
          <w:color w:val="000000" w:themeColor="text1"/>
          <w:sz w:val="24"/>
          <w:szCs w:val="24"/>
          <w:highlight w:val="none"/>
          <w:lang w:eastAsia="zh-CN"/>
          <w14:textFill>
            <w14:solidFill>
              <w14:schemeClr w14:val="tx1"/>
            </w14:solidFill>
          </w14:textFill>
        </w:rPr>
      </w:pPr>
    </w:p>
    <w:p w14:paraId="397DC5FC">
      <w:pPr>
        <w:tabs>
          <w:tab w:val="left" w:pos="0"/>
          <w:tab w:val="left" w:pos="993"/>
        </w:tabs>
        <w:adjustRightInd w:val="0"/>
        <w:snapToGrid w:val="0"/>
        <w:ind w:firstLine="0" w:firstLineChars="0"/>
        <w:jc w:val="center"/>
        <w:rPr>
          <w:b/>
          <w:color w:val="000000" w:themeColor="text1"/>
          <w:szCs w:val="22"/>
          <w:highlight w:val="none"/>
          <w14:textFill>
            <w14:solidFill>
              <w14:schemeClr w14:val="tx1"/>
            </w14:solidFill>
          </w14:textFill>
        </w:rPr>
      </w:pPr>
      <w:r>
        <w:rPr>
          <w:b/>
          <w:color w:val="000000" w:themeColor="text1"/>
          <w:szCs w:val="22"/>
          <w:highlight w:val="none"/>
          <w14:textFill>
            <w14:solidFill>
              <w14:schemeClr w14:val="tx1"/>
            </w14:solidFill>
          </w14:textFill>
        </w:rPr>
        <w:t>表5.3-</w:t>
      </w:r>
      <w:r>
        <w:rPr>
          <w:rFonts w:hint="eastAsia"/>
          <w:b/>
          <w:color w:val="000000" w:themeColor="text1"/>
          <w:szCs w:val="22"/>
          <w:highlight w:val="none"/>
          <w:lang w:val="en-US" w:eastAsia="zh-CN"/>
          <w14:textFill>
            <w14:solidFill>
              <w14:schemeClr w14:val="tx1"/>
            </w14:solidFill>
          </w14:textFill>
        </w:rPr>
        <w:t>5</w:t>
      </w:r>
      <w:r>
        <w:rPr>
          <w:b/>
          <w:color w:val="000000" w:themeColor="text1"/>
          <w:szCs w:val="22"/>
          <w:highlight w:val="none"/>
          <w14:textFill>
            <w14:solidFill>
              <w14:schemeClr w14:val="tx1"/>
            </w14:solidFill>
          </w14:textFill>
        </w:rPr>
        <w:t xml:space="preserve">    </w:t>
      </w:r>
      <w:r>
        <w:rPr>
          <w:b/>
          <w:bCs/>
          <w:color w:val="000000" w:themeColor="text1"/>
          <w:sz w:val="24"/>
          <w14:textFill>
            <w14:solidFill>
              <w14:schemeClr w14:val="tx1"/>
            </w14:solidFill>
          </w14:textFill>
        </w:rPr>
        <w:t>风险评价等级划分表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4"/>
        <w:gridCol w:w="1702"/>
        <w:gridCol w:w="1702"/>
        <w:gridCol w:w="1709"/>
      </w:tblGrid>
      <w:tr w14:paraId="7FD8E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noWrap w:val="0"/>
            <w:vAlign w:val="center"/>
          </w:tcPr>
          <w:p w14:paraId="746553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环境风险潜势</w:t>
            </w:r>
          </w:p>
        </w:tc>
        <w:tc>
          <w:tcPr>
            <w:tcW w:w="1000" w:type="pct"/>
            <w:noWrap w:val="0"/>
            <w:vAlign w:val="center"/>
          </w:tcPr>
          <w:p w14:paraId="630F73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Ⅳ</w:t>
            </w:r>
          </w:p>
        </w:tc>
        <w:tc>
          <w:tcPr>
            <w:tcW w:w="999" w:type="pct"/>
            <w:noWrap w:val="0"/>
            <w:vAlign w:val="center"/>
          </w:tcPr>
          <w:p w14:paraId="3B7904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Ⅲ</w:t>
            </w:r>
          </w:p>
        </w:tc>
        <w:tc>
          <w:tcPr>
            <w:tcW w:w="999" w:type="pct"/>
            <w:noWrap w:val="0"/>
            <w:vAlign w:val="center"/>
          </w:tcPr>
          <w:p w14:paraId="465DE8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Ⅱ</w:t>
            </w:r>
          </w:p>
        </w:tc>
        <w:tc>
          <w:tcPr>
            <w:tcW w:w="1001" w:type="pct"/>
            <w:noWrap w:val="0"/>
            <w:vAlign w:val="center"/>
          </w:tcPr>
          <w:p w14:paraId="040F9D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Ⅰ</w:t>
            </w:r>
          </w:p>
        </w:tc>
      </w:tr>
      <w:tr w14:paraId="12D54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noWrap w:val="0"/>
            <w:vAlign w:val="center"/>
          </w:tcPr>
          <w:p w14:paraId="272848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环境评价等级</w:t>
            </w:r>
          </w:p>
        </w:tc>
        <w:tc>
          <w:tcPr>
            <w:tcW w:w="1000" w:type="pct"/>
            <w:noWrap w:val="0"/>
            <w:vAlign w:val="center"/>
          </w:tcPr>
          <w:p w14:paraId="522C99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w:t>
            </w:r>
          </w:p>
        </w:tc>
        <w:tc>
          <w:tcPr>
            <w:tcW w:w="999" w:type="pct"/>
            <w:noWrap w:val="0"/>
            <w:vAlign w:val="center"/>
          </w:tcPr>
          <w:p w14:paraId="71187C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w:t>
            </w:r>
          </w:p>
        </w:tc>
        <w:tc>
          <w:tcPr>
            <w:tcW w:w="999" w:type="pct"/>
            <w:noWrap w:val="0"/>
            <w:vAlign w:val="center"/>
          </w:tcPr>
          <w:p w14:paraId="2D2BFC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w:t>
            </w:r>
          </w:p>
        </w:tc>
        <w:tc>
          <w:tcPr>
            <w:tcW w:w="1001" w:type="pct"/>
            <w:noWrap w:val="0"/>
            <w:vAlign w:val="center"/>
          </w:tcPr>
          <w:p w14:paraId="47B17C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简单分析</w:t>
            </w:r>
            <w:r>
              <w:rPr>
                <w:rFonts w:hint="default" w:ascii="Times New Roman" w:hAnsi="Times New Roman" w:cs="Times New Roman"/>
                <w:color w:val="000000" w:themeColor="text1"/>
                <w:sz w:val="21"/>
                <w:szCs w:val="21"/>
                <w:vertAlign w:val="superscript"/>
                <w14:textFill>
                  <w14:solidFill>
                    <w14:schemeClr w14:val="tx1"/>
                  </w14:solidFill>
                </w14:textFill>
              </w:rPr>
              <w:t>a</w:t>
            </w:r>
          </w:p>
        </w:tc>
      </w:tr>
      <w:tr w14:paraId="27DE7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14:paraId="2D7F61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vertAlign w:val="super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是相对于详解评价工作内容而言，在描述危险物质、环境</w:t>
            </w:r>
            <w:r>
              <w:rPr>
                <w:rFonts w:hint="eastAsia" w:ascii="Times New Roman" w:hAnsi="Times New Roman" w:cs="Times New Roman"/>
                <w:color w:val="000000" w:themeColor="text1"/>
                <w:sz w:val="21"/>
                <w:szCs w:val="21"/>
                <w14:textFill>
                  <w14:solidFill>
                    <w14:schemeClr w14:val="tx1"/>
                  </w14:solidFill>
                </w14:textFill>
              </w:rPr>
              <w:t>影响</w:t>
            </w:r>
            <w:r>
              <w:rPr>
                <w:rFonts w:hint="default" w:ascii="Times New Roman" w:hAnsi="Times New Roman" w:cs="Times New Roman"/>
                <w:color w:val="000000" w:themeColor="text1"/>
                <w:sz w:val="21"/>
                <w:szCs w:val="21"/>
                <w14:textFill>
                  <w14:solidFill>
                    <w14:schemeClr w14:val="tx1"/>
                  </w14:solidFill>
                </w14:textFill>
              </w:rPr>
              <w:t>途径、环境危害后果、风险防范措施等方面给出定性的说明</w:t>
            </w:r>
          </w:p>
        </w:tc>
      </w:tr>
    </w:tbl>
    <w:p w14:paraId="5522954A">
      <w:pPr>
        <w:widowControl/>
        <w:overflowPunct w:val="0"/>
        <w:topLinePunct/>
        <w:adjustRightInd w:val="0"/>
        <w:snapToGrid w:val="0"/>
        <w:ind w:firstLine="480"/>
        <w:rPr>
          <w:rFonts w:hint="eastAsia"/>
          <w:i w:val="0"/>
          <w:iCs w:val="0"/>
          <w:color w:val="000000" w:themeColor="text1"/>
          <w:sz w:val="24"/>
          <w:szCs w:val="24"/>
          <w:highlight w:val="none"/>
          <w:lang w:eastAsia="zh-CN"/>
          <w14:textFill>
            <w14:solidFill>
              <w14:schemeClr w14:val="tx1"/>
            </w14:solidFill>
          </w14:textFill>
        </w:rPr>
      </w:pPr>
      <w:r>
        <w:rPr>
          <w:rFonts w:hint="eastAsia"/>
          <w:color w:val="000000" w:themeColor="text1"/>
          <w:sz w:val="24"/>
          <w14:textFill>
            <w14:solidFill>
              <w14:schemeClr w14:val="tx1"/>
            </w14:solidFill>
          </w14:textFill>
        </w:rPr>
        <w:t>本项目</w:t>
      </w:r>
      <w:r>
        <w:rPr>
          <w:rFonts w:hint="eastAsia"/>
          <w:color w:val="000000" w:themeColor="text1"/>
          <w:lang w:val="en-US" w:eastAsia="zh-CN"/>
          <w14:textFill>
            <w14:solidFill>
              <w14:schemeClr w14:val="tx1"/>
            </w14:solidFill>
          </w14:textFill>
        </w:rPr>
        <w:t>选矿厂环境风险潜势为</w:t>
      </w:r>
      <w:r>
        <w:rPr>
          <w:color w:val="000000" w:themeColor="text1"/>
          <w:sz w:val="24"/>
          <w14:textFill>
            <w14:solidFill>
              <w14:schemeClr w14:val="tx1"/>
            </w14:solidFill>
          </w14:textFill>
        </w:rPr>
        <w:t>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由表5.3-</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可知，</w:t>
      </w: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选矿厂环境</w:t>
      </w:r>
      <w:r>
        <w:rPr>
          <w:rFonts w:hint="eastAsia"/>
          <w:color w:val="000000" w:themeColor="text1"/>
          <w14:textFill>
            <w14:solidFill>
              <w14:schemeClr w14:val="tx1"/>
            </w14:solidFill>
          </w14:textFill>
        </w:rPr>
        <w:t>风险评价等级为三级。</w:t>
      </w:r>
    </w:p>
    <w:p w14:paraId="13044A5C">
      <w:pPr>
        <w:keepNext/>
        <w:keepLines/>
        <w:spacing w:line="480" w:lineRule="exact"/>
        <w:ind w:firstLine="482" w:firstLineChars="200"/>
        <w:outlineLvl w:val="3"/>
        <w:rPr>
          <w:rFonts w:hint="eastAsia"/>
          <w:b/>
          <w:bCs/>
          <w:color w:val="000000" w:themeColor="text1"/>
          <w:sz w:val="24"/>
          <w:szCs w:val="28"/>
          <w:lang w:val="en-US" w:eastAsia="zh-CN"/>
          <w14:textFill>
            <w14:solidFill>
              <w14:schemeClr w14:val="tx1"/>
            </w14:solidFill>
          </w14:textFill>
        </w:rPr>
      </w:pPr>
      <w:r>
        <w:rPr>
          <w:rFonts w:hint="eastAsia"/>
          <w:b/>
          <w:bCs/>
          <w:color w:val="000000" w:themeColor="text1"/>
          <w:sz w:val="24"/>
          <w:szCs w:val="28"/>
          <w:lang w:val="en-US" w:eastAsia="zh-CN"/>
          <w14:textFill>
            <w14:solidFill>
              <w14:schemeClr w14:val="tx1"/>
            </w14:solidFill>
          </w14:textFill>
        </w:rPr>
        <w:t>5.3.2.2尾矿库环境风险潜势初判</w:t>
      </w:r>
    </w:p>
    <w:p w14:paraId="3E5AB213">
      <w:pPr>
        <w:adjustRightInd w:val="0"/>
        <w:snapToGrid w:val="0"/>
        <w:ind w:firstLine="48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环境风险评价的目的是分析和预测建设项目存在的潜在危险、有害因素，建设项目建设和运行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14:paraId="1DBFA161">
      <w:pPr>
        <w:overflowPunct w:val="0"/>
        <w:topLinePunct/>
        <w:ind w:firstLine="480"/>
        <w:rPr>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本项目环评主要针对生产过程中可能发生的环境风险事故，进行环境影响预测分析，并提出风险防范措施及应急预案，力求将环境风险影响降至最低。</w:t>
      </w:r>
    </w:p>
    <w:p w14:paraId="794D7C17">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《尾矿库环境风险评估技术导则（试行）》（HJ740-2015）从尾矿库的环境危害性（H）、周边环境敏感性（S）、控制机制可靠性（R）三个方面进行环境风险等级的划分。评价等级划分指标体系见图</w:t>
      </w:r>
      <w:r>
        <w:rPr>
          <w:rFonts w:hint="eastAsia"/>
          <w:color w:val="000000" w:themeColor="text1"/>
          <w:highlight w:val="none"/>
          <w14:textFill>
            <w14:solidFill>
              <w14:schemeClr w14:val="tx1"/>
            </w14:solidFill>
          </w14:textFill>
        </w:rPr>
        <w:t>5.3-</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w:t>
      </w:r>
    </w:p>
    <w:p w14:paraId="6F1E9CB8">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57165" cy="1304290"/>
            <wp:effectExtent l="0" t="0" r="635" b="10160"/>
            <wp:docPr id="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pic:cNvPicPr>
                      <a:picLocks noChangeAspect="1"/>
                    </pic:cNvPicPr>
                  </pic:nvPicPr>
                  <pic:blipFill>
                    <a:blip r:embed="rId44"/>
                    <a:stretch>
                      <a:fillRect/>
                    </a:stretch>
                  </pic:blipFill>
                  <pic:spPr>
                    <a:xfrm>
                      <a:off x="0" y="0"/>
                      <a:ext cx="5257165" cy="1304290"/>
                    </a:xfrm>
                    <a:prstGeom prst="rect">
                      <a:avLst/>
                    </a:prstGeom>
                    <a:noFill/>
                    <a:ln>
                      <a:noFill/>
                    </a:ln>
                  </pic:spPr>
                </pic:pic>
              </a:graphicData>
            </a:graphic>
          </wp:inline>
        </w:drawing>
      </w:r>
    </w:p>
    <w:p w14:paraId="12FC1D04">
      <w:pPr>
        <w:ind w:firstLine="0" w:firstLineChars="0"/>
        <w:jc w:val="center"/>
        <w:rPr>
          <w:color w:val="000000" w:themeColor="text1"/>
          <w:highlight w:val="none"/>
          <w14:textFill>
            <w14:solidFill>
              <w14:schemeClr w14:val="tx1"/>
            </w14:solidFill>
          </w14:textFill>
        </w:rPr>
      </w:pPr>
      <w:r>
        <w:rPr>
          <w:b/>
          <w:color w:val="000000" w:themeColor="text1"/>
          <w:kern w:val="0"/>
          <w:highlight w:val="none"/>
          <w14:textFill>
            <w14:solidFill>
              <w14:schemeClr w14:val="tx1"/>
            </w14:solidFill>
          </w14:textFill>
        </w:rPr>
        <w:t>图</w:t>
      </w:r>
      <w:r>
        <w:rPr>
          <w:rFonts w:hint="eastAsia"/>
          <w:b/>
          <w:color w:val="000000" w:themeColor="text1"/>
          <w:kern w:val="0"/>
          <w:highlight w:val="none"/>
          <w14:textFill>
            <w14:solidFill>
              <w14:schemeClr w14:val="tx1"/>
            </w14:solidFill>
          </w14:textFill>
        </w:rPr>
        <w:t>5.3</w:t>
      </w:r>
      <w:r>
        <w:rPr>
          <w:b/>
          <w:color w:val="000000" w:themeColor="text1"/>
          <w:kern w:val="0"/>
          <w:highlight w:val="none"/>
          <w14:textFill>
            <w14:solidFill>
              <w14:schemeClr w14:val="tx1"/>
            </w14:solidFill>
          </w14:textFill>
        </w:rPr>
        <w:t>-</w:t>
      </w:r>
      <w:r>
        <w:rPr>
          <w:rFonts w:hint="eastAsia"/>
          <w:b/>
          <w:color w:val="000000" w:themeColor="text1"/>
          <w:kern w:val="0"/>
          <w:highlight w:val="none"/>
          <w:lang w:val="en-US" w:eastAsia="zh-CN"/>
          <w14:textFill>
            <w14:solidFill>
              <w14:schemeClr w14:val="tx1"/>
            </w14:solidFill>
          </w14:textFill>
        </w:rPr>
        <w:t>2</w:t>
      </w:r>
      <w:r>
        <w:rPr>
          <w:b/>
          <w:color w:val="000000" w:themeColor="text1"/>
          <w:kern w:val="0"/>
          <w:highlight w:val="none"/>
          <w14:textFill>
            <w14:solidFill>
              <w14:schemeClr w14:val="tx1"/>
            </w14:solidFill>
          </w14:textFill>
        </w:rPr>
        <w:t xml:space="preserve">    评价等级划分指标体系</w:t>
      </w:r>
    </w:p>
    <w:p w14:paraId="0E67909E">
      <w:pPr>
        <w:overflowPunct w:val="0"/>
        <w:topLinePunct/>
        <w:ind w:left="482" w:firstLine="0" w:firstLineChars="0"/>
        <w:rPr>
          <w:b w:val="0"/>
          <w:bCs w:val="0"/>
          <w:color w:val="000000" w:themeColor="text1"/>
          <w:highlight w:val="none"/>
          <w14:textFill>
            <w14:solidFill>
              <w14:schemeClr w14:val="tx1"/>
            </w14:solidFill>
          </w14:textFill>
        </w:rPr>
      </w:pPr>
      <w:r>
        <w:rPr>
          <w:rFonts w:hint="eastAsia"/>
          <w:b w:val="0"/>
          <w:bCs w:val="0"/>
          <w:color w:val="000000" w:themeColor="text1"/>
          <w:highlight w:val="none"/>
          <w:lang w:eastAsia="zh-CN"/>
          <w14:textFill>
            <w14:solidFill>
              <w14:schemeClr w14:val="tx1"/>
            </w14:solidFill>
          </w14:textFill>
        </w:rPr>
        <w:t>（</w:t>
      </w:r>
      <w:r>
        <w:rPr>
          <w:rFonts w:hint="eastAsia"/>
          <w:b w:val="0"/>
          <w:bCs w:val="0"/>
          <w:color w:val="000000" w:themeColor="text1"/>
          <w:highlight w:val="none"/>
          <w:lang w:val="en-US" w:eastAsia="zh-CN"/>
          <w14:textFill>
            <w14:solidFill>
              <w14:schemeClr w14:val="tx1"/>
            </w14:solidFill>
          </w14:textFill>
        </w:rPr>
        <w:t>1</w:t>
      </w:r>
      <w:r>
        <w:rPr>
          <w:rFonts w:hint="eastAsia"/>
          <w:b w:val="0"/>
          <w:bCs w:val="0"/>
          <w:color w:val="000000" w:themeColor="text1"/>
          <w:highlight w:val="none"/>
          <w:lang w:eastAsia="zh-CN"/>
          <w14:textFill>
            <w14:solidFill>
              <w14:schemeClr w14:val="tx1"/>
            </w14:solidFill>
          </w14:textFill>
        </w:rPr>
        <w:t>）</w:t>
      </w:r>
      <w:r>
        <w:rPr>
          <w:b w:val="0"/>
          <w:bCs w:val="0"/>
          <w:color w:val="000000" w:themeColor="text1"/>
          <w:highlight w:val="none"/>
          <w14:textFill>
            <w14:solidFill>
              <w14:schemeClr w14:val="tx1"/>
            </w14:solidFill>
          </w14:textFill>
        </w:rPr>
        <w:t>尾矿库环境风险预判</w:t>
      </w:r>
    </w:p>
    <w:p w14:paraId="63AE8FBA">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本项目尾矿库最终堆积标高为</w:t>
      </w:r>
      <w:r>
        <w:rPr>
          <w:rFonts w:hint="eastAsia"/>
          <w:color w:val="000000" w:themeColor="text1"/>
          <w:highlight w:val="none"/>
          <w:lang w:val="en-US" w:eastAsia="zh-CN"/>
          <w14:textFill>
            <w14:solidFill>
              <w14:schemeClr w14:val="tx1"/>
            </w14:solidFill>
          </w14:textFill>
        </w:rPr>
        <w:t>1264.0</w:t>
      </w:r>
      <w:r>
        <w:rPr>
          <w:color w:val="000000" w:themeColor="text1"/>
          <w:highlight w:val="none"/>
          <w14:textFill>
            <w14:solidFill>
              <w14:schemeClr w14:val="tx1"/>
            </w14:solidFill>
          </w14:textFill>
        </w:rPr>
        <w:t>m，堆积坝高</w:t>
      </w:r>
      <w:r>
        <w:rPr>
          <w:rFonts w:hint="eastAsia"/>
          <w:color w:val="000000" w:themeColor="text1"/>
          <w:highlight w:val="none"/>
          <w:lang w:val="en-US" w:eastAsia="zh-CN"/>
          <w14:textFill>
            <w14:solidFill>
              <w14:schemeClr w14:val="tx1"/>
            </w14:solidFill>
          </w14:textFill>
        </w:rPr>
        <w:t>30</w:t>
      </w:r>
      <w:r>
        <w:rPr>
          <w:color w:val="000000" w:themeColor="text1"/>
          <w:highlight w:val="none"/>
          <w14:textFill>
            <w14:solidFill>
              <w14:schemeClr w14:val="tx1"/>
            </w14:solidFill>
          </w14:textFill>
        </w:rPr>
        <w:t>m，设计库容为</w:t>
      </w:r>
      <w:r>
        <w:rPr>
          <w:rFonts w:hint="eastAsia"/>
          <w:color w:val="000000" w:themeColor="text1"/>
          <w:highlight w:val="none"/>
          <w:lang w:val="en-US" w:eastAsia="zh-CN"/>
          <w14:textFill>
            <w14:solidFill>
              <w14:schemeClr w14:val="tx1"/>
            </w14:solidFill>
          </w14:textFill>
        </w:rPr>
        <w:t>527.55</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，有效库容为</w:t>
      </w:r>
      <w:r>
        <w:rPr>
          <w:rFonts w:hint="eastAsia"/>
          <w:color w:val="000000" w:themeColor="text1"/>
          <w:highlight w:val="none"/>
          <w:lang w:val="en-US" w:eastAsia="zh-CN"/>
          <w14:textFill>
            <w14:solidFill>
              <w14:schemeClr w14:val="tx1"/>
            </w14:solidFill>
          </w14:textFill>
        </w:rPr>
        <w:t>501.17</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，尾矿库等别为四等，可服役年限为</w:t>
      </w:r>
      <w:r>
        <w:rPr>
          <w:rFonts w:hint="eastAsia"/>
          <w:color w:val="000000" w:themeColor="text1"/>
          <w:highlight w:val="none"/>
          <w:lang w:val="en-US" w:eastAsia="zh-CN"/>
          <w14:textFill>
            <w14:solidFill>
              <w14:schemeClr w14:val="tx1"/>
            </w14:solidFill>
          </w14:textFill>
        </w:rPr>
        <w:t>19</w:t>
      </w:r>
      <w:r>
        <w:rPr>
          <w:color w:val="000000" w:themeColor="text1"/>
          <w:highlight w:val="none"/>
          <w14:textFill>
            <w14:solidFill>
              <w14:schemeClr w14:val="tx1"/>
            </w14:solidFill>
          </w14:textFill>
        </w:rPr>
        <w:t>年。</w:t>
      </w:r>
    </w:p>
    <w:p w14:paraId="1635930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本尾矿库主要堆放</w:t>
      </w:r>
      <w:r>
        <w:rPr>
          <w:rFonts w:hint="eastAsia"/>
          <w:color w:val="000000" w:themeColor="text1"/>
          <w:highlight w:val="none"/>
          <w:lang w:val="en-US" w:eastAsia="zh-CN"/>
          <w14:textFill>
            <w14:solidFill>
              <w14:schemeClr w14:val="tx1"/>
            </w14:solidFill>
          </w14:textFill>
        </w:rPr>
        <w:t>干选</w:t>
      </w:r>
      <w:r>
        <w:rPr>
          <w:color w:val="000000" w:themeColor="text1"/>
          <w:highlight w:val="none"/>
          <w14:textFill>
            <w14:solidFill>
              <w14:schemeClr w14:val="tx1"/>
            </w14:solidFill>
          </w14:textFill>
        </w:rPr>
        <w:t>尾矿，根据选矿试验尾矿浸出毒性试验检测结果可知，尾矿属于Ⅰ类固废。</w:t>
      </w:r>
    </w:p>
    <w:p w14:paraId="5F1C2C3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从尾矿库的类型、规模、周边环境敏感性、安全性、历史事件与环境违法情况五个方面，利用尾矿库环境风险预判表（附录A，见下表）对尾矿库环境风险进行初步分析，对于满足预判表中任何条件之一的尾矿库即认定为重点环境监管尾矿库，需要进一步开展后续的环境风险评估工作。非重点环境监管尾矿库只需开展风险预判工作，并记录风险预判过程和预判结果。</w:t>
      </w:r>
    </w:p>
    <w:p w14:paraId="63216F9A">
      <w:pPr>
        <w:ind w:firstLine="0" w:firstLineChars="0"/>
        <w:jc w:val="center"/>
        <w:rPr>
          <w:color w:val="000000" w:themeColor="text1"/>
          <w:highlight w:val="none"/>
          <w14:textFill>
            <w14:solidFill>
              <w14:schemeClr w14:val="tx1"/>
            </w14:solidFill>
          </w14:textFill>
        </w:rPr>
      </w:pPr>
      <w:r>
        <w:rPr>
          <w:b/>
          <w:color w:val="000000" w:themeColor="text1"/>
          <w:kern w:val="0"/>
          <w:highlight w:val="none"/>
          <w14:textFill>
            <w14:solidFill>
              <w14:schemeClr w14:val="tx1"/>
            </w14:solidFill>
          </w14:textFill>
        </w:rPr>
        <w:t>表5.3-</w:t>
      </w:r>
      <w:r>
        <w:rPr>
          <w:rFonts w:hint="eastAsia"/>
          <w:b/>
          <w:color w:val="000000" w:themeColor="text1"/>
          <w:kern w:val="0"/>
          <w:highlight w:val="none"/>
          <w:lang w:val="en-US" w:eastAsia="zh-CN"/>
          <w14:textFill>
            <w14:solidFill>
              <w14:schemeClr w14:val="tx1"/>
            </w14:solidFill>
          </w14:textFill>
        </w:rPr>
        <w:t>6</w:t>
      </w:r>
      <w:r>
        <w:rPr>
          <w:b/>
          <w:color w:val="000000" w:themeColor="text1"/>
          <w:kern w:val="0"/>
          <w:highlight w:val="none"/>
          <w14:textFill>
            <w14:solidFill>
              <w14:schemeClr w14:val="tx1"/>
            </w14:solidFill>
          </w14:textFill>
        </w:rPr>
        <w:t xml:space="preserve">    尾矿库环境风险预判表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791"/>
        <w:gridCol w:w="5050"/>
        <w:gridCol w:w="924"/>
        <w:gridCol w:w="729"/>
      </w:tblGrid>
      <w:tr w14:paraId="051E4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72" w:type="pct"/>
            <w:gridSpan w:val="4"/>
            <w:noWrap w:val="0"/>
            <w:vAlign w:val="center"/>
          </w:tcPr>
          <w:p w14:paraId="6F0D1790">
            <w:pPr>
              <w:widowControl/>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kern w:val="0"/>
                <w:sz w:val="21"/>
                <w:szCs w:val="21"/>
                <w:highlight w:val="none"/>
                <w:lang w:bidi="ar"/>
                <w14:textFill>
                  <w14:solidFill>
                    <w14:schemeClr w14:val="tx1"/>
                  </w14:solidFill>
                </w14:textFill>
              </w:rPr>
              <w:t>符合下列情形之一，列入重点环境监管尾矿库</w:t>
            </w:r>
          </w:p>
        </w:tc>
        <w:tc>
          <w:tcPr>
            <w:tcW w:w="427" w:type="pct"/>
            <w:noWrap w:val="0"/>
            <w:vAlign w:val="center"/>
          </w:tcPr>
          <w:p w14:paraId="22C96E7A">
            <w:pPr>
              <w:widowControl/>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kern w:val="0"/>
                <w:sz w:val="21"/>
                <w:szCs w:val="21"/>
                <w:highlight w:val="none"/>
                <w:lang w:bidi="ar"/>
                <w14:textFill>
                  <w14:solidFill>
                    <w14:schemeClr w14:val="tx1"/>
                  </w14:solidFill>
                </w14:textFill>
              </w:rPr>
              <w:t>相关说明</w:t>
            </w:r>
          </w:p>
        </w:tc>
      </w:tr>
      <w:tr w14:paraId="31A5E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vMerge w:val="restart"/>
            <w:noWrap w:val="0"/>
            <w:vAlign w:val="center"/>
          </w:tcPr>
          <w:p w14:paraId="2CBB6ABE">
            <w:pPr>
              <w:keepNext w:val="0"/>
              <w:keepLines w:val="0"/>
              <w:pageBreakBefore w:val="0"/>
              <w:widowControl/>
              <w:kinsoku/>
              <w:wordWrap/>
              <w:overflowPunct/>
              <w:topLinePunct w:val="0"/>
              <w:autoSpaceDE/>
              <w:autoSpaceDN/>
              <w:bidi w:val="0"/>
              <w:spacing w:line="320" w:lineRule="exact"/>
              <w:ind w:left="-120" w:leftChars="-50" w:right="-120" w:rightChars="-5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kern w:val="0"/>
                <w:sz w:val="21"/>
                <w:szCs w:val="21"/>
                <w:highlight w:val="none"/>
                <w:lang w:bidi="ar"/>
                <w14:textFill>
                  <w14:solidFill>
                    <w14:schemeClr w14:val="tx1"/>
                  </w14:solidFill>
                </w14:textFill>
              </w:rPr>
              <w:t>类型</w:t>
            </w:r>
          </w:p>
        </w:tc>
        <w:tc>
          <w:tcPr>
            <w:tcW w:w="3427" w:type="pct"/>
            <w:gridSpan w:val="2"/>
            <w:noWrap w:val="0"/>
            <w:vAlign w:val="center"/>
          </w:tcPr>
          <w:p w14:paraId="3990060E">
            <w:pPr>
              <w:widowControl/>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矿种类型（包括主矿种、附属矿种）/尾矿（或尾矿水）成分类型</w:t>
            </w:r>
          </w:p>
        </w:tc>
        <w:tc>
          <w:tcPr>
            <w:tcW w:w="542" w:type="pct"/>
            <w:noWrap w:val="0"/>
            <w:vAlign w:val="center"/>
          </w:tcPr>
          <w:p w14:paraId="4ED64A7D">
            <w:pPr>
              <w:widowControl/>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固体废物类型</w:t>
            </w:r>
          </w:p>
        </w:tc>
        <w:tc>
          <w:tcPr>
            <w:tcW w:w="427" w:type="pct"/>
            <w:vMerge w:val="restart"/>
            <w:noWrap w:val="0"/>
            <w:vAlign w:val="center"/>
          </w:tcPr>
          <w:p w14:paraId="130E8565">
            <w:pPr>
              <w:pStyle w:val="127"/>
              <w:keepNext w:val="0"/>
              <w:keepLines w:val="0"/>
              <w:pageBreakBefore w:val="0"/>
              <w:widowControl w:val="0"/>
              <w:kinsoku/>
              <w:wordWrap/>
              <w:overflowPunct/>
              <w:topLinePunct w:val="0"/>
              <w:autoSpaceDE/>
              <w:autoSpaceDN/>
              <w:bidi w:val="0"/>
              <w:adjustRightInd w:val="0"/>
              <w:snapToGrid w:val="0"/>
              <w:spacing w:line="320" w:lineRule="exact"/>
              <w:ind w:left="-120" w:leftChars="-50" w:right="-120" w:rightChars="-50" w:firstLine="0" w:firstLineChars="0"/>
              <w:jc w:val="center"/>
              <w:textAlignment w:val="auto"/>
              <w:rPr>
                <w:rFonts w:ascii="Times New Roman" w:hAnsi="Times New Roman" w:eastAsia="宋体"/>
                <w:color w:val="000000" w:themeColor="text1"/>
                <w:sz w:val="21"/>
                <w:szCs w:val="21"/>
                <w:highlight w:val="none"/>
                <w:lang w:val="en-US"/>
                <w14:textFill>
                  <w14:solidFill>
                    <w14:schemeClr w14:val="tx1"/>
                  </w14:solidFill>
                </w14:textFill>
              </w:rPr>
            </w:pPr>
            <w:r>
              <w:rPr>
                <w:rFonts w:ascii="Times New Roman" w:hAnsi="Times New Roman" w:eastAsia="宋体"/>
                <w:color w:val="000000" w:themeColor="text1"/>
                <w:sz w:val="21"/>
                <w:szCs w:val="21"/>
                <w:highlight w:val="none"/>
                <w:lang w:val="en-US"/>
                <w14:textFill>
                  <w14:solidFill>
                    <w14:schemeClr w14:val="tx1"/>
                  </w14:solidFill>
                </w14:textFill>
              </w:rPr>
              <w:t>本项目为铁矿尾矿库</w:t>
            </w:r>
          </w:p>
        </w:tc>
      </w:tr>
      <w:tr w14:paraId="3536C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vMerge w:val="continue"/>
            <w:noWrap w:val="0"/>
            <w:vAlign w:val="center"/>
          </w:tcPr>
          <w:p w14:paraId="4D5C05F1">
            <w:pPr>
              <w:pStyle w:val="127"/>
              <w:keepNext w:val="0"/>
              <w:keepLines w:val="0"/>
              <w:pageBreakBefore w:val="0"/>
              <w:kinsoku/>
              <w:wordWrap/>
              <w:overflowPunct/>
              <w:topLinePunct w:val="0"/>
              <w:autoSpaceDE/>
              <w:autoSpaceDN/>
              <w:bidi w:val="0"/>
              <w:spacing w:line="320" w:lineRule="exact"/>
              <w:ind w:left="-120" w:leftChars="-50" w:right="-120" w:rightChars="-5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p>
        </w:tc>
        <w:tc>
          <w:tcPr>
            <w:tcW w:w="3427" w:type="pct"/>
            <w:gridSpan w:val="2"/>
            <w:noWrap w:val="0"/>
            <w:vAlign w:val="center"/>
          </w:tcPr>
          <w:p w14:paraId="7FD97C7B">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1、相关的生产过程中使用了列入《重点环境管理危险化学品目录》的危险化学品。</w:t>
            </w:r>
          </w:p>
          <w:p w14:paraId="738690FF">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2、重金属矿种：铜、镍、铅、锌、锡、锑、钴、汞、镉、铋、砷、铊、钒、铬、锰、钼。</w:t>
            </w:r>
          </w:p>
          <w:p w14:paraId="58665718">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3、贵金属矿种：金、银、铂族（铂、钯、铱、铑、锇、钌）。</w:t>
            </w:r>
          </w:p>
          <w:p w14:paraId="5601603A">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4、轻有色金属矿种：铝（铝土）、镁、锶、钡。</w:t>
            </w:r>
          </w:p>
          <w:p w14:paraId="53B2A255">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5、稀土元素的矿种：钇、镧、铈、镨、钕、钷、钐、铕、钆、铽、镝、钬、铒、铥、镱、镥。</w:t>
            </w:r>
          </w:p>
          <w:p w14:paraId="523431EF">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6、有色金属矿种：钨、钛。</w:t>
            </w:r>
          </w:p>
          <w:p w14:paraId="0BA155E5">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7、非金属矿种：化工原料或化学矿。</w:t>
            </w:r>
          </w:p>
          <w:p w14:paraId="43B71E3B">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8、涉及硫（包括主矿、共生矿）、磷（包括主矿、共生矿）。</w:t>
            </w:r>
          </w:p>
          <w:p w14:paraId="66089850">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9、涉及酸性岩矿种或产生酸性废液的矿种</w:t>
            </w:r>
          </w:p>
        </w:tc>
        <w:tc>
          <w:tcPr>
            <w:tcW w:w="542" w:type="pct"/>
            <w:noWrap w:val="0"/>
            <w:vAlign w:val="center"/>
          </w:tcPr>
          <w:p w14:paraId="63EAACBA">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10、危险废物。</w:t>
            </w:r>
          </w:p>
          <w:p w14:paraId="5B6C390B">
            <w:pPr>
              <w:pStyle w:val="127"/>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val="en-US" w:bidi="ar"/>
                <w14:textFill>
                  <w14:solidFill>
                    <w14:schemeClr w14:val="tx1"/>
                  </w14:solidFill>
                </w14:textFill>
              </w:rPr>
              <w:t>11、一般工业固体废物（</w:t>
            </w:r>
            <w:r>
              <w:rPr>
                <w:rFonts w:hint="default" w:ascii="Times New Roman" w:hAnsi="Times New Roman" w:eastAsia="宋体" w:cs="Times New Roman"/>
                <w:color w:val="000000" w:themeColor="text1"/>
                <w:kern w:val="0"/>
                <w:sz w:val="21"/>
                <w:szCs w:val="21"/>
                <w:highlight w:val="none"/>
                <w:lang w:val="en-US" w:bidi="ar"/>
                <w14:textFill>
                  <w14:solidFill>
                    <w14:schemeClr w14:val="tx1"/>
                  </w14:solidFill>
                </w14:textFill>
              </w:rPr>
              <w:t>Ⅱ</w:t>
            </w:r>
            <w:r>
              <w:rPr>
                <w:rFonts w:ascii="Times New Roman" w:hAnsi="Times New Roman" w:eastAsia="宋体"/>
                <w:color w:val="000000" w:themeColor="text1"/>
                <w:kern w:val="0"/>
                <w:sz w:val="21"/>
                <w:szCs w:val="21"/>
                <w:highlight w:val="none"/>
                <w:lang w:val="en-US" w:bidi="ar"/>
                <w14:textFill>
                  <w14:solidFill>
                    <w14:schemeClr w14:val="tx1"/>
                  </w14:solidFill>
                </w14:textFill>
              </w:rPr>
              <w:t>类）</w:t>
            </w:r>
          </w:p>
        </w:tc>
        <w:tc>
          <w:tcPr>
            <w:tcW w:w="427" w:type="pct"/>
            <w:vMerge w:val="continue"/>
            <w:noWrap w:val="0"/>
            <w:vAlign w:val="center"/>
          </w:tcPr>
          <w:p w14:paraId="137AC0B4">
            <w:pPr>
              <w:pStyle w:val="127"/>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r>
      <w:tr w14:paraId="4230C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noWrap w:val="0"/>
            <w:vAlign w:val="center"/>
          </w:tcPr>
          <w:p w14:paraId="0A61A70F">
            <w:pPr>
              <w:keepNext w:val="0"/>
              <w:keepLines w:val="0"/>
              <w:pageBreakBefore w:val="0"/>
              <w:widowControl/>
              <w:kinsoku/>
              <w:wordWrap/>
              <w:overflowPunct/>
              <w:topLinePunct w:val="0"/>
              <w:autoSpaceDE/>
              <w:autoSpaceDN/>
              <w:bidi w:val="0"/>
              <w:spacing w:line="320" w:lineRule="exact"/>
              <w:ind w:left="-120" w:leftChars="-50" w:right="-120" w:rightChars="-5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kern w:val="0"/>
                <w:sz w:val="21"/>
                <w:szCs w:val="21"/>
                <w:highlight w:val="none"/>
                <w:lang w:bidi="ar"/>
                <w14:textFill>
                  <w14:solidFill>
                    <w14:schemeClr w14:val="tx1"/>
                  </w14:solidFill>
                </w14:textFill>
              </w:rPr>
              <w:t>规模</w:t>
            </w:r>
          </w:p>
        </w:tc>
        <w:tc>
          <w:tcPr>
            <w:tcW w:w="3969" w:type="pct"/>
            <w:gridSpan w:val="3"/>
            <w:noWrap w:val="0"/>
            <w:vAlign w:val="center"/>
          </w:tcPr>
          <w:p w14:paraId="4F3C4A8D">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12、尾矿库等别：四等及以上</w:t>
            </w:r>
          </w:p>
        </w:tc>
        <w:tc>
          <w:tcPr>
            <w:tcW w:w="427" w:type="pct"/>
            <w:noWrap w:val="0"/>
            <w:vAlign w:val="center"/>
          </w:tcPr>
          <w:p w14:paraId="50A77444">
            <w:pPr>
              <w:pStyle w:val="127"/>
              <w:keepNext w:val="0"/>
              <w:keepLines w:val="0"/>
              <w:pageBreakBefore w:val="0"/>
              <w:widowControl w:val="0"/>
              <w:kinsoku/>
              <w:wordWrap/>
              <w:overflowPunct/>
              <w:topLinePunct w:val="0"/>
              <w:autoSpaceDE/>
              <w:autoSpaceDN/>
              <w:bidi w:val="0"/>
              <w:adjustRightInd w:val="0"/>
              <w:snapToGrid w:val="0"/>
              <w:spacing w:line="320" w:lineRule="exact"/>
              <w:ind w:left="-120" w:leftChars="-50" w:right="-120" w:rightChars="-50" w:firstLine="0" w:firstLineChars="0"/>
              <w:jc w:val="center"/>
              <w:textAlignment w:val="auto"/>
              <w:rPr>
                <w:rFonts w:ascii="Times New Roman" w:hAnsi="Times New Roman" w:eastAsia="宋体"/>
                <w:color w:val="000000" w:themeColor="text1"/>
                <w:sz w:val="21"/>
                <w:szCs w:val="21"/>
                <w:highlight w:val="none"/>
                <w:lang w:val="en-US"/>
                <w14:textFill>
                  <w14:solidFill>
                    <w14:schemeClr w14:val="tx1"/>
                  </w14:solidFill>
                </w14:textFill>
              </w:rPr>
            </w:pPr>
            <w:r>
              <w:rPr>
                <w:rFonts w:ascii="Times New Roman" w:hAnsi="Times New Roman" w:eastAsia="宋体"/>
                <w:color w:val="000000" w:themeColor="text1"/>
                <w:sz w:val="21"/>
                <w:szCs w:val="21"/>
                <w:highlight w:val="none"/>
                <w:lang w:val="en-US"/>
                <w14:textFill>
                  <w14:solidFill>
                    <w14:schemeClr w14:val="tx1"/>
                  </w14:solidFill>
                </w14:textFill>
              </w:rPr>
              <w:t>涉及</w:t>
            </w:r>
          </w:p>
        </w:tc>
      </w:tr>
      <w:tr w14:paraId="5DCD4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noWrap w:val="0"/>
            <w:vAlign w:val="center"/>
          </w:tcPr>
          <w:p w14:paraId="28CECF92">
            <w:pPr>
              <w:keepNext w:val="0"/>
              <w:keepLines w:val="0"/>
              <w:pageBreakBefore w:val="0"/>
              <w:widowControl/>
              <w:kinsoku/>
              <w:wordWrap/>
              <w:overflowPunct/>
              <w:topLinePunct w:val="0"/>
              <w:autoSpaceDE/>
              <w:autoSpaceDN/>
              <w:bidi w:val="0"/>
              <w:spacing w:line="320" w:lineRule="exact"/>
              <w:ind w:left="-120" w:leftChars="-50" w:right="-120" w:rightChars="-5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kern w:val="0"/>
                <w:sz w:val="21"/>
                <w:szCs w:val="21"/>
                <w:highlight w:val="none"/>
                <w:lang w:bidi="ar"/>
                <w14:textFill>
                  <w14:solidFill>
                    <w14:schemeClr w14:val="tx1"/>
                  </w14:solidFill>
                </w14:textFill>
              </w:rPr>
              <w:t>周边区域敏感性</w:t>
            </w:r>
          </w:p>
        </w:tc>
        <w:tc>
          <w:tcPr>
            <w:tcW w:w="464" w:type="pct"/>
            <w:noWrap w:val="0"/>
            <w:vAlign w:val="center"/>
          </w:tcPr>
          <w:p w14:paraId="11F49BB9">
            <w:pPr>
              <w:keepNext w:val="0"/>
              <w:keepLines w:val="0"/>
              <w:pageBreakBefore w:val="0"/>
              <w:widowControl/>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kern w:val="0"/>
                <w:sz w:val="21"/>
                <w:szCs w:val="21"/>
                <w:highlight w:val="none"/>
                <w:lang w:bidi="ar"/>
                <w14:textFill>
                  <w14:solidFill>
                    <w14:schemeClr w14:val="tx1"/>
                  </w14:solidFill>
                </w14:textFill>
              </w:rPr>
              <w:t>所处区域尾矿库下游评估范围内或者尾矿库输送管线、回水管线涉及穿越</w:t>
            </w:r>
          </w:p>
        </w:tc>
        <w:tc>
          <w:tcPr>
            <w:tcW w:w="3505" w:type="pct"/>
            <w:gridSpan w:val="2"/>
            <w:noWrap w:val="0"/>
            <w:vAlign w:val="center"/>
          </w:tcPr>
          <w:p w14:paraId="1F002158">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13、处于国家重点生态功能区、国家禁止开发区。域、水土流失重点防治区、沙化土地封禁保护区等。</w:t>
            </w:r>
          </w:p>
          <w:p w14:paraId="58E0B268">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14、处于江河源头区和重要水源涵养区。</w:t>
            </w:r>
          </w:p>
          <w:p w14:paraId="1B2E519F">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15、涉及跨省级及以上行政区边界。</w:t>
            </w:r>
          </w:p>
          <w:p w14:paraId="078D4738">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16、饮用水水源保护区、自来水厂取水。</w:t>
            </w:r>
          </w:p>
          <w:p w14:paraId="0FCD5C35">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17、重要江、河、湖、库等大型水体。</w:t>
            </w:r>
          </w:p>
          <w:p w14:paraId="0949ED4B">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18、重要湿地、天然林、珍稀濒危野生动植物天然集中分布区、重要水生生物的自然产卵场及索饵场、越冬场和洄游通道、天然渔场、资源性缺水地区、封闭及半封闭海域、富营养化水域等。</w:t>
            </w:r>
          </w:p>
          <w:p w14:paraId="50436063">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19、水产养殖区，且规模在20亩及以上。</w:t>
            </w:r>
          </w:p>
          <w:p w14:paraId="3A24B736">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20、下游涉及人口聚集区，且人口规模在100人及以上。</w:t>
            </w:r>
          </w:p>
          <w:p w14:paraId="4C263CD6">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21、下游涉及自然保护区、风景名胜区、森林公园、地质公园、世界文化或自然遗产地，重点文物保护单位、以及其他具有特殊历史、文化、科学、民族意义的保护地等。</w:t>
            </w:r>
          </w:p>
          <w:p w14:paraId="2C8601B0">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22、涉及基本农田保护区、基本草原、种植大棚，农产品基地等，且规模在20亩及以上。</w:t>
            </w:r>
          </w:p>
          <w:p w14:paraId="2C25A420">
            <w:pPr>
              <w:pStyle w:val="127"/>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23、涉及环境风险企业、二次环境污染源或风险源</w:t>
            </w:r>
          </w:p>
        </w:tc>
        <w:tc>
          <w:tcPr>
            <w:tcW w:w="427" w:type="pct"/>
            <w:noWrap w:val="0"/>
            <w:vAlign w:val="center"/>
          </w:tcPr>
          <w:p w14:paraId="11A8C80C">
            <w:pPr>
              <w:pStyle w:val="127"/>
              <w:keepNext w:val="0"/>
              <w:keepLines w:val="0"/>
              <w:pageBreakBefore w:val="0"/>
              <w:widowControl w:val="0"/>
              <w:kinsoku/>
              <w:wordWrap/>
              <w:overflowPunct/>
              <w:topLinePunct w:val="0"/>
              <w:autoSpaceDE/>
              <w:autoSpaceDN/>
              <w:bidi w:val="0"/>
              <w:adjustRightInd w:val="0"/>
              <w:snapToGrid w:val="0"/>
              <w:spacing w:line="320" w:lineRule="exact"/>
              <w:ind w:left="-120" w:leftChars="-50" w:right="-120" w:rightChars="-50" w:firstLine="0" w:firstLineChars="0"/>
              <w:jc w:val="center"/>
              <w:textAlignment w:val="auto"/>
              <w:rPr>
                <w:rFonts w:ascii="Times New Roman" w:hAnsi="Times New Roman" w:eastAsia="宋体"/>
                <w:color w:val="000000" w:themeColor="text1"/>
                <w:sz w:val="21"/>
                <w:szCs w:val="21"/>
                <w:highlight w:val="none"/>
                <w:lang w:val="en-US"/>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不</w:t>
            </w:r>
            <w:r>
              <w:rPr>
                <w:rFonts w:ascii="Times New Roman" w:hAnsi="Times New Roman" w:eastAsia="宋体"/>
                <w:color w:val="000000" w:themeColor="text1"/>
                <w:sz w:val="21"/>
                <w:szCs w:val="21"/>
                <w:highlight w:val="none"/>
                <w:lang w:val="en-US"/>
                <w14:textFill>
                  <w14:solidFill>
                    <w14:schemeClr w14:val="tx1"/>
                  </w14:solidFill>
                </w14:textFill>
              </w:rPr>
              <w:t>涉及</w:t>
            </w:r>
          </w:p>
        </w:tc>
      </w:tr>
      <w:tr w14:paraId="7D41A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noWrap w:val="0"/>
            <w:vAlign w:val="center"/>
          </w:tcPr>
          <w:p w14:paraId="02F33244">
            <w:pPr>
              <w:keepNext w:val="0"/>
              <w:keepLines w:val="0"/>
              <w:pageBreakBefore w:val="0"/>
              <w:widowControl/>
              <w:kinsoku/>
              <w:wordWrap/>
              <w:overflowPunct/>
              <w:topLinePunct w:val="0"/>
              <w:autoSpaceDE/>
              <w:autoSpaceDN/>
              <w:bidi w:val="0"/>
              <w:spacing w:line="320" w:lineRule="exact"/>
              <w:ind w:left="-120" w:leftChars="-50" w:right="-120" w:rightChars="-5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kern w:val="0"/>
                <w:sz w:val="21"/>
                <w:szCs w:val="21"/>
                <w:highlight w:val="none"/>
                <w:lang w:bidi="ar"/>
                <w14:textFill>
                  <w14:solidFill>
                    <w14:schemeClr w14:val="tx1"/>
                  </w14:solidFill>
                </w14:textFill>
              </w:rPr>
              <w:t>安全性</w:t>
            </w:r>
          </w:p>
        </w:tc>
        <w:tc>
          <w:tcPr>
            <w:tcW w:w="3969" w:type="pct"/>
            <w:gridSpan w:val="3"/>
            <w:noWrap w:val="0"/>
            <w:vAlign w:val="center"/>
          </w:tcPr>
          <w:p w14:paraId="60DCCCB5">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24、属于危库\险库\病库。</w:t>
            </w:r>
          </w:p>
          <w:p w14:paraId="0AE4460B">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25、处于按《地质灾害危险性评估技术要求（试行）》评定为</w:t>
            </w:r>
            <w:r>
              <w:rPr>
                <w:rFonts w:hint="eastAsia" w:ascii="Times New Roman" w:hAnsi="Times New Roman" w:eastAsia="宋体"/>
                <w:color w:val="000000" w:themeColor="text1"/>
                <w:kern w:val="0"/>
                <w:sz w:val="21"/>
                <w:szCs w:val="21"/>
                <w:highlight w:val="none"/>
                <w:lang w:eastAsia="zh-CN" w:bidi="ar"/>
                <w14:textFill>
                  <w14:solidFill>
                    <w14:schemeClr w14:val="tx1"/>
                  </w14:solidFill>
                </w14:textFill>
              </w:rPr>
              <w:t>“</w:t>
            </w:r>
            <w:r>
              <w:rPr>
                <w:rFonts w:ascii="Times New Roman" w:hAnsi="Times New Roman" w:eastAsia="宋体"/>
                <w:color w:val="000000" w:themeColor="text1"/>
                <w:kern w:val="0"/>
                <w:sz w:val="21"/>
                <w:szCs w:val="21"/>
                <w:highlight w:val="none"/>
                <w:lang w:bidi="ar"/>
                <w14:textFill>
                  <w14:solidFill>
                    <w14:schemeClr w14:val="tx1"/>
                  </w14:solidFill>
                </w14:textFill>
              </w:rPr>
              <w:t>危害性中等</w:t>
            </w:r>
            <w:r>
              <w:rPr>
                <w:rFonts w:hint="eastAsia" w:ascii="Times New Roman" w:hAnsi="Times New Roman" w:eastAsia="宋体"/>
                <w:color w:val="000000" w:themeColor="text1"/>
                <w:kern w:val="0"/>
                <w:sz w:val="21"/>
                <w:szCs w:val="21"/>
                <w:highlight w:val="none"/>
                <w:lang w:eastAsia="zh-CN" w:bidi="ar"/>
                <w14:textFill>
                  <w14:solidFill>
                    <w14:schemeClr w14:val="tx1"/>
                  </w14:solidFill>
                </w14:textFill>
              </w:rPr>
              <w:t>”</w:t>
            </w:r>
            <w:r>
              <w:rPr>
                <w:rFonts w:ascii="Times New Roman" w:hAnsi="Times New Roman" w:eastAsia="宋体"/>
                <w:color w:val="000000" w:themeColor="text1"/>
                <w:kern w:val="0"/>
                <w:sz w:val="21"/>
                <w:szCs w:val="21"/>
                <w:highlight w:val="none"/>
                <w:lang w:bidi="ar"/>
                <w14:textFill>
                  <w14:solidFill>
                    <w14:schemeClr w14:val="tx1"/>
                  </w14:solidFill>
                </w14:textFill>
              </w:rPr>
              <w:t>或</w:t>
            </w:r>
            <w:r>
              <w:rPr>
                <w:rFonts w:hint="eastAsia" w:ascii="Times New Roman" w:hAnsi="Times New Roman" w:eastAsia="宋体"/>
                <w:color w:val="000000" w:themeColor="text1"/>
                <w:kern w:val="0"/>
                <w:sz w:val="21"/>
                <w:szCs w:val="21"/>
                <w:highlight w:val="none"/>
                <w:lang w:eastAsia="zh-CN" w:bidi="ar"/>
                <w14:textFill>
                  <w14:solidFill>
                    <w14:schemeClr w14:val="tx1"/>
                  </w14:solidFill>
                </w14:textFill>
              </w:rPr>
              <w:t>“</w:t>
            </w:r>
            <w:r>
              <w:rPr>
                <w:rFonts w:ascii="Times New Roman" w:hAnsi="Times New Roman" w:eastAsia="宋体"/>
                <w:color w:val="000000" w:themeColor="text1"/>
                <w:kern w:val="0"/>
                <w:sz w:val="21"/>
                <w:szCs w:val="21"/>
                <w:highlight w:val="none"/>
                <w:lang w:bidi="ar"/>
                <w14:textFill>
                  <w14:solidFill>
                    <w14:schemeClr w14:val="tx1"/>
                  </w14:solidFill>
                </w14:textFill>
              </w:rPr>
              <w:t>危害性大</w:t>
            </w:r>
            <w:r>
              <w:rPr>
                <w:rFonts w:hint="eastAsia" w:ascii="Times New Roman" w:hAnsi="Times New Roman" w:eastAsia="宋体"/>
                <w:color w:val="000000" w:themeColor="text1"/>
                <w:kern w:val="0"/>
                <w:sz w:val="21"/>
                <w:szCs w:val="21"/>
                <w:highlight w:val="none"/>
                <w:lang w:eastAsia="zh-CN" w:bidi="ar"/>
                <w14:textFill>
                  <w14:solidFill>
                    <w14:schemeClr w14:val="tx1"/>
                  </w14:solidFill>
                </w14:textFill>
              </w:rPr>
              <w:t>”</w:t>
            </w:r>
            <w:r>
              <w:rPr>
                <w:rFonts w:ascii="Times New Roman" w:hAnsi="Times New Roman" w:eastAsia="宋体"/>
                <w:color w:val="000000" w:themeColor="text1"/>
                <w:kern w:val="0"/>
                <w:sz w:val="21"/>
                <w:szCs w:val="21"/>
                <w:highlight w:val="none"/>
                <w:lang w:bidi="ar"/>
                <w14:textFill>
                  <w14:solidFill>
                    <w14:schemeClr w14:val="tx1"/>
                  </w14:solidFill>
                </w14:textFill>
              </w:rPr>
              <w:t>的区域。</w:t>
            </w:r>
          </w:p>
          <w:p w14:paraId="0D21C6B1">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26、处于地质灾害易灾区。</w:t>
            </w:r>
          </w:p>
          <w:p w14:paraId="66247154">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27、处于岩溶（喀斯特）地貌区。</w:t>
            </w:r>
          </w:p>
          <w:p w14:paraId="76583EF4">
            <w:pPr>
              <w:pStyle w:val="127"/>
              <w:spacing w:line="320" w:lineRule="exact"/>
              <w:ind w:firstLine="0" w:firstLineChars="0"/>
              <w:jc w:val="both"/>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28、已被相关部门鉴定为</w:t>
            </w:r>
            <w:r>
              <w:rPr>
                <w:rFonts w:hint="eastAsia" w:ascii="Times New Roman" w:hAnsi="Times New Roman" w:eastAsia="宋体"/>
                <w:color w:val="000000" w:themeColor="text1"/>
                <w:kern w:val="0"/>
                <w:sz w:val="21"/>
                <w:szCs w:val="21"/>
                <w:highlight w:val="none"/>
                <w:lang w:eastAsia="zh-CN" w:bidi="ar"/>
                <w14:textFill>
                  <w14:solidFill>
                    <w14:schemeClr w14:val="tx1"/>
                  </w14:solidFill>
                </w14:textFill>
              </w:rPr>
              <w:t>“</w:t>
            </w:r>
            <w:r>
              <w:rPr>
                <w:rFonts w:ascii="Times New Roman" w:hAnsi="Times New Roman" w:eastAsia="宋体"/>
                <w:color w:val="000000" w:themeColor="text1"/>
                <w:kern w:val="0"/>
                <w:sz w:val="21"/>
                <w:szCs w:val="21"/>
                <w:highlight w:val="none"/>
                <w:lang w:bidi="ar"/>
                <w14:textFill>
                  <w14:solidFill>
                    <w14:schemeClr w14:val="tx1"/>
                  </w14:solidFill>
                </w14:textFill>
              </w:rPr>
              <w:t>三边库</w:t>
            </w:r>
            <w:r>
              <w:rPr>
                <w:rFonts w:hint="eastAsia" w:ascii="Times New Roman" w:hAnsi="Times New Roman" w:eastAsia="宋体"/>
                <w:color w:val="000000" w:themeColor="text1"/>
                <w:kern w:val="0"/>
                <w:sz w:val="21"/>
                <w:szCs w:val="21"/>
                <w:highlight w:val="none"/>
                <w:lang w:eastAsia="zh-CN" w:bidi="ar"/>
                <w14:textFill>
                  <w14:solidFill>
                    <w14:schemeClr w14:val="tx1"/>
                  </w14:solidFill>
                </w14:textFill>
              </w:rPr>
              <w:t>”</w:t>
            </w:r>
            <w:r>
              <w:rPr>
                <w:rFonts w:ascii="Times New Roman" w:hAnsi="Times New Roman" w:eastAsia="宋体"/>
                <w:color w:val="000000" w:themeColor="text1"/>
                <w:kern w:val="0"/>
                <w:sz w:val="21"/>
                <w:szCs w:val="21"/>
                <w:highlight w:val="none"/>
                <w:lang w:bidi="ar"/>
                <w14:textFill>
                  <w14:solidFill>
                    <w14:schemeClr w14:val="tx1"/>
                  </w14:solidFill>
                </w14:textFill>
              </w:rPr>
              <w:t>、</w:t>
            </w:r>
            <w:r>
              <w:rPr>
                <w:rFonts w:hint="eastAsia" w:ascii="Times New Roman" w:hAnsi="Times New Roman" w:eastAsia="宋体"/>
                <w:color w:val="000000" w:themeColor="text1"/>
                <w:kern w:val="0"/>
                <w:sz w:val="21"/>
                <w:szCs w:val="21"/>
                <w:highlight w:val="none"/>
                <w:lang w:eastAsia="zh-CN" w:bidi="ar"/>
                <w14:textFill>
                  <w14:solidFill>
                    <w14:schemeClr w14:val="tx1"/>
                  </w14:solidFill>
                </w14:textFill>
              </w:rPr>
              <w:t>“</w:t>
            </w:r>
            <w:r>
              <w:rPr>
                <w:rFonts w:ascii="Times New Roman" w:hAnsi="Times New Roman" w:eastAsia="宋体"/>
                <w:color w:val="000000" w:themeColor="text1"/>
                <w:kern w:val="0"/>
                <w:sz w:val="21"/>
                <w:szCs w:val="21"/>
                <w:highlight w:val="none"/>
                <w:lang w:bidi="ar"/>
                <w14:textFill>
                  <w14:solidFill>
                    <w14:schemeClr w14:val="tx1"/>
                  </w14:solidFill>
                </w14:textFill>
              </w:rPr>
              <w:t>头顶库</w:t>
            </w:r>
            <w:r>
              <w:rPr>
                <w:rFonts w:hint="eastAsia" w:ascii="Times New Roman" w:hAnsi="Times New Roman" w:eastAsia="宋体"/>
                <w:color w:val="000000" w:themeColor="text1"/>
                <w:kern w:val="0"/>
                <w:sz w:val="21"/>
                <w:szCs w:val="21"/>
                <w:highlight w:val="none"/>
                <w:lang w:eastAsia="zh-CN" w:bidi="ar"/>
                <w14:textFill>
                  <w14:solidFill>
                    <w14:schemeClr w14:val="tx1"/>
                  </w14:solidFill>
                </w14:textFill>
              </w:rPr>
              <w:t>”</w:t>
            </w:r>
            <w:r>
              <w:rPr>
                <w:rFonts w:ascii="Times New Roman" w:hAnsi="Times New Roman" w:eastAsia="宋体"/>
                <w:color w:val="000000" w:themeColor="text1"/>
                <w:kern w:val="0"/>
                <w:sz w:val="21"/>
                <w:szCs w:val="21"/>
                <w:highlight w:val="none"/>
                <w:lang w:bidi="ar"/>
                <w14:textFill>
                  <w14:solidFill>
                    <w14:schemeClr w14:val="tx1"/>
                  </w14:solidFill>
                </w14:textFill>
              </w:rPr>
              <w:t>的尾矿库</w:t>
            </w:r>
            <w:r>
              <w:rPr>
                <w:rFonts w:hint="eastAsia" w:ascii="Times New Roman" w:hAnsi="Times New Roman" w:eastAsia="宋体"/>
                <w:color w:val="000000" w:themeColor="text1"/>
                <w:kern w:val="0"/>
                <w:sz w:val="21"/>
                <w:szCs w:val="21"/>
                <w:highlight w:val="none"/>
                <w:lang w:eastAsia="zh-CN" w:bidi="ar"/>
                <w14:textFill>
                  <w14:solidFill>
                    <w14:schemeClr w14:val="tx1"/>
                  </w14:solidFill>
                </w14:textFill>
              </w:rPr>
              <w:t>。</w:t>
            </w:r>
          </w:p>
        </w:tc>
        <w:tc>
          <w:tcPr>
            <w:tcW w:w="427" w:type="pct"/>
            <w:noWrap w:val="0"/>
            <w:vAlign w:val="center"/>
          </w:tcPr>
          <w:p w14:paraId="79D5F061">
            <w:pPr>
              <w:pStyle w:val="127"/>
              <w:keepNext w:val="0"/>
              <w:keepLines w:val="0"/>
              <w:pageBreakBefore w:val="0"/>
              <w:widowControl w:val="0"/>
              <w:kinsoku/>
              <w:wordWrap/>
              <w:overflowPunct/>
              <w:topLinePunct w:val="0"/>
              <w:autoSpaceDE/>
              <w:autoSpaceDN/>
              <w:bidi w:val="0"/>
              <w:adjustRightInd w:val="0"/>
              <w:snapToGrid w:val="0"/>
              <w:spacing w:line="320" w:lineRule="exact"/>
              <w:ind w:left="-120" w:leftChars="-50" w:right="-120" w:rightChars="-50" w:firstLine="0" w:firstLineChars="0"/>
              <w:jc w:val="center"/>
              <w:textAlignment w:val="auto"/>
              <w:rPr>
                <w:rFonts w:ascii="Times New Roman" w:hAnsi="Times New Roman" w:eastAsia="宋体"/>
                <w:color w:val="000000" w:themeColor="text1"/>
                <w:sz w:val="21"/>
                <w:szCs w:val="21"/>
                <w:highlight w:val="none"/>
                <w:lang w:val="en-US"/>
                <w14:textFill>
                  <w14:solidFill>
                    <w14:schemeClr w14:val="tx1"/>
                  </w14:solidFill>
                </w14:textFill>
              </w:rPr>
            </w:pPr>
            <w:r>
              <w:rPr>
                <w:rFonts w:ascii="Times New Roman" w:hAnsi="Times New Roman" w:eastAsia="宋体"/>
                <w:color w:val="000000" w:themeColor="text1"/>
                <w:sz w:val="21"/>
                <w:szCs w:val="21"/>
                <w:highlight w:val="none"/>
                <w:lang w:val="en-US"/>
                <w14:textFill>
                  <w14:solidFill>
                    <w14:schemeClr w14:val="tx1"/>
                  </w14:solidFill>
                </w14:textFill>
              </w:rPr>
              <w:t>不涉及</w:t>
            </w:r>
          </w:p>
        </w:tc>
      </w:tr>
      <w:tr w14:paraId="35DC4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3" w:type="pct"/>
            <w:noWrap w:val="0"/>
            <w:vAlign w:val="center"/>
          </w:tcPr>
          <w:p w14:paraId="34ED145F">
            <w:pPr>
              <w:keepNext w:val="0"/>
              <w:keepLines w:val="0"/>
              <w:pageBreakBefore w:val="0"/>
              <w:widowControl/>
              <w:kinsoku/>
              <w:wordWrap/>
              <w:overflowPunct/>
              <w:topLinePunct w:val="0"/>
              <w:autoSpaceDE/>
              <w:autoSpaceDN/>
              <w:bidi w:val="0"/>
              <w:spacing w:line="320" w:lineRule="exact"/>
              <w:ind w:left="-120" w:leftChars="-50" w:right="-120" w:rightChars="-50"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kern w:val="0"/>
                <w:sz w:val="21"/>
                <w:szCs w:val="21"/>
                <w:highlight w:val="none"/>
                <w:lang w:bidi="ar"/>
                <w14:textFill>
                  <w14:solidFill>
                    <w14:schemeClr w14:val="tx1"/>
                  </w14:solidFill>
                </w14:textFill>
              </w:rPr>
              <w:t>历史事件与环境违法情况</w:t>
            </w:r>
          </w:p>
        </w:tc>
        <w:tc>
          <w:tcPr>
            <w:tcW w:w="3969" w:type="pct"/>
            <w:gridSpan w:val="3"/>
            <w:noWrap w:val="0"/>
            <w:vAlign w:val="center"/>
          </w:tcPr>
          <w:p w14:paraId="56FD3089">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29、近3年内发生过较大及以上等级的生产安全事故或突发环境事件。</w:t>
            </w:r>
          </w:p>
          <w:p w14:paraId="17E4C4BA">
            <w:pPr>
              <w:pStyle w:val="127"/>
              <w:spacing w:line="320" w:lineRule="exact"/>
              <w:ind w:firstLine="0" w:firstLineChars="0"/>
              <w:jc w:val="both"/>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30、近3年内存在恶意环境违法行为或因环境问题与周边存在纠纷</w:t>
            </w:r>
            <w:r>
              <w:rPr>
                <w:rFonts w:hint="eastAsia" w:ascii="Times New Roman" w:hAnsi="Times New Roman" w:eastAsia="宋体"/>
                <w:color w:val="000000" w:themeColor="text1"/>
                <w:kern w:val="0"/>
                <w:sz w:val="21"/>
                <w:szCs w:val="21"/>
                <w:highlight w:val="none"/>
                <w:lang w:eastAsia="zh-CN" w:bidi="ar"/>
                <w14:textFill>
                  <w14:solidFill>
                    <w14:schemeClr w14:val="tx1"/>
                  </w14:solidFill>
                </w14:textFill>
              </w:rPr>
              <w:t>。</w:t>
            </w:r>
          </w:p>
        </w:tc>
        <w:tc>
          <w:tcPr>
            <w:tcW w:w="427" w:type="pct"/>
            <w:noWrap w:val="0"/>
            <w:vAlign w:val="center"/>
          </w:tcPr>
          <w:p w14:paraId="108E2CF3">
            <w:pPr>
              <w:pStyle w:val="127"/>
              <w:keepNext w:val="0"/>
              <w:keepLines w:val="0"/>
              <w:pageBreakBefore w:val="0"/>
              <w:widowControl w:val="0"/>
              <w:kinsoku/>
              <w:wordWrap/>
              <w:overflowPunct/>
              <w:topLinePunct w:val="0"/>
              <w:autoSpaceDE/>
              <w:autoSpaceDN/>
              <w:bidi w:val="0"/>
              <w:adjustRightInd w:val="0"/>
              <w:snapToGrid w:val="0"/>
              <w:spacing w:line="320" w:lineRule="exact"/>
              <w:ind w:left="-120" w:leftChars="-50" w:right="-120" w:rightChars="-50" w:firstLine="0" w:firstLineChars="0"/>
              <w:jc w:val="center"/>
              <w:textAlignment w:val="auto"/>
              <w:rPr>
                <w:rFonts w:ascii="Times New Roman" w:hAnsi="Times New Roman" w:eastAsia="宋体"/>
                <w:color w:val="000000" w:themeColor="text1"/>
                <w:sz w:val="21"/>
                <w:szCs w:val="21"/>
                <w:highlight w:val="none"/>
                <w:lang w:val="en-US"/>
                <w14:textFill>
                  <w14:solidFill>
                    <w14:schemeClr w14:val="tx1"/>
                  </w14:solidFill>
                </w14:textFill>
              </w:rPr>
            </w:pPr>
            <w:r>
              <w:rPr>
                <w:rFonts w:ascii="Times New Roman" w:hAnsi="Times New Roman" w:eastAsia="宋体"/>
                <w:color w:val="000000" w:themeColor="text1"/>
                <w:sz w:val="21"/>
                <w:szCs w:val="21"/>
                <w:highlight w:val="none"/>
                <w:lang w:val="en-US"/>
                <w14:textFill>
                  <w14:solidFill>
                    <w14:schemeClr w14:val="tx1"/>
                  </w14:solidFill>
                </w14:textFill>
              </w:rPr>
              <w:t>不涉及</w:t>
            </w:r>
          </w:p>
        </w:tc>
      </w:tr>
      <w:tr w14:paraId="6ACF7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48420948">
            <w:pPr>
              <w:widowControl/>
              <w:spacing w:line="320" w:lineRule="exact"/>
              <w:ind w:firstLine="0" w:firstLineChars="0"/>
              <w:jc w:val="both"/>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注：（1）类型：指矿种类型（包括主矿种、附属矿种）/固体废物类型/尾矿（或尾矿水）成分类型，以环境危害大的计算。</w:t>
            </w:r>
          </w:p>
          <w:p w14:paraId="70A8CEF5">
            <w:pPr>
              <w:widowControl/>
              <w:spacing w:line="320" w:lineRule="exact"/>
              <w:ind w:firstLine="0" w:firstLineChars="0"/>
              <w:jc w:val="both"/>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eastAsia="宋体"/>
                <w:color w:val="000000" w:themeColor="text1"/>
                <w:kern w:val="0"/>
                <w:sz w:val="21"/>
                <w:szCs w:val="21"/>
                <w:highlight w:val="none"/>
                <w:lang w:bidi="ar"/>
                <w14:textFill>
                  <w14:solidFill>
                    <w14:schemeClr w14:val="tx1"/>
                  </w14:solidFill>
                </w14:textFill>
              </w:rPr>
              <w:t>（2）表中复选框“□”表示可以多选</w:t>
            </w:r>
            <w:r>
              <w:rPr>
                <w:rFonts w:hint="eastAsia" w:ascii="Times New Roman" w:hAnsi="Times New Roman" w:eastAsia="宋体"/>
                <w:color w:val="000000" w:themeColor="text1"/>
                <w:kern w:val="0"/>
                <w:sz w:val="21"/>
                <w:szCs w:val="21"/>
                <w:highlight w:val="none"/>
                <w:lang w:eastAsia="zh-CN" w:bidi="ar"/>
                <w14:textFill>
                  <w14:solidFill>
                    <w14:schemeClr w14:val="tx1"/>
                  </w14:solidFill>
                </w14:textFill>
              </w:rPr>
              <w:t>。</w:t>
            </w:r>
          </w:p>
        </w:tc>
      </w:tr>
    </w:tbl>
    <w:p w14:paraId="6F6F57A6">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根据尾矿库环境风险预判表，本项目所需建设尾矿库即认定为重点环境监管尾矿库，需要进一步开展后续的环境风险评估。</w:t>
      </w:r>
    </w:p>
    <w:p w14:paraId="46595275">
      <w:pPr>
        <w:overflowPunct w:val="0"/>
        <w:topLinePunct/>
        <w:ind w:left="482" w:firstLine="0" w:firstLineChars="0"/>
        <w:rPr>
          <w:b w:val="0"/>
          <w:bCs w:val="0"/>
          <w:color w:val="000000" w:themeColor="text1"/>
          <w:highlight w:val="none"/>
          <w14:textFill>
            <w14:solidFill>
              <w14:schemeClr w14:val="tx1"/>
            </w14:solidFill>
          </w14:textFill>
        </w:rPr>
      </w:pPr>
      <w:r>
        <w:rPr>
          <w:rFonts w:hint="eastAsia"/>
          <w:b w:val="0"/>
          <w:bCs w:val="0"/>
          <w:color w:val="000000" w:themeColor="text1"/>
          <w:highlight w:val="none"/>
          <w:lang w:eastAsia="zh-CN"/>
          <w14:textFill>
            <w14:solidFill>
              <w14:schemeClr w14:val="tx1"/>
            </w14:solidFill>
          </w14:textFill>
        </w:rPr>
        <w:t>（</w:t>
      </w:r>
      <w:r>
        <w:rPr>
          <w:rFonts w:hint="eastAsia"/>
          <w:b w:val="0"/>
          <w:bCs w:val="0"/>
          <w:color w:val="000000" w:themeColor="text1"/>
          <w:highlight w:val="none"/>
          <w:lang w:val="en-US" w:eastAsia="zh-CN"/>
          <w14:textFill>
            <w14:solidFill>
              <w14:schemeClr w14:val="tx1"/>
            </w14:solidFill>
          </w14:textFill>
        </w:rPr>
        <w:t>2</w:t>
      </w:r>
      <w:r>
        <w:rPr>
          <w:rFonts w:hint="eastAsia"/>
          <w:b w:val="0"/>
          <w:bCs w:val="0"/>
          <w:color w:val="000000" w:themeColor="text1"/>
          <w:highlight w:val="none"/>
          <w:lang w:eastAsia="zh-CN"/>
          <w14:textFill>
            <w14:solidFill>
              <w14:schemeClr w14:val="tx1"/>
            </w14:solidFill>
          </w14:textFill>
        </w:rPr>
        <w:t>）</w:t>
      </w:r>
      <w:r>
        <w:rPr>
          <w:b w:val="0"/>
          <w:bCs w:val="0"/>
          <w:color w:val="000000" w:themeColor="text1"/>
          <w:highlight w:val="none"/>
          <w14:textFill>
            <w14:solidFill>
              <w14:schemeClr w14:val="tx1"/>
            </w14:solidFill>
          </w14:textFill>
        </w:rPr>
        <w:t>尾矿库环境风险等级划分指标体系</w:t>
      </w:r>
    </w:p>
    <w:p w14:paraId="4D07C996">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利用层次分析法，从尾矿库的环境危害性（H）、周边环境敏感性（S）、控制机制可靠性（R）三方面进行尾矿库环境风险等级划分。</w:t>
      </w:r>
    </w:p>
    <w:p w14:paraId="36925852">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color w:val="000000" w:themeColor="text1"/>
          <w:highlight w:val="none"/>
          <w14:textFill>
            <w14:solidFill>
              <w14:schemeClr w14:val="tx1"/>
            </w14:solidFill>
          </w14:textFill>
        </w:rPr>
        <w:t>环境危害性（H）</w:t>
      </w:r>
    </w:p>
    <w:p w14:paraId="38597A4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采用评分方法，对类型、性质和规模三方面指标进行评分与累加求和，评估尾矿库环境危害性（H），危险性等别划分指标见表</w:t>
      </w:r>
      <w:r>
        <w:rPr>
          <w:rFonts w:hint="eastAsia"/>
          <w:color w:val="000000" w:themeColor="text1"/>
          <w:highlight w:val="none"/>
          <w14:textFill>
            <w14:solidFill>
              <w14:schemeClr w14:val="tx1"/>
            </w14:solidFill>
          </w14:textFill>
        </w:rPr>
        <w:t>5.3-</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w:t>
      </w:r>
    </w:p>
    <w:p w14:paraId="7F3361FA">
      <w:pPr>
        <w:ind w:firstLine="482"/>
        <w:jc w:val="center"/>
        <w:rPr>
          <w:color w:val="000000" w:themeColor="text1"/>
          <w:highlight w:val="none"/>
          <w14:textFill>
            <w14:solidFill>
              <w14:schemeClr w14:val="tx1"/>
            </w14:solidFill>
          </w14:textFill>
        </w:rPr>
      </w:pPr>
      <w:r>
        <w:rPr>
          <w:b/>
          <w:color w:val="000000" w:themeColor="text1"/>
          <w:kern w:val="0"/>
          <w:highlight w:val="none"/>
          <w14:textFill>
            <w14:solidFill>
              <w14:schemeClr w14:val="tx1"/>
            </w14:solidFill>
          </w14:textFill>
        </w:rPr>
        <w:t>表</w:t>
      </w:r>
      <w:r>
        <w:rPr>
          <w:rFonts w:hint="eastAsia"/>
          <w:b/>
          <w:color w:val="000000" w:themeColor="text1"/>
          <w:kern w:val="0"/>
          <w:highlight w:val="none"/>
          <w14:textFill>
            <w14:solidFill>
              <w14:schemeClr w14:val="tx1"/>
            </w14:solidFill>
          </w14:textFill>
        </w:rPr>
        <w:t>5.3-</w:t>
      </w:r>
      <w:r>
        <w:rPr>
          <w:rFonts w:hint="eastAsia"/>
          <w:b/>
          <w:color w:val="000000" w:themeColor="text1"/>
          <w:kern w:val="0"/>
          <w:highlight w:val="none"/>
          <w:lang w:val="en-US" w:eastAsia="zh-CN"/>
          <w14:textFill>
            <w14:solidFill>
              <w14:schemeClr w14:val="tx1"/>
            </w14:solidFill>
          </w14:textFill>
        </w:rPr>
        <w:t>7</w:t>
      </w:r>
      <w:r>
        <w:rPr>
          <w:b/>
          <w:color w:val="000000" w:themeColor="text1"/>
          <w:kern w:val="0"/>
          <w:highlight w:val="none"/>
          <w14:textFill>
            <w14:solidFill>
              <w14:schemeClr w14:val="tx1"/>
            </w14:solidFill>
          </w14:textFill>
        </w:rPr>
        <w:t xml:space="preserve">    尾矿库环境危害性（H）等别划分指标体系</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052"/>
        <w:gridCol w:w="687"/>
        <w:gridCol w:w="1163"/>
        <w:gridCol w:w="1140"/>
        <w:gridCol w:w="1935"/>
        <w:gridCol w:w="847"/>
        <w:gridCol w:w="1160"/>
      </w:tblGrid>
      <w:tr w14:paraId="5879E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38" w:type="dxa"/>
            <w:tcBorders>
              <w:tl2br w:val="nil"/>
              <w:tr2bl w:val="nil"/>
            </w:tcBorders>
            <w:noWrap w:val="0"/>
            <w:vAlign w:val="center"/>
          </w:tcPr>
          <w:p w14:paraId="4936EF6A">
            <w:pPr>
              <w:spacing w:line="360" w:lineRule="exact"/>
              <w:ind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序号</w:t>
            </w:r>
          </w:p>
        </w:tc>
        <w:tc>
          <w:tcPr>
            <w:tcW w:w="5977" w:type="dxa"/>
            <w:gridSpan w:val="5"/>
            <w:tcBorders>
              <w:tl2br w:val="nil"/>
              <w:tr2bl w:val="nil"/>
            </w:tcBorders>
            <w:noWrap w:val="0"/>
            <w:vAlign w:val="center"/>
          </w:tcPr>
          <w:p w14:paraId="45271CC2">
            <w:pPr>
              <w:spacing w:line="360" w:lineRule="exact"/>
              <w:ind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指标项目</w:t>
            </w:r>
          </w:p>
        </w:tc>
        <w:tc>
          <w:tcPr>
            <w:tcW w:w="847" w:type="dxa"/>
            <w:tcBorders>
              <w:tl2br w:val="nil"/>
              <w:tr2bl w:val="nil"/>
            </w:tcBorders>
            <w:noWrap w:val="0"/>
            <w:vAlign w:val="center"/>
          </w:tcPr>
          <w:p w14:paraId="1A405CFE">
            <w:pPr>
              <w:spacing w:line="360" w:lineRule="exact"/>
              <w:ind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14:textFill>
                  <w14:solidFill>
                    <w14:schemeClr w14:val="tx1"/>
                  </w14:solidFill>
                </w14:textFill>
              </w:rPr>
              <w:t>指标分值</w:t>
            </w:r>
          </w:p>
        </w:tc>
        <w:tc>
          <w:tcPr>
            <w:tcW w:w="1160" w:type="dxa"/>
            <w:tcBorders>
              <w:tl2br w:val="nil"/>
              <w:tr2bl w:val="nil"/>
            </w:tcBorders>
            <w:noWrap w:val="0"/>
            <w:vAlign w:val="center"/>
          </w:tcPr>
          <w:p w14:paraId="640D3C57">
            <w:pPr>
              <w:spacing w:line="360" w:lineRule="exact"/>
              <w:ind w:firstLine="0" w:firstLineChars="0"/>
              <w:jc w:val="center"/>
              <w:rPr>
                <w:b/>
                <w:color w:val="000000" w:themeColor="text1"/>
                <w:kern w:val="0"/>
                <w:sz w:val="21"/>
                <w:szCs w:val="21"/>
                <w:highlight w:val="none"/>
                <w14:textFill>
                  <w14:solidFill>
                    <w14:schemeClr w14:val="tx1"/>
                  </w14:solidFill>
                </w14:textFill>
              </w:rPr>
            </w:pPr>
            <w:r>
              <w:rPr>
                <w:rFonts w:hint="eastAsia"/>
                <w:b/>
                <w:color w:val="000000" w:themeColor="text1"/>
                <w:kern w:val="0"/>
                <w:sz w:val="21"/>
                <w:szCs w:val="21"/>
                <w:highlight w:val="none"/>
                <w:lang w:val="en-US" w:eastAsia="zh-CN"/>
                <w14:textFill>
                  <w14:solidFill>
                    <w14:schemeClr w14:val="tx1"/>
                  </w14:solidFill>
                </w14:textFill>
              </w:rPr>
              <w:t>本项目</w:t>
            </w:r>
            <w:r>
              <w:rPr>
                <w:rFonts w:hint="eastAsia"/>
                <w:b/>
                <w:color w:val="000000" w:themeColor="text1"/>
                <w:kern w:val="0"/>
                <w:sz w:val="21"/>
                <w:szCs w:val="21"/>
                <w:highlight w:val="none"/>
                <w14:textFill>
                  <w14:solidFill>
                    <w14:schemeClr w14:val="tx1"/>
                  </w14:solidFill>
                </w14:textFill>
              </w:rPr>
              <w:t>尾矿库</w:t>
            </w:r>
          </w:p>
        </w:tc>
      </w:tr>
      <w:tr w14:paraId="758C1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dxa"/>
            <w:tcBorders>
              <w:tl2br w:val="nil"/>
              <w:tr2bl w:val="nil"/>
            </w:tcBorders>
            <w:noWrap w:val="0"/>
            <w:vAlign w:val="center"/>
          </w:tcPr>
          <w:p w14:paraId="3903D66D">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1</w:t>
            </w:r>
          </w:p>
        </w:tc>
        <w:tc>
          <w:tcPr>
            <w:tcW w:w="1052" w:type="dxa"/>
            <w:vMerge w:val="restart"/>
            <w:tcBorders>
              <w:tl2br w:val="nil"/>
              <w:tr2bl w:val="nil"/>
            </w:tcBorders>
            <w:noWrap w:val="0"/>
            <w:vAlign w:val="center"/>
          </w:tcPr>
          <w:p w14:paraId="62384772">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尾矿库环境危害性</w:t>
            </w:r>
          </w:p>
        </w:tc>
        <w:tc>
          <w:tcPr>
            <w:tcW w:w="687" w:type="dxa"/>
            <w:tcBorders>
              <w:tl2br w:val="nil"/>
              <w:tr2bl w:val="nil"/>
            </w:tcBorders>
            <w:noWrap w:val="0"/>
            <w:vAlign w:val="center"/>
          </w:tcPr>
          <w:p w14:paraId="098AC40C">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类型</w:t>
            </w:r>
          </w:p>
        </w:tc>
        <w:tc>
          <w:tcPr>
            <w:tcW w:w="4238" w:type="dxa"/>
            <w:gridSpan w:val="3"/>
            <w:tcBorders>
              <w:tl2br w:val="nil"/>
              <w:tr2bl w:val="nil"/>
            </w:tcBorders>
            <w:noWrap w:val="0"/>
            <w:vAlign w:val="center"/>
          </w:tcPr>
          <w:p w14:paraId="1586AC81">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矿种类型/固体废物类型/尾矿（或尾矿水）成分类型</w:t>
            </w:r>
          </w:p>
        </w:tc>
        <w:tc>
          <w:tcPr>
            <w:tcW w:w="847" w:type="dxa"/>
            <w:tcBorders>
              <w:tl2br w:val="nil"/>
              <w:tr2bl w:val="nil"/>
            </w:tcBorders>
            <w:noWrap w:val="0"/>
            <w:vAlign w:val="center"/>
          </w:tcPr>
          <w:p w14:paraId="22F22BF4">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48</w:t>
            </w:r>
          </w:p>
        </w:tc>
        <w:tc>
          <w:tcPr>
            <w:tcW w:w="1160" w:type="dxa"/>
            <w:tcBorders>
              <w:tl2br w:val="nil"/>
              <w:tr2bl w:val="nil"/>
            </w:tcBorders>
            <w:noWrap w:val="0"/>
            <w:vAlign w:val="center"/>
          </w:tcPr>
          <w:p w14:paraId="39BD478F">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r>
      <w:tr w14:paraId="73BB5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dxa"/>
            <w:tcBorders>
              <w:tl2br w:val="nil"/>
              <w:tr2bl w:val="nil"/>
            </w:tcBorders>
            <w:noWrap w:val="0"/>
            <w:vAlign w:val="center"/>
          </w:tcPr>
          <w:p w14:paraId="470FDD02">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2</w:t>
            </w:r>
          </w:p>
        </w:tc>
        <w:tc>
          <w:tcPr>
            <w:tcW w:w="1052" w:type="dxa"/>
            <w:vMerge w:val="continue"/>
            <w:tcBorders>
              <w:tl2br w:val="nil"/>
              <w:tr2bl w:val="nil"/>
            </w:tcBorders>
            <w:noWrap w:val="0"/>
            <w:vAlign w:val="center"/>
          </w:tcPr>
          <w:p w14:paraId="3232B526">
            <w:pPr>
              <w:spacing w:line="360" w:lineRule="exact"/>
              <w:ind w:firstLine="0" w:firstLineChars="0"/>
              <w:jc w:val="center"/>
              <w:rPr>
                <w:bCs/>
                <w:color w:val="000000" w:themeColor="text1"/>
                <w:kern w:val="0"/>
                <w:sz w:val="21"/>
                <w:szCs w:val="21"/>
                <w:highlight w:val="none"/>
                <w14:textFill>
                  <w14:solidFill>
                    <w14:schemeClr w14:val="tx1"/>
                  </w14:solidFill>
                </w14:textFill>
              </w:rPr>
            </w:pPr>
          </w:p>
        </w:tc>
        <w:tc>
          <w:tcPr>
            <w:tcW w:w="687" w:type="dxa"/>
            <w:vMerge w:val="restart"/>
            <w:tcBorders>
              <w:tl2br w:val="nil"/>
              <w:tr2bl w:val="nil"/>
            </w:tcBorders>
            <w:noWrap w:val="0"/>
            <w:vAlign w:val="center"/>
          </w:tcPr>
          <w:p w14:paraId="20F69A44">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性质</w:t>
            </w:r>
          </w:p>
        </w:tc>
        <w:tc>
          <w:tcPr>
            <w:tcW w:w="1163" w:type="dxa"/>
            <w:vMerge w:val="restart"/>
            <w:tcBorders>
              <w:tl2br w:val="nil"/>
              <w:tr2bl w:val="nil"/>
            </w:tcBorders>
            <w:noWrap w:val="0"/>
            <w:vAlign w:val="center"/>
          </w:tcPr>
          <w:p w14:paraId="02D9519D">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特征污染物指标浓度情况</w:t>
            </w:r>
          </w:p>
        </w:tc>
        <w:tc>
          <w:tcPr>
            <w:tcW w:w="1140" w:type="dxa"/>
            <w:vMerge w:val="restart"/>
            <w:tcBorders>
              <w:tl2br w:val="nil"/>
              <w:tr2bl w:val="nil"/>
            </w:tcBorders>
            <w:noWrap w:val="0"/>
            <w:vAlign w:val="center"/>
          </w:tcPr>
          <w:p w14:paraId="421DBF3C">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浓度倍数情况</w:t>
            </w:r>
          </w:p>
        </w:tc>
        <w:tc>
          <w:tcPr>
            <w:tcW w:w="1935" w:type="dxa"/>
            <w:tcBorders>
              <w:tl2br w:val="nil"/>
              <w:tr2bl w:val="nil"/>
            </w:tcBorders>
            <w:noWrap w:val="0"/>
            <w:vAlign w:val="center"/>
          </w:tcPr>
          <w:p w14:paraId="536B6366">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pH值</w:t>
            </w:r>
          </w:p>
        </w:tc>
        <w:tc>
          <w:tcPr>
            <w:tcW w:w="847" w:type="dxa"/>
            <w:tcBorders>
              <w:tl2br w:val="nil"/>
              <w:tr2bl w:val="nil"/>
            </w:tcBorders>
            <w:noWrap w:val="0"/>
            <w:vAlign w:val="center"/>
          </w:tcPr>
          <w:p w14:paraId="29557231">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8</w:t>
            </w:r>
          </w:p>
        </w:tc>
        <w:tc>
          <w:tcPr>
            <w:tcW w:w="1160" w:type="dxa"/>
            <w:tcBorders>
              <w:tl2br w:val="nil"/>
              <w:tr2bl w:val="nil"/>
            </w:tcBorders>
            <w:noWrap w:val="0"/>
            <w:vAlign w:val="center"/>
          </w:tcPr>
          <w:p w14:paraId="4D015E2D">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r>
      <w:tr w14:paraId="13877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dxa"/>
            <w:tcBorders>
              <w:tl2br w:val="nil"/>
              <w:tr2bl w:val="nil"/>
            </w:tcBorders>
            <w:noWrap w:val="0"/>
            <w:vAlign w:val="center"/>
          </w:tcPr>
          <w:p w14:paraId="0F999A09">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3</w:t>
            </w:r>
          </w:p>
        </w:tc>
        <w:tc>
          <w:tcPr>
            <w:tcW w:w="1052" w:type="dxa"/>
            <w:vMerge w:val="continue"/>
            <w:tcBorders>
              <w:tl2br w:val="nil"/>
              <w:tr2bl w:val="nil"/>
            </w:tcBorders>
            <w:noWrap w:val="0"/>
            <w:vAlign w:val="center"/>
          </w:tcPr>
          <w:p w14:paraId="429563DA">
            <w:pPr>
              <w:spacing w:line="360" w:lineRule="exact"/>
              <w:ind w:firstLine="0" w:firstLineChars="0"/>
              <w:jc w:val="center"/>
              <w:rPr>
                <w:bCs/>
                <w:color w:val="000000" w:themeColor="text1"/>
                <w:kern w:val="0"/>
                <w:sz w:val="21"/>
                <w:szCs w:val="21"/>
                <w:highlight w:val="none"/>
                <w14:textFill>
                  <w14:solidFill>
                    <w14:schemeClr w14:val="tx1"/>
                  </w14:solidFill>
                </w14:textFill>
              </w:rPr>
            </w:pPr>
          </w:p>
        </w:tc>
        <w:tc>
          <w:tcPr>
            <w:tcW w:w="687" w:type="dxa"/>
            <w:vMerge w:val="continue"/>
            <w:tcBorders>
              <w:tl2br w:val="nil"/>
              <w:tr2bl w:val="nil"/>
            </w:tcBorders>
            <w:noWrap w:val="0"/>
            <w:vAlign w:val="center"/>
          </w:tcPr>
          <w:p w14:paraId="19176F5F">
            <w:pPr>
              <w:spacing w:line="360" w:lineRule="exact"/>
              <w:ind w:firstLine="0" w:firstLineChars="0"/>
              <w:jc w:val="center"/>
              <w:rPr>
                <w:bCs/>
                <w:color w:val="000000" w:themeColor="text1"/>
                <w:kern w:val="0"/>
                <w:sz w:val="21"/>
                <w:szCs w:val="21"/>
                <w:highlight w:val="none"/>
                <w14:textFill>
                  <w14:solidFill>
                    <w14:schemeClr w14:val="tx1"/>
                  </w14:solidFill>
                </w14:textFill>
              </w:rPr>
            </w:pPr>
          </w:p>
        </w:tc>
        <w:tc>
          <w:tcPr>
            <w:tcW w:w="1163" w:type="dxa"/>
            <w:vMerge w:val="continue"/>
            <w:tcBorders>
              <w:tl2br w:val="nil"/>
              <w:tr2bl w:val="nil"/>
            </w:tcBorders>
            <w:noWrap w:val="0"/>
            <w:vAlign w:val="center"/>
          </w:tcPr>
          <w:p w14:paraId="3452813D">
            <w:pPr>
              <w:spacing w:line="360" w:lineRule="exact"/>
              <w:ind w:firstLine="0" w:firstLineChars="0"/>
              <w:jc w:val="center"/>
              <w:rPr>
                <w:bCs/>
                <w:color w:val="000000" w:themeColor="text1"/>
                <w:kern w:val="0"/>
                <w:sz w:val="21"/>
                <w:szCs w:val="21"/>
                <w:highlight w:val="none"/>
                <w14:textFill>
                  <w14:solidFill>
                    <w14:schemeClr w14:val="tx1"/>
                  </w14:solidFill>
                </w14:textFill>
              </w:rPr>
            </w:pPr>
          </w:p>
        </w:tc>
        <w:tc>
          <w:tcPr>
            <w:tcW w:w="1140" w:type="dxa"/>
            <w:vMerge w:val="continue"/>
            <w:tcBorders>
              <w:tl2br w:val="nil"/>
              <w:tr2bl w:val="nil"/>
            </w:tcBorders>
            <w:noWrap w:val="0"/>
            <w:vAlign w:val="center"/>
          </w:tcPr>
          <w:p w14:paraId="76A0502A">
            <w:pPr>
              <w:spacing w:line="360" w:lineRule="exact"/>
              <w:ind w:firstLine="0" w:firstLineChars="0"/>
              <w:jc w:val="center"/>
              <w:rPr>
                <w:bCs/>
                <w:color w:val="000000" w:themeColor="text1"/>
                <w:kern w:val="0"/>
                <w:sz w:val="21"/>
                <w:szCs w:val="21"/>
                <w:highlight w:val="none"/>
                <w14:textFill>
                  <w14:solidFill>
                    <w14:schemeClr w14:val="tx1"/>
                  </w14:solidFill>
                </w14:textFill>
              </w:rPr>
            </w:pPr>
          </w:p>
        </w:tc>
        <w:tc>
          <w:tcPr>
            <w:tcW w:w="1935" w:type="dxa"/>
            <w:tcBorders>
              <w:tl2br w:val="nil"/>
              <w:tr2bl w:val="nil"/>
            </w:tcBorders>
            <w:noWrap w:val="0"/>
            <w:vAlign w:val="center"/>
          </w:tcPr>
          <w:p w14:paraId="0A2B1E55">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指标最高浓度倍数</w:t>
            </w:r>
          </w:p>
        </w:tc>
        <w:tc>
          <w:tcPr>
            <w:tcW w:w="847" w:type="dxa"/>
            <w:tcBorders>
              <w:tl2br w:val="nil"/>
              <w:tr2bl w:val="nil"/>
            </w:tcBorders>
            <w:noWrap w:val="0"/>
            <w:vAlign w:val="center"/>
          </w:tcPr>
          <w:p w14:paraId="319E4721">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14</w:t>
            </w:r>
          </w:p>
        </w:tc>
        <w:tc>
          <w:tcPr>
            <w:tcW w:w="1160" w:type="dxa"/>
            <w:tcBorders>
              <w:tl2br w:val="nil"/>
              <w:tr2bl w:val="nil"/>
            </w:tcBorders>
            <w:noWrap w:val="0"/>
            <w:vAlign w:val="center"/>
          </w:tcPr>
          <w:p w14:paraId="3A8F3324">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r>
      <w:tr w14:paraId="2AE08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dxa"/>
            <w:tcBorders>
              <w:tl2br w:val="nil"/>
              <w:tr2bl w:val="nil"/>
            </w:tcBorders>
            <w:noWrap w:val="0"/>
            <w:vAlign w:val="center"/>
          </w:tcPr>
          <w:p w14:paraId="46297B65">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4</w:t>
            </w:r>
          </w:p>
        </w:tc>
        <w:tc>
          <w:tcPr>
            <w:tcW w:w="1052" w:type="dxa"/>
            <w:vMerge w:val="continue"/>
            <w:tcBorders>
              <w:tl2br w:val="nil"/>
              <w:tr2bl w:val="nil"/>
            </w:tcBorders>
            <w:noWrap w:val="0"/>
            <w:vAlign w:val="center"/>
          </w:tcPr>
          <w:p w14:paraId="31E257FD">
            <w:pPr>
              <w:spacing w:line="360" w:lineRule="exact"/>
              <w:ind w:firstLine="0" w:firstLineChars="0"/>
              <w:jc w:val="center"/>
              <w:rPr>
                <w:bCs/>
                <w:color w:val="000000" w:themeColor="text1"/>
                <w:kern w:val="0"/>
                <w:sz w:val="21"/>
                <w:szCs w:val="21"/>
                <w:highlight w:val="none"/>
                <w14:textFill>
                  <w14:solidFill>
                    <w14:schemeClr w14:val="tx1"/>
                  </w14:solidFill>
                </w14:textFill>
              </w:rPr>
            </w:pPr>
          </w:p>
        </w:tc>
        <w:tc>
          <w:tcPr>
            <w:tcW w:w="687" w:type="dxa"/>
            <w:vMerge w:val="continue"/>
            <w:tcBorders>
              <w:tl2br w:val="nil"/>
              <w:tr2bl w:val="nil"/>
            </w:tcBorders>
            <w:noWrap w:val="0"/>
            <w:vAlign w:val="center"/>
          </w:tcPr>
          <w:p w14:paraId="46A16AC5">
            <w:pPr>
              <w:spacing w:line="360" w:lineRule="exact"/>
              <w:ind w:firstLine="0" w:firstLineChars="0"/>
              <w:jc w:val="center"/>
              <w:rPr>
                <w:bCs/>
                <w:color w:val="000000" w:themeColor="text1"/>
                <w:kern w:val="0"/>
                <w:sz w:val="21"/>
                <w:szCs w:val="21"/>
                <w:highlight w:val="none"/>
                <w14:textFill>
                  <w14:solidFill>
                    <w14:schemeClr w14:val="tx1"/>
                  </w14:solidFill>
                </w14:textFill>
              </w:rPr>
            </w:pPr>
          </w:p>
        </w:tc>
        <w:tc>
          <w:tcPr>
            <w:tcW w:w="1163" w:type="dxa"/>
            <w:vMerge w:val="continue"/>
            <w:tcBorders>
              <w:tl2br w:val="nil"/>
              <w:tr2bl w:val="nil"/>
            </w:tcBorders>
            <w:noWrap w:val="0"/>
            <w:vAlign w:val="center"/>
          </w:tcPr>
          <w:p w14:paraId="2F75197F">
            <w:pPr>
              <w:spacing w:line="360" w:lineRule="exact"/>
              <w:ind w:firstLine="0" w:firstLineChars="0"/>
              <w:jc w:val="center"/>
              <w:rPr>
                <w:bCs/>
                <w:color w:val="000000" w:themeColor="text1"/>
                <w:kern w:val="0"/>
                <w:sz w:val="21"/>
                <w:szCs w:val="21"/>
                <w:highlight w:val="none"/>
                <w14:textFill>
                  <w14:solidFill>
                    <w14:schemeClr w14:val="tx1"/>
                  </w14:solidFill>
                </w14:textFill>
              </w:rPr>
            </w:pPr>
          </w:p>
        </w:tc>
        <w:tc>
          <w:tcPr>
            <w:tcW w:w="3075" w:type="dxa"/>
            <w:gridSpan w:val="2"/>
            <w:tcBorders>
              <w:tl2br w:val="nil"/>
              <w:tr2bl w:val="nil"/>
            </w:tcBorders>
            <w:noWrap w:val="0"/>
            <w:vAlign w:val="center"/>
          </w:tcPr>
          <w:p w14:paraId="2394D9EA">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浓度倍数3倍及以上指标项数</w:t>
            </w:r>
          </w:p>
        </w:tc>
        <w:tc>
          <w:tcPr>
            <w:tcW w:w="847" w:type="dxa"/>
            <w:tcBorders>
              <w:tl2br w:val="nil"/>
              <w:tr2bl w:val="nil"/>
            </w:tcBorders>
            <w:noWrap w:val="0"/>
            <w:vAlign w:val="center"/>
          </w:tcPr>
          <w:p w14:paraId="5F8C9833">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6</w:t>
            </w:r>
          </w:p>
        </w:tc>
        <w:tc>
          <w:tcPr>
            <w:tcW w:w="1160" w:type="dxa"/>
            <w:tcBorders>
              <w:tl2br w:val="nil"/>
              <w:tr2bl w:val="nil"/>
            </w:tcBorders>
            <w:noWrap w:val="0"/>
            <w:vAlign w:val="center"/>
          </w:tcPr>
          <w:p w14:paraId="4203BC0E">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0</w:t>
            </w:r>
          </w:p>
        </w:tc>
      </w:tr>
      <w:tr w14:paraId="6380C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dxa"/>
            <w:tcBorders>
              <w:tl2br w:val="nil"/>
              <w:tr2bl w:val="nil"/>
            </w:tcBorders>
            <w:noWrap w:val="0"/>
            <w:vAlign w:val="center"/>
          </w:tcPr>
          <w:p w14:paraId="30B66D23">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5</w:t>
            </w:r>
          </w:p>
        </w:tc>
        <w:tc>
          <w:tcPr>
            <w:tcW w:w="1052" w:type="dxa"/>
            <w:vMerge w:val="continue"/>
            <w:tcBorders>
              <w:tl2br w:val="nil"/>
              <w:tr2bl w:val="nil"/>
            </w:tcBorders>
            <w:noWrap w:val="0"/>
            <w:vAlign w:val="center"/>
          </w:tcPr>
          <w:p w14:paraId="75EC77EF">
            <w:pPr>
              <w:spacing w:line="360" w:lineRule="exact"/>
              <w:ind w:firstLine="0" w:firstLineChars="0"/>
              <w:jc w:val="center"/>
              <w:rPr>
                <w:bCs/>
                <w:color w:val="000000" w:themeColor="text1"/>
                <w:kern w:val="0"/>
                <w:sz w:val="21"/>
                <w:szCs w:val="21"/>
                <w:highlight w:val="none"/>
                <w14:textFill>
                  <w14:solidFill>
                    <w14:schemeClr w14:val="tx1"/>
                  </w14:solidFill>
                </w14:textFill>
              </w:rPr>
            </w:pPr>
          </w:p>
        </w:tc>
        <w:tc>
          <w:tcPr>
            <w:tcW w:w="687" w:type="dxa"/>
            <w:tcBorders>
              <w:tl2br w:val="nil"/>
              <w:tr2bl w:val="nil"/>
            </w:tcBorders>
            <w:noWrap w:val="0"/>
            <w:vAlign w:val="center"/>
          </w:tcPr>
          <w:p w14:paraId="1B1B0D6B">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规模</w:t>
            </w:r>
          </w:p>
        </w:tc>
        <w:tc>
          <w:tcPr>
            <w:tcW w:w="4238" w:type="dxa"/>
            <w:gridSpan w:val="3"/>
            <w:tcBorders>
              <w:tl2br w:val="nil"/>
              <w:tr2bl w:val="nil"/>
            </w:tcBorders>
            <w:noWrap w:val="0"/>
            <w:vAlign w:val="center"/>
          </w:tcPr>
          <w:p w14:paraId="36FF5837">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现状库容</w:t>
            </w:r>
          </w:p>
        </w:tc>
        <w:tc>
          <w:tcPr>
            <w:tcW w:w="847" w:type="dxa"/>
            <w:tcBorders>
              <w:tl2br w:val="nil"/>
              <w:tr2bl w:val="nil"/>
            </w:tcBorders>
            <w:noWrap w:val="0"/>
            <w:vAlign w:val="center"/>
          </w:tcPr>
          <w:p w14:paraId="701A3BAE">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bCs/>
                <w:color w:val="000000" w:themeColor="text1"/>
                <w:kern w:val="0"/>
                <w:sz w:val="21"/>
                <w:szCs w:val="21"/>
                <w:highlight w:val="none"/>
                <w14:textFill>
                  <w14:solidFill>
                    <w14:schemeClr w14:val="tx1"/>
                  </w14:solidFill>
                </w14:textFill>
              </w:rPr>
              <w:t>24</w:t>
            </w:r>
          </w:p>
        </w:tc>
        <w:tc>
          <w:tcPr>
            <w:tcW w:w="1160" w:type="dxa"/>
            <w:tcBorders>
              <w:tl2br w:val="nil"/>
              <w:tr2bl w:val="nil"/>
            </w:tcBorders>
            <w:noWrap w:val="0"/>
            <w:vAlign w:val="center"/>
          </w:tcPr>
          <w:p w14:paraId="4F050A85">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12</w:t>
            </w:r>
          </w:p>
        </w:tc>
      </w:tr>
      <w:tr w14:paraId="3FEEE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2" w:type="dxa"/>
            <w:gridSpan w:val="7"/>
            <w:tcBorders>
              <w:tl2br w:val="nil"/>
              <w:tr2bl w:val="nil"/>
            </w:tcBorders>
            <w:noWrap w:val="0"/>
            <w:vAlign w:val="center"/>
          </w:tcPr>
          <w:p w14:paraId="0A2E12CF">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合计</w:t>
            </w:r>
          </w:p>
        </w:tc>
        <w:tc>
          <w:tcPr>
            <w:tcW w:w="1160" w:type="dxa"/>
            <w:tcBorders>
              <w:tl2br w:val="nil"/>
              <w:tr2bl w:val="nil"/>
            </w:tcBorders>
            <w:noWrap w:val="0"/>
            <w:vAlign w:val="center"/>
          </w:tcPr>
          <w:p w14:paraId="698A389B">
            <w:pPr>
              <w:spacing w:line="360" w:lineRule="exact"/>
              <w:ind w:firstLine="0" w:firstLineChars="0"/>
              <w:jc w:val="center"/>
              <w:rPr>
                <w:bCs/>
                <w:color w:val="000000" w:themeColor="text1"/>
                <w:kern w:val="0"/>
                <w:sz w:val="21"/>
                <w:szCs w:val="21"/>
                <w:highlight w:val="none"/>
                <w14:textFill>
                  <w14:solidFill>
                    <w14:schemeClr w14:val="tx1"/>
                  </w14:solidFill>
                </w14:textFill>
              </w:rPr>
            </w:pPr>
            <w:r>
              <w:rPr>
                <w:rFonts w:hint="eastAsia"/>
                <w:bCs/>
                <w:color w:val="000000" w:themeColor="text1"/>
                <w:kern w:val="0"/>
                <w:sz w:val="21"/>
                <w:szCs w:val="21"/>
                <w:highlight w:val="none"/>
                <w14:textFill>
                  <w14:solidFill>
                    <w14:schemeClr w14:val="tx1"/>
                  </w14:solidFill>
                </w14:textFill>
              </w:rPr>
              <w:t>12</w:t>
            </w:r>
          </w:p>
        </w:tc>
      </w:tr>
    </w:tbl>
    <w:p w14:paraId="21395DF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尾矿库等别划分见表</w:t>
      </w:r>
      <w:r>
        <w:rPr>
          <w:rFonts w:hint="eastAsia"/>
          <w:color w:val="000000" w:themeColor="text1"/>
          <w:highlight w:val="none"/>
          <w14:textFill>
            <w14:solidFill>
              <w14:schemeClr w14:val="tx1"/>
            </w14:solidFill>
          </w14:textFill>
        </w:rPr>
        <w:t>5.3-</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w:t>
      </w:r>
    </w:p>
    <w:p w14:paraId="0B297602">
      <w:pPr>
        <w:overflowPunct w:val="0"/>
        <w:topLinePunct/>
        <w:ind w:firstLine="480"/>
        <w:rPr>
          <w:color w:val="000000" w:themeColor="text1"/>
          <w:highlight w:val="none"/>
          <w14:textFill>
            <w14:solidFill>
              <w14:schemeClr w14:val="tx1"/>
            </w14:solidFill>
          </w14:textFill>
        </w:rPr>
      </w:pPr>
    </w:p>
    <w:p w14:paraId="346BD5DB">
      <w:pPr>
        <w:overflowPunct w:val="0"/>
        <w:topLinePunct/>
        <w:ind w:firstLine="480"/>
        <w:rPr>
          <w:color w:val="000000" w:themeColor="text1"/>
          <w:highlight w:val="none"/>
          <w14:textFill>
            <w14:solidFill>
              <w14:schemeClr w14:val="tx1"/>
            </w14:solidFill>
          </w14:textFill>
        </w:rPr>
      </w:pPr>
    </w:p>
    <w:p w14:paraId="41E43708">
      <w:pPr>
        <w:ind w:firstLine="0" w:firstLineChars="0"/>
        <w:jc w:val="center"/>
        <w:rPr>
          <w:b/>
          <w:color w:val="000000" w:themeColor="text1"/>
          <w:kern w:val="0"/>
          <w:highlight w:val="none"/>
          <w14:textFill>
            <w14:solidFill>
              <w14:schemeClr w14:val="tx1"/>
            </w14:solidFill>
          </w14:textFill>
        </w:rPr>
      </w:pPr>
      <w:r>
        <w:rPr>
          <w:b/>
          <w:color w:val="000000" w:themeColor="text1"/>
          <w:kern w:val="0"/>
          <w:highlight w:val="none"/>
          <w14:textFill>
            <w14:solidFill>
              <w14:schemeClr w14:val="tx1"/>
            </w14:solidFill>
          </w14:textFill>
        </w:rPr>
        <w:t>表</w:t>
      </w:r>
      <w:r>
        <w:rPr>
          <w:rFonts w:hint="eastAsia"/>
          <w:b/>
          <w:color w:val="000000" w:themeColor="text1"/>
          <w:kern w:val="0"/>
          <w:highlight w:val="none"/>
          <w14:textFill>
            <w14:solidFill>
              <w14:schemeClr w14:val="tx1"/>
            </w14:solidFill>
          </w14:textFill>
        </w:rPr>
        <w:t>5.3-</w:t>
      </w:r>
      <w:r>
        <w:rPr>
          <w:rFonts w:hint="eastAsia"/>
          <w:b/>
          <w:color w:val="000000" w:themeColor="text1"/>
          <w:kern w:val="0"/>
          <w:highlight w:val="none"/>
          <w:lang w:val="en-US" w:eastAsia="zh-CN"/>
          <w14:textFill>
            <w14:solidFill>
              <w14:schemeClr w14:val="tx1"/>
            </w14:solidFill>
          </w14:textFill>
        </w:rPr>
        <w:t>8</w:t>
      </w:r>
      <w:r>
        <w:rPr>
          <w:b/>
          <w:color w:val="000000" w:themeColor="text1"/>
          <w:kern w:val="0"/>
          <w:highlight w:val="none"/>
          <w14:textFill>
            <w14:solidFill>
              <w14:schemeClr w14:val="tx1"/>
            </w14:solidFill>
          </w14:textFill>
        </w:rPr>
        <w:t xml:space="preserve">    尾矿库环境危害性（H）等别划分表</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233B1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noWrap w:val="0"/>
            <w:vAlign w:val="center"/>
          </w:tcPr>
          <w:p w14:paraId="3AFCA6B8">
            <w:pPr>
              <w:pStyle w:val="31"/>
              <w:spacing w:after="0" w:line="360" w:lineRule="exact"/>
              <w:ind w:left="0" w:leftChars="0" w:firstLine="0" w:firstLineChars="0"/>
              <w:jc w:val="center"/>
              <w:rPr>
                <w:b/>
                <w:color w:val="000000" w:themeColor="text1"/>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尾矿库环境危害性得分（D</w:t>
            </w:r>
            <w:r>
              <w:rPr>
                <w:b/>
                <w:color w:val="000000" w:themeColor="text1"/>
                <w:kern w:val="0"/>
                <w:szCs w:val="21"/>
                <w:highlight w:val="none"/>
                <w:vertAlign w:val="subscript"/>
                <w14:textFill>
                  <w14:solidFill>
                    <w14:schemeClr w14:val="tx1"/>
                  </w14:solidFill>
                </w14:textFill>
              </w:rPr>
              <w:t>H</w:t>
            </w:r>
            <w:r>
              <w:rPr>
                <w:b/>
                <w:color w:val="000000" w:themeColor="text1"/>
                <w:kern w:val="0"/>
                <w:szCs w:val="21"/>
                <w:highlight w:val="none"/>
                <w14:textFill>
                  <w14:solidFill>
                    <w14:schemeClr w14:val="tx1"/>
                  </w14:solidFill>
                </w14:textFill>
              </w:rPr>
              <w:t>）</w:t>
            </w:r>
          </w:p>
        </w:tc>
        <w:tc>
          <w:tcPr>
            <w:tcW w:w="4261" w:type="dxa"/>
            <w:tcBorders>
              <w:tl2br w:val="nil"/>
              <w:tr2bl w:val="nil"/>
            </w:tcBorders>
            <w:noWrap w:val="0"/>
            <w:vAlign w:val="center"/>
          </w:tcPr>
          <w:p w14:paraId="26B4E34D">
            <w:pPr>
              <w:pStyle w:val="31"/>
              <w:spacing w:after="0" w:line="360" w:lineRule="exact"/>
              <w:ind w:left="0" w:leftChars="0" w:firstLine="0" w:firstLineChars="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尾矿库环境危害性等别代码</w:t>
            </w:r>
          </w:p>
        </w:tc>
      </w:tr>
      <w:tr w14:paraId="54D1D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noWrap w:val="0"/>
            <w:vAlign w:val="center"/>
          </w:tcPr>
          <w:p w14:paraId="3BC1BA7C">
            <w:pPr>
              <w:pStyle w:val="31"/>
              <w:spacing w:after="0" w:line="360" w:lineRule="exact"/>
              <w:ind w:left="0" w:leftChars="0" w:firstLine="0" w:firstLineChars="0"/>
              <w:jc w:val="center"/>
              <w:rPr>
                <w:bCs/>
                <w:color w:val="000000" w:themeColor="text1"/>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D</w:t>
            </w:r>
            <w:r>
              <w:rPr>
                <w:bCs/>
                <w:color w:val="000000" w:themeColor="text1"/>
                <w:kern w:val="0"/>
                <w:szCs w:val="21"/>
                <w:highlight w:val="none"/>
                <w:vertAlign w:val="subscript"/>
                <w14:textFill>
                  <w14:solidFill>
                    <w14:schemeClr w14:val="tx1"/>
                  </w14:solidFill>
                </w14:textFill>
              </w:rPr>
              <w:t>H</w:t>
            </w:r>
            <w:r>
              <w:rPr>
                <w:bCs/>
                <w:color w:val="000000" w:themeColor="text1"/>
                <w:kern w:val="0"/>
                <w:szCs w:val="21"/>
                <w:highlight w:val="none"/>
                <w14:textFill>
                  <w14:solidFill>
                    <w14:schemeClr w14:val="tx1"/>
                  </w14:solidFill>
                </w14:textFill>
              </w:rPr>
              <w:t>&gt;60</w:t>
            </w:r>
          </w:p>
        </w:tc>
        <w:tc>
          <w:tcPr>
            <w:tcW w:w="4261" w:type="dxa"/>
            <w:tcBorders>
              <w:tl2br w:val="nil"/>
              <w:tr2bl w:val="nil"/>
            </w:tcBorders>
            <w:noWrap w:val="0"/>
            <w:vAlign w:val="center"/>
          </w:tcPr>
          <w:p w14:paraId="04860C68">
            <w:pPr>
              <w:pStyle w:val="31"/>
              <w:spacing w:after="0" w:line="360" w:lineRule="exact"/>
              <w:ind w:left="0" w:leftChars="0" w:firstLine="0" w:firstLineChars="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H1</w:t>
            </w:r>
          </w:p>
        </w:tc>
      </w:tr>
      <w:tr w14:paraId="367A0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noWrap w:val="0"/>
            <w:vAlign w:val="center"/>
          </w:tcPr>
          <w:p w14:paraId="1CD08985">
            <w:pPr>
              <w:pStyle w:val="31"/>
              <w:spacing w:after="0" w:line="360" w:lineRule="exact"/>
              <w:ind w:left="0" w:leftChars="0" w:firstLine="0" w:firstLineChars="0"/>
              <w:jc w:val="center"/>
              <w:rPr>
                <w:bCs/>
                <w:color w:val="000000" w:themeColor="text1"/>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30&lt;D</w:t>
            </w:r>
            <w:r>
              <w:rPr>
                <w:bCs/>
                <w:color w:val="000000" w:themeColor="text1"/>
                <w:kern w:val="0"/>
                <w:szCs w:val="21"/>
                <w:highlight w:val="none"/>
                <w:vertAlign w:val="subscript"/>
                <w14:textFill>
                  <w14:solidFill>
                    <w14:schemeClr w14:val="tx1"/>
                  </w14:solidFill>
                </w14:textFill>
              </w:rPr>
              <w:t>H</w:t>
            </w:r>
            <w:r>
              <w:rPr>
                <w:rFonts w:hint="eastAsia" w:ascii="宋体" w:hAnsi="宋体" w:cs="宋体"/>
                <w:bCs/>
                <w:color w:val="000000" w:themeColor="text1"/>
                <w:kern w:val="0"/>
                <w:szCs w:val="21"/>
                <w:highlight w:val="none"/>
                <w14:textFill>
                  <w14:solidFill>
                    <w14:schemeClr w14:val="tx1"/>
                  </w14:solidFill>
                </w14:textFill>
              </w:rPr>
              <w:t>≦</w:t>
            </w:r>
            <w:r>
              <w:rPr>
                <w:bCs/>
                <w:color w:val="000000" w:themeColor="text1"/>
                <w:kern w:val="0"/>
                <w:szCs w:val="21"/>
                <w:highlight w:val="none"/>
                <w14:textFill>
                  <w14:solidFill>
                    <w14:schemeClr w14:val="tx1"/>
                  </w14:solidFill>
                </w14:textFill>
              </w:rPr>
              <w:t>60</w:t>
            </w:r>
          </w:p>
        </w:tc>
        <w:tc>
          <w:tcPr>
            <w:tcW w:w="4261" w:type="dxa"/>
            <w:tcBorders>
              <w:tl2br w:val="nil"/>
              <w:tr2bl w:val="nil"/>
            </w:tcBorders>
            <w:noWrap w:val="0"/>
            <w:vAlign w:val="center"/>
          </w:tcPr>
          <w:p w14:paraId="294EE218">
            <w:pPr>
              <w:pStyle w:val="31"/>
              <w:spacing w:after="0" w:line="360" w:lineRule="exact"/>
              <w:ind w:left="0" w:leftChars="0" w:firstLine="0" w:firstLineChars="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H2</w:t>
            </w:r>
          </w:p>
        </w:tc>
      </w:tr>
      <w:tr w14:paraId="76E32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noWrap w:val="0"/>
            <w:vAlign w:val="center"/>
          </w:tcPr>
          <w:p w14:paraId="1ED3882E">
            <w:pPr>
              <w:pStyle w:val="31"/>
              <w:spacing w:after="0" w:line="360" w:lineRule="exact"/>
              <w:ind w:left="0" w:leftChars="0" w:firstLine="0" w:firstLineChars="0"/>
              <w:jc w:val="center"/>
              <w:rPr>
                <w:bCs/>
                <w:color w:val="000000" w:themeColor="text1"/>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D</w:t>
            </w:r>
            <w:r>
              <w:rPr>
                <w:bCs/>
                <w:color w:val="000000" w:themeColor="text1"/>
                <w:kern w:val="0"/>
                <w:szCs w:val="21"/>
                <w:highlight w:val="none"/>
                <w:vertAlign w:val="subscript"/>
                <w14:textFill>
                  <w14:solidFill>
                    <w14:schemeClr w14:val="tx1"/>
                  </w14:solidFill>
                </w14:textFill>
              </w:rPr>
              <w:t>H</w:t>
            </w:r>
            <w:r>
              <w:rPr>
                <w:rFonts w:hint="eastAsia" w:ascii="宋体" w:hAnsi="宋体" w:cs="宋体"/>
                <w:bCs/>
                <w:color w:val="000000" w:themeColor="text1"/>
                <w:kern w:val="0"/>
                <w:szCs w:val="21"/>
                <w:highlight w:val="none"/>
                <w14:textFill>
                  <w14:solidFill>
                    <w14:schemeClr w14:val="tx1"/>
                  </w14:solidFill>
                </w14:textFill>
              </w:rPr>
              <w:t>≦</w:t>
            </w:r>
            <w:r>
              <w:rPr>
                <w:bCs/>
                <w:color w:val="000000" w:themeColor="text1"/>
                <w:kern w:val="0"/>
                <w:szCs w:val="21"/>
                <w:highlight w:val="none"/>
                <w14:textFill>
                  <w14:solidFill>
                    <w14:schemeClr w14:val="tx1"/>
                  </w14:solidFill>
                </w14:textFill>
              </w:rPr>
              <w:t>30</w:t>
            </w:r>
          </w:p>
        </w:tc>
        <w:tc>
          <w:tcPr>
            <w:tcW w:w="4261" w:type="dxa"/>
            <w:tcBorders>
              <w:tl2br w:val="nil"/>
              <w:tr2bl w:val="nil"/>
            </w:tcBorders>
            <w:noWrap w:val="0"/>
            <w:vAlign w:val="center"/>
          </w:tcPr>
          <w:p w14:paraId="32E97C89">
            <w:pPr>
              <w:pStyle w:val="31"/>
              <w:spacing w:after="0" w:line="360" w:lineRule="exact"/>
              <w:ind w:left="0" w:leftChars="0" w:firstLine="0" w:firstLineChars="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H3</w:t>
            </w:r>
          </w:p>
        </w:tc>
      </w:tr>
    </w:tbl>
    <w:p w14:paraId="517E3BA4">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根据《尾矿库环境风险评估技术导则（试行）》（HJ740-2015）附录B中各指标评分方法，本项目尾矿砂主要矿种为黑色金属矿种铁，尾矿属于Ⅰ类工业固体废弃物，评分取</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；特征污染物指标pH介于6~9，评分取0；所有污染物浓度指标倍数均在3倍以下，评分取0；浓度倍数3倍及以上的指标项数为0，评分取0；</w:t>
      </w:r>
      <w:r>
        <w:rPr>
          <w:rFonts w:hint="eastAsia"/>
          <w:color w:val="000000" w:themeColor="text1"/>
          <w:highlight w:val="none"/>
          <w14:textFill>
            <w14:solidFill>
              <w14:schemeClr w14:val="tx1"/>
            </w14:solidFill>
          </w14:textFill>
        </w:rPr>
        <w:t>尾矿库</w:t>
      </w:r>
      <w:r>
        <w:rPr>
          <w:color w:val="000000" w:themeColor="text1"/>
          <w:highlight w:val="none"/>
          <w14:textFill>
            <w14:solidFill>
              <w14:schemeClr w14:val="tx1"/>
            </w14:solidFill>
          </w14:textFill>
        </w:rPr>
        <w:t>库容</w:t>
      </w:r>
      <w:r>
        <w:rPr>
          <w:rFonts w:hint="eastAsia"/>
          <w:color w:val="000000" w:themeColor="text1"/>
          <w:highlight w:val="none"/>
          <w:lang w:val="en-US" w:eastAsia="zh-CN"/>
          <w14:textFill>
            <w14:solidFill>
              <w14:schemeClr w14:val="tx1"/>
            </w14:solidFill>
          </w14:textFill>
        </w:rPr>
        <w:t>527.55</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评分取</w:t>
      </w:r>
      <w:r>
        <w:rPr>
          <w:rFonts w:hint="eastAsia"/>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t>，由此得出总得</w:t>
      </w:r>
      <w:r>
        <w:rPr>
          <w:rFonts w:hint="eastAsia"/>
          <w:color w:val="000000" w:themeColor="text1"/>
          <w:highlight w:val="none"/>
          <w14:textFill>
            <w14:solidFill>
              <w14:schemeClr w14:val="tx1"/>
            </w14:solidFill>
          </w14:textFill>
        </w:rPr>
        <w:t>分</w:t>
      </w:r>
      <w:r>
        <w:rPr>
          <w:color w:val="000000" w:themeColor="text1"/>
          <w:highlight w:val="none"/>
          <w14:textFill>
            <w14:solidFill>
              <w14:schemeClr w14:val="tx1"/>
            </w14:solidFill>
          </w14:textFill>
        </w:rPr>
        <w:t>为</w:t>
      </w:r>
      <w:r>
        <w:rPr>
          <w:rFonts w:hint="eastAsia"/>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t>，根据表</w:t>
      </w:r>
      <w:r>
        <w:rPr>
          <w:rFonts w:hint="eastAsia"/>
          <w:color w:val="000000" w:themeColor="text1"/>
          <w:highlight w:val="none"/>
          <w14:textFill>
            <w14:solidFill>
              <w14:schemeClr w14:val="tx1"/>
            </w14:solidFill>
          </w14:textFill>
        </w:rPr>
        <w:t>5.3-</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，环境危险性等别</w:t>
      </w:r>
      <w:r>
        <w:rPr>
          <w:rFonts w:hint="eastAsia"/>
          <w:color w:val="000000" w:themeColor="text1"/>
          <w:highlight w:val="none"/>
          <w14:textFill>
            <w14:solidFill>
              <w14:schemeClr w14:val="tx1"/>
            </w14:solidFill>
          </w14:textFill>
        </w:rPr>
        <w:t>均</w:t>
      </w:r>
      <w:r>
        <w:rPr>
          <w:color w:val="000000" w:themeColor="text1"/>
          <w:highlight w:val="none"/>
          <w14:textFill>
            <w14:solidFill>
              <w14:schemeClr w14:val="tx1"/>
            </w14:solidFill>
          </w14:textFill>
        </w:rPr>
        <w:t>为H</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p>
    <w:p w14:paraId="0F50F456">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color w:val="000000" w:themeColor="text1"/>
          <w:highlight w:val="none"/>
          <w14:textFill>
            <w14:solidFill>
              <w14:schemeClr w14:val="tx1"/>
            </w14:solidFill>
          </w14:textFill>
        </w:rPr>
        <w:t>周边环境敏感性</w:t>
      </w:r>
    </w:p>
    <w:p w14:paraId="4F442487">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采用评分方法，对尾矿库下游涉及的跨界情况、周边环境风险受体情况、周边环境功能类别情况三方面指标进行评分与累加求和，评估尾矿库周边环境敏感性（S），尾矿库周边环境敏感性等别划分体系见表</w:t>
      </w:r>
      <w:r>
        <w:rPr>
          <w:rFonts w:hint="eastAsia"/>
          <w:color w:val="000000" w:themeColor="text1"/>
          <w:highlight w:val="none"/>
          <w14:textFill>
            <w14:solidFill>
              <w14:schemeClr w14:val="tx1"/>
            </w14:solidFill>
          </w14:textFill>
        </w:rPr>
        <w:t>5.3-</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w:t>
      </w:r>
    </w:p>
    <w:p w14:paraId="71C95B2E">
      <w:pPr>
        <w:overflowPunct w:val="0"/>
        <w:topLinePunct/>
        <w:ind w:firstLine="0" w:firstLineChars="0"/>
        <w:jc w:val="center"/>
        <w:rPr>
          <w:color w:val="000000" w:themeColor="text1"/>
          <w:highlight w:val="none"/>
          <w14:textFill>
            <w14:solidFill>
              <w14:schemeClr w14:val="tx1"/>
            </w14:solidFill>
          </w14:textFill>
        </w:rPr>
      </w:pPr>
      <w:r>
        <w:rPr>
          <w:b/>
          <w:color w:val="000000" w:themeColor="text1"/>
          <w:kern w:val="0"/>
          <w:highlight w:val="none"/>
          <w14:textFill>
            <w14:solidFill>
              <w14:schemeClr w14:val="tx1"/>
            </w14:solidFill>
          </w14:textFill>
        </w:rPr>
        <w:t>表</w:t>
      </w:r>
      <w:r>
        <w:rPr>
          <w:rFonts w:hint="eastAsia"/>
          <w:b/>
          <w:color w:val="000000" w:themeColor="text1"/>
          <w:kern w:val="0"/>
          <w:highlight w:val="none"/>
          <w14:textFill>
            <w14:solidFill>
              <w14:schemeClr w14:val="tx1"/>
            </w14:solidFill>
          </w14:textFill>
        </w:rPr>
        <w:t>5.3-</w:t>
      </w:r>
      <w:r>
        <w:rPr>
          <w:rFonts w:hint="eastAsia"/>
          <w:b/>
          <w:color w:val="000000" w:themeColor="text1"/>
          <w:kern w:val="0"/>
          <w:highlight w:val="none"/>
          <w:lang w:val="en-US" w:eastAsia="zh-CN"/>
          <w14:textFill>
            <w14:solidFill>
              <w14:schemeClr w14:val="tx1"/>
            </w14:solidFill>
          </w14:textFill>
        </w:rPr>
        <w:t>9</w:t>
      </w:r>
      <w:r>
        <w:rPr>
          <w:b/>
          <w:color w:val="000000" w:themeColor="text1"/>
          <w:kern w:val="0"/>
          <w:highlight w:val="none"/>
          <w14:textFill>
            <w14:solidFill>
              <w14:schemeClr w14:val="tx1"/>
            </w14:solidFill>
          </w14:textFill>
        </w:rPr>
        <w:t xml:space="preserve">    尾矿库周边环境敏感性（S）等别划分指标体系</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564"/>
        <w:gridCol w:w="1564"/>
        <w:gridCol w:w="678"/>
        <w:gridCol w:w="804"/>
        <w:gridCol w:w="1158"/>
        <w:gridCol w:w="1005"/>
        <w:gridCol w:w="1197"/>
      </w:tblGrid>
      <w:tr w14:paraId="7A22E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52" w:type="dxa"/>
            <w:tcBorders>
              <w:tl2br w:val="nil"/>
              <w:tr2bl w:val="nil"/>
            </w:tcBorders>
            <w:noWrap w:val="0"/>
            <w:vAlign w:val="center"/>
          </w:tcPr>
          <w:p w14:paraId="612EA936">
            <w:pPr>
              <w:pStyle w:val="31"/>
              <w:spacing w:after="0" w:line="360" w:lineRule="exact"/>
              <w:ind w:left="0" w:leftChars="0" w:firstLine="0" w:firstLineChars="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序号</w:t>
            </w:r>
          </w:p>
        </w:tc>
        <w:tc>
          <w:tcPr>
            <w:tcW w:w="5768" w:type="dxa"/>
            <w:gridSpan w:val="5"/>
            <w:tcBorders>
              <w:tl2br w:val="nil"/>
              <w:tr2bl w:val="nil"/>
            </w:tcBorders>
            <w:noWrap w:val="0"/>
            <w:vAlign w:val="center"/>
          </w:tcPr>
          <w:p w14:paraId="7CF4EAD9">
            <w:pPr>
              <w:pStyle w:val="31"/>
              <w:spacing w:after="0" w:line="360" w:lineRule="exact"/>
              <w:ind w:left="0" w:leftChars="0" w:firstLine="0" w:firstLineChars="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指标项目</w:t>
            </w:r>
          </w:p>
        </w:tc>
        <w:tc>
          <w:tcPr>
            <w:tcW w:w="1005" w:type="dxa"/>
            <w:tcBorders>
              <w:tl2br w:val="nil"/>
              <w:tr2bl w:val="nil"/>
            </w:tcBorders>
            <w:noWrap w:val="0"/>
            <w:vAlign w:val="center"/>
          </w:tcPr>
          <w:p w14:paraId="2AEB086C">
            <w:pPr>
              <w:pStyle w:val="31"/>
              <w:spacing w:after="0" w:line="360" w:lineRule="exact"/>
              <w:ind w:left="0" w:leftChars="0" w:firstLine="0" w:firstLineChars="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指标分值</w:t>
            </w:r>
          </w:p>
        </w:tc>
        <w:tc>
          <w:tcPr>
            <w:tcW w:w="1197" w:type="dxa"/>
            <w:tcBorders>
              <w:tl2br w:val="nil"/>
              <w:tr2bl w:val="nil"/>
            </w:tcBorders>
            <w:noWrap w:val="0"/>
            <w:vAlign w:val="center"/>
          </w:tcPr>
          <w:p w14:paraId="2D9283B9">
            <w:pPr>
              <w:spacing w:line="360" w:lineRule="exact"/>
              <w:ind w:firstLine="0" w:firstLineChars="0"/>
              <w:jc w:val="center"/>
              <w:rPr>
                <w:b/>
                <w:color w:val="000000" w:themeColor="text1"/>
                <w:kern w:val="0"/>
                <w:sz w:val="21"/>
                <w:szCs w:val="21"/>
                <w:highlight w:val="none"/>
                <w14:textFill>
                  <w14:solidFill>
                    <w14:schemeClr w14:val="tx1"/>
                  </w14:solidFill>
                </w14:textFill>
              </w:rPr>
            </w:pPr>
            <w:r>
              <w:rPr>
                <w:rFonts w:hint="eastAsia"/>
                <w:b/>
                <w:color w:val="000000" w:themeColor="text1"/>
                <w:kern w:val="0"/>
                <w:sz w:val="21"/>
                <w:szCs w:val="21"/>
                <w:highlight w:val="none"/>
                <w:lang w:val="en-US" w:eastAsia="zh-CN"/>
                <w14:textFill>
                  <w14:solidFill>
                    <w14:schemeClr w14:val="tx1"/>
                  </w14:solidFill>
                </w14:textFill>
              </w:rPr>
              <w:t>本项目</w:t>
            </w:r>
            <w:r>
              <w:rPr>
                <w:b/>
                <w:color w:val="000000" w:themeColor="text1"/>
                <w:kern w:val="0"/>
                <w:sz w:val="21"/>
                <w:szCs w:val="21"/>
                <w:highlight w:val="none"/>
                <w14:textFill>
                  <w14:solidFill>
                    <w14:schemeClr w14:val="tx1"/>
                  </w14:solidFill>
                </w14:textFill>
              </w:rPr>
              <w:t>尾矿库</w:t>
            </w:r>
          </w:p>
        </w:tc>
      </w:tr>
      <w:tr w14:paraId="2B2D4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Borders>
              <w:tl2br w:val="nil"/>
              <w:tr2bl w:val="nil"/>
            </w:tcBorders>
            <w:noWrap w:val="0"/>
            <w:vAlign w:val="center"/>
          </w:tcPr>
          <w:p w14:paraId="3A1913EC">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1</w:t>
            </w:r>
          </w:p>
        </w:tc>
        <w:tc>
          <w:tcPr>
            <w:tcW w:w="1564" w:type="dxa"/>
            <w:vMerge w:val="restart"/>
            <w:tcBorders>
              <w:tl2br w:val="nil"/>
              <w:tr2bl w:val="nil"/>
            </w:tcBorders>
            <w:noWrap w:val="0"/>
            <w:vAlign w:val="center"/>
          </w:tcPr>
          <w:p w14:paraId="582151E2">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尾矿库周边环境敏感性</w:t>
            </w:r>
          </w:p>
        </w:tc>
        <w:tc>
          <w:tcPr>
            <w:tcW w:w="1564" w:type="dxa"/>
            <w:vMerge w:val="restart"/>
            <w:tcBorders>
              <w:tl2br w:val="nil"/>
              <w:tr2bl w:val="nil"/>
            </w:tcBorders>
            <w:noWrap w:val="0"/>
            <w:vAlign w:val="center"/>
          </w:tcPr>
          <w:p w14:paraId="458B5070">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下游涉及的跨界情况</w:t>
            </w:r>
          </w:p>
        </w:tc>
        <w:tc>
          <w:tcPr>
            <w:tcW w:w="2640" w:type="dxa"/>
            <w:gridSpan w:val="3"/>
            <w:tcBorders>
              <w:tl2br w:val="nil"/>
              <w:tr2bl w:val="nil"/>
            </w:tcBorders>
            <w:noWrap w:val="0"/>
            <w:vAlign w:val="center"/>
          </w:tcPr>
          <w:p w14:paraId="247CDD12">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涉及跨界类型</w:t>
            </w:r>
          </w:p>
        </w:tc>
        <w:tc>
          <w:tcPr>
            <w:tcW w:w="1005" w:type="dxa"/>
            <w:tcBorders>
              <w:tl2br w:val="nil"/>
              <w:tr2bl w:val="nil"/>
            </w:tcBorders>
            <w:noWrap w:val="0"/>
            <w:vAlign w:val="center"/>
          </w:tcPr>
          <w:p w14:paraId="19B30F21">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18</w:t>
            </w:r>
          </w:p>
        </w:tc>
        <w:tc>
          <w:tcPr>
            <w:tcW w:w="1197" w:type="dxa"/>
            <w:tcBorders>
              <w:tl2br w:val="nil"/>
              <w:tr2bl w:val="nil"/>
            </w:tcBorders>
            <w:noWrap w:val="0"/>
            <w:vAlign w:val="center"/>
          </w:tcPr>
          <w:p w14:paraId="3B21178F">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0</w:t>
            </w:r>
          </w:p>
        </w:tc>
      </w:tr>
      <w:tr w14:paraId="1AC87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Borders>
              <w:tl2br w:val="nil"/>
              <w:tr2bl w:val="nil"/>
            </w:tcBorders>
            <w:noWrap w:val="0"/>
            <w:vAlign w:val="center"/>
          </w:tcPr>
          <w:p w14:paraId="0C615E99">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2</w:t>
            </w:r>
          </w:p>
        </w:tc>
        <w:tc>
          <w:tcPr>
            <w:tcW w:w="1564" w:type="dxa"/>
            <w:vMerge w:val="continue"/>
            <w:tcBorders>
              <w:tl2br w:val="nil"/>
              <w:tr2bl w:val="nil"/>
            </w:tcBorders>
            <w:noWrap w:val="0"/>
            <w:vAlign w:val="center"/>
          </w:tcPr>
          <w:p w14:paraId="30697A59">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1564" w:type="dxa"/>
            <w:vMerge w:val="continue"/>
            <w:tcBorders>
              <w:tl2br w:val="nil"/>
              <w:tr2bl w:val="nil"/>
            </w:tcBorders>
            <w:noWrap w:val="0"/>
            <w:vAlign w:val="center"/>
          </w:tcPr>
          <w:p w14:paraId="6960BF20">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2640" w:type="dxa"/>
            <w:gridSpan w:val="3"/>
            <w:tcBorders>
              <w:tl2br w:val="nil"/>
              <w:tr2bl w:val="nil"/>
            </w:tcBorders>
            <w:noWrap w:val="0"/>
            <w:vAlign w:val="center"/>
          </w:tcPr>
          <w:p w14:paraId="71024366">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涉及跨界距离</w:t>
            </w:r>
          </w:p>
        </w:tc>
        <w:tc>
          <w:tcPr>
            <w:tcW w:w="1005" w:type="dxa"/>
            <w:tcBorders>
              <w:tl2br w:val="nil"/>
              <w:tr2bl w:val="nil"/>
            </w:tcBorders>
            <w:noWrap w:val="0"/>
            <w:vAlign w:val="center"/>
          </w:tcPr>
          <w:p w14:paraId="29E09299">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6</w:t>
            </w:r>
          </w:p>
        </w:tc>
        <w:tc>
          <w:tcPr>
            <w:tcW w:w="1197" w:type="dxa"/>
            <w:tcBorders>
              <w:tl2br w:val="nil"/>
              <w:tr2bl w:val="nil"/>
            </w:tcBorders>
            <w:noWrap w:val="0"/>
            <w:vAlign w:val="center"/>
          </w:tcPr>
          <w:p w14:paraId="0D3647EB">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0</w:t>
            </w:r>
          </w:p>
        </w:tc>
      </w:tr>
      <w:tr w14:paraId="3359A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Borders>
              <w:tl2br w:val="nil"/>
              <w:tr2bl w:val="nil"/>
            </w:tcBorders>
            <w:noWrap w:val="0"/>
            <w:vAlign w:val="center"/>
          </w:tcPr>
          <w:p w14:paraId="7D03AD42">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3</w:t>
            </w:r>
          </w:p>
        </w:tc>
        <w:tc>
          <w:tcPr>
            <w:tcW w:w="1564" w:type="dxa"/>
            <w:vMerge w:val="continue"/>
            <w:tcBorders>
              <w:tl2br w:val="nil"/>
              <w:tr2bl w:val="nil"/>
            </w:tcBorders>
            <w:noWrap w:val="0"/>
            <w:vAlign w:val="center"/>
          </w:tcPr>
          <w:p w14:paraId="580062E7">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4204" w:type="dxa"/>
            <w:gridSpan w:val="4"/>
            <w:tcBorders>
              <w:tl2br w:val="nil"/>
              <w:tr2bl w:val="nil"/>
            </w:tcBorders>
            <w:noWrap w:val="0"/>
            <w:vAlign w:val="center"/>
          </w:tcPr>
          <w:p w14:paraId="75A177C3">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周边环境风险受体情况</w:t>
            </w:r>
          </w:p>
        </w:tc>
        <w:tc>
          <w:tcPr>
            <w:tcW w:w="1005" w:type="dxa"/>
            <w:tcBorders>
              <w:tl2br w:val="nil"/>
              <w:tr2bl w:val="nil"/>
            </w:tcBorders>
            <w:noWrap w:val="0"/>
            <w:vAlign w:val="center"/>
          </w:tcPr>
          <w:p w14:paraId="199EB99B">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54</w:t>
            </w:r>
          </w:p>
        </w:tc>
        <w:tc>
          <w:tcPr>
            <w:tcW w:w="1197" w:type="dxa"/>
            <w:tcBorders>
              <w:tl2br w:val="nil"/>
              <w:tr2bl w:val="nil"/>
            </w:tcBorders>
            <w:noWrap w:val="0"/>
            <w:vAlign w:val="center"/>
          </w:tcPr>
          <w:p w14:paraId="7C083370">
            <w:pPr>
              <w:pStyle w:val="31"/>
              <w:spacing w:after="0" w:line="360" w:lineRule="exact"/>
              <w:ind w:left="0" w:leftChars="0" w:firstLine="0" w:firstLineChars="0"/>
              <w:jc w:val="center"/>
              <w:rPr>
                <w:rFonts w:hint="eastAsia" w:eastAsia="宋体"/>
                <w:bCs/>
                <w:color w:val="000000" w:themeColor="text1"/>
                <w:kern w:val="0"/>
                <w:szCs w:val="21"/>
                <w:highlight w:val="none"/>
                <w:lang w:val="en-US" w:eastAsia="zh-CN"/>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w:t>
            </w:r>
          </w:p>
        </w:tc>
      </w:tr>
      <w:tr w14:paraId="4F6AA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Borders>
              <w:tl2br w:val="nil"/>
              <w:tr2bl w:val="nil"/>
            </w:tcBorders>
            <w:noWrap w:val="0"/>
            <w:vAlign w:val="center"/>
          </w:tcPr>
          <w:p w14:paraId="3797E878">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4</w:t>
            </w:r>
          </w:p>
        </w:tc>
        <w:tc>
          <w:tcPr>
            <w:tcW w:w="1564" w:type="dxa"/>
            <w:vMerge w:val="continue"/>
            <w:tcBorders>
              <w:tl2br w:val="nil"/>
              <w:tr2bl w:val="nil"/>
            </w:tcBorders>
            <w:noWrap w:val="0"/>
            <w:vAlign w:val="center"/>
          </w:tcPr>
          <w:p w14:paraId="5CD8BCEE">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1564" w:type="dxa"/>
            <w:vMerge w:val="restart"/>
            <w:tcBorders>
              <w:tl2br w:val="nil"/>
              <w:tr2bl w:val="nil"/>
            </w:tcBorders>
            <w:noWrap w:val="0"/>
            <w:vAlign w:val="center"/>
          </w:tcPr>
          <w:p w14:paraId="138C11B7">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周边环境功能类别情况</w:t>
            </w:r>
          </w:p>
        </w:tc>
        <w:tc>
          <w:tcPr>
            <w:tcW w:w="678" w:type="dxa"/>
            <w:vMerge w:val="restart"/>
            <w:tcBorders>
              <w:tl2br w:val="nil"/>
              <w:tr2bl w:val="nil"/>
            </w:tcBorders>
            <w:noWrap w:val="0"/>
            <w:vAlign w:val="center"/>
          </w:tcPr>
          <w:p w14:paraId="70129AC9">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水环境</w:t>
            </w:r>
          </w:p>
        </w:tc>
        <w:tc>
          <w:tcPr>
            <w:tcW w:w="804" w:type="dxa"/>
            <w:vMerge w:val="restart"/>
            <w:tcBorders>
              <w:tl2br w:val="nil"/>
              <w:tr2bl w:val="nil"/>
            </w:tcBorders>
            <w:noWrap w:val="0"/>
            <w:vAlign w:val="center"/>
          </w:tcPr>
          <w:p w14:paraId="2B0DA5E8">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下游水体</w:t>
            </w:r>
          </w:p>
        </w:tc>
        <w:tc>
          <w:tcPr>
            <w:tcW w:w="1158" w:type="dxa"/>
            <w:tcBorders>
              <w:tl2br w:val="nil"/>
              <w:tr2bl w:val="nil"/>
            </w:tcBorders>
            <w:noWrap w:val="0"/>
            <w:vAlign w:val="center"/>
          </w:tcPr>
          <w:p w14:paraId="20E0F2A8">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地表水</w:t>
            </w:r>
          </w:p>
        </w:tc>
        <w:tc>
          <w:tcPr>
            <w:tcW w:w="1005" w:type="dxa"/>
            <w:vMerge w:val="restart"/>
            <w:tcBorders>
              <w:tl2br w:val="nil"/>
              <w:tr2bl w:val="nil"/>
            </w:tcBorders>
            <w:noWrap w:val="0"/>
            <w:vAlign w:val="center"/>
          </w:tcPr>
          <w:p w14:paraId="103EAFB8">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9</w:t>
            </w:r>
          </w:p>
        </w:tc>
        <w:tc>
          <w:tcPr>
            <w:tcW w:w="1197" w:type="dxa"/>
            <w:tcBorders>
              <w:tl2br w:val="nil"/>
              <w:tr2bl w:val="nil"/>
            </w:tcBorders>
            <w:noWrap w:val="0"/>
            <w:vAlign w:val="center"/>
          </w:tcPr>
          <w:p w14:paraId="7AED0888">
            <w:pPr>
              <w:pStyle w:val="31"/>
              <w:spacing w:after="0" w:line="360" w:lineRule="exact"/>
              <w:ind w:left="0" w:leftChars="0" w:firstLine="0" w:firstLineChars="0"/>
              <w:jc w:val="center"/>
              <w:rPr>
                <w:rFonts w:hint="eastAsia" w:eastAsia="宋体"/>
                <w:bCs/>
                <w:color w:val="000000" w:themeColor="text1"/>
                <w:kern w:val="0"/>
                <w:szCs w:val="21"/>
                <w:highlight w:val="none"/>
                <w:lang w:eastAsia="zh-CN"/>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0</w:t>
            </w:r>
          </w:p>
        </w:tc>
      </w:tr>
      <w:tr w14:paraId="48FDF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Borders>
              <w:tl2br w:val="nil"/>
              <w:tr2bl w:val="nil"/>
            </w:tcBorders>
            <w:noWrap w:val="0"/>
            <w:vAlign w:val="center"/>
          </w:tcPr>
          <w:p w14:paraId="0621F584">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5</w:t>
            </w:r>
          </w:p>
        </w:tc>
        <w:tc>
          <w:tcPr>
            <w:tcW w:w="1564" w:type="dxa"/>
            <w:vMerge w:val="continue"/>
            <w:tcBorders>
              <w:tl2br w:val="nil"/>
              <w:tr2bl w:val="nil"/>
            </w:tcBorders>
            <w:noWrap w:val="0"/>
            <w:vAlign w:val="center"/>
          </w:tcPr>
          <w:p w14:paraId="342AA2AD">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1564" w:type="dxa"/>
            <w:vMerge w:val="continue"/>
            <w:tcBorders>
              <w:tl2br w:val="nil"/>
              <w:tr2bl w:val="nil"/>
            </w:tcBorders>
            <w:noWrap w:val="0"/>
            <w:vAlign w:val="center"/>
          </w:tcPr>
          <w:p w14:paraId="2658E785">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678" w:type="dxa"/>
            <w:vMerge w:val="continue"/>
            <w:tcBorders>
              <w:tl2br w:val="nil"/>
              <w:tr2bl w:val="nil"/>
            </w:tcBorders>
            <w:noWrap w:val="0"/>
            <w:vAlign w:val="center"/>
          </w:tcPr>
          <w:p w14:paraId="355AAC4A">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804" w:type="dxa"/>
            <w:vMerge w:val="continue"/>
            <w:tcBorders>
              <w:tl2br w:val="nil"/>
              <w:tr2bl w:val="nil"/>
            </w:tcBorders>
            <w:noWrap w:val="0"/>
            <w:vAlign w:val="center"/>
          </w:tcPr>
          <w:p w14:paraId="3DA35572">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1158" w:type="dxa"/>
            <w:tcBorders>
              <w:tl2br w:val="nil"/>
              <w:tr2bl w:val="nil"/>
            </w:tcBorders>
            <w:noWrap w:val="0"/>
            <w:vAlign w:val="center"/>
          </w:tcPr>
          <w:p w14:paraId="0152F903">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海水</w:t>
            </w:r>
          </w:p>
        </w:tc>
        <w:tc>
          <w:tcPr>
            <w:tcW w:w="1005" w:type="dxa"/>
            <w:vMerge w:val="continue"/>
            <w:tcBorders>
              <w:tl2br w:val="nil"/>
              <w:tr2bl w:val="nil"/>
            </w:tcBorders>
            <w:noWrap w:val="0"/>
            <w:vAlign w:val="center"/>
          </w:tcPr>
          <w:p w14:paraId="14998804">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1197" w:type="dxa"/>
            <w:tcBorders>
              <w:tl2br w:val="nil"/>
              <w:tr2bl w:val="nil"/>
            </w:tcBorders>
            <w:noWrap w:val="0"/>
            <w:vAlign w:val="center"/>
          </w:tcPr>
          <w:p w14:paraId="71BFF4AE">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0</w:t>
            </w:r>
          </w:p>
        </w:tc>
      </w:tr>
      <w:tr w14:paraId="6B71E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Borders>
              <w:tl2br w:val="nil"/>
              <w:tr2bl w:val="nil"/>
            </w:tcBorders>
            <w:noWrap w:val="0"/>
            <w:vAlign w:val="center"/>
          </w:tcPr>
          <w:p w14:paraId="5F69D0A9">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6</w:t>
            </w:r>
          </w:p>
        </w:tc>
        <w:tc>
          <w:tcPr>
            <w:tcW w:w="1564" w:type="dxa"/>
            <w:vMerge w:val="continue"/>
            <w:tcBorders>
              <w:tl2br w:val="nil"/>
              <w:tr2bl w:val="nil"/>
            </w:tcBorders>
            <w:noWrap w:val="0"/>
            <w:vAlign w:val="center"/>
          </w:tcPr>
          <w:p w14:paraId="05BD269B">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1564" w:type="dxa"/>
            <w:vMerge w:val="continue"/>
            <w:tcBorders>
              <w:tl2br w:val="nil"/>
              <w:tr2bl w:val="nil"/>
            </w:tcBorders>
            <w:noWrap w:val="0"/>
            <w:vAlign w:val="center"/>
          </w:tcPr>
          <w:p w14:paraId="48C30FDF">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678" w:type="dxa"/>
            <w:vMerge w:val="continue"/>
            <w:tcBorders>
              <w:tl2br w:val="nil"/>
              <w:tr2bl w:val="nil"/>
            </w:tcBorders>
            <w:noWrap w:val="0"/>
            <w:vAlign w:val="center"/>
          </w:tcPr>
          <w:p w14:paraId="5224C6E3">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1962" w:type="dxa"/>
            <w:gridSpan w:val="2"/>
            <w:tcBorders>
              <w:tl2br w:val="nil"/>
              <w:tr2bl w:val="nil"/>
            </w:tcBorders>
            <w:noWrap w:val="0"/>
            <w:vAlign w:val="center"/>
          </w:tcPr>
          <w:p w14:paraId="2C0F1426">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地下水</w:t>
            </w:r>
          </w:p>
        </w:tc>
        <w:tc>
          <w:tcPr>
            <w:tcW w:w="1005" w:type="dxa"/>
            <w:tcBorders>
              <w:tl2br w:val="nil"/>
              <w:tr2bl w:val="nil"/>
            </w:tcBorders>
            <w:noWrap w:val="0"/>
            <w:vAlign w:val="center"/>
          </w:tcPr>
          <w:p w14:paraId="367EDBDB">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6</w:t>
            </w:r>
          </w:p>
        </w:tc>
        <w:tc>
          <w:tcPr>
            <w:tcW w:w="1197" w:type="dxa"/>
            <w:tcBorders>
              <w:tl2br w:val="nil"/>
              <w:tr2bl w:val="nil"/>
            </w:tcBorders>
            <w:noWrap w:val="0"/>
            <w:vAlign w:val="center"/>
          </w:tcPr>
          <w:p w14:paraId="318ECB5A">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4</w:t>
            </w:r>
          </w:p>
        </w:tc>
      </w:tr>
      <w:tr w14:paraId="3674F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Borders>
              <w:tl2br w:val="nil"/>
              <w:tr2bl w:val="nil"/>
            </w:tcBorders>
            <w:noWrap w:val="0"/>
            <w:vAlign w:val="center"/>
          </w:tcPr>
          <w:p w14:paraId="4E90C1F8">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7</w:t>
            </w:r>
          </w:p>
        </w:tc>
        <w:tc>
          <w:tcPr>
            <w:tcW w:w="1564" w:type="dxa"/>
            <w:vMerge w:val="continue"/>
            <w:tcBorders>
              <w:tl2br w:val="nil"/>
              <w:tr2bl w:val="nil"/>
            </w:tcBorders>
            <w:noWrap w:val="0"/>
            <w:vAlign w:val="center"/>
          </w:tcPr>
          <w:p w14:paraId="164A0A69">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1564" w:type="dxa"/>
            <w:vMerge w:val="continue"/>
            <w:tcBorders>
              <w:tl2br w:val="nil"/>
              <w:tr2bl w:val="nil"/>
            </w:tcBorders>
            <w:noWrap w:val="0"/>
            <w:vAlign w:val="center"/>
          </w:tcPr>
          <w:p w14:paraId="51720E4F">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2640" w:type="dxa"/>
            <w:gridSpan w:val="3"/>
            <w:tcBorders>
              <w:tl2br w:val="nil"/>
              <w:tr2bl w:val="nil"/>
            </w:tcBorders>
            <w:noWrap w:val="0"/>
            <w:vAlign w:val="center"/>
          </w:tcPr>
          <w:p w14:paraId="4FADD62A">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土壤环境</w:t>
            </w:r>
          </w:p>
        </w:tc>
        <w:tc>
          <w:tcPr>
            <w:tcW w:w="1005" w:type="dxa"/>
            <w:tcBorders>
              <w:tl2br w:val="nil"/>
              <w:tr2bl w:val="nil"/>
            </w:tcBorders>
            <w:noWrap w:val="0"/>
            <w:vAlign w:val="center"/>
          </w:tcPr>
          <w:p w14:paraId="4BD953FC">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4</w:t>
            </w:r>
          </w:p>
        </w:tc>
        <w:tc>
          <w:tcPr>
            <w:tcW w:w="1197" w:type="dxa"/>
            <w:tcBorders>
              <w:tl2br w:val="nil"/>
              <w:tr2bl w:val="nil"/>
            </w:tcBorders>
            <w:noWrap w:val="0"/>
            <w:vAlign w:val="center"/>
          </w:tcPr>
          <w:p w14:paraId="3614FB89">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3</w:t>
            </w:r>
          </w:p>
        </w:tc>
      </w:tr>
      <w:tr w14:paraId="526E9C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Borders>
              <w:tl2br w:val="nil"/>
              <w:tr2bl w:val="nil"/>
            </w:tcBorders>
            <w:noWrap w:val="0"/>
            <w:vAlign w:val="center"/>
          </w:tcPr>
          <w:p w14:paraId="4D5E6C7F">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8</w:t>
            </w:r>
          </w:p>
        </w:tc>
        <w:tc>
          <w:tcPr>
            <w:tcW w:w="1564" w:type="dxa"/>
            <w:vMerge w:val="continue"/>
            <w:tcBorders>
              <w:tl2br w:val="nil"/>
              <w:tr2bl w:val="nil"/>
            </w:tcBorders>
            <w:noWrap w:val="0"/>
            <w:vAlign w:val="center"/>
          </w:tcPr>
          <w:p w14:paraId="0576C742">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1564" w:type="dxa"/>
            <w:vMerge w:val="continue"/>
            <w:tcBorders>
              <w:tl2br w:val="nil"/>
              <w:tr2bl w:val="nil"/>
            </w:tcBorders>
            <w:noWrap w:val="0"/>
            <w:vAlign w:val="center"/>
          </w:tcPr>
          <w:p w14:paraId="67859460">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p>
        </w:tc>
        <w:tc>
          <w:tcPr>
            <w:tcW w:w="2640" w:type="dxa"/>
            <w:gridSpan w:val="3"/>
            <w:tcBorders>
              <w:tl2br w:val="nil"/>
              <w:tr2bl w:val="nil"/>
            </w:tcBorders>
            <w:noWrap w:val="0"/>
            <w:vAlign w:val="center"/>
          </w:tcPr>
          <w:p w14:paraId="232C0173">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大气环境</w:t>
            </w:r>
          </w:p>
        </w:tc>
        <w:tc>
          <w:tcPr>
            <w:tcW w:w="1005" w:type="dxa"/>
            <w:tcBorders>
              <w:tl2br w:val="nil"/>
              <w:tr2bl w:val="nil"/>
            </w:tcBorders>
            <w:noWrap w:val="0"/>
            <w:vAlign w:val="center"/>
          </w:tcPr>
          <w:p w14:paraId="3234DBC4">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3</w:t>
            </w:r>
          </w:p>
        </w:tc>
        <w:tc>
          <w:tcPr>
            <w:tcW w:w="1197" w:type="dxa"/>
            <w:tcBorders>
              <w:tl2br w:val="nil"/>
              <w:tr2bl w:val="nil"/>
            </w:tcBorders>
            <w:noWrap w:val="0"/>
            <w:vAlign w:val="center"/>
          </w:tcPr>
          <w:p w14:paraId="4968DA55">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1.5</w:t>
            </w:r>
          </w:p>
        </w:tc>
      </w:tr>
      <w:tr w14:paraId="746C7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25" w:type="dxa"/>
            <w:gridSpan w:val="7"/>
            <w:tcBorders>
              <w:tl2br w:val="nil"/>
              <w:tr2bl w:val="nil"/>
            </w:tcBorders>
            <w:noWrap w:val="0"/>
            <w:vAlign w:val="center"/>
          </w:tcPr>
          <w:p w14:paraId="798A6C06">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合计</w:t>
            </w:r>
          </w:p>
        </w:tc>
        <w:tc>
          <w:tcPr>
            <w:tcW w:w="1197" w:type="dxa"/>
            <w:tcBorders>
              <w:tl2br w:val="nil"/>
              <w:tr2bl w:val="nil"/>
            </w:tcBorders>
            <w:noWrap w:val="0"/>
            <w:vAlign w:val="center"/>
          </w:tcPr>
          <w:p w14:paraId="4800129A">
            <w:pPr>
              <w:pStyle w:val="31"/>
              <w:spacing w:after="0" w:line="360" w:lineRule="exact"/>
              <w:ind w:left="0" w:leftChars="0" w:firstLine="0" w:firstLineChars="0"/>
              <w:jc w:val="center"/>
              <w:rPr>
                <w:rFonts w:hint="eastAsia" w:eastAsia="宋体"/>
                <w:bCs/>
                <w:color w:val="000000" w:themeColor="text1"/>
                <w:kern w:val="0"/>
                <w:szCs w:val="21"/>
                <w:highlight w:val="none"/>
                <w:lang w:val="en-US" w:eastAsia="zh-CN"/>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8.5</w:t>
            </w:r>
          </w:p>
        </w:tc>
      </w:tr>
    </w:tbl>
    <w:p w14:paraId="688B5E97">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依据尾矿库周边环境敏感性等别划分表，将周边环境敏感性（S）划分为S1、S2、S3三个等别，见表5.3-</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w:t>
      </w:r>
    </w:p>
    <w:p w14:paraId="7CF1ED2B">
      <w:pPr>
        <w:overflowPunct w:val="0"/>
        <w:topLinePunct/>
        <w:ind w:firstLine="480"/>
        <w:rPr>
          <w:color w:val="000000" w:themeColor="text1"/>
          <w:highlight w:val="none"/>
          <w14:textFill>
            <w14:solidFill>
              <w14:schemeClr w14:val="tx1"/>
            </w14:solidFill>
          </w14:textFill>
        </w:rPr>
      </w:pPr>
    </w:p>
    <w:p w14:paraId="0D6F509A">
      <w:pPr>
        <w:overflowPunct w:val="0"/>
        <w:topLinePunct/>
        <w:ind w:firstLine="480"/>
        <w:rPr>
          <w:color w:val="000000" w:themeColor="text1"/>
          <w:highlight w:val="none"/>
          <w14:textFill>
            <w14:solidFill>
              <w14:schemeClr w14:val="tx1"/>
            </w14:solidFill>
          </w14:textFill>
        </w:rPr>
      </w:pPr>
    </w:p>
    <w:p w14:paraId="0F3E862F">
      <w:pPr>
        <w:overflowPunct w:val="0"/>
        <w:topLinePunct/>
        <w:ind w:firstLine="480"/>
        <w:rPr>
          <w:color w:val="000000" w:themeColor="text1"/>
          <w:highlight w:val="none"/>
          <w14:textFill>
            <w14:solidFill>
              <w14:schemeClr w14:val="tx1"/>
            </w14:solidFill>
          </w14:textFill>
        </w:rPr>
      </w:pPr>
    </w:p>
    <w:p w14:paraId="48EFA1DD">
      <w:pPr>
        <w:ind w:firstLine="0" w:firstLineChars="0"/>
        <w:jc w:val="center"/>
        <w:rPr>
          <w:b/>
          <w:color w:val="000000" w:themeColor="text1"/>
          <w:kern w:val="0"/>
          <w:highlight w:val="none"/>
          <w14:textFill>
            <w14:solidFill>
              <w14:schemeClr w14:val="tx1"/>
            </w14:solidFill>
          </w14:textFill>
        </w:rPr>
      </w:pPr>
      <w:r>
        <w:rPr>
          <w:b/>
          <w:color w:val="000000" w:themeColor="text1"/>
          <w:kern w:val="0"/>
          <w:highlight w:val="none"/>
          <w14:textFill>
            <w14:solidFill>
              <w14:schemeClr w14:val="tx1"/>
            </w14:solidFill>
          </w14:textFill>
        </w:rPr>
        <w:t>表5.3-</w:t>
      </w:r>
      <w:r>
        <w:rPr>
          <w:rFonts w:hint="eastAsia"/>
          <w:b/>
          <w:color w:val="000000" w:themeColor="text1"/>
          <w:kern w:val="0"/>
          <w:highlight w:val="none"/>
          <w:lang w:val="en-US" w:eastAsia="zh-CN"/>
          <w14:textFill>
            <w14:solidFill>
              <w14:schemeClr w14:val="tx1"/>
            </w14:solidFill>
          </w14:textFill>
        </w:rPr>
        <w:t>9</w:t>
      </w:r>
      <w:r>
        <w:rPr>
          <w:b/>
          <w:color w:val="000000" w:themeColor="text1"/>
          <w:kern w:val="0"/>
          <w:highlight w:val="none"/>
          <w14:textFill>
            <w14:solidFill>
              <w14:schemeClr w14:val="tx1"/>
            </w14:solidFill>
          </w14:textFill>
        </w:rPr>
        <w:t xml:space="preserve">    尾矿库周边环境敏感性（S）等别划分表</w:t>
      </w:r>
    </w:p>
    <w:tbl>
      <w:tblPr>
        <w:tblStyle w:val="3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4663B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noWrap w:val="0"/>
            <w:vAlign w:val="center"/>
          </w:tcPr>
          <w:p w14:paraId="386C3894">
            <w:pPr>
              <w:pStyle w:val="31"/>
              <w:spacing w:after="0" w:line="360" w:lineRule="exact"/>
              <w:ind w:left="0" w:leftChars="0" w:firstLine="0" w:firstLineChars="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尾矿库周边环境敏感性得分（DS）</w:t>
            </w:r>
          </w:p>
        </w:tc>
        <w:tc>
          <w:tcPr>
            <w:tcW w:w="4261" w:type="dxa"/>
            <w:tcBorders>
              <w:tl2br w:val="nil"/>
              <w:tr2bl w:val="nil"/>
            </w:tcBorders>
            <w:noWrap w:val="0"/>
            <w:vAlign w:val="center"/>
          </w:tcPr>
          <w:p w14:paraId="68A5E3C5">
            <w:pPr>
              <w:pStyle w:val="31"/>
              <w:spacing w:after="0" w:line="360" w:lineRule="exact"/>
              <w:ind w:left="0" w:leftChars="0" w:firstLine="0" w:firstLineChars="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尾矿库周边环境敏感性（S）等别代码</w:t>
            </w:r>
          </w:p>
        </w:tc>
      </w:tr>
      <w:tr w14:paraId="5F4AD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noWrap w:val="0"/>
            <w:vAlign w:val="center"/>
          </w:tcPr>
          <w:p w14:paraId="6FF05FEF">
            <w:pPr>
              <w:pStyle w:val="31"/>
              <w:spacing w:after="0" w:line="360" w:lineRule="exact"/>
              <w:ind w:left="0" w:leftChars="0" w:firstLine="0" w:firstLineChars="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DS&gt;60</w:t>
            </w:r>
          </w:p>
        </w:tc>
        <w:tc>
          <w:tcPr>
            <w:tcW w:w="4261" w:type="dxa"/>
            <w:tcBorders>
              <w:tl2br w:val="nil"/>
              <w:tr2bl w:val="nil"/>
            </w:tcBorders>
            <w:noWrap w:val="0"/>
            <w:vAlign w:val="center"/>
          </w:tcPr>
          <w:p w14:paraId="1594EC29">
            <w:pPr>
              <w:pStyle w:val="31"/>
              <w:spacing w:after="0" w:line="360" w:lineRule="exact"/>
              <w:ind w:left="0" w:leftChars="0" w:firstLine="0" w:firstLineChars="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S1</w:t>
            </w:r>
          </w:p>
        </w:tc>
      </w:tr>
      <w:tr w14:paraId="176B51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noWrap w:val="0"/>
            <w:vAlign w:val="center"/>
          </w:tcPr>
          <w:p w14:paraId="5B550E24">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30&lt;DS</w:t>
            </w:r>
            <w:r>
              <w:rPr>
                <w:rFonts w:hint="eastAsia" w:ascii="宋体" w:hAnsi="宋体" w:cs="宋体"/>
                <w:bCs/>
                <w:color w:val="000000" w:themeColor="text1"/>
                <w:kern w:val="0"/>
                <w:szCs w:val="21"/>
                <w:highlight w:val="none"/>
                <w14:textFill>
                  <w14:solidFill>
                    <w14:schemeClr w14:val="tx1"/>
                  </w14:solidFill>
                </w14:textFill>
              </w:rPr>
              <w:t>≦</w:t>
            </w:r>
            <w:r>
              <w:rPr>
                <w:bCs/>
                <w:color w:val="000000" w:themeColor="text1"/>
                <w:kern w:val="0"/>
                <w:szCs w:val="21"/>
                <w:highlight w:val="none"/>
                <w14:textFill>
                  <w14:solidFill>
                    <w14:schemeClr w14:val="tx1"/>
                  </w14:solidFill>
                </w14:textFill>
              </w:rPr>
              <w:t>60</w:t>
            </w:r>
          </w:p>
        </w:tc>
        <w:tc>
          <w:tcPr>
            <w:tcW w:w="4261" w:type="dxa"/>
            <w:tcBorders>
              <w:tl2br w:val="nil"/>
              <w:tr2bl w:val="nil"/>
            </w:tcBorders>
            <w:noWrap w:val="0"/>
            <w:vAlign w:val="center"/>
          </w:tcPr>
          <w:p w14:paraId="6D7557FE">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S2</w:t>
            </w:r>
          </w:p>
        </w:tc>
      </w:tr>
      <w:tr w14:paraId="7250E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noWrap w:val="0"/>
            <w:vAlign w:val="center"/>
          </w:tcPr>
          <w:p w14:paraId="08A9B455">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DS</w:t>
            </w:r>
            <w:r>
              <w:rPr>
                <w:rFonts w:hint="eastAsia" w:ascii="宋体" w:hAnsi="宋体" w:cs="宋体"/>
                <w:bCs/>
                <w:color w:val="000000" w:themeColor="text1"/>
                <w:kern w:val="0"/>
                <w:szCs w:val="21"/>
                <w:highlight w:val="none"/>
                <w14:textFill>
                  <w14:solidFill>
                    <w14:schemeClr w14:val="tx1"/>
                  </w14:solidFill>
                </w14:textFill>
              </w:rPr>
              <w:t>≦</w:t>
            </w:r>
            <w:r>
              <w:rPr>
                <w:bCs/>
                <w:color w:val="000000" w:themeColor="text1"/>
                <w:kern w:val="0"/>
                <w:szCs w:val="21"/>
                <w:highlight w:val="none"/>
                <w14:textFill>
                  <w14:solidFill>
                    <w14:schemeClr w14:val="tx1"/>
                  </w14:solidFill>
                </w14:textFill>
              </w:rPr>
              <w:t>30</w:t>
            </w:r>
          </w:p>
        </w:tc>
        <w:tc>
          <w:tcPr>
            <w:tcW w:w="4261" w:type="dxa"/>
            <w:tcBorders>
              <w:tl2br w:val="nil"/>
              <w:tr2bl w:val="nil"/>
            </w:tcBorders>
            <w:noWrap w:val="0"/>
            <w:vAlign w:val="center"/>
          </w:tcPr>
          <w:p w14:paraId="4D6821BB">
            <w:pPr>
              <w:pStyle w:val="31"/>
              <w:spacing w:after="0" w:line="360" w:lineRule="exact"/>
              <w:ind w:left="0" w:leftChars="0" w:firstLine="0" w:firstLineChars="0"/>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S3</w:t>
            </w:r>
          </w:p>
        </w:tc>
      </w:tr>
    </w:tbl>
    <w:p w14:paraId="2354C537">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根据《尾矿库环境风险评估技术导则（试行）》（HJ740-2015）附录C中各指标评分方法，本项目尾矿库位于</w:t>
      </w:r>
      <w:r>
        <w:rPr>
          <w:rFonts w:hint="eastAsia"/>
          <w:color w:val="000000" w:themeColor="text1"/>
          <w:highlight w:val="none"/>
          <w:lang w:eastAsia="zh-CN"/>
          <w14:textFill>
            <w14:solidFill>
              <w14:schemeClr w14:val="tx1"/>
            </w14:solidFill>
          </w14:textFill>
        </w:rPr>
        <w:t>伊州区雅满苏镇</w:t>
      </w:r>
      <w:r>
        <w:rPr>
          <w:color w:val="000000" w:themeColor="text1"/>
          <w:highlight w:val="none"/>
          <w14:textFill>
            <w14:solidFill>
              <w14:schemeClr w14:val="tx1"/>
            </w14:solidFill>
          </w14:textFill>
        </w:rPr>
        <w:t>，不</w:t>
      </w:r>
      <w:r>
        <w:rPr>
          <w:rFonts w:hint="eastAsia"/>
          <w:color w:val="000000" w:themeColor="text1"/>
          <w:highlight w:val="none"/>
          <w:lang w:eastAsia="zh-CN"/>
          <w14:textFill>
            <w14:solidFill>
              <w14:schemeClr w14:val="tx1"/>
            </w14:solidFill>
          </w14:textFill>
        </w:rPr>
        <w:t>涉及</w:t>
      </w:r>
      <w:r>
        <w:rPr>
          <w:color w:val="000000" w:themeColor="text1"/>
          <w:highlight w:val="none"/>
          <w14:textFill>
            <w14:solidFill>
              <w14:schemeClr w14:val="tx1"/>
            </w14:solidFill>
          </w14:textFill>
        </w:rPr>
        <w:t>跨界情况，属其他类，评分取0</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分</w:t>
      </w:r>
      <w:r>
        <w:rPr>
          <w:color w:val="000000" w:themeColor="text1"/>
          <w:highlight w:val="none"/>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尾矿库周边及下游不属于国家重点生态功能区、国家禁止开发区域、水土流失重点防治等区域或江河源头区和重要水源涵养区、饮用水水源保护区、自来水厂取水口，亦不存在重要湿地、天然林、珍稀濒危野生动植物天然集中分布区、重要水生生物的自然产卵场及索饵场、越冬场和</w:t>
      </w:r>
      <w:r>
        <w:rPr>
          <w:rFonts w:hint="eastAsia" w:cs="Times New Roman"/>
          <w:color w:val="000000" w:themeColor="text1"/>
          <w:kern w:val="2"/>
          <w:sz w:val="24"/>
          <w:szCs w:val="24"/>
          <w:highlight w:val="none"/>
          <w:lang w:val="en-US" w:eastAsia="zh-CN" w:bidi="ar"/>
          <w14:textFill>
            <w14:solidFill>
              <w14:schemeClr w14:val="tx1"/>
            </w14:solidFill>
          </w14:textFill>
        </w:rPr>
        <w:t>洄游</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通道、天然渔场等，评分取</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0</w:t>
      </w:r>
      <w:r>
        <w:rPr>
          <w:rFonts w:hint="eastAsia"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分</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无</w:t>
      </w:r>
      <w:r>
        <w:rPr>
          <w:color w:val="000000" w:themeColor="text1"/>
          <w:highlight w:val="none"/>
          <w14:textFill>
            <w14:solidFill>
              <w14:schemeClr w14:val="tx1"/>
            </w14:solidFill>
          </w14:textFill>
        </w:rPr>
        <w:t>地表水，评分取</w:t>
      </w:r>
      <w:r>
        <w:rPr>
          <w:rFonts w:hint="eastAsia"/>
          <w:color w:val="000000" w:themeColor="text1"/>
          <w:highlight w:val="none"/>
          <w:lang w:val="en-US" w:eastAsia="zh-CN"/>
          <w14:textFill>
            <w14:solidFill>
              <w14:schemeClr w14:val="tx1"/>
            </w14:solidFill>
          </w14:textFill>
        </w:rPr>
        <w:t>0</w:t>
      </w:r>
      <w:r>
        <w:rPr>
          <w:color w:val="000000" w:themeColor="text1"/>
          <w:highlight w:val="none"/>
          <w14:textFill>
            <w14:solidFill>
              <w14:schemeClr w14:val="tx1"/>
            </w14:solidFill>
          </w14:textFill>
        </w:rPr>
        <w:t>分；地下水属于三类，评分取4分；土壤环境属二类，评分取3分；大气环境为二类，评分取1.5。综上，总得分为</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.5，环境敏感性等别均为S</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w:t>
      </w:r>
    </w:p>
    <w:p w14:paraId="5C991529">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w:t>
      </w:r>
      <w:r>
        <w:rPr>
          <w:color w:val="000000" w:themeColor="text1"/>
          <w:highlight w:val="none"/>
          <w14:textFill>
            <w14:solidFill>
              <w14:schemeClr w14:val="tx1"/>
            </w14:solidFill>
          </w14:textFill>
        </w:rPr>
        <w:t>控制机制可靠性</w:t>
      </w:r>
    </w:p>
    <w:p w14:paraId="1503AA34">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采用评分方法，对尾矿库的基本情况、自然条件情况、生产安全情况、环境保护情况和历史事件情况五方面指标进行评分与累加求和，评估尾矿库控制机制可靠性（R），控制机制可靠性等别划分指标体系见表</w:t>
      </w:r>
      <w:r>
        <w:rPr>
          <w:rFonts w:hint="eastAsia"/>
          <w:color w:val="000000" w:themeColor="text1"/>
          <w:highlight w:val="none"/>
          <w14:textFill>
            <w14:solidFill>
              <w14:schemeClr w14:val="tx1"/>
            </w14:solidFill>
          </w14:textFill>
        </w:rPr>
        <w:t>5.3</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w:t>
      </w:r>
    </w:p>
    <w:p w14:paraId="447B6657">
      <w:pPr>
        <w:ind w:firstLine="0" w:firstLineChars="0"/>
        <w:jc w:val="center"/>
        <w:rPr>
          <w:b/>
          <w:bCs/>
          <w:color w:val="000000" w:themeColor="text1"/>
          <w:highlight w:val="none"/>
          <w14:textFill>
            <w14:solidFill>
              <w14:schemeClr w14:val="tx1"/>
            </w14:solidFill>
          </w14:textFill>
        </w:rPr>
      </w:pPr>
      <w:r>
        <w:rPr>
          <w:b/>
          <w:color w:val="000000" w:themeColor="text1"/>
          <w:kern w:val="0"/>
          <w:highlight w:val="none"/>
          <w14:textFill>
            <w14:solidFill>
              <w14:schemeClr w14:val="tx1"/>
            </w14:solidFill>
          </w14:textFill>
        </w:rPr>
        <w:t>表</w:t>
      </w:r>
      <w:r>
        <w:rPr>
          <w:rFonts w:hint="eastAsia"/>
          <w:b/>
          <w:color w:val="000000" w:themeColor="text1"/>
          <w:kern w:val="0"/>
          <w:highlight w:val="none"/>
          <w14:textFill>
            <w14:solidFill>
              <w14:schemeClr w14:val="tx1"/>
            </w14:solidFill>
          </w14:textFill>
        </w:rPr>
        <w:t>5.3-</w:t>
      </w:r>
      <w:r>
        <w:rPr>
          <w:rFonts w:hint="eastAsia"/>
          <w:b/>
          <w:color w:val="000000" w:themeColor="text1"/>
          <w:kern w:val="0"/>
          <w:highlight w:val="none"/>
          <w:lang w:val="en-US" w:eastAsia="zh-CN"/>
          <w14:textFill>
            <w14:solidFill>
              <w14:schemeClr w14:val="tx1"/>
            </w14:solidFill>
          </w14:textFill>
        </w:rPr>
        <w:t>10</w:t>
      </w:r>
      <w:r>
        <w:rPr>
          <w:b/>
          <w:color w:val="000000" w:themeColor="text1"/>
          <w:kern w:val="0"/>
          <w:highlight w:val="none"/>
          <w14:textFill>
            <w14:solidFill>
              <w14:schemeClr w14:val="tx1"/>
            </w14:solidFill>
          </w14:textFill>
        </w:rPr>
        <w:t xml:space="preserve">    尾矿库控制机制可靠性（R）等别划分指标体系</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84"/>
        <w:gridCol w:w="679"/>
        <w:gridCol w:w="1249"/>
        <w:gridCol w:w="1162"/>
        <w:gridCol w:w="1887"/>
        <w:gridCol w:w="1215"/>
        <w:gridCol w:w="987"/>
      </w:tblGrid>
      <w:tr w14:paraId="2F1CE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9" w:type="dxa"/>
            <w:tcBorders>
              <w:tl2br w:val="nil"/>
              <w:tr2bl w:val="nil"/>
            </w:tcBorders>
            <w:noWrap w:val="0"/>
            <w:vAlign w:val="center"/>
          </w:tcPr>
          <w:p w14:paraId="649348CA">
            <w:pPr>
              <w:pStyle w:val="10"/>
              <w:spacing w:after="0" w:line="360" w:lineRule="exact"/>
              <w:ind w:firstLine="0" w:firstLineChars="0"/>
              <w:jc w:val="center"/>
              <w:rPr>
                <w:rFonts w:ascii="Times New Roman" w:hAnsi="Times New Roman" w:cs="Times New Roman"/>
                <w:b/>
                <w:color w:val="000000" w:themeColor="text1"/>
                <w:sz w:val="21"/>
                <w:szCs w:val="21"/>
                <w:highlight w:val="none"/>
                <w14:textFill>
                  <w14:solidFill>
                    <w14:schemeClr w14:val="tx1"/>
                  </w14:solidFill>
                </w14:textFill>
              </w:rPr>
            </w:pPr>
            <w:r>
              <w:rPr>
                <w:rFonts w:ascii="Times New Roman" w:hAnsi="Times New Roman" w:cs="Times New Roman"/>
                <w:b/>
                <w:color w:val="000000" w:themeColor="text1"/>
                <w:sz w:val="21"/>
                <w:szCs w:val="21"/>
                <w:highlight w:val="none"/>
                <w14:textFill>
                  <w14:solidFill>
                    <w14:schemeClr w14:val="tx1"/>
                  </w14:solidFill>
                </w14:textFill>
              </w:rPr>
              <w:t>序号</w:t>
            </w:r>
          </w:p>
        </w:tc>
        <w:tc>
          <w:tcPr>
            <w:tcW w:w="5861" w:type="dxa"/>
            <w:gridSpan w:val="5"/>
            <w:tcBorders>
              <w:tl2br w:val="nil"/>
              <w:tr2bl w:val="nil"/>
            </w:tcBorders>
            <w:noWrap w:val="0"/>
            <w:vAlign w:val="center"/>
          </w:tcPr>
          <w:p w14:paraId="390BEF0E">
            <w:pPr>
              <w:pStyle w:val="10"/>
              <w:spacing w:after="0" w:line="360" w:lineRule="exact"/>
              <w:ind w:firstLine="0" w:firstLineChars="0"/>
              <w:jc w:val="center"/>
              <w:rPr>
                <w:rFonts w:ascii="Times New Roman" w:hAnsi="Times New Roman" w:cs="Times New Roman"/>
                <w:b/>
                <w:color w:val="000000" w:themeColor="text1"/>
                <w:sz w:val="21"/>
                <w:szCs w:val="21"/>
                <w:highlight w:val="none"/>
                <w14:textFill>
                  <w14:solidFill>
                    <w14:schemeClr w14:val="tx1"/>
                  </w14:solidFill>
                </w14:textFill>
              </w:rPr>
            </w:pPr>
            <w:r>
              <w:rPr>
                <w:rFonts w:ascii="Times New Roman" w:hAnsi="Times New Roman" w:cs="Times New Roman"/>
                <w:b/>
                <w:color w:val="000000" w:themeColor="text1"/>
                <w:sz w:val="21"/>
                <w:szCs w:val="21"/>
                <w:highlight w:val="none"/>
                <w14:textFill>
                  <w14:solidFill>
                    <w14:schemeClr w14:val="tx1"/>
                  </w14:solidFill>
                </w14:textFill>
              </w:rPr>
              <w:t>指标项目</w:t>
            </w:r>
          </w:p>
        </w:tc>
        <w:tc>
          <w:tcPr>
            <w:tcW w:w="1215" w:type="dxa"/>
            <w:tcBorders>
              <w:tl2br w:val="nil"/>
              <w:tr2bl w:val="nil"/>
            </w:tcBorders>
            <w:noWrap w:val="0"/>
            <w:vAlign w:val="center"/>
          </w:tcPr>
          <w:p w14:paraId="64B8C15D">
            <w:pPr>
              <w:pStyle w:val="10"/>
              <w:spacing w:after="0" w:line="360" w:lineRule="exact"/>
              <w:ind w:firstLine="0" w:firstLineChars="0"/>
              <w:jc w:val="center"/>
              <w:rPr>
                <w:rFonts w:ascii="Times New Roman" w:hAnsi="Times New Roman" w:cs="Times New Roman"/>
                <w:b/>
                <w:color w:val="000000" w:themeColor="text1"/>
                <w:sz w:val="21"/>
                <w:szCs w:val="21"/>
                <w:highlight w:val="none"/>
                <w14:textFill>
                  <w14:solidFill>
                    <w14:schemeClr w14:val="tx1"/>
                  </w14:solidFill>
                </w14:textFill>
              </w:rPr>
            </w:pPr>
            <w:r>
              <w:rPr>
                <w:rFonts w:ascii="Times New Roman" w:hAnsi="Times New Roman" w:cs="Times New Roman"/>
                <w:b/>
                <w:color w:val="000000" w:themeColor="text1"/>
                <w:sz w:val="21"/>
                <w:szCs w:val="21"/>
                <w:highlight w:val="none"/>
                <w14:textFill>
                  <w14:solidFill>
                    <w14:schemeClr w14:val="tx1"/>
                  </w14:solidFill>
                </w14:textFill>
              </w:rPr>
              <w:t>指标分值</w:t>
            </w:r>
          </w:p>
        </w:tc>
        <w:tc>
          <w:tcPr>
            <w:tcW w:w="987" w:type="dxa"/>
            <w:tcBorders>
              <w:tl2br w:val="nil"/>
              <w:tr2bl w:val="nil"/>
            </w:tcBorders>
            <w:noWrap w:val="0"/>
            <w:vAlign w:val="center"/>
          </w:tcPr>
          <w:p w14:paraId="168405BA">
            <w:pPr>
              <w:pStyle w:val="10"/>
              <w:spacing w:after="0" w:line="360" w:lineRule="exact"/>
              <w:ind w:firstLine="0" w:firstLineChars="0"/>
              <w:jc w:val="center"/>
              <w:rPr>
                <w:rFonts w:ascii="Times New Roman" w:hAnsi="Times New Roman" w:cs="Times New Roman"/>
                <w:b/>
                <w:color w:val="000000" w:themeColor="text1"/>
                <w:sz w:val="21"/>
                <w:szCs w:val="21"/>
                <w:highlight w:val="none"/>
                <w14:textFill>
                  <w14:solidFill>
                    <w14:schemeClr w14:val="tx1"/>
                  </w14:solidFill>
                </w14:textFill>
              </w:rPr>
            </w:pPr>
            <w:r>
              <w:rPr>
                <w:rFonts w:hint="eastAsia" w:ascii="Times New Roman" w:hAnsi="Times New Roman" w:cs="Times New Roman"/>
                <w:b/>
                <w:color w:val="000000" w:themeColor="text1"/>
                <w:sz w:val="21"/>
                <w:szCs w:val="21"/>
                <w:highlight w:val="none"/>
                <w:lang w:val="en-US" w:eastAsia="zh-CN"/>
                <w14:textFill>
                  <w14:solidFill>
                    <w14:schemeClr w14:val="tx1"/>
                  </w14:solidFill>
                </w14:textFill>
              </w:rPr>
              <w:t>本项目</w:t>
            </w:r>
            <w:r>
              <w:rPr>
                <w:rFonts w:ascii="Times New Roman" w:hAnsi="Times New Roman" w:cs="Times New Roman"/>
                <w:b/>
                <w:color w:val="000000" w:themeColor="text1"/>
                <w:sz w:val="21"/>
                <w:szCs w:val="21"/>
                <w:highlight w:val="none"/>
                <w14:textFill>
                  <w14:solidFill>
                    <w14:schemeClr w14:val="tx1"/>
                  </w14:solidFill>
                </w14:textFill>
              </w:rPr>
              <w:t>尾矿库</w:t>
            </w:r>
          </w:p>
        </w:tc>
      </w:tr>
      <w:tr w14:paraId="5B327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782BD7D6">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w:t>
            </w:r>
          </w:p>
        </w:tc>
        <w:tc>
          <w:tcPr>
            <w:tcW w:w="884" w:type="dxa"/>
            <w:vMerge w:val="restart"/>
            <w:tcBorders>
              <w:tl2br w:val="nil"/>
              <w:tr2bl w:val="nil"/>
            </w:tcBorders>
            <w:noWrap w:val="0"/>
            <w:vAlign w:val="center"/>
          </w:tcPr>
          <w:p w14:paraId="0176056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尾矿库控制机制可靠性</w:t>
            </w:r>
          </w:p>
        </w:tc>
        <w:tc>
          <w:tcPr>
            <w:tcW w:w="679" w:type="dxa"/>
            <w:vMerge w:val="restart"/>
            <w:tcBorders>
              <w:tl2br w:val="nil"/>
              <w:tr2bl w:val="nil"/>
            </w:tcBorders>
            <w:noWrap w:val="0"/>
            <w:vAlign w:val="center"/>
          </w:tcPr>
          <w:p w14:paraId="71B53EC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基本</w:t>
            </w:r>
          </w:p>
          <w:p w14:paraId="1B7E57E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情况</w:t>
            </w:r>
          </w:p>
        </w:tc>
        <w:tc>
          <w:tcPr>
            <w:tcW w:w="1249" w:type="dxa"/>
            <w:vMerge w:val="restart"/>
            <w:tcBorders>
              <w:tl2br w:val="nil"/>
              <w:tr2bl w:val="nil"/>
            </w:tcBorders>
            <w:noWrap w:val="0"/>
            <w:vAlign w:val="center"/>
          </w:tcPr>
          <w:p w14:paraId="21288EE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堆存</w:t>
            </w:r>
          </w:p>
        </w:tc>
        <w:tc>
          <w:tcPr>
            <w:tcW w:w="3049" w:type="dxa"/>
            <w:gridSpan w:val="2"/>
            <w:tcBorders>
              <w:tl2br w:val="nil"/>
              <w:tr2bl w:val="nil"/>
            </w:tcBorders>
            <w:noWrap w:val="0"/>
            <w:vAlign w:val="center"/>
          </w:tcPr>
          <w:p w14:paraId="32FE6F1E">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堆存种类</w:t>
            </w:r>
          </w:p>
        </w:tc>
        <w:tc>
          <w:tcPr>
            <w:tcW w:w="1215" w:type="dxa"/>
            <w:tcBorders>
              <w:tl2br w:val="nil"/>
              <w:tr2bl w:val="nil"/>
            </w:tcBorders>
            <w:noWrap w:val="0"/>
            <w:vAlign w:val="center"/>
          </w:tcPr>
          <w:p w14:paraId="751B394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1.5</w:t>
            </w:r>
          </w:p>
        </w:tc>
        <w:tc>
          <w:tcPr>
            <w:tcW w:w="987" w:type="dxa"/>
            <w:tcBorders>
              <w:tl2br w:val="nil"/>
              <w:tr2bl w:val="nil"/>
            </w:tcBorders>
            <w:noWrap w:val="0"/>
            <w:vAlign w:val="center"/>
          </w:tcPr>
          <w:p w14:paraId="07BE784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338BB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7706B3F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w:t>
            </w:r>
          </w:p>
        </w:tc>
        <w:tc>
          <w:tcPr>
            <w:tcW w:w="884" w:type="dxa"/>
            <w:vMerge w:val="continue"/>
            <w:tcBorders>
              <w:tl2br w:val="nil"/>
              <w:tr2bl w:val="nil"/>
            </w:tcBorders>
            <w:noWrap w:val="0"/>
            <w:vAlign w:val="center"/>
          </w:tcPr>
          <w:p w14:paraId="0592A44D">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462060DE">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39ABECAB">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3049" w:type="dxa"/>
            <w:gridSpan w:val="2"/>
            <w:tcBorders>
              <w:tl2br w:val="nil"/>
              <w:tr2bl w:val="nil"/>
            </w:tcBorders>
            <w:noWrap w:val="0"/>
            <w:vAlign w:val="center"/>
          </w:tcPr>
          <w:p w14:paraId="423690D5">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堆存方式</w:t>
            </w:r>
          </w:p>
        </w:tc>
        <w:tc>
          <w:tcPr>
            <w:tcW w:w="1215" w:type="dxa"/>
            <w:tcBorders>
              <w:tl2br w:val="nil"/>
              <w:tr2bl w:val="nil"/>
            </w:tcBorders>
            <w:noWrap w:val="0"/>
            <w:vAlign w:val="center"/>
          </w:tcPr>
          <w:p w14:paraId="2D34992B">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w:t>
            </w:r>
          </w:p>
        </w:tc>
        <w:tc>
          <w:tcPr>
            <w:tcW w:w="987" w:type="dxa"/>
            <w:tcBorders>
              <w:tl2br w:val="nil"/>
              <w:tr2bl w:val="nil"/>
            </w:tcBorders>
            <w:noWrap w:val="0"/>
            <w:vAlign w:val="center"/>
          </w:tcPr>
          <w:p w14:paraId="08835059">
            <w:pPr>
              <w:pStyle w:val="10"/>
              <w:spacing w:after="0" w:line="360" w:lineRule="exact"/>
              <w:ind w:firstLine="0" w:firstLineChars="0"/>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0</w:t>
            </w:r>
          </w:p>
        </w:tc>
      </w:tr>
      <w:tr w14:paraId="093BA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3C6FF4BC">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3</w:t>
            </w:r>
          </w:p>
        </w:tc>
        <w:tc>
          <w:tcPr>
            <w:tcW w:w="884" w:type="dxa"/>
            <w:vMerge w:val="continue"/>
            <w:tcBorders>
              <w:tl2br w:val="nil"/>
              <w:tr2bl w:val="nil"/>
            </w:tcBorders>
            <w:noWrap w:val="0"/>
            <w:vAlign w:val="center"/>
          </w:tcPr>
          <w:p w14:paraId="2438345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73C2FD93">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410A3FC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3049" w:type="dxa"/>
            <w:gridSpan w:val="2"/>
            <w:tcBorders>
              <w:tl2br w:val="nil"/>
              <w:tr2bl w:val="nil"/>
            </w:tcBorders>
            <w:noWrap w:val="0"/>
            <w:vAlign w:val="center"/>
          </w:tcPr>
          <w:p w14:paraId="6E29C40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坝体透水情况</w:t>
            </w:r>
          </w:p>
        </w:tc>
        <w:tc>
          <w:tcPr>
            <w:tcW w:w="1215" w:type="dxa"/>
            <w:tcBorders>
              <w:tl2br w:val="nil"/>
              <w:tr2bl w:val="nil"/>
            </w:tcBorders>
            <w:noWrap w:val="0"/>
            <w:vAlign w:val="center"/>
          </w:tcPr>
          <w:p w14:paraId="45EC59E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w:t>
            </w:r>
          </w:p>
        </w:tc>
        <w:tc>
          <w:tcPr>
            <w:tcW w:w="987" w:type="dxa"/>
            <w:tcBorders>
              <w:tl2br w:val="nil"/>
              <w:tr2bl w:val="nil"/>
            </w:tcBorders>
            <w:noWrap w:val="0"/>
            <w:vAlign w:val="center"/>
          </w:tcPr>
          <w:p w14:paraId="05998DA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1F51D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0C64577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4</w:t>
            </w:r>
          </w:p>
        </w:tc>
        <w:tc>
          <w:tcPr>
            <w:tcW w:w="884" w:type="dxa"/>
            <w:vMerge w:val="continue"/>
            <w:tcBorders>
              <w:tl2br w:val="nil"/>
              <w:tr2bl w:val="nil"/>
            </w:tcBorders>
            <w:noWrap w:val="0"/>
            <w:vAlign w:val="center"/>
          </w:tcPr>
          <w:p w14:paraId="4CDAB27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07D6769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restart"/>
            <w:tcBorders>
              <w:tl2br w:val="nil"/>
              <w:tr2bl w:val="nil"/>
            </w:tcBorders>
            <w:noWrap w:val="0"/>
            <w:vAlign w:val="center"/>
          </w:tcPr>
          <w:p w14:paraId="3D6921D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输送</w:t>
            </w:r>
          </w:p>
        </w:tc>
        <w:tc>
          <w:tcPr>
            <w:tcW w:w="3049" w:type="dxa"/>
            <w:gridSpan w:val="2"/>
            <w:tcBorders>
              <w:tl2br w:val="nil"/>
              <w:tr2bl w:val="nil"/>
            </w:tcBorders>
            <w:noWrap w:val="0"/>
            <w:vAlign w:val="center"/>
          </w:tcPr>
          <w:p w14:paraId="24F0AB3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输送方式</w:t>
            </w:r>
          </w:p>
        </w:tc>
        <w:tc>
          <w:tcPr>
            <w:tcW w:w="1215" w:type="dxa"/>
            <w:tcBorders>
              <w:tl2br w:val="nil"/>
              <w:tr2bl w:val="nil"/>
            </w:tcBorders>
            <w:noWrap w:val="0"/>
            <w:vAlign w:val="center"/>
          </w:tcPr>
          <w:p w14:paraId="66CDF373">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1.5</w:t>
            </w:r>
          </w:p>
        </w:tc>
        <w:tc>
          <w:tcPr>
            <w:tcW w:w="987" w:type="dxa"/>
            <w:tcBorders>
              <w:tl2br w:val="nil"/>
              <w:tr2bl w:val="nil"/>
            </w:tcBorders>
            <w:noWrap w:val="0"/>
            <w:vAlign w:val="center"/>
          </w:tcPr>
          <w:p w14:paraId="3825540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0</w:t>
            </w:r>
          </w:p>
        </w:tc>
      </w:tr>
      <w:tr w14:paraId="73F32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77384BC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5</w:t>
            </w:r>
          </w:p>
        </w:tc>
        <w:tc>
          <w:tcPr>
            <w:tcW w:w="884" w:type="dxa"/>
            <w:vMerge w:val="continue"/>
            <w:tcBorders>
              <w:tl2br w:val="nil"/>
              <w:tr2bl w:val="nil"/>
            </w:tcBorders>
            <w:noWrap w:val="0"/>
            <w:vAlign w:val="center"/>
          </w:tcPr>
          <w:p w14:paraId="1490581B">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7862323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7A3A916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3049" w:type="dxa"/>
            <w:gridSpan w:val="2"/>
            <w:tcBorders>
              <w:tl2br w:val="nil"/>
              <w:tr2bl w:val="nil"/>
            </w:tcBorders>
            <w:noWrap w:val="0"/>
            <w:vAlign w:val="center"/>
          </w:tcPr>
          <w:p w14:paraId="5BCEFF5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输送量</w:t>
            </w:r>
          </w:p>
        </w:tc>
        <w:tc>
          <w:tcPr>
            <w:tcW w:w="1215" w:type="dxa"/>
            <w:tcBorders>
              <w:tl2br w:val="nil"/>
              <w:tr2bl w:val="nil"/>
            </w:tcBorders>
            <w:noWrap w:val="0"/>
            <w:vAlign w:val="center"/>
          </w:tcPr>
          <w:p w14:paraId="3873E0E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w:t>
            </w:r>
          </w:p>
        </w:tc>
        <w:tc>
          <w:tcPr>
            <w:tcW w:w="987" w:type="dxa"/>
            <w:tcBorders>
              <w:tl2br w:val="nil"/>
              <w:tr2bl w:val="nil"/>
            </w:tcBorders>
            <w:noWrap w:val="0"/>
            <w:vAlign w:val="center"/>
          </w:tcPr>
          <w:p w14:paraId="7B31740E">
            <w:pPr>
              <w:pStyle w:val="10"/>
              <w:spacing w:after="0" w:line="360" w:lineRule="exact"/>
              <w:ind w:firstLine="0" w:firstLineChars="0"/>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0</w:t>
            </w:r>
          </w:p>
        </w:tc>
      </w:tr>
      <w:tr w14:paraId="549D8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53DB315F">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6</w:t>
            </w:r>
          </w:p>
        </w:tc>
        <w:tc>
          <w:tcPr>
            <w:tcW w:w="884" w:type="dxa"/>
            <w:vMerge w:val="continue"/>
            <w:tcBorders>
              <w:tl2br w:val="nil"/>
              <w:tr2bl w:val="nil"/>
            </w:tcBorders>
            <w:noWrap w:val="0"/>
            <w:vAlign w:val="center"/>
          </w:tcPr>
          <w:p w14:paraId="1AB263B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0AEC6C79">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5373C05F">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3049" w:type="dxa"/>
            <w:gridSpan w:val="2"/>
            <w:tcBorders>
              <w:tl2br w:val="nil"/>
              <w:tr2bl w:val="nil"/>
            </w:tcBorders>
            <w:noWrap w:val="0"/>
            <w:vAlign w:val="center"/>
          </w:tcPr>
          <w:p w14:paraId="5791ECAF">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输送距离</w:t>
            </w:r>
          </w:p>
        </w:tc>
        <w:tc>
          <w:tcPr>
            <w:tcW w:w="1215" w:type="dxa"/>
            <w:tcBorders>
              <w:tl2br w:val="nil"/>
              <w:tr2bl w:val="nil"/>
            </w:tcBorders>
            <w:noWrap w:val="0"/>
            <w:vAlign w:val="center"/>
          </w:tcPr>
          <w:p w14:paraId="5B1AAE9E">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1.5</w:t>
            </w:r>
          </w:p>
        </w:tc>
        <w:tc>
          <w:tcPr>
            <w:tcW w:w="987" w:type="dxa"/>
            <w:tcBorders>
              <w:tl2br w:val="nil"/>
              <w:tr2bl w:val="nil"/>
            </w:tcBorders>
            <w:noWrap w:val="0"/>
            <w:vAlign w:val="center"/>
          </w:tcPr>
          <w:p w14:paraId="7EB14CE5">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02868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74899225">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7</w:t>
            </w:r>
          </w:p>
        </w:tc>
        <w:tc>
          <w:tcPr>
            <w:tcW w:w="884" w:type="dxa"/>
            <w:vMerge w:val="continue"/>
            <w:tcBorders>
              <w:tl2br w:val="nil"/>
              <w:tr2bl w:val="nil"/>
            </w:tcBorders>
            <w:noWrap w:val="0"/>
            <w:vAlign w:val="center"/>
          </w:tcPr>
          <w:p w14:paraId="609489A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0956CD1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restart"/>
            <w:tcBorders>
              <w:tl2br w:val="nil"/>
              <w:tr2bl w:val="nil"/>
            </w:tcBorders>
            <w:noWrap w:val="0"/>
            <w:vAlign w:val="center"/>
          </w:tcPr>
          <w:p w14:paraId="2AD54B84">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回水</w:t>
            </w:r>
          </w:p>
        </w:tc>
        <w:tc>
          <w:tcPr>
            <w:tcW w:w="3049" w:type="dxa"/>
            <w:gridSpan w:val="2"/>
            <w:tcBorders>
              <w:tl2br w:val="nil"/>
              <w:tr2bl w:val="nil"/>
            </w:tcBorders>
            <w:noWrap w:val="0"/>
            <w:vAlign w:val="center"/>
          </w:tcPr>
          <w:p w14:paraId="42D3D82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回水方式</w:t>
            </w:r>
          </w:p>
        </w:tc>
        <w:tc>
          <w:tcPr>
            <w:tcW w:w="1215" w:type="dxa"/>
            <w:tcBorders>
              <w:tl2br w:val="nil"/>
              <w:tr2bl w:val="nil"/>
            </w:tcBorders>
            <w:noWrap w:val="0"/>
            <w:vAlign w:val="center"/>
          </w:tcPr>
          <w:p w14:paraId="0A43C32F">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w:t>
            </w:r>
          </w:p>
        </w:tc>
        <w:tc>
          <w:tcPr>
            <w:tcW w:w="987" w:type="dxa"/>
            <w:tcBorders>
              <w:tl2br w:val="nil"/>
              <w:tr2bl w:val="nil"/>
            </w:tcBorders>
            <w:noWrap w:val="0"/>
            <w:vAlign w:val="center"/>
          </w:tcPr>
          <w:p w14:paraId="5695697D">
            <w:pPr>
              <w:pStyle w:val="10"/>
              <w:spacing w:after="0" w:line="360" w:lineRule="exact"/>
              <w:ind w:firstLine="0" w:firstLineChars="0"/>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eastAsia="zh-CN"/>
                <w14:textFill>
                  <w14:solidFill>
                    <w14:schemeClr w14:val="tx1"/>
                  </w14:solidFill>
                </w14:textFill>
              </w:rPr>
              <w:t>0</w:t>
            </w:r>
          </w:p>
        </w:tc>
      </w:tr>
      <w:tr w14:paraId="5D83B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3D96A44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8</w:t>
            </w:r>
          </w:p>
        </w:tc>
        <w:tc>
          <w:tcPr>
            <w:tcW w:w="884" w:type="dxa"/>
            <w:vMerge w:val="continue"/>
            <w:tcBorders>
              <w:tl2br w:val="nil"/>
              <w:tr2bl w:val="nil"/>
            </w:tcBorders>
            <w:noWrap w:val="0"/>
            <w:vAlign w:val="center"/>
          </w:tcPr>
          <w:p w14:paraId="269FCED4">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7ACA3C4C">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3BB44DA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3049" w:type="dxa"/>
            <w:gridSpan w:val="2"/>
            <w:tcBorders>
              <w:tl2br w:val="nil"/>
              <w:tr2bl w:val="nil"/>
            </w:tcBorders>
            <w:noWrap w:val="0"/>
            <w:vAlign w:val="center"/>
          </w:tcPr>
          <w:p w14:paraId="42E6543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回水量</w:t>
            </w:r>
          </w:p>
        </w:tc>
        <w:tc>
          <w:tcPr>
            <w:tcW w:w="1215" w:type="dxa"/>
            <w:tcBorders>
              <w:tl2br w:val="nil"/>
              <w:tr2bl w:val="nil"/>
            </w:tcBorders>
            <w:noWrap w:val="0"/>
            <w:vAlign w:val="center"/>
          </w:tcPr>
          <w:p w14:paraId="40A8B3BF">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0.5</w:t>
            </w:r>
          </w:p>
        </w:tc>
        <w:tc>
          <w:tcPr>
            <w:tcW w:w="987" w:type="dxa"/>
            <w:tcBorders>
              <w:tl2br w:val="nil"/>
              <w:tr2bl w:val="nil"/>
            </w:tcBorders>
            <w:noWrap w:val="0"/>
            <w:vAlign w:val="center"/>
          </w:tcPr>
          <w:p w14:paraId="0E42A182">
            <w:pPr>
              <w:pStyle w:val="10"/>
              <w:spacing w:after="0" w:line="360" w:lineRule="exact"/>
              <w:ind w:firstLine="0" w:firstLineChars="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0</w:t>
            </w:r>
          </w:p>
        </w:tc>
      </w:tr>
      <w:tr w14:paraId="78951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2AC5C35D">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9</w:t>
            </w:r>
          </w:p>
        </w:tc>
        <w:tc>
          <w:tcPr>
            <w:tcW w:w="884" w:type="dxa"/>
            <w:vMerge w:val="continue"/>
            <w:tcBorders>
              <w:tl2br w:val="nil"/>
              <w:tr2bl w:val="nil"/>
            </w:tcBorders>
            <w:noWrap w:val="0"/>
            <w:vAlign w:val="center"/>
          </w:tcPr>
          <w:p w14:paraId="4E6CB62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5C8C9D3F">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66CC819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3049" w:type="dxa"/>
            <w:gridSpan w:val="2"/>
            <w:tcBorders>
              <w:tl2br w:val="nil"/>
              <w:tr2bl w:val="nil"/>
            </w:tcBorders>
            <w:noWrap w:val="0"/>
            <w:vAlign w:val="center"/>
          </w:tcPr>
          <w:p w14:paraId="6B9F533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回水距离</w:t>
            </w:r>
          </w:p>
        </w:tc>
        <w:tc>
          <w:tcPr>
            <w:tcW w:w="1215" w:type="dxa"/>
            <w:tcBorders>
              <w:tl2br w:val="nil"/>
              <w:tr2bl w:val="nil"/>
            </w:tcBorders>
            <w:noWrap w:val="0"/>
            <w:vAlign w:val="center"/>
          </w:tcPr>
          <w:p w14:paraId="7171A61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w:t>
            </w:r>
          </w:p>
        </w:tc>
        <w:tc>
          <w:tcPr>
            <w:tcW w:w="987" w:type="dxa"/>
            <w:tcBorders>
              <w:tl2br w:val="nil"/>
              <w:tr2bl w:val="nil"/>
            </w:tcBorders>
            <w:noWrap w:val="0"/>
            <w:vAlign w:val="center"/>
          </w:tcPr>
          <w:p w14:paraId="51FDA4E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03F8D8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4A91F87C">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10</w:t>
            </w:r>
          </w:p>
        </w:tc>
        <w:tc>
          <w:tcPr>
            <w:tcW w:w="884" w:type="dxa"/>
            <w:vMerge w:val="continue"/>
            <w:tcBorders>
              <w:tl2br w:val="nil"/>
              <w:tr2bl w:val="nil"/>
            </w:tcBorders>
            <w:noWrap w:val="0"/>
            <w:vAlign w:val="center"/>
          </w:tcPr>
          <w:p w14:paraId="18D21F45">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63D9CA34">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restart"/>
            <w:tcBorders>
              <w:tl2br w:val="nil"/>
              <w:tr2bl w:val="nil"/>
            </w:tcBorders>
            <w:noWrap w:val="0"/>
            <w:vAlign w:val="center"/>
          </w:tcPr>
          <w:p w14:paraId="7F3B73AD">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防洪</w:t>
            </w:r>
          </w:p>
        </w:tc>
        <w:tc>
          <w:tcPr>
            <w:tcW w:w="3049" w:type="dxa"/>
            <w:gridSpan w:val="2"/>
            <w:tcBorders>
              <w:tl2br w:val="nil"/>
              <w:tr2bl w:val="nil"/>
            </w:tcBorders>
            <w:noWrap w:val="0"/>
            <w:vAlign w:val="center"/>
          </w:tcPr>
          <w:p w14:paraId="6C39AB5D">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库外截洪设施</w:t>
            </w:r>
          </w:p>
        </w:tc>
        <w:tc>
          <w:tcPr>
            <w:tcW w:w="1215" w:type="dxa"/>
            <w:tcBorders>
              <w:tl2br w:val="nil"/>
              <w:tr2bl w:val="nil"/>
            </w:tcBorders>
            <w:noWrap w:val="0"/>
            <w:vAlign w:val="center"/>
          </w:tcPr>
          <w:p w14:paraId="6866517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w:t>
            </w:r>
          </w:p>
        </w:tc>
        <w:tc>
          <w:tcPr>
            <w:tcW w:w="987" w:type="dxa"/>
            <w:tcBorders>
              <w:tl2br w:val="nil"/>
              <w:tr2bl w:val="nil"/>
            </w:tcBorders>
            <w:noWrap w:val="0"/>
            <w:vAlign w:val="center"/>
          </w:tcPr>
          <w:p w14:paraId="0C6CFF4B">
            <w:pPr>
              <w:pStyle w:val="10"/>
              <w:spacing w:after="0" w:line="360" w:lineRule="exact"/>
              <w:ind w:firstLine="0" w:firstLineChars="0"/>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eastAsia="zh-CN"/>
                <w14:textFill>
                  <w14:solidFill>
                    <w14:schemeClr w14:val="tx1"/>
                  </w14:solidFill>
                </w14:textFill>
              </w:rPr>
              <w:t>0</w:t>
            </w:r>
          </w:p>
        </w:tc>
      </w:tr>
      <w:tr w14:paraId="751CB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26509144">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11</w:t>
            </w:r>
          </w:p>
        </w:tc>
        <w:tc>
          <w:tcPr>
            <w:tcW w:w="884" w:type="dxa"/>
            <w:vMerge w:val="continue"/>
            <w:tcBorders>
              <w:tl2br w:val="nil"/>
              <w:tr2bl w:val="nil"/>
            </w:tcBorders>
            <w:noWrap w:val="0"/>
            <w:vAlign w:val="center"/>
          </w:tcPr>
          <w:p w14:paraId="1360F4E6">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3DDB98FE">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55AAE78E">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3049" w:type="dxa"/>
            <w:gridSpan w:val="2"/>
            <w:tcBorders>
              <w:tl2br w:val="nil"/>
              <w:tr2bl w:val="nil"/>
            </w:tcBorders>
            <w:noWrap w:val="0"/>
            <w:vAlign w:val="center"/>
          </w:tcPr>
          <w:p w14:paraId="065A3B2D">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库内排洪设施</w:t>
            </w:r>
          </w:p>
        </w:tc>
        <w:tc>
          <w:tcPr>
            <w:tcW w:w="1215" w:type="dxa"/>
            <w:tcBorders>
              <w:tl2br w:val="nil"/>
              <w:tr2bl w:val="nil"/>
            </w:tcBorders>
            <w:noWrap w:val="0"/>
            <w:vAlign w:val="center"/>
          </w:tcPr>
          <w:p w14:paraId="688E7E5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w:t>
            </w:r>
          </w:p>
        </w:tc>
        <w:tc>
          <w:tcPr>
            <w:tcW w:w="987" w:type="dxa"/>
            <w:tcBorders>
              <w:tl2br w:val="nil"/>
              <w:tr2bl w:val="nil"/>
            </w:tcBorders>
            <w:noWrap w:val="0"/>
            <w:vAlign w:val="center"/>
          </w:tcPr>
          <w:p w14:paraId="709E031D">
            <w:pPr>
              <w:pStyle w:val="10"/>
              <w:spacing w:after="0" w:line="360" w:lineRule="exact"/>
              <w:ind w:firstLine="0" w:firstLineChars="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0</w:t>
            </w:r>
          </w:p>
        </w:tc>
      </w:tr>
      <w:tr w14:paraId="17069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2A7DC74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12</w:t>
            </w:r>
          </w:p>
        </w:tc>
        <w:tc>
          <w:tcPr>
            <w:tcW w:w="884" w:type="dxa"/>
            <w:vMerge w:val="continue"/>
            <w:tcBorders>
              <w:tl2br w:val="nil"/>
              <w:tr2bl w:val="nil"/>
            </w:tcBorders>
            <w:noWrap w:val="0"/>
            <w:vAlign w:val="center"/>
          </w:tcPr>
          <w:p w14:paraId="5C5A6D0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tcBorders>
              <w:tl2br w:val="nil"/>
              <w:tr2bl w:val="nil"/>
            </w:tcBorders>
            <w:noWrap w:val="0"/>
            <w:vAlign w:val="center"/>
          </w:tcPr>
          <w:p w14:paraId="0F28C97B">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自然条件情况</w:t>
            </w:r>
          </w:p>
        </w:tc>
        <w:tc>
          <w:tcPr>
            <w:tcW w:w="4298" w:type="dxa"/>
            <w:gridSpan w:val="3"/>
            <w:tcBorders>
              <w:tl2br w:val="nil"/>
              <w:tr2bl w:val="nil"/>
            </w:tcBorders>
            <w:noWrap w:val="0"/>
            <w:vAlign w:val="center"/>
          </w:tcPr>
          <w:p w14:paraId="07F3016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是否处于按《地质灾害危险性评估技术要求（试行）》评定为“危害性中等”或“危害性大”的区域，或者处于地质灾害易灾区、岩溶（喀斯特）地貌区</w:t>
            </w:r>
          </w:p>
        </w:tc>
        <w:tc>
          <w:tcPr>
            <w:tcW w:w="1215" w:type="dxa"/>
            <w:tcBorders>
              <w:tl2br w:val="nil"/>
              <w:tr2bl w:val="nil"/>
            </w:tcBorders>
            <w:noWrap w:val="0"/>
            <w:vAlign w:val="center"/>
          </w:tcPr>
          <w:p w14:paraId="38BB29E4">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9</w:t>
            </w:r>
          </w:p>
        </w:tc>
        <w:tc>
          <w:tcPr>
            <w:tcW w:w="987" w:type="dxa"/>
            <w:tcBorders>
              <w:tl2br w:val="nil"/>
              <w:tr2bl w:val="nil"/>
            </w:tcBorders>
            <w:noWrap w:val="0"/>
            <w:vAlign w:val="center"/>
          </w:tcPr>
          <w:p w14:paraId="1480ECC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25337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7BAB80D4">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13</w:t>
            </w:r>
          </w:p>
        </w:tc>
        <w:tc>
          <w:tcPr>
            <w:tcW w:w="884" w:type="dxa"/>
            <w:vMerge w:val="continue"/>
            <w:tcBorders>
              <w:tl2br w:val="nil"/>
              <w:tr2bl w:val="nil"/>
            </w:tcBorders>
            <w:noWrap w:val="0"/>
            <w:vAlign w:val="center"/>
          </w:tcPr>
          <w:p w14:paraId="02684B2C">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tcBorders>
              <w:tl2br w:val="nil"/>
              <w:tr2bl w:val="nil"/>
            </w:tcBorders>
            <w:noWrap w:val="0"/>
            <w:vAlign w:val="center"/>
          </w:tcPr>
          <w:p w14:paraId="75CBF6FC">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生产安全情况</w:t>
            </w:r>
          </w:p>
        </w:tc>
        <w:tc>
          <w:tcPr>
            <w:tcW w:w="4298" w:type="dxa"/>
            <w:gridSpan w:val="3"/>
            <w:tcBorders>
              <w:tl2br w:val="nil"/>
              <w:tr2bl w:val="nil"/>
            </w:tcBorders>
            <w:noWrap w:val="0"/>
            <w:vAlign w:val="center"/>
          </w:tcPr>
          <w:p w14:paraId="092888C9">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尾矿库安全度等别</w:t>
            </w:r>
          </w:p>
        </w:tc>
        <w:tc>
          <w:tcPr>
            <w:tcW w:w="1215" w:type="dxa"/>
            <w:tcBorders>
              <w:tl2br w:val="nil"/>
              <w:tr2bl w:val="nil"/>
            </w:tcBorders>
            <w:noWrap w:val="0"/>
            <w:vAlign w:val="center"/>
          </w:tcPr>
          <w:p w14:paraId="71EDD4D4">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15</w:t>
            </w:r>
          </w:p>
        </w:tc>
        <w:tc>
          <w:tcPr>
            <w:tcW w:w="987" w:type="dxa"/>
            <w:tcBorders>
              <w:tl2br w:val="nil"/>
              <w:tr2bl w:val="nil"/>
            </w:tcBorders>
            <w:noWrap w:val="0"/>
            <w:vAlign w:val="center"/>
          </w:tcPr>
          <w:p w14:paraId="113C8226">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4FEB5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2F7A5A8C">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14</w:t>
            </w:r>
          </w:p>
        </w:tc>
        <w:tc>
          <w:tcPr>
            <w:tcW w:w="884" w:type="dxa"/>
            <w:vMerge w:val="continue"/>
            <w:tcBorders>
              <w:tl2br w:val="nil"/>
              <w:tr2bl w:val="nil"/>
            </w:tcBorders>
            <w:noWrap w:val="0"/>
            <w:vAlign w:val="center"/>
          </w:tcPr>
          <w:p w14:paraId="01D37BA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restart"/>
            <w:tcBorders>
              <w:tl2br w:val="nil"/>
              <w:tr2bl w:val="nil"/>
            </w:tcBorders>
            <w:noWrap w:val="0"/>
            <w:vAlign w:val="center"/>
          </w:tcPr>
          <w:p w14:paraId="1E5628B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环境保护情况</w:t>
            </w:r>
          </w:p>
        </w:tc>
        <w:tc>
          <w:tcPr>
            <w:tcW w:w="1249" w:type="dxa"/>
            <w:tcBorders>
              <w:tl2br w:val="nil"/>
              <w:tr2bl w:val="nil"/>
            </w:tcBorders>
            <w:noWrap w:val="0"/>
            <w:vAlign w:val="center"/>
          </w:tcPr>
          <w:p w14:paraId="414D2A66">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环保审批</w:t>
            </w:r>
          </w:p>
        </w:tc>
        <w:tc>
          <w:tcPr>
            <w:tcW w:w="3049" w:type="dxa"/>
            <w:gridSpan w:val="2"/>
            <w:tcBorders>
              <w:tl2br w:val="nil"/>
              <w:tr2bl w:val="nil"/>
            </w:tcBorders>
            <w:noWrap w:val="0"/>
            <w:vAlign w:val="center"/>
          </w:tcPr>
          <w:p w14:paraId="2F413DA4">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是否通过“三同时”验收</w:t>
            </w:r>
          </w:p>
        </w:tc>
        <w:tc>
          <w:tcPr>
            <w:tcW w:w="1215" w:type="dxa"/>
            <w:tcBorders>
              <w:tl2br w:val="nil"/>
              <w:tr2bl w:val="nil"/>
            </w:tcBorders>
            <w:noWrap w:val="0"/>
            <w:vAlign w:val="center"/>
          </w:tcPr>
          <w:p w14:paraId="2CC0B7ED">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8</w:t>
            </w:r>
          </w:p>
        </w:tc>
        <w:tc>
          <w:tcPr>
            <w:tcW w:w="987" w:type="dxa"/>
            <w:tcBorders>
              <w:tl2br w:val="nil"/>
              <w:tr2bl w:val="nil"/>
            </w:tcBorders>
            <w:noWrap w:val="0"/>
            <w:vAlign w:val="center"/>
          </w:tcPr>
          <w:p w14:paraId="6C3B0B51">
            <w:pPr>
              <w:pStyle w:val="10"/>
              <w:spacing w:after="0" w:line="360" w:lineRule="exact"/>
              <w:ind w:firstLine="0" w:firstLineChars="0"/>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8</w:t>
            </w:r>
          </w:p>
        </w:tc>
      </w:tr>
      <w:tr w14:paraId="31C5A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5B4C8FB9">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15</w:t>
            </w:r>
          </w:p>
        </w:tc>
        <w:tc>
          <w:tcPr>
            <w:tcW w:w="884" w:type="dxa"/>
            <w:vMerge w:val="continue"/>
            <w:tcBorders>
              <w:tl2br w:val="nil"/>
              <w:tr2bl w:val="nil"/>
            </w:tcBorders>
            <w:noWrap w:val="0"/>
            <w:vAlign w:val="center"/>
          </w:tcPr>
          <w:p w14:paraId="150706C3">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2B4B578F">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restart"/>
            <w:tcBorders>
              <w:tl2br w:val="nil"/>
              <w:tr2bl w:val="nil"/>
            </w:tcBorders>
            <w:noWrap w:val="0"/>
            <w:vAlign w:val="center"/>
          </w:tcPr>
          <w:p w14:paraId="1C21C41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污染防治</w:t>
            </w:r>
          </w:p>
        </w:tc>
        <w:tc>
          <w:tcPr>
            <w:tcW w:w="3049" w:type="dxa"/>
            <w:gridSpan w:val="2"/>
            <w:tcBorders>
              <w:tl2br w:val="nil"/>
              <w:tr2bl w:val="nil"/>
            </w:tcBorders>
            <w:noWrap w:val="0"/>
            <w:vAlign w:val="center"/>
          </w:tcPr>
          <w:p w14:paraId="18BB4A4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水排放情况</w:t>
            </w:r>
          </w:p>
        </w:tc>
        <w:tc>
          <w:tcPr>
            <w:tcW w:w="1215" w:type="dxa"/>
            <w:tcBorders>
              <w:tl2br w:val="nil"/>
              <w:tr2bl w:val="nil"/>
            </w:tcBorders>
            <w:noWrap w:val="0"/>
            <w:vAlign w:val="center"/>
          </w:tcPr>
          <w:p w14:paraId="4234DA73">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3</w:t>
            </w:r>
          </w:p>
        </w:tc>
        <w:tc>
          <w:tcPr>
            <w:tcW w:w="987" w:type="dxa"/>
            <w:tcBorders>
              <w:tl2br w:val="nil"/>
              <w:tr2bl w:val="nil"/>
            </w:tcBorders>
            <w:noWrap w:val="0"/>
            <w:vAlign w:val="center"/>
          </w:tcPr>
          <w:p w14:paraId="3B5DA29E">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4A4E3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09C4716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16</w:t>
            </w:r>
          </w:p>
        </w:tc>
        <w:tc>
          <w:tcPr>
            <w:tcW w:w="884" w:type="dxa"/>
            <w:vMerge w:val="continue"/>
            <w:tcBorders>
              <w:tl2br w:val="nil"/>
              <w:tr2bl w:val="nil"/>
            </w:tcBorders>
            <w:noWrap w:val="0"/>
            <w:vAlign w:val="center"/>
          </w:tcPr>
          <w:p w14:paraId="0CC5770D">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087AA89B">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22AAFBDF">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3049" w:type="dxa"/>
            <w:gridSpan w:val="2"/>
            <w:tcBorders>
              <w:tl2br w:val="nil"/>
              <w:tr2bl w:val="nil"/>
            </w:tcBorders>
            <w:noWrap w:val="0"/>
            <w:vAlign w:val="center"/>
          </w:tcPr>
          <w:p w14:paraId="3A0E6E4B">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防流失情况</w:t>
            </w:r>
          </w:p>
        </w:tc>
        <w:tc>
          <w:tcPr>
            <w:tcW w:w="1215" w:type="dxa"/>
            <w:tcBorders>
              <w:tl2br w:val="nil"/>
              <w:tr2bl w:val="nil"/>
            </w:tcBorders>
            <w:noWrap w:val="0"/>
            <w:vAlign w:val="center"/>
          </w:tcPr>
          <w:p w14:paraId="54A2BD3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1.5</w:t>
            </w:r>
          </w:p>
        </w:tc>
        <w:tc>
          <w:tcPr>
            <w:tcW w:w="987" w:type="dxa"/>
            <w:tcBorders>
              <w:tl2br w:val="nil"/>
              <w:tr2bl w:val="nil"/>
            </w:tcBorders>
            <w:noWrap w:val="0"/>
            <w:vAlign w:val="center"/>
          </w:tcPr>
          <w:p w14:paraId="2FAAA4B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203DA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6E923565">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17</w:t>
            </w:r>
          </w:p>
        </w:tc>
        <w:tc>
          <w:tcPr>
            <w:tcW w:w="884" w:type="dxa"/>
            <w:vMerge w:val="continue"/>
            <w:tcBorders>
              <w:tl2br w:val="nil"/>
              <w:tr2bl w:val="nil"/>
            </w:tcBorders>
            <w:noWrap w:val="0"/>
            <w:vAlign w:val="center"/>
          </w:tcPr>
          <w:p w14:paraId="2D8DA3B5">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293E081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297EE334">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3049" w:type="dxa"/>
            <w:gridSpan w:val="2"/>
            <w:tcBorders>
              <w:tl2br w:val="nil"/>
              <w:tr2bl w:val="nil"/>
            </w:tcBorders>
            <w:noWrap w:val="0"/>
            <w:vAlign w:val="center"/>
          </w:tcPr>
          <w:p w14:paraId="0A881A7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防渗漏情况</w:t>
            </w:r>
          </w:p>
        </w:tc>
        <w:tc>
          <w:tcPr>
            <w:tcW w:w="1215" w:type="dxa"/>
            <w:tcBorders>
              <w:tl2br w:val="nil"/>
              <w:tr2bl w:val="nil"/>
            </w:tcBorders>
            <w:noWrap w:val="0"/>
            <w:vAlign w:val="center"/>
          </w:tcPr>
          <w:p w14:paraId="50781ACC">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2.5</w:t>
            </w:r>
          </w:p>
        </w:tc>
        <w:tc>
          <w:tcPr>
            <w:tcW w:w="987" w:type="dxa"/>
            <w:tcBorders>
              <w:tl2br w:val="nil"/>
              <w:tr2bl w:val="nil"/>
            </w:tcBorders>
            <w:noWrap w:val="0"/>
            <w:vAlign w:val="center"/>
          </w:tcPr>
          <w:p w14:paraId="475458D3">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1844F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2B73B4B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18</w:t>
            </w:r>
          </w:p>
        </w:tc>
        <w:tc>
          <w:tcPr>
            <w:tcW w:w="884" w:type="dxa"/>
            <w:vMerge w:val="continue"/>
            <w:tcBorders>
              <w:tl2br w:val="nil"/>
              <w:tr2bl w:val="nil"/>
            </w:tcBorders>
            <w:noWrap w:val="0"/>
            <w:vAlign w:val="center"/>
          </w:tcPr>
          <w:p w14:paraId="6B9E3BEC">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425774AD">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4026418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3049" w:type="dxa"/>
            <w:gridSpan w:val="2"/>
            <w:tcBorders>
              <w:tl2br w:val="nil"/>
              <w:tr2bl w:val="nil"/>
            </w:tcBorders>
            <w:noWrap w:val="0"/>
            <w:vAlign w:val="center"/>
          </w:tcPr>
          <w:p w14:paraId="4805F9C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防扬散情况</w:t>
            </w:r>
          </w:p>
        </w:tc>
        <w:tc>
          <w:tcPr>
            <w:tcW w:w="1215" w:type="dxa"/>
            <w:tcBorders>
              <w:tl2br w:val="nil"/>
              <w:tr2bl w:val="nil"/>
            </w:tcBorders>
            <w:noWrap w:val="0"/>
            <w:vAlign w:val="center"/>
          </w:tcPr>
          <w:p w14:paraId="26F2E24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1.5</w:t>
            </w:r>
          </w:p>
        </w:tc>
        <w:tc>
          <w:tcPr>
            <w:tcW w:w="987" w:type="dxa"/>
            <w:tcBorders>
              <w:tl2br w:val="nil"/>
              <w:tr2bl w:val="nil"/>
            </w:tcBorders>
            <w:noWrap w:val="0"/>
            <w:vAlign w:val="center"/>
          </w:tcPr>
          <w:p w14:paraId="517058E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20451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2B9028D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19</w:t>
            </w:r>
          </w:p>
        </w:tc>
        <w:tc>
          <w:tcPr>
            <w:tcW w:w="884" w:type="dxa"/>
            <w:vMerge w:val="continue"/>
            <w:tcBorders>
              <w:tl2br w:val="nil"/>
              <w:tr2bl w:val="nil"/>
            </w:tcBorders>
            <w:noWrap w:val="0"/>
            <w:vAlign w:val="center"/>
          </w:tcPr>
          <w:p w14:paraId="67641FC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1C11310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restart"/>
            <w:tcBorders>
              <w:tl2br w:val="nil"/>
              <w:tr2bl w:val="nil"/>
            </w:tcBorders>
            <w:noWrap w:val="0"/>
            <w:vAlign w:val="center"/>
          </w:tcPr>
          <w:p w14:paraId="4D392159">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环境应急</w:t>
            </w:r>
          </w:p>
        </w:tc>
        <w:tc>
          <w:tcPr>
            <w:tcW w:w="1162" w:type="dxa"/>
            <w:vMerge w:val="restart"/>
            <w:tcBorders>
              <w:tl2br w:val="nil"/>
              <w:tr2bl w:val="nil"/>
            </w:tcBorders>
            <w:noWrap w:val="0"/>
            <w:vAlign w:val="center"/>
          </w:tcPr>
          <w:p w14:paraId="2596288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环境应急设施</w:t>
            </w:r>
          </w:p>
        </w:tc>
        <w:tc>
          <w:tcPr>
            <w:tcW w:w="1887" w:type="dxa"/>
            <w:tcBorders>
              <w:tl2br w:val="nil"/>
              <w:tr2bl w:val="nil"/>
            </w:tcBorders>
            <w:noWrap w:val="0"/>
            <w:vAlign w:val="center"/>
          </w:tcPr>
          <w:p w14:paraId="1E314A69">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事故应急池建设情况</w:t>
            </w:r>
          </w:p>
        </w:tc>
        <w:tc>
          <w:tcPr>
            <w:tcW w:w="1215" w:type="dxa"/>
            <w:tcBorders>
              <w:tl2br w:val="nil"/>
              <w:tr2bl w:val="nil"/>
            </w:tcBorders>
            <w:noWrap w:val="0"/>
            <w:vAlign w:val="center"/>
          </w:tcPr>
          <w:p w14:paraId="5A2F3B1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5</w:t>
            </w:r>
          </w:p>
        </w:tc>
        <w:tc>
          <w:tcPr>
            <w:tcW w:w="987" w:type="dxa"/>
            <w:tcBorders>
              <w:tl2br w:val="nil"/>
              <w:tr2bl w:val="nil"/>
            </w:tcBorders>
            <w:noWrap w:val="0"/>
            <w:vAlign w:val="center"/>
          </w:tcPr>
          <w:p w14:paraId="1D745DCA">
            <w:pPr>
              <w:pStyle w:val="10"/>
              <w:spacing w:after="0" w:line="360" w:lineRule="exact"/>
              <w:ind w:firstLine="0" w:firstLineChars="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0</w:t>
            </w:r>
          </w:p>
        </w:tc>
      </w:tr>
      <w:tr w14:paraId="2042A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33676AC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20</w:t>
            </w:r>
          </w:p>
        </w:tc>
        <w:tc>
          <w:tcPr>
            <w:tcW w:w="884" w:type="dxa"/>
            <w:vMerge w:val="continue"/>
            <w:tcBorders>
              <w:tl2br w:val="nil"/>
              <w:tr2bl w:val="nil"/>
            </w:tcBorders>
            <w:noWrap w:val="0"/>
            <w:vAlign w:val="center"/>
          </w:tcPr>
          <w:p w14:paraId="22AC271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5CD2D72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67139D1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162" w:type="dxa"/>
            <w:vMerge w:val="continue"/>
            <w:tcBorders>
              <w:tl2br w:val="nil"/>
              <w:tr2bl w:val="nil"/>
            </w:tcBorders>
            <w:noWrap w:val="0"/>
            <w:vAlign w:val="center"/>
          </w:tcPr>
          <w:p w14:paraId="5AA7630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887" w:type="dxa"/>
            <w:tcBorders>
              <w:tl2br w:val="nil"/>
              <w:tr2bl w:val="nil"/>
            </w:tcBorders>
            <w:noWrap w:val="0"/>
            <w:vAlign w:val="center"/>
          </w:tcPr>
          <w:p w14:paraId="641E91FD">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输送系统环境应急设施建设情况</w:t>
            </w:r>
          </w:p>
        </w:tc>
        <w:tc>
          <w:tcPr>
            <w:tcW w:w="1215" w:type="dxa"/>
            <w:tcBorders>
              <w:tl2br w:val="nil"/>
              <w:tr2bl w:val="nil"/>
            </w:tcBorders>
            <w:noWrap w:val="0"/>
            <w:vAlign w:val="center"/>
          </w:tcPr>
          <w:p w14:paraId="62AF0B55">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w:t>
            </w:r>
          </w:p>
        </w:tc>
        <w:tc>
          <w:tcPr>
            <w:tcW w:w="987" w:type="dxa"/>
            <w:tcBorders>
              <w:tl2br w:val="nil"/>
              <w:tr2bl w:val="nil"/>
            </w:tcBorders>
            <w:noWrap w:val="0"/>
            <w:vAlign w:val="center"/>
          </w:tcPr>
          <w:p w14:paraId="60EFC44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73A1D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1F03656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21</w:t>
            </w:r>
          </w:p>
        </w:tc>
        <w:tc>
          <w:tcPr>
            <w:tcW w:w="884" w:type="dxa"/>
            <w:vMerge w:val="continue"/>
            <w:tcBorders>
              <w:tl2br w:val="nil"/>
              <w:tr2bl w:val="nil"/>
            </w:tcBorders>
            <w:noWrap w:val="0"/>
            <w:vAlign w:val="center"/>
          </w:tcPr>
          <w:p w14:paraId="072466E4">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295BCB56">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26A85FE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162" w:type="dxa"/>
            <w:vMerge w:val="continue"/>
            <w:tcBorders>
              <w:tl2br w:val="nil"/>
              <w:tr2bl w:val="nil"/>
            </w:tcBorders>
            <w:noWrap w:val="0"/>
            <w:vAlign w:val="center"/>
          </w:tcPr>
          <w:p w14:paraId="67977AA5">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887" w:type="dxa"/>
            <w:tcBorders>
              <w:tl2br w:val="nil"/>
              <w:tr2bl w:val="nil"/>
            </w:tcBorders>
            <w:noWrap w:val="0"/>
            <w:vAlign w:val="center"/>
          </w:tcPr>
          <w:p w14:paraId="082A012F">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回水系统环境应急设施建设情况</w:t>
            </w:r>
          </w:p>
        </w:tc>
        <w:tc>
          <w:tcPr>
            <w:tcW w:w="1215" w:type="dxa"/>
            <w:tcBorders>
              <w:tl2br w:val="nil"/>
              <w:tr2bl w:val="nil"/>
            </w:tcBorders>
            <w:noWrap w:val="0"/>
            <w:vAlign w:val="center"/>
          </w:tcPr>
          <w:p w14:paraId="1B3814A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1.5</w:t>
            </w:r>
          </w:p>
        </w:tc>
        <w:tc>
          <w:tcPr>
            <w:tcW w:w="987" w:type="dxa"/>
            <w:tcBorders>
              <w:tl2br w:val="nil"/>
              <w:tr2bl w:val="nil"/>
            </w:tcBorders>
            <w:noWrap w:val="0"/>
            <w:vAlign w:val="center"/>
          </w:tcPr>
          <w:p w14:paraId="4EA7B6E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7AABE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3CD0055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22</w:t>
            </w:r>
          </w:p>
        </w:tc>
        <w:tc>
          <w:tcPr>
            <w:tcW w:w="884" w:type="dxa"/>
            <w:vMerge w:val="continue"/>
            <w:tcBorders>
              <w:tl2br w:val="nil"/>
              <w:tr2bl w:val="nil"/>
            </w:tcBorders>
            <w:noWrap w:val="0"/>
            <w:vAlign w:val="center"/>
          </w:tcPr>
          <w:p w14:paraId="069C64F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7184950B">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0BE283A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3049" w:type="dxa"/>
            <w:gridSpan w:val="2"/>
            <w:tcBorders>
              <w:tl2br w:val="nil"/>
              <w:tr2bl w:val="nil"/>
            </w:tcBorders>
            <w:noWrap w:val="0"/>
            <w:vAlign w:val="center"/>
          </w:tcPr>
          <w:p w14:paraId="5A17D01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环境应急预案</w:t>
            </w:r>
          </w:p>
        </w:tc>
        <w:tc>
          <w:tcPr>
            <w:tcW w:w="1215" w:type="dxa"/>
            <w:tcBorders>
              <w:tl2br w:val="nil"/>
              <w:tr2bl w:val="nil"/>
            </w:tcBorders>
            <w:noWrap w:val="0"/>
            <w:vAlign w:val="center"/>
          </w:tcPr>
          <w:p w14:paraId="682F7E7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6.5</w:t>
            </w:r>
          </w:p>
        </w:tc>
        <w:tc>
          <w:tcPr>
            <w:tcW w:w="987" w:type="dxa"/>
            <w:tcBorders>
              <w:tl2br w:val="nil"/>
              <w:tr2bl w:val="nil"/>
            </w:tcBorders>
            <w:noWrap w:val="0"/>
            <w:vAlign w:val="center"/>
          </w:tcPr>
          <w:p w14:paraId="27850100">
            <w:pPr>
              <w:pStyle w:val="10"/>
              <w:spacing w:after="0" w:line="360" w:lineRule="exact"/>
              <w:ind w:firstLine="0" w:firstLineChars="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4</w:t>
            </w:r>
          </w:p>
        </w:tc>
      </w:tr>
      <w:tr w14:paraId="706A1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697FA54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23</w:t>
            </w:r>
          </w:p>
        </w:tc>
        <w:tc>
          <w:tcPr>
            <w:tcW w:w="884" w:type="dxa"/>
            <w:vMerge w:val="continue"/>
            <w:tcBorders>
              <w:tl2br w:val="nil"/>
              <w:tr2bl w:val="nil"/>
            </w:tcBorders>
            <w:noWrap w:val="0"/>
            <w:vAlign w:val="center"/>
          </w:tcPr>
          <w:p w14:paraId="67ED7FE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05B9261C">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10E53E5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3049" w:type="dxa"/>
            <w:gridSpan w:val="2"/>
            <w:tcBorders>
              <w:tl2br w:val="nil"/>
              <w:tr2bl w:val="nil"/>
            </w:tcBorders>
            <w:noWrap w:val="0"/>
            <w:vAlign w:val="center"/>
          </w:tcPr>
          <w:p w14:paraId="27916BE6">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环境应急资源</w:t>
            </w:r>
          </w:p>
        </w:tc>
        <w:tc>
          <w:tcPr>
            <w:tcW w:w="1215" w:type="dxa"/>
            <w:tcBorders>
              <w:tl2br w:val="nil"/>
              <w:tr2bl w:val="nil"/>
            </w:tcBorders>
            <w:noWrap w:val="0"/>
            <w:vAlign w:val="center"/>
          </w:tcPr>
          <w:p w14:paraId="1518B68F">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w:t>
            </w:r>
          </w:p>
        </w:tc>
        <w:tc>
          <w:tcPr>
            <w:tcW w:w="987" w:type="dxa"/>
            <w:tcBorders>
              <w:tl2br w:val="nil"/>
              <w:tr2bl w:val="nil"/>
            </w:tcBorders>
            <w:noWrap w:val="0"/>
            <w:vAlign w:val="center"/>
          </w:tcPr>
          <w:p w14:paraId="629BFE59">
            <w:pPr>
              <w:pStyle w:val="10"/>
              <w:spacing w:after="0" w:line="360" w:lineRule="exact"/>
              <w:ind w:firstLine="0" w:firstLineChars="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2</w:t>
            </w:r>
          </w:p>
        </w:tc>
      </w:tr>
      <w:tr w14:paraId="2281B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3B8D9D3F">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24</w:t>
            </w:r>
          </w:p>
        </w:tc>
        <w:tc>
          <w:tcPr>
            <w:tcW w:w="884" w:type="dxa"/>
            <w:vMerge w:val="continue"/>
            <w:tcBorders>
              <w:tl2br w:val="nil"/>
              <w:tr2bl w:val="nil"/>
            </w:tcBorders>
            <w:noWrap w:val="0"/>
            <w:vAlign w:val="center"/>
          </w:tcPr>
          <w:p w14:paraId="65396616">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2BB16B05">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1D29D84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162" w:type="dxa"/>
            <w:vMerge w:val="restart"/>
            <w:tcBorders>
              <w:tl2br w:val="nil"/>
              <w:tr2bl w:val="nil"/>
            </w:tcBorders>
            <w:noWrap w:val="0"/>
            <w:vAlign w:val="center"/>
          </w:tcPr>
          <w:p w14:paraId="2A8CF733">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环境监测预警与日常检查</w:t>
            </w:r>
          </w:p>
        </w:tc>
        <w:tc>
          <w:tcPr>
            <w:tcW w:w="1887" w:type="dxa"/>
            <w:tcBorders>
              <w:tl2br w:val="nil"/>
              <w:tr2bl w:val="nil"/>
            </w:tcBorders>
            <w:noWrap w:val="0"/>
            <w:vAlign w:val="center"/>
          </w:tcPr>
          <w:p w14:paraId="1DD227FE">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监测预警</w:t>
            </w:r>
          </w:p>
        </w:tc>
        <w:tc>
          <w:tcPr>
            <w:tcW w:w="1215" w:type="dxa"/>
            <w:tcBorders>
              <w:tl2br w:val="nil"/>
              <w:tr2bl w:val="nil"/>
            </w:tcBorders>
            <w:noWrap w:val="0"/>
            <w:vAlign w:val="center"/>
          </w:tcPr>
          <w:p w14:paraId="407BAF9B">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w:t>
            </w:r>
          </w:p>
        </w:tc>
        <w:tc>
          <w:tcPr>
            <w:tcW w:w="987" w:type="dxa"/>
            <w:tcBorders>
              <w:tl2br w:val="nil"/>
              <w:tr2bl w:val="nil"/>
            </w:tcBorders>
            <w:noWrap w:val="0"/>
            <w:vAlign w:val="center"/>
          </w:tcPr>
          <w:p w14:paraId="03CBA6EC">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p w14:paraId="2BB5B87D">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r>
      <w:tr w14:paraId="07B84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1C5539C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25</w:t>
            </w:r>
          </w:p>
        </w:tc>
        <w:tc>
          <w:tcPr>
            <w:tcW w:w="884" w:type="dxa"/>
            <w:vMerge w:val="continue"/>
            <w:tcBorders>
              <w:tl2br w:val="nil"/>
              <w:tr2bl w:val="nil"/>
            </w:tcBorders>
            <w:noWrap w:val="0"/>
            <w:vAlign w:val="center"/>
          </w:tcPr>
          <w:p w14:paraId="4EAFCCAC">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76C3D65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000065C9">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162" w:type="dxa"/>
            <w:vMerge w:val="continue"/>
            <w:tcBorders>
              <w:tl2br w:val="nil"/>
              <w:tr2bl w:val="nil"/>
            </w:tcBorders>
            <w:noWrap w:val="0"/>
            <w:vAlign w:val="center"/>
          </w:tcPr>
          <w:p w14:paraId="4A494E3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887" w:type="dxa"/>
            <w:tcBorders>
              <w:tl2br w:val="nil"/>
              <w:tr2bl w:val="nil"/>
            </w:tcBorders>
            <w:noWrap w:val="0"/>
            <w:vAlign w:val="center"/>
          </w:tcPr>
          <w:p w14:paraId="580A7FC6">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日常检查</w:t>
            </w:r>
          </w:p>
        </w:tc>
        <w:tc>
          <w:tcPr>
            <w:tcW w:w="1215" w:type="dxa"/>
            <w:tcBorders>
              <w:tl2br w:val="nil"/>
              <w:tr2bl w:val="nil"/>
            </w:tcBorders>
            <w:noWrap w:val="0"/>
            <w:vAlign w:val="center"/>
          </w:tcPr>
          <w:p w14:paraId="7A80D219">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w:t>
            </w:r>
          </w:p>
        </w:tc>
        <w:tc>
          <w:tcPr>
            <w:tcW w:w="987" w:type="dxa"/>
            <w:tcBorders>
              <w:tl2br w:val="nil"/>
              <w:tr2bl w:val="nil"/>
            </w:tcBorders>
            <w:noWrap w:val="0"/>
            <w:vAlign w:val="center"/>
          </w:tcPr>
          <w:p w14:paraId="2BA070D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51CCC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612FCB3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26</w:t>
            </w:r>
          </w:p>
        </w:tc>
        <w:tc>
          <w:tcPr>
            <w:tcW w:w="884" w:type="dxa"/>
            <w:vMerge w:val="continue"/>
            <w:tcBorders>
              <w:tl2br w:val="nil"/>
              <w:tr2bl w:val="nil"/>
            </w:tcBorders>
            <w:noWrap w:val="0"/>
            <w:vAlign w:val="center"/>
          </w:tcPr>
          <w:p w14:paraId="4A9B4963">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51BEFA4D">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726CA84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162" w:type="dxa"/>
            <w:vMerge w:val="restart"/>
            <w:tcBorders>
              <w:tl2br w:val="nil"/>
              <w:tr2bl w:val="nil"/>
            </w:tcBorders>
            <w:noWrap w:val="0"/>
            <w:vAlign w:val="center"/>
          </w:tcPr>
          <w:p w14:paraId="4303E4A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环境安全隐患排查与治理</w:t>
            </w:r>
          </w:p>
        </w:tc>
        <w:tc>
          <w:tcPr>
            <w:tcW w:w="1887" w:type="dxa"/>
            <w:tcBorders>
              <w:tl2br w:val="nil"/>
              <w:tr2bl w:val="nil"/>
            </w:tcBorders>
            <w:noWrap w:val="0"/>
            <w:vAlign w:val="center"/>
          </w:tcPr>
          <w:p w14:paraId="1321465E">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安全隐患排查</w:t>
            </w:r>
          </w:p>
        </w:tc>
        <w:tc>
          <w:tcPr>
            <w:tcW w:w="1215" w:type="dxa"/>
            <w:tcBorders>
              <w:tl2br w:val="nil"/>
              <w:tr2bl w:val="nil"/>
            </w:tcBorders>
            <w:noWrap w:val="0"/>
            <w:vAlign w:val="center"/>
          </w:tcPr>
          <w:p w14:paraId="0B4C735E">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3</w:t>
            </w:r>
          </w:p>
        </w:tc>
        <w:tc>
          <w:tcPr>
            <w:tcW w:w="987" w:type="dxa"/>
            <w:tcBorders>
              <w:tl2br w:val="nil"/>
              <w:tr2bl w:val="nil"/>
            </w:tcBorders>
            <w:noWrap w:val="0"/>
            <w:vAlign w:val="center"/>
          </w:tcPr>
          <w:p w14:paraId="0DE2BA5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198D5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7B3F4D3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27</w:t>
            </w:r>
          </w:p>
        </w:tc>
        <w:tc>
          <w:tcPr>
            <w:tcW w:w="884" w:type="dxa"/>
            <w:vMerge w:val="continue"/>
            <w:tcBorders>
              <w:tl2br w:val="nil"/>
              <w:tr2bl w:val="nil"/>
            </w:tcBorders>
            <w:noWrap w:val="0"/>
            <w:vAlign w:val="center"/>
          </w:tcPr>
          <w:p w14:paraId="6548FD9F">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4F7C0F29">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13CD40B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162" w:type="dxa"/>
            <w:vMerge w:val="continue"/>
            <w:tcBorders>
              <w:tl2br w:val="nil"/>
              <w:tr2bl w:val="nil"/>
            </w:tcBorders>
            <w:noWrap w:val="0"/>
            <w:vAlign w:val="center"/>
          </w:tcPr>
          <w:p w14:paraId="3F4C82F0">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887" w:type="dxa"/>
            <w:tcBorders>
              <w:tl2br w:val="nil"/>
              <w:tr2bl w:val="nil"/>
            </w:tcBorders>
            <w:noWrap w:val="0"/>
            <w:vAlign w:val="center"/>
          </w:tcPr>
          <w:p w14:paraId="1A76EA2D">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环境安全隐患治理</w:t>
            </w:r>
          </w:p>
        </w:tc>
        <w:tc>
          <w:tcPr>
            <w:tcW w:w="1215" w:type="dxa"/>
            <w:tcBorders>
              <w:tl2br w:val="nil"/>
              <w:tr2bl w:val="nil"/>
            </w:tcBorders>
            <w:noWrap w:val="0"/>
            <w:vAlign w:val="center"/>
          </w:tcPr>
          <w:p w14:paraId="13CA70BB">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2.5</w:t>
            </w:r>
          </w:p>
        </w:tc>
        <w:tc>
          <w:tcPr>
            <w:tcW w:w="987" w:type="dxa"/>
            <w:tcBorders>
              <w:tl2br w:val="nil"/>
              <w:tr2bl w:val="nil"/>
            </w:tcBorders>
            <w:noWrap w:val="0"/>
            <w:vAlign w:val="center"/>
          </w:tcPr>
          <w:p w14:paraId="668981EB">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5D17C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1FA5E149">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28</w:t>
            </w:r>
          </w:p>
        </w:tc>
        <w:tc>
          <w:tcPr>
            <w:tcW w:w="884" w:type="dxa"/>
            <w:vMerge w:val="continue"/>
            <w:tcBorders>
              <w:tl2br w:val="nil"/>
              <w:tr2bl w:val="nil"/>
            </w:tcBorders>
            <w:noWrap w:val="0"/>
            <w:vAlign w:val="center"/>
          </w:tcPr>
          <w:p w14:paraId="353F6FC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6960D946">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tcBorders>
              <w:tl2br w:val="nil"/>
              <w:tr2bl w:val="nil"/>
            </w:tcBorders>
            <w:noWrap w:val="0"/>
            <w:vAlign w:val="center"/>
          </w:tcPr>
          <w:p w14:paraId="378EFFB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环境违法与环境纠纷情况</w:t>
            </w:r>
          </w:p>
        </w:tc>
        <w:tc>
          <w:tcPr>
            <w:tcW w:w="3049" w:type="dxa"/>
            <w:gridSpan w:val="2"/>
            <w:tcBorders>
              <w:tl2br w:val="nil"/>
              <w:tr2bl w:val="nil"/>
            </w:tcBorders>
            <w:noWrap w:val="0"/>
            <w:vAlign w:val="center"/>
          </w:tcPr>
          <w:p w14:paraId="76306465">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近三年来是否存在环境违法行为或与周边存在环境纠纷</w:t>
            </w:r>
          </w:p>
        </w:tc>
        <w:tc>
          <w:tcPr>
            <w:tcW w:w="1215" w:type="dxa"/>
            <w:tcBorders>
              <w:tl2br w:val="nil"/>
              <w:tr2bl w:val="nil"/>
            </w:tcBorders>
            <w:noWrap w:val="0"/>
            <w:vAlign w:val="center"/>
          </w:tcPr>
          <w:p w14:paraId="51905DF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7</w:t>
            </w:r>
          </w:p>
        </w:tc>
        <w:tc>
          <w:tcPr>
            <w:tcW w:w="987" w:type="dxa"/>
            <w:tcBorders>
              <w:tl2br w:val="nil"/>
              <w:tr2bl w:val="nil"/>
            </w:tcBorders>
            <w:noWrap w:val="0"/>
            <w:vAlign w:val="center"/>
          </w:tcPr>
          <w:p w14:paraId="2FE30643">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7DF26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45064789">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29</w:t>
            </w:r>
          </w:p>
        </w:tc>
        <w:tc>
          <w:tcPr>
            <w:tcW w:w="884" w:type="dxa"/>
            <w:vMerge w:val="continue"/>
            <w:tcBorders>
              <w:tl2br w:val="nil"/>
              <w:tr2bl w:val="nil"/>
            </w:tcBorders>
            <w:noWrap w:val="0"/>
            <w:vAlign w:val="center"/>
          </w:tcPr>
          <w:p w14:paraId="3E3841D4">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restart"/>
            <w:tcBorders>
              <w:tl2br w:val="nil"/>
              <w:tr2bl w:val="nil"/>
            </w:tcBorders>
            <w:noWrap w:val="0"/>
            <w:vAlign w:val="center"/>
          </w:tcPr>
          <w:p w14:paraId="58EB416A">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历史事件情况</w:t>
            </w:r>
          </w:p>
        </w:tc>
        <w:tc>
          <w:tcPr>
            <w:tcW w:w="1249" w:type="dxa"/>
            <w:vMerge w:val="restart"/>
            <w:tcBorders>
              <w:tl2br w:val="nil"/>
              <w:tr2bl w:val="nil"/>
            </w:tcBorders>
            <w:noWrap w:val="0"/>
            <w:vAlign w:val="center"/>
          </w:tcPr>
          <w:p w14:paraId="09D21D24">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近三年来发生事故或事件情况（包括安全和环境方面）</w:t>
            </w:r>
          </w:p>
        </w:tc>
        <w:tc>
          <w:tcPr>
            <w:tcW w:w="3049" w:type="dxa"/>
            <w:gridSpan w:val="2"/>
            <w:tcBorders>
              <w:tl2br w:val="nil"/>
              <w:tr2bl w:val="nil"/>
            </w:tcBorders>
            <w:noWrap w:val="0"/>
            <w:vAlign w:val="center"/>
          </w:tcPr>
          <w:p w14:paraId="5E43459E">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事件等级</w:t>
            </w:r>
          </w:p>
        </w:tc>
        <w:tc>
          <w:tcPr>
            <w:tcW w:w="1215" w:type="dxa"/>
            <w:tcBorders>
              <w:tl2br w:val="nil"/>
              <w:tr2bl w:val="nil"/>
            </w:tcBorders>
            <w:noWrap w:val="0"/>
            <w:vAlign w:val="center"/>
          </w:tcPr>
          <w:p w14:paraId="3D8AB0F7">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8</w:t>
            </w:r>
          </w:p>
        </w:tc>
        <w:tc>
          <w:tcPr>
            <w:tcW w:w="987" w:type="dxa"/>
            <w:tcBorders>
              <w:tl2br w:val="nil"/>
              <w:tr2bl w:val="nil"/>
            </w:tcBorders>
            <w:noWrap w:val="0"/>
            <w:vAlign w:val="center"/>
          </w:tcPr>
          <w:p w14:paraId="540202D3">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29592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tcBorders>
              <w:tl2br w:val="nil"/>
              <w:tr2bl w:val="nil"/>
            </w:tcBorders>
            <w:noWrap w:val="0"/>
            <w:vAlign w:val="center"/>
          </w:tcPr>
          <w:p w14:paraId="42CE0D48">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30</w:t>
            </w:r>
          </w:p>
        </w:tc>
        <w:tc>
          <w:tcPr>
            <w:tcW w:w="884" w:type="dxa"/>
            <w:vMerge w:val="continue"/>
            <w:tcBorders>
              <w:tl2br w:val="nil"/>
              <w:tr2bl w:val="nil"/>
            </w:tcBorders>
            <w:noWrap w:val="0"/>
            <w:vAlign w:val="center"/>
          </w:tcPr>
          <w:p w14:paraId="62C33CD5">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679" w:type="dxa"/>
            <w:vMerge w:val="continue"/>
            <w:tcBorders>
              <w:tl2br w:val="nil"/>
              <w:tr2bl w:val="nil"/>
            </w:tcBorders>
            <w:noWrap w:val="0"/>
            <w:vAlign w:val="center"/>
          </w:tcPr>
          <w:p w14:paraId="537FA6D5">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1249" w:type="dxa"/>
            <w:vMerge w:val="continue"/>
            <w:tcBorders>
              <w:tl2br w:val="nil"/>
              <w:tr2bl w:val="nil"/>
            </w:tcBorders>
            <w:noWrap w:val="0"/>
            <w:vAlign w:val="center"/>
          </w:tcPr>
          <w:p w14:paraId="7D00266D">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3049" w:type="dxa"/>
            <w:gridSpan w:val="2"/>
            <w:tcBorders>
              <w:tl2br w:val="nil"/>
              <w:tr2bl w:val="nil"/>
            </w:tcBorders>
            <w:noWrap w:val="0"/>
            <w:vAlign w:val="center"/>
          </w:tcPr>
          <w:p w14:paraId="531890C1">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事件次数</w:t>
            </w:r>
          </w:p>
        </w:tc>
        <w:tc>
          <w:tcPr>
            <w:tcW w:w="1215" w:type="dxa"/>
            <w:tcBorders>
              <w:tl2br w:val="nil"/>
              <w:tr2bl w:val="nil"/>
            </w:tcBorders>
            <w:noWrap w:val="0"/>
            <w:vAlign w:val="center"/>
          </w:tcPr>
          <w:p w14:paraId="54962EEF">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3</w:t>
            </w:r>
          </w:p>
        </w:tc>
        <w:tc>
          <w:tcPr>
            <w:tcW w:w="987" w:type="dxa"/>
            <w:tcBorders>
              <w:tl2br w:val="nil"/>
              <w:tr2bl w:val="nil"/>
            </w:tcBorders>
            <w:noWrap w:val="0"/>
            <w:vAlign w:val="center"/>
          </w:tcPr>
          <w:p w14:paraId="5087BD72">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0</w:t>
            </w:r>
          </w:p>
        </w:tc>
      </w:tr>
      <w:tr w14:paraId="41C41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5" w:type="dxa"/>
            <w:gridSpan w:val="7"/>
            <w:tcBorders>
              <w:tl2br w:val="nil"/>
              <w:tr2bl w:val="nil"/>
            </w:tcBorders>
            <w:noWrap w:val="0"/>
            <w:vAlign w:val="center"/>
          </w:tcPr>
          <w:p w14:paraId="5AF1ECAE">
            <w:pPr>
              <w:pStyle w:val="10"/>
              <w:spacing w:after="0" w:line="360" w:lineRule="exact"/>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合计</w:t>
            </w:r>
          </w:p>
        </w:tc>
        <w:tc>
          <w:tcPr>
            <w:tcW w:w="987" w:type="dxa"/>
            <w:tcBorders>
              <w:tl2br w:val="nil"/>
              <w:tr2bl w:val="nil"/>
            </w:tcBorders>
            <w:noWrap w:val="0"/>
            <w:vAlign w:val="center"/>
          </w:tcPr>
          <w:p w14:paraId="5D83D86B">
            <w:pPr>
              <w:pStyle w:val="10"/>
              <w:spacing w:after="0" w:line="360" w:lineRule="exact"/>
              <w:ind w:firstLine="0" w:firstLineChars="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14</w:t>
            </w:r>
          </w:p>
        </w:tc>
      </w:tr>
    </w:tbl>
    <w:p w14:paraId="149882C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依据尾矿库控制机制可靠性等别划分表，将控制机制可靠性（R）划分为R1、R2、R3三个等别，控制机制可靠性等别划分见表</w:t>
      </w:r>
      <w:r>
        <w:rPr>
          <w:rFonts w:hint="eastAsia"/>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w:t>
      </w:r>
    </w:p>
    <w:p w14:paraId="74875D1F">
      <w:pPr>
        <w:ind w:firstLine="0" w:firstLineChars="0"/>
        <w:jc w:val="center"/>
        <w:rPr>
          <w:b/>
          <w:color w:val="000000" w:themeColor="text1"/>
          <w:kern w:val="0"/>
          <w:highlight w:val="none"/>
          <w14:textFill>
            <w14:solidFill>
              <w14:schemeClr w14:val="tx1"/>
            </w14:solidFill>
          </w14:textFill>
        </w:rPr>
      </w:pPr>
      <w:r>
        <w:rPr>
          <w:b/>
          <w:color w:val="000000" w:themeColor="text1"/>
          <w:kern w:val="0"/>
          <w:highlight w:val="none"/>
          <w14:textFill>
            <w14:solidFill>
              <w14:schemeClr w14:val="tx1"/>
            </w14:solidFill>
          </w14:textFill>
        </w:rPr>
        <w:t>表</w:t>
      </w:r>
      <w:r>
        <w:rPr>
          <w:rFonts w:hint="eastAsia"/>
          <w:b/>
          <w:color w:val="000000" w:themeColor="text1"/>
          <w:kern w:val="0"/>
          <w:highlight w:val="none"/>
          <w14:textFill>
            <w14:solidFill>
              <w14:schemeClr w14:val="tx1"/>
            </w14:solidFill>
          </w14:textFill>
        </w:rPr>
        <w:t>5.3-</w:t>
      </w:r>
      <w:r>
        <w:rPr>
          <w:b/>
          <w:color w:val="000000" w:themeColor="text1"/>
          <w:kern w:val="0"/>
          <w:highlight w:val="none"/>
          <w14:textFill>
            <w14:solidFill>
              <w14:schemeClr w14:val="tx1"/>
            </w14:solidFill>
          </w14:textFill>
        </w:rPr>
        <w:t>1</w:t>
      </w:r>
      <w:r>
        <w:rPr>
          <w:rFonts w:hint="eastAsia"/>
          <w:b/>
          <w:color w:val="000000" w:themeColor="text1"/>
          <w:kern w:val="0"/>
          <w:highlight w:val="none"/>
          <w:lang w:val="en-US" w:eastAsia="zh-CN"/>
          <w14:textFill>
            <w14:solidFill>
              <w14:schemeClr w14:val="tx1"/>
            </w14:solidFill>
          </w14:textFill>
        </w:rPr>
        <w:t>1</w:t>
      </w:r>
      <w:r>
        <w:rPr>
          <w:b/>
          <w:color w:val="000000" w:themeColor="text1"/>
          <w:kern w:val="0"/>
          <w:highlight w:val="none"/>
          <w14:textFill>
            <w14:solidFill>
              <w14:schemeClr w14:val="tx1"/>
            </w14:solidFill>
          </w14:textFill>
        </w:rPr>
        <w:t xml:space="preserve">    尾矿库控制机制可靠性（R）等别划分表</w:t>
      </w:r>
    </w:p>
    <w:tbl>
      <w:tblPr>
        <w:tblStyle w:val="3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23162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noWrap w:val="0"/>
            <w:vAlign w:val="center"/>
          </w:tcPr>
          <w:p w14:paraId="600BEF8D">
            <w:pPr>
              <w:pStyle w:val="31"/>
              <w:spacing w:after="0" w:line="360" w:lineRule="exact"/>
              <w:ind w:left="0" w:leftChars="0" w:firstLine="0" w:firstLineChars="0"/>
              <w:jc w:val="center"/>
              <w:rPr>
                <w:b/>
                <w:color w:val="000000" w:themeColor="text1"/>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尾矿库控制机制可靠性（D</w:t>
            </w:r>
            <w:r>
              <w:rPr>
                <w:b/>
                <w:color w:val="000000" w:themeColor="text1"/>
                <w:kern w:val="0"/>
                <w:szCs w:val="21"/>
                <w:highlight w:val="none"/>
                <w:vertAlign w:val="subscript"/>
                <w14:textFill>
                  <w14:solidFill>
                    <w14:schemeClr w14:val="tx1"/>
                  </w14:solidFill>
                </w14:textFill>
              </w:rPr>
              <w:t>R</w:t>
            </w:r>
            <w:r>
              <w:rPr>
                <w:b/>
                <w:color w:val="000000" w:themeColor="text1"/>
                <w:kern w:val="0"/>
                <w:szCs w:val="21"/>
                <w:highlight w:val="none"/>
                <w14:textFill>
                  <w14:solidFill>
                    <w14:schemeClr w14:val="tx1"/>
                  </w14:solidFill>
                </w14:textFill>
              </w:rPr>
              <w:t>）</w:t>
            </w:r>
          </w:p>
        </w:tc>
        <w:tc>
          <w:tcPr>
            <w:tcW w:w="4261" w:type="dxa"/>
            <w:tcBorders>
              <w:tl2br w:val="nil"/>
              <w:tr2bl w:val="nil"/>
            </w:tcBorders>
            <w:noWrap w:val="0"/>
            <w:vAlign w:val="center"/>
          </w:tcPr>
          <w:p w14:paraId="1F7388EB">
            <w:pPr>
              <w:pStyle w:val="31"/>
              <w:spacing w:after="0" w:line="360" w:lineRule="exact"/>
              <w:ind w:left="0" w:leftChars="0" w:firstLine="0" w:firstLineChars="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尾矿库环境危害性（R）等别代码</w:t>
            </w:r>
          </w:p>
        </w:tc>
      </w:tr>
      <w:tr w14:paraId="2E9C4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noWrap w:val="0"/>
            <w:vAlign w:val="center"/>
          </w:tcPr>
          <w:p w14:paraId="49123EED">
            <w:pPr>
              <w:pStyle w:val="31"/>
              <w:spacing w:after="0" w:line="360" w:lineRule="exact"/>
              <w:ind w:left="0" w:leftChars="0" w:firstLine="0" w:firstLineChars="0"/>
              <w:jc w:val="center"/>
              <w:rPr>
                <w:bCs/>
                <w:color w:val="000000" w:themeColor="text1"/>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D</w:t>
            </w:r>
            <w:r>
              <w:rPr>
                <w:bCs/>
                <w:color w:val="000000" w:themeColor="text1"/>
                <w:kern w:val="0"/>
                <w:szCs w:val="21"/>
                <w:highlight w:val="none"/>
                <w:vertAlign w:val="subscript"/>
                <w14:textFill>
                  <w14:solidFill>
                    <w14:schemeClr w14:val="tx1"/>
                  </w14:solidFill>
                </w14:textFill>
              </w:rPr>
              <w:t>R</w:t>
            </w:r>
            <w:r>
              <w:rPr>
                <w:bCs/>
                <w:color w:val="000000" w:themeColor="text1"/>
                <w:kern w:val="0"/>
                <w:szCs w:val="21"/>
                <w:highlight w:val="none"/>
                <w14:textFill>
                  <w14:solidFill>
                    <w14:schemeClr w14:val="tx1"/>
                  </w14:solidFill>
                </w14:textFill>
              </w:rPr>
              <w:t>&gt;60</w:t>
            </w:r>
          </w:p>
        </w:tc>
        <w:tc>
          <w:tcPr>
            <w:tcW w:w="4261" w:type="dxa"/>
            <w:tcBorders>
              <w:tl2br w:val="nil"/>
              <w:tr2bl w:val="nil"/>
            </w:tcBorders>
            <w:noWrap w:val="0"/>
            <w:vAlign w:val="center"/>
          </w:tcPr>
          <w:p w14:paraId="1A1D6604">
            <w:pPr>
              <w:pStyle w:val="31"/>
              <w:spacing w:after="0" w:line="360" w:lineRule="exact"/>
              <w:ind w:left="0" w:leftChars="0" w:firstLine="0" w:firstLineChars="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R1</w:t>
            </w:r>
          </w:p>
        </w:tc>
      </w:tr>
      <w:tr w14:paraId="7E197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noWrap w:val="0"/>
            <w:vAlign w:val="center"/>
          </w:tcPr>
          <w:p w14:paraId="277C96A2">
            <w:pPr>
              <w:pStyle w:val="31"/>
              <w:spacing w:after="0" w:line="360" w:lineRule="exact"/>
              <w:ind w:left="0" w:leftChars="0" w:firstLine="0" w:firstLineChars="0"/>
              <w:jc w:val="center"/>
              <w:rPr>
                <w:bCs/>
                <w:color w:val="000000" w:themeColor="text1"/>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30&lt;D</w:t>
            </w:r>
            <w:r>
              <w:rPr>
                <w:bCs/>
                <w:color w:val="000000" w:themeColor="text1"/>
                <w:kern w:val="0"/>
                <w:szCs w:val="21"/>
                <w:highlight w:val="none"/>
                <w:vertAlign w:val="subscript"/>
                <w14:textFill>
                  <w14:solidFill>
                    <w14:schemeClr w14:val="tx1"/>
                  </w14:solidFill>
                </w14:textFill>
              </w:rPr>
              <w:t>R</w:t>
            </w:r>
            <w:r>
              <w:rPr>
                <w:rFonts w:hint="eastAsia" w:ascii="宋体" w:hAnsi="宋体" w:cs="宋体"/>
                <w:bCs/>
                <w:color w:val="000000" w:themeColor="text1"/>
                <w:kern w:val="0"/>
                <w:szCs w:val="21"/>
                <w:highlight w:val="none"/>
                <w14:textFill>
                  <w14:solidFill>
                    <w14:schemeClr w14:val="tx1"/>
                  </w14:solidFill>
                </w14:textFill>
              </w:rPr>
              <w:t>≦</w:t>
            </w:r>
            <w:r>
              <w:rPr>
                <w:bCs/>
                <w:color w:val="000000" w:themeColor="text1"/>
                <w:kern w:val="0"/>
                <w:szCs w:val="21"/>
                <w:highlight w:val="none"/>
                <w14:textFill>
                  <w14:solidFill>
                    <w14:schemeClr w14:val="tx1"/>
                  </w14:solidFill>
                </w14:textFill>
              </w:rPr>
              <w:t>60</w:t>
            </w:r>
          </w:p>
        </w:tc>
        <w:tc>
          <w:tcPr>
            <w:tcW w:w="4261" w:type="dxa"/>
            <w:tcBorders>
              <w:tl2br w:val="nil"/>
              <w:tr2bl w:val="nil"/>
            </w:tcBorders>
            <w:noWrap w:val="0"/>
            <w:vAlign w:val="center"/>
          </w:tcPr>
          <w:p w14:paraId="285C50AC">
            <w:pPr>
              <w:pStyle w:val="31"/>
              <w:spacing w:after="0" w:line="360" w:lineRule="exact"/>
              <w:ind w:left="0" w:leftChars="0" w:firstLine="0" w:firstLineChars="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R2</w:t>
            </w:r>
          </w:p>
        </w:tc>
      </w:tr>
      <w:tr w14:paraId="539F2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noWrap w:val="0"/>
            <w:vAlign w:val="center"/>
          </w:tcPr>
          <w:p w14:paraId="564E7973">
            <w:pPr>
              <w:pStyle w:val="31"/>
              <w:spacing w:after="0" w:line="360" w:lineRule="exact"/>
              <w:ind w:left="0" w:leftChars="0" w:firstLine="0" w:firstLineChars="0"/>
              <w:jc w:val="center"/>
              <w:rPr>
                <w:bCs/>
                <w:color w:val="000000" w:themeColor="text1"/>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D</w:t>
            </w:r>
            <w:r>
              <w:rPr>
                <w:bCs/>
                <w:color w:val="000000" w:themeColor="text1"/>
                <w:kern w:val="0"/>
                <w:szCs w:val="21"/>
                <w:highlight w:val="none"/>
                <w:vertAlign w:val="subscript"/>
                <w14:textFill>
                  <w14:solidFill>
                    <w14:schemeClr w14:val="tx1"/>
                  </w14:solidFill>
                </w14:textFill>
              </w:rPr>
              <w:t>R</w:t>
            </w:r>
            <w:r>
              <w:rPr>
                <w:rFonts w:hint="eastAsia" w:ascii="宋体" w:hAnsi="宋体" w:cs="宋体"/>
                <w:bCs/>
                <w:color w:val="000000" w:themeColor="text1"/>
                <w:kern w:val="0"/>
                <w:szCs w:val="21"/>
                <w:highlight w:val="none"/>
                <w14:textFill>
                  <w14:solidFill>
                    <w14:schemeClr w14:val="tx1"/>
                  </w14:solidFill>
                </w14:textFill>
              </w:rPr>
              <w:t>≦</w:t>
            </w:r>
            <w:r>
              <w:rPr>
                <w:bCs/>
                <w:color w:val="000000" w:themeColor="text1"/>
                <w:kern w:val="0"/>
                <w:szCs w:val="21"/>
                <w:highlight w:val="none"/>
                <w14:textFill>
                  <w14:solidFill>
                    <w14:schemeClr w14:val="tx1"/>
                  </w14:solidFill>
                </w14:textFill>
              </w:rPr>
              <w:t>30</w:t>
            </w:r>
          </w:p>
        </w:tc>
        <w:tc>
          <w:tcPr>
            <w:tcW w:w="4261" w:type="dxa"/>
            <w:tcBorders>
              <w:tl2br w:val="nil"/>
              <w:tr2bl w:val="nil"/>
            </w:tcBorders>
            <w:noWrap w:val="0"/>
            <w:vAlign w:val="center"/>
          </w:tcPr>
          <w:p w14:paraId="3EE1E4A6">
            <w:pPr>
              <w:pStyle w:val="31"/>
              <w:spacing w:after="0" w:line="360" w:lineRule="exact"/>
              <w:ind w:left="0" w:leftChars="0" w:firstLine="0" w:firstLineChars="0"/>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R3</w:t>
            </w:r>
          </w:p>
        </w:tc>
      </w:tr>
    </w:tbl>
    <w:p w14:paraId="0C34BBC3">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根据《尾矿库环境风险评估技术导则（试行）》（HJ740-2015）附录D中各指标评分方法，本项目尾矿库得出总得分为</w:t>
      </w:r>
      <w:r>
        <w:rPr>
          <w:rFonts w:hint="eastAsia"/>
          <w:color w:val="000000" w:themeColor="text1"/>
          <w:highlight w:val="none"/>
          <w:lang w:val="en-US" w:eastAsia="zh-CN"/>
          <w14:textFill>
            <w14:solidFill>
              <w14:schemeClr w14:val="tx1"/>
            </w14:solidFill>
          </w14:textFill>
        </w:rPr>
        <w:t>14</w:t>
      </w:r>
      <w:r>
        <w:rPr>
          <w:color w:val="000000" w:themeColor="text1"/>
          <w:highlight w:val="none"/>
          <w14:textFill>
            <w14:solidFill>
              <w14:schemeClr w14:val="tx1"/>
            </w14:solidFill>
          </w14:textFill>
        </w:rPr>
        <w:t>，根据表5.3-1</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，控制机制可靠性等别均为R3。</w:t>
      </w:r>
    </w:p>
    <w:p w14:paraId="31E1A866">
      <w:pPr>
        <w:overflowPunct w:val="0"/>
        <w:topLinePunct/>
        <w:ind w:firstLine="480"/>
        <w:rPr>
          <w:rFonts w:cs="宋体"/>
          <w:color w:val="000000" w:themeColor="text1"/>
          <w:szCs w:val="21"/>
          <w:highlight w:val="none"/>
          <w:lang w:val="zh-CN" w:bidi="ar"/>
          <w14:textFill>
            <w14:solidFill>
              <w14:schemeClr w14:val="tx1"/>
            </w14:solidFill>
          </w14:textFill>
        </w:rPr>
      </w:pPr>
      <w:r>
        <w:rPr>
          <w:rFonts w:hint="eastAsia" w:cs="宋体"/>
          <w:color w:val="000000" w:themeColor="text1"/>
          <w:szCs w:val="21"/>
          <w:highlight w:val="none"/>
          <w:lang w:val="zh-CN" w:bidi="ar"/>
          <w14:textFill>
            <w14:solidFill>
              <w14:schemeClr w14:val="tx1"/>
            </w14:solidFill>
          </w14:textFill>
        </w:rPr>
        <w:t>结合尾矿库环境危害性（</w:t>
      </w:r>
      <w:r>
        <w:rPr>
          <w:rFonts w:cs="Calibri"/>
          <w:color w:val="000000" w:themeColor="text1"/>
          <w:szCs w:val="21"/>
          <w:highlight w:val="none"/>
          <w:lang w:bidi="ar"/>
          <w14:textFill>
            <w14:solidFill>
              <w14:schemeClr w14:val="tx1"/>
            </w14:solidFill>
          </w14:textFill>
        </w:rPr>
        <w:t>H</w:t>
      </w:r>
      <w:r>
        <w:rPr>
          <w:rFonts w:hint="eastAsia" w:cs="宋体"/>
          <w:color w:val="000000" w:themeColor="text1"/>
          <w:szCs w:val="21"/>
          <w:highlight w:val="none"/>
          <w:lang w:val="zh-CN" w:bidi="ar"/>
          <w14:textFill>
            <w14:solidFill>
              <w14:schemeClr w14:val="tx1"/>
            </w14:solidFill>
          </w14:textFill>
        </w:rPr>
        <w:t>）、周边环境敏感性（</w:t>
      </w:r>
      <w:r>
        <w:rPr>
          <w:rFonts w:cs="Calibri"/>
          <w:color w:val="000000" w:themeColor="text1"/>
          <w:szCs w:val="21"/>
          <w:highlight w:val="none"/>
          <w:lang w:bidi="ar"/>
          <w14:textFill>
            <w14:solidFill>
              <w14:schemeClr w14:val="tx1"/>
            </w14:solidFill>
          </w14:textFill>
        </w:rPr>
        <w:t>S</w:t>
      </w:r>
      <w:r>
        <w:rPr>
          <w:rFonts w:hint="eastAsia" w:cs="宋体"/>
          <w:color w:val="000000" w:themeColor="text1"/>
          <w:szCs w:val="21"/>
          <w:highlight w:val="none"/>
          <w:lang w:val="zh-CN" w:bidi="ar"/>
          <w14:textFill>
            <w14:solidFill>
              <w14:schemeClr w14:val="tx1"/>
            </w14:solidFill>
          </w14:textFill>
        </w:rPr>
        <w:t>）、控制机制可靠性（</w:t>
      </w:r>
      <w:r>
        <w:rPr>
          <w:rFonts w:cs="Calibri"/>
          <w:color w:val="000000" w:themeColor="text1"/>
          <w:szCs w:val="21"/>
          <w:highlight w:val="none"/>
          <w:lang w:bidi="ar"/>
          <w14:textFill>
            <w14:solidFill>
              <w14:schemeClr w14:val="tx1"/>
            </w14:solidFill>
          </w14:textFill>
        </w:rPr>
        <w:t>R</w:t>
      </w:r>
      <w:r>
        <w:rPr>
          <w:rFonts w:hint="eastAsia" w:cs="宋体"/>
          <w:color w:val="000000" w:themeColor="text1"/>
          <w:szCs w:val="21"/>
          <w:highlight w:val="none"/>
          <w:lang w:val="zh-CN" w:bidi="ar"/>
          <w14:textFill>
            <w14:solidFill>
              <w14:schemeClr w14:val="tx1"/>
            </w14:solidFill>
          </w14:textFill>
        </w:rPr>
        <w:t>）三方面的等别，对照尾矿库环境风险等级划分矩阵，将尾矿库环境风险划分为重大、较大、一般三个等级，见表</w:t>
      </w:r>
      <w:r>
        <w:rPr>
          <w:rFonts w:cs="Calibri"/>
          <w:color w:val="000000" w:themeColor="text1"/>
          <w:szCs w:val="21"/>
          <w:highlight w:val="none"/>
          <w:lang w:bidi="ar"/>
          <w14:textFill>
            <w14:solidFill>
              <w14:schemeClr w14:val="tx1"/>
            </w14:solidFill>
          </w14:textFill>
        </w:rPr>
        <w:t>5.</w:t>
      </w:r>
      <w:r>
        <w:rPr>
          <w:rFonts w:hint="eastAsia" w:cs="Calibri"/>
          <w:color w:val="000000" w:themeColor="text1"/>
          <w:szCs w:val="21"/>
          <w:highlight w:val="none"/>
          <w:lang w:bidi="ar"/>
          <w14:textFill>
            <w14:solidFill>
              <w14:schemeClr w14:val="tx1"/>
            </w14:solidFill>
          </w14:textFill>
        </w:rPr>
        <w:t>3-1</w:t>
      </w:r>
      <w:r>
        <w:rPr>
          <w:rFonts w:hint="eastAsia" w:cs="Calibri"/>
          <w:color w:val="000000" w:themeColor="text1"/>
          <w:szCs w:val="21"/>
          <w:highlight w:val="none"/>
          <w:lang w:val="en-US" w:eastAsia="zh-CN" w:bidi="ar"/>
          <w14:textFill>
            <w14:solidFill>
              <w14:schemeClr w14:val="tx1"/>
            </w14:solidFill>
          </w14:textFill>
        </w:rPr>
        <w:t>2</w:t>
      </w:r>
      <w:r>
        <w:rPr>
          <w:rFonts w:hint="eastAsia" w:cs="宋体"/>
          <w:color w:val="000000" w:themeColor="text1"/>
          <w:szCs w:val="21"/>
          <w:highlight w:val="none"/>
          <w:lang w:val="zh-CN" w:bidi="ar"/>
          <w14:textFill>
            <w14:solidFill>
              <w14:schemeClr w14:val="tx1"/>
            </w14:solidFill>
          </w14:textFill>
        </w:rPr>
        <w:t>。</w:t>
      </w:r>
    </w:p>
    <w:p w14:paraId="77FD4EFE">
      <w:pPr>
        <w:ind w:left="0" w:leftChars="0" w:firstLine="0" w:firstLineChars="0"/>
        <w:jc w:val="center"/>
        <w:rPr>
          <w:color w:val="000000" w:themeColor="text1"/>
          <w:highlight w:val="none"/>
          <w14:textFill>
            <w14:solidFill>
              <w14:schemeClr w14:val="tx1"/>
            </w14:solidFill>
          </w14:textFill>
        </w:rPr>
      </w:pPr>
      <w:r>
        <w:rPr>
          <w:b/>
          <w:color w:val="000000" w:themeColor="text1"/>
          <w:szCs w:val="21"/>
          <w:highlight w:val="none"/>
          <w:lang w:val="zh-CN" w:bidi="ar"/>
          <w14:textFill>
            <w14:solidFill>
              <w14:schemeClr w14:val="tx1"/>
            </w14:solidFill>
          </w14:textFill>
        </w:rPr>
        <w:t>表</w:t>
      </w:r>
      <w:r>
        <w:rPr>
          <w:b/>
          <w:color w:val="000000" w:themeColor="text1"/>
          <w:szCs w:val="21"/>
          <w:highlight w:val="none"/>
          <w:lang w:bidi="ar"/>
          <w14:textFill>
            <w14:solidFill>
              <w14:schemeClr w14:val="tx1"/>
            </w14:solidFill>
          </w14:textFill>
        </w:rPr>
        <w:t>5.3-1</w:t>
      </w:r>
      <w:r>
        <w:rPr>
          <w:rFonts w:hint="eastAsia"/>
          <w:b/>
          <w:color w:val="000000" w:themeColor="text1"/>
          <w:szCs w:val="21"/>
          <w:highlight w:val="none"/>
          <w:lang w:val="en-US" w:eastAsia="zh-CN" w:bidi="ar"/>
          <w14:textFill>
            <w14:solidFill>
              <w14:schemeClr w14:val="tx1"/>
            </w14:solidFill>
          </w14:textFill>
        </w:rPr>
        <w:t>2</w:t>
      </w:r>
      <w:r>
        <w:rPr>
          <w:b/>
          <w:color w:val="000000" w:themeColor="text1"/>
          <w:szCs w:val="21"/>
          <w:highlight w:val="none"/>
          <w:lang w:bidi="ar"/>
          <w14:textFill>
            <w14:solidFill>
              <w14:schemeClr w14:val="tx1"/>
            </w14:solidFill>
          </w14:textFill>
        </w:rPr>
        <w:t xml:space="preserve">    尾矿库环境风险等级划分矩阵</w:t>
      </w:r>
    </w:p>
    <w:tbl>
      <w:tblPr>
        <w:tblStyle w:val="32"/>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08" w:type="dxa"/>
          <w:bottom w:w="0" w:type="dxa"/>
          <w:right w:w="108" w:type="dxa"/>
        </w:tblCellMar>
      </w:tblPr>
      <w:tblGrid>
        <w:gridCol w:w="810"/>
        <w:gridCol w:w="1751"/>
        <w:gridCol w:w="2040"/>
        <w:gridCol w:w="2134"/>
        <w:gridCol w:w="1782"/>
      </w:tblGrid>
      <w:tr w14:paraId="43087B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blHeader/>
        </w:trPr>
        <w:tc>
          <w:tcPr>
            <w:tcW w:w="810" w:type="dxa"/>
            <w:vMerge w:val="restart"/>
            <w:tcBorders>
              <w:tl2br w:val="nil"/>
              <w:tr2bl w:val="nil"/>
            </w:tcBorders>
            <w:noWrap w:val="0"/>
            <w:vAlign w:val="center"/>
          </w:tcPr>
          <w:p w14:paraId="518BD90F">
            <w:pPr>
              <w:overflowPunct w:val="0"/>
              <w:spacing w:line="360" w:lineRule="exact"/>
              <w:ind w:firstLine="0" w:firstLineChars="0"/>
              <w:jc w:val="center"/>
              <w:rPr>
                <w:b/>
                <w:color w:val="000000" w:themeColor="text1"/>
                <w:kern w:val="18"/>
                <w:sz w:val="21"/>
                <w:szCs w:val="21"/>
                <w:highlight w:val="none"/>
                <w14:textFill>
                  <w14:solidFill>
                    <w14:schemeClr w14:val="tx1"/>
                  </w14:solidFill>
                </w14:textFill>
              </w:rPr>
            </w:pPr>
            <w:r>
              <w:rPr>
                <w:b/>
                <w:color w:val="000000" w:themeColor="text1"/>
                <w:kern w:val="18"/>
                <w:sz w:val="21"/>
                <w:szCs w:val="21"/>
                <w:highlight w:val="none"/>
                <w:lang w:bidi="ar"/>
                <w14:textFill>
                  <w14:solidFill>
                    <w14:schemeClr w14:val="tx1"/>
                  </w14:solidFill>
                </w14:textFill>
              </w:rPr>
              <w:t>序号</w:t>
            </w:r>
          </w:p>
        </w:tc>
        <w:tc>
          <w:tcPr>
            <w:tcW w:w="5925" w:type="dxa"/>
            <w:gridSpan w:val="3"/>
            <w:tcBorders>
              <w:tl2br w:val="nil"/>
              <w:tr2bl w:val="nil"/>
            </w:tcBorders>
            <w:noWrap w:val="0"/>
            <w:vAlign w:val="center"/>
          </w:tcPr>
          <w:p w14:paraId="41375142">
            <w:pPr>
              <w:overflowPunct w:val="0"/>
              <w:spacing w:line="360" w:lineRule="exact"/>
              <w:ind w:firstLine="0" w:firstLineChars="0"/>
              <w:jc w:val="center"/>
              <w:rPr>
                <w:b/>
                <w:color w:val="000000" w:themeColor="text1"/>
                <w:kern w:val="18"/>
                <w:sz w:val="21"/>
                <w:szCs w:val="21"/>
                <w:highlight w:val="none"/>
                <w14:textFill>
                  <w14:solidFill>
                    <w14:schemeClr w14:val="tx1"/>
                  </w14:solidFill>
                </w14:textFill>
              </w:rPr>
            </w:pPr>
            <w:r>
              <w:rPr>
                <w:b/>
                <w:color w:val="000000" w:themeColor="text1"/>
                <w:kern w:val="18"/>
                <w:sz w:val="21"/>
                <w:szCs w:val="21"/>
                <w:highlight w:val="none"/>
                <w:lang w:bidi="ar"/>
                <w14:textFill>
                  <w14:solidFill>
                    <w14:schemeClr w14:val="tx1"/>
                  </w14:solidFill>
                </w14:textFill>
              </w:rPr>
              <w:t>情形</w:t>
            </w:r>
          </w:p>
        </w:tc>
        <w:tc>
          <w:tcPr>
            <w:tcW w:w="1782" w:type="dxa"/>
            <w:vMerge w:val="restart"/>
            <w:tcBorders>
              <w:tl2br w:val="nil"/>
              <w:tr2bl w:val="nil"/>
            </w:tcBorders>
            <w:noWrap w:val="0"/>
            <w:vAlign w:val="center"/>
          </w:tcPr>
          <w:p w14:paraId="2302C68D">
            <w:pPr>
              <w:overflowPunct w:val="0"/>
              <w:spacing w:line="360" w:lineRule="exact"/>
              <w:ind w:firstLine="0" w:firstLineChars="0"/>
              <w:jc w:val="center"/>
              <w:rPr>
                <w:b/>
                <w:color w:val="000000" w:themeColor="text1"/>
                <w:kern w:val="18"/>
                <w:sz w:val="21"/>
                <w:szCs w:val="21"/>
                <w:highlight w:val="none"/>
                <w14:textFill>
                  <w14:solidFill>
                    <w14:schemeClr w14:val="tx1"/>
                  </w14:solidFill>
                </w14:textFill>
              </w:rPr>
            </w:pPr>
            <w:r>
              <w:rPr>
                <w:b/>
                <w:color w:val="000000" w:themeColor="text1"/>
                <w:kern w:val="18"/>
                <w:sz w:val="21"/>
                <w:szCs w:val="21"/>
                <w:highlight w:val="none"/>
                <w:lang w:bidi="ar"/>
                <w14:textFill>
                  <w14:solidFill>
                    <w14:schemeClr w14:val="tx1"/>
                  </w14:solidFill>
                </w14:textFill>
              </w:rPr>
              <w:t>环境风险</w:t>
            </w:r>
          </w:p>
          <w:p w14:paraId="27141BA6">
            <w:pPr>
              <w:overflowPunct w:val="0"/>
              <w:spacing w:line="360" w:lineRule="exact"/>
              <w:ind w:firstLine="0" w:firstLineChars="0"/>
              <w:jc w:val="center"/>
              <w:rPr>
                <w:b/>
                <w:color w:val="000000" w:themeColor="text1"/>
                <w:kern w:val="18"/>
                <w:sz w:val="21"/>
                <w:szCs w:val="21"/>
                <w:highlight w:val="none"/>
                <w14:textFill>
                  <w14:solidFill>
                    <w14:schemeClr w14:val="tx1"/>
                  </w14:solidFill>
                </w14:textFill>
              </w:rPr>
            </w:pPr>
            <w:r>
              <w:rPr>
                <w:b/>
                <w:color w:val="000000" w:themeColor="text1"/>
                <w:kern w:val="18"/>
                <w:sz w:val="21"/>
                <w:szCs w:val="21"/>
                <w:highlight w:val="none"/>
                <w:lang w:bidi="ar"/>
                <w14:textFill>
                  <w14:solidFill>
                    <w14:schemeClr w14:val="tx1"/>
                  </w14:solidFill>
                </w14:textFill>
              </w:rPr>
              <w:t>等级</w:t>
            </w:r>
          </w:p>
        </w:tc>
      </w:tr>
      <w:tr w14:paraId="267461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vMerge w:val="continue"/>
            <w:tcBorders>
              <w:tl2br w:val="nil"/>
              <w:tr2bl w:val="nil"/>
            </w:tcBorders>
            <w:noWrap w:val="0"/>
            <w:vAlign w:val="center"/>
          </w:tcPr>
          <w:p w14:paraId="79A2BAF3">
            <w:pPr>
              <w:ind w:firstLine="400"/>
              <w:rPr>
                <w:color w:val="000000" w:themeColor="text1"/>
                <w:sz w:val="20"/>
                <w:szCs w:val="20"/>
                <w:highlight w:val="none"/>
                <w14:textFill>
                  <w14:solidFill>
                    <w14:schemeClr w14:val="tx1"/>
                  </w14:solidFill>
                </w14:textFill>
              </w:rPr>
            </w:pPr>
          </w:p>
        </w:tc>
        <w:tc>
          <w:tcPr>
            <w:tcW w:w="1751" w:type="dxa"/>
            <w:tcBorders>
              <w:tl2br w:val="nil"/>
              <w:tr2bl w:val="nil"/>
            </w:tcBorders>
            <w:noWrap w:val="0"/>
            <w:vAlign w:val="center"/>
          </w:tcPr>
          <w:p w14:paraId="1B7653A4">
            <w:pPr>
              <w:adjustRightInd w:val="0"/>
              <w:spacing w:line="360" w:lineRule="exact"/>
              <w:ind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lang w:bidi="ar"/>
                <w14:textFill>
                  <w14:solidFill>
                    <w14:schemeClr w14:val="tx1"/>
                  </w14:solidFill>
                </w14:textFill>
              </w:rPr>
              <w:t>环境危害性（H）</w:t>
            </w:r>
          </w:p>
        </w:tc>
        <w:tc>
          <w:tcPr>
            <w:tcW w:w="2040" w:type="dxa"/>
            <w:tcBorders>
              <w:tl2br w:val="nil"/>
              <w:tr2bl w:val="nil"/>
            </w:tcBorders>
            <w:noWrap w:val="0"/>
            <w:vAlign w:val="center"/>
          </w:tcPr>
          <w:p w14:paraId="37CEAFED">
            <w:pPr>
              <w:adjustRightInd w:val="0"/>
              <w:spacing w:line="360" w:lineRule="exact"/>
              <w:ind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lang w:bidi="ar"/>
                <w14:textFill>
                  <w14:solidFill>
                    <w14:schemeClr w14:val="tx1"/>
                  </w14:solidFill>
                </w14:textFill>
              </w:rPr>
              <w:t>周边环境敏感性（S）</w:t>
            </w:r>
          </w:p>
        </w:tc>
        <w:tc>
          <w:tcPr>
            <w:tcW w:w="2134" w:type="dxa"/>
            <w:tcBorders>
              <w:tl2br w:val="nil"/>
              <w:tr2bl w:val="nil"/>
            </w:tcBorders>
            <w:noWrap w:val="0"/>
            <w:vAlign w:val="center"/>
          </w:tcPr>
          <w:p w14:paraId="2AAC6E17">
            <w:pPr>
              <w:adjustRightInd w:val="0"/>
              <w:spacing w:line="360" w:lineRule="exact"/>
              <w:ind w:firstLine="0" w:firstLineChars="0"/>
              <w:jc w:val="center"/>
              <w:rPr>
                <w:b/>
                <w:color w:val="000000" w:themeColor="text1"/>
                <w:kern w:val="0"/>
                <w:sz w:val="21"/>
                <w:szCs w:val="21"/>
                <w:highlight w:val="none"/>
                <w14:textFill>
                  <w14:solidFill>
                    <w14:schemeClr w14:val="tx1"/>
                  </w14:solidFill>
                </w14:textFill>
              </w:rPr>
            </w:pPr>
            <w:r>
              <w:rPr>
                <w:b/>
                <w:color w:val="000000" w:themeColor="text1"/>
                <w:kern w:val="0"/>
                <w:sz w:val="21"/>
                <w:szCs w:val="21"/>
                <w:highlight w:val="none"/>
                <w:lang w:bidi="ar"/>
                <w14:textFill>
                  <w14:solidFill>
                    <w14:schemeClr w14:val="tx1"/>
                  </w14:solidFill>
                </w14:textFill>
              </w:rPr>
              <w:t>控制机制可靠性（R）</w:t>
            </w:r>
          </w:p>
        </w:tc>
        <w:tc>
          <w:tcPr>
            <w:tcW w:w="1782" w:type="dxa"/>
            <w:vMerge w:val="continue"/>
            <w:tcBorders>
              <w:tl2br w:val="nil"/>
              <w:tr2bl w:val="nil"/>
            </w:tcBorders>
            <w:noWrap w:val="0"/>
            <w:vAlign w:val="center"/>
          </w:tcPr>
          <w:p w14:paraId="6FCAD9C8">
            <w:pPr>
              <w:ind w:firstLine="400"/>
              <w:rPr>
                <w:color w:val="000000" w:themeColor="text1"/>
                <w:sz w:val="20"/>
                <w:szCs w:val="20"/>
                <w:highlight w:val="none"/>
                <w14:textFill>
                  <w14:solidFill>
                    <w14:schemeClr w14:val="tx1"/>
                  </w14:solidFill>
                </w14:textFill>
              </w:rPr>
            </w:pPr>
          </w:p>
        </w:tc>
      </w:tr>
      <w:tr w14:paraId="167337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4B553682">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w:t>
            </w:r>
          </w:p>
        </w:tc>
        <w:tc>
          <w:tcPr>
            <w:tcW w:w="1751" w:type="dxa"/>
            <w:vMerge w:val="restart"/>
            <w:tcBorders>
              <w:tl2br w:val="nil"/>
              <w:tr2bl w:val="nil"/>
            </w:tcBorders>
            <w:noWrap w:val="0"/>
            <w:vAlign w:val="center"/>
          </w:tcPr>
          <w:p w14:paraId="36A6CC6B">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H1</w:t>
            </w:r>
          </w:p>
        </w:tc>
        <w:tc>
          <w:tcPr>
            <w:tcW w:w="2040" w:type="dxa"/>
            <w:vMerge w:val="restart"/>
            <w:tcBorders>
              <w:tl2br w:val="nil"/>
              <w:tr2bl w:val="nil"/>
            </w:tcBorders>
            <w:noWrap w:val="0"/>
            <w:vAlign w:val="center"/>
          </w:tcPr>
          <w:p w14:paraId="5C3F5824">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S1</w:t>
            </w:r>
          </w:p>
        </w:tc>
        <w:tc>
          <w:tcPr>
            <w:tcW w:w="2134" w:type="dxa"/>
            <w:tcBorders>
              <w:tl2br w:val="nil"/>
              <w:tr2bl w:val="nil"/>
            </w:tcBorders>
            <w:noWrap w:val="0"/>
            <w:vAlign w:val="center"/>
          </w:tcPr>
          <w:p w14:paraId="3EE5EDA9">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R1</w:t>
            </w:r>
          </w:p>
        </w:tc>
        <w:tc>
          <w:tcPr>
            <w:tcW w:w="1782" w:type="dxa"/>
            <w:tcBorders>
              <w:tl2br w:val="nil"/>
              <w:tr2bl w:val="nil"/>
            </w:tcBorders>
            <w:noWrap w:val="0"/>
            <w:vAlign w:val="center"/>
          </w:tcPr>
          <w:p w14:paraId="7F69461C">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重大</w:t>
            </w:r>
          </w:p>
        </w:tc>
      </w:tr>
      <w:tr w14:paraId="11224B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6670E773">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2</w:t>
            </w:r>
          </w:p>
        </w:tc>
        <w:tc>
          <w:tcPr>
            <w:tcW w:w="1751" w:type="dxa"/>
            <w:vMerge w:val="continue"/>
            <w:tcBorders>
              <w:tl2br w:val="nil"/>
              <w:tr2bl w:val="nil"/>
            </w:tcBorders>
            <w:noWrap w:val="0"/>
            <w:vAlign w:val="center"/>
          </w:tcPr>
          <w:p w14:paraId="07CC9D47">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447B112C">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3E6E53A8">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R2</w:t>
            </w:r>
          </w:p>
        </w:tc>
        <w:tc>
          <w:tcPr>
            <w:tcW w:w="1782" w:type="dxa"/>
            <w:tcBorders>
              <w:tl2br w:val="nil"/>
              <w:tr2bl w:val="nil"/>
            </w:tcBorders>
            <w:noWrap w:val="0"/>
            <w:vAlign w:val="center"/>
          </w:tcPr>
          <w:p w14:paraId="4133D326">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重大</w:t>
            </w:r>
          </w:p>
        </w:tc>
      </w:tr>
      <w:tr w14:paraId="25FD65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0D7BF02B">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3</w:t>
            </w:r>
          </w:p>
        </w:tc>
        <w:tc>
          <w:tcPr>
            <w:tcW w:w="1751" w:type="dxa"/>
            <w:vMerge w:val="continue"/>
            <w:tcBorders>
              <w:tl2br w:val="nil"/>
              <w:tr2bl w:val="nil"/>
            </w:tcBorders>
            <w:noWrap w:val="0"/>
            <w:vAlign w:val="center"/>
          </w:tcPr>
          <w:p w14:paraId="080B2B73">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0B437EA5">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461327FC">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R3</w:t>
            </w:r>
          </w:p>
        </w:tc>
        <w:tc>
          <w:tcPr>
            <w:tcW w:w="1782" w:type="dxa"/>
            <w:tcBorders>
              <w:tl2br w:val="nil"/>
              <w:tr2bl w:val="nil"/>
            </w:tcBorders>
            <w:noWrap w:val="0"/>
            <w:vAlign w:val="center"/>
          </w:tcPr>
          <w:p w14:paraId="71E7752E">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较大</w:t>
            </w:r>
          </w:p>
        </w:tc>
      </w:tr>
      <w:tr w14:paraId="1BCFFD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48C9EF9D">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w:t>
            </w:r>
          </w:p>
        </w:tc>
        <w:tc>
          <w:tcPr>
            <w:tcW w:w="1751" w:type="dxa"/>
            <w:vMerge w:val="continue"/>
            <w:tcBorders>
              <w:tl2br w:val="nil"/>
              <w:tr2bl w:val="nil"/>
            </w:tcBorders>
            <w:noWrap w:val="0"/>
            <w:vAlign w:val="center"/>
          </w:tcPr>
          <w:p w14:paraId="14E0BE25">
            <w:pPr>
              <w:ind w:firstLine="400"/>
              <w:rPr>
                <w:color w:val="000000" w:themeColor="text1"/>
                <w:sz w:val="20"/>
                <w:szCs w:val="20"/>
                <w:highlight w:val="none"/>
                <w14:textFill>
                  <w14:solidFill>
                    <w14:schemeClr w14:val="tx1"/>
                  </w14:solidFill>
                </w14:textFill>
              </w:rPr>
            </w:pPr>
          </w:p>
        </w:tc>
        <w:tc>
          <w:tcPr>
            <w:tcW w:w="2040" w:type="dxa"/>
            <w:vMerge w:val="restart"/>
            <w:tcBorders>
              <w:tl2br w:val="nil"/>
              <w:tr2bl w:val="nil"/>
            </w:tcBorders>
            <w:noWrap w:val="0"/>
            <w:vAlign w:val="center"/>
          </w:tcPr>
          <w:p w14:paraId="424CBBE1">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S2</w:t>
            </w:r>
          </w:p>
        </w:tc>
        <w:tc>
          <w:tcPr>
            <w:tcW w:w="2134" w:type="dxa"/>
            <w:tcBorders>
              <w:tl2br w:val="nil"/>
              <w:tr2bl w:val="nil"/>
            </w:tcBorders>
            <w:noWrap w:val="0"/>
            <w:vAlign w:val="center"/>
          </w:tcPr>
          <w:p w14:paraId="64F68859">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R1</w:t>
            </w:r>
          </w:p>
        </w:tc>
        <w:tc>
          <w:tcPr>
            <w:tcW w:w="1782" w:type="dxa"/>
            <w:tcBorders>
              <w:tl2br w:val="nil"/>
              <w:tr2bl w:val="nil"/>
            </w:tcBorders>
            <w:noWrap w:val="0"/>
            <w:vAlign w:val="center"/>
          </w:tcPr>
          <w:p w14:paraId="1E74C7E5">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重大</w:t>
            </w:r>
          </w:p>
        </w:tc>
      </w:tr>
      <w:tr w14:paraId="7869BA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640A6580">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5</w:t>
            </w:r>
          </w:p>
        </w:tc>
        <w:tc>
          <w:tcPr>
            <w:tcW w:w="1751" w:type="dxa"/>
            <w:vMerge w:val="continue"/>
            <w:tcBorders>
              <w:tl2br w:val="nil"/>
              <w:tr2bl w:val="nil"/>
            </w:tcBorders>
            <w:noWrap w:val="0"/>
            <w:vAlign w:val="center"/>
          </w:tcPr>
          <w:p w14:paraId="58BA14EE">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35A349DA">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13360A11">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R2</w:t>
            </w:r>
          </w:p>
        </w:tc>
        <w:tc>
          <w:tcPr>
            <w:tcW w:w="1782" w:type="dxa"/>
            <w:tcBorders>
              <w:tl2br w:val="nil"/>
              <w:tr2bl w:val="nil"/>
            </w:tcBorders>
            <w:noWrap w:val="0"/>
            <w:vAlign w:val="center"/>
          </w:tcPr>
          <w:p w14:paraId="2128ED6A">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较大</w:t>
            </w:r>
          </w:p>
        </w:tc>
      </w:tr>
      <w:tr w14:paraId="628FB4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27A7ED22">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6</w:t>
            </w:r>
          </w:p>
        </w:tc>
        <w:tc>
          <w:tcPr>
            <w:tcW w:w="1751" w:type="dxa"/>
            <w:vMerge w:val="continue"/>
            <w:tcBorders>
              <w:tl2br w:val="nil"/>
              <w:tr2bl w:val="nil"/>
            </w:tcBorders>
            <w:noWrap w:val="0"/>
            <w:vAlign w:val="center"/>
          </w:tcPr>
          <w:p w14:paraId="45ECBAE5">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2898F148">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515DEC20">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R3</w:t>
            </w:r>
          </w:p>
        </w:tc>
        <w:tc>
          <w:tcPr>
            <w:tcW w:w="1782" w:type="dxa"/>
            <w:tcBorders>
              <w:tl2br w:val="nil"/>
              <w:tr2bl w:val="nil"/>
            </w:tcBorders>
            <w:noWrap w:val="0"/>
            <w:vAlign w:val="center"/>
          </w:tcPr>
          <w:p w14:paraId="3A788104">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较大</w:t>
            </w:r>
          </w:p>
        </w:tc>
      </w:tr>
      <w:tr w14:paraId="687F7B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49C2E9E6">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7</w:t>
            </w:r>
          </w:p>
        </w:tc>
        <w:tc>
          <w:tcPr>
            <w:tcW w:w="1751" w:type="dxa"/>
            <w:vMerge w:val="continue"/>
            <w:tcBorders>
              <w:tl2br w:val="nil"/>
              <w:tr2bl w:val="nil"/>
            </w:tcBorders>
            <w:noWrap w:val="0"/>
            <w:vAlign w:val="center"/>
          </w:tcPr>
          <w:p w14:paraId="69F544C4">
            <w:pPr>
              <w:ind w:firstLine="400"/>
              <w:rPr>
                <w:color w:val="000000" w:themeColor="text1"/>
                <w:sz w:val="20"/>
                <w:szCs w:val="20"/>
                <w:highlight w:val="none"/>
                <w14:textFill>
                  <w14:solidFill>
                    <w14:schemeClr w14:val="tx1"/>
                  </w14:solidFill>
                </w14:textFill>
              </w:rPr>
            </w:pPr>
          </w:p>
        </w:tc>
        <w:tc>
          <w:tcPr>
            <w:tcW w:w="2040" w:type="dxa"/>
            <w:vMerge w:val="restart"/>
            <w:tcBorders>
              <w:tl2br w:val="nil"/>
              <w:tr2bl w:val="nil"/>
            </w:tcBorders>
            <w:noWrap w:val="0"/>
            <w:vAlign w:val="center"/>
          </w:tcPr>
          <w:p w14:paraId="6F54A865">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S3</w:t>
            </w:r>
          </w:p>
        </w:tc>
        <w:tc>
          <w:tcPr>
            <w:tcW w:w="2134" w:type="dxa"/>
            <w:tcBorders>
              <w:tl2br w:val="nil"/>
              <w:tr2bl w:val="nil"/>
            </w:tcBorders>
            <w:noWrap w:val="0"/>
            <w:vAlign w:val="center"/>
          </w:tcPr>
          <w:p w14:paraId="10B5D468">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R1</w:t>
            </w:r>
          </w:p>
        </w:tc>
        <w:tc>
          <w:tcPr>
            <w:tcW w:w="1782" w:type="dxa"/>
            <w:tcBorders>
              <w:tl2br w:val="nil"/>
              <w:tr2bl w:val="nil"/>
            </w:tcBorders>
            <w:noWrap w:val="0"/>
            <w:vAlign w:val="center"/>
          </w:tcPr>
          <w:p w14:paraId="0A01E81E">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重大</w:t>
            </w:r>
          </w:p>
        </w:tc>
      </w:tr>
      <w:tr w14:paraId="21FE35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58E4435C">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w:t>
            </w:r>
          </w:p>
        </w:tc>
        <w:tc>
          <w:tcPr>
            <w:tcW w:w="1751" w:type="dxa"/>
            <w:vMerge w:val="continue"/>
            <w:tcBorders>
              <w:tl2br w:val="nil"/>
              <w:tr2bl w:val="nil"/>
            </w:tcBorders>
            <w:noWrap w:val="0"/>
            <w:vAlign w:val="center"/>
          </w:tcPr>
          <w:p w14:paraId="61A2A22F">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228702EE">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6E512A33">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R2</w:t>
            </w:r>
          </w:p>
        </w:tc>
        <w:tc>
          <w:tcPr>
            <w:tcW w:w="1782" w:type="dxa"/>
            <w:tcBorders>
              <w:tl2br w:val="nil"/>
              <w:tr2bl w:val="nil"/>
            </w:tcBorders>
            <w:noWrap w:val="0"/>
            <w:vAlign w:val="center"/>
          </w:tcPr>
          <w:p w14:paraId="3DCF8F5E">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较大</w:t>
            </w:r>
          </w:p>
        </w:tc>
      </w:tr>
      <w:tr w14:paraId="0A7D4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24D0D669">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9</w:t>
            </w:r>
          </w:p>
        </w:tc>
        <w:tc>
          <w:tcPr>
            <w:tcW w:w="1751" w:type="dxa"/>
            <w:vMerge w:val="continue"/>
            <w:tcBorders>
              <w:tl2br w:val="nil"/>
              <w:tr2bl w:val="nil"/>
            </w:tcBorders>
            <w:noWrap w:val="0"/>
            <w:vAlign w:val="center"/>
          </w:tcPr>
          <w:p w14:paraId="31BC31FC">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5C753B1F">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0DB13308">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R3</w:t>
            </w:r>
          </w:p>
        </w:tc>
        <w:tc>
          <w:tcPr>
            <w:tcW w:w="1782" w:type="dxa"/>
            <w:tcBorders>
              <w:tl2br w:val="nil"/>
              <w:tr2bl w:val="nil"/>
            </w:tcBorders>
            <w:noWrap w:val="0"/>
            <w:vAlign w:val="center"/>
          </w:tcPr>
          <w:p w14:paraId="18A9AB39">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一般</w:t>
            </w:r>
          </w:p>
        </w:tc>
      </w:tr>
      <w:tr w14:paraId="62553D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4224C5D7">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10</w:t>
            </w:r>
          </w:p>
        </w:tc>
        <w:tc>
          <w:tcPr>
            <w:tcW w:w="1751" w:type="dxa"/>
            <w:vMerge w:val="restart"/>
            <w:tcBorders>
              <w:tl2br w:val="nil"/>
              <w:tr2bl w:val="nil"/>
            </w:tcBorders>
            <w:noWrap w:val="0"/>
            <w:vAlign w:val="center"/>
          </w:tcPr>
          <w:p w14:paraId="074529A5">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H2</w:t>
            </w:r>
          </w:p>
        </w:tc>
        <w:tc>
          <w:tcPr>
            <w:tcW w:w="2040" w:type="dxa"/>
            <w:vMerge w:val="restart"/>
            <w:tcBorders>
              <w:tl2br w:val="nil"/>
              <w:tr2bl w:val="nil"/>
            </w:tcBorders>
            <w:noWrap w:val="0"/>
            <w:vAlign w:val="center"/>
          </w:tcPr>
          <w:p w14:paraId="10B66090">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S1</w:t>
            </w:r>
          </w:p>
        </w:tc>
        <w:tc>
          <w:tcPr>
            <w:tcW w:w="2134" w:type="dxa"/>
            <w:tcBorders>
              <w:tl2br w:val="nil"/>
              <w:tr2bl w:val="nil"/>
            </w:tcBorders>
            <w:noWrap w:val="0"/>
            <w:vAlign w:val="center"/>
          </w:tcPr>
          <w:p w14:paraId="52D7542D">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R1</w:t>
            </w:r>
          </w:p>
        </w:tc>
        <w:tc>
          <w:tcPr>
            <w:tcW w:w="1782" w:type="dxa"/>
            <w:tcBorders>
              <w:tl2br w:val="nil"/>
              <w:tr2bl w:val="nil"/>
            </w:tcBorders>
            <w:noWrap w:val="0"/>
            <w:vAlign w:val="center"/>
          </w:tcPr>
          <w:p w14:paraId="0F357FBE">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重大</w:t>
            </w:r>
          </w:p>
        </w:tc>
      </w:tr>
      <w:tr w14:paraId="5810EF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32F67567">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11</w:t>
            </w:r>
          </w:p>
        </w:tc>
        <w:tc>
          <w:tcPr>
            <w:tcW w:w="1751" w:type="dxa"/>
            <w:vMerge w:val="continue"/>
            <w:tcBorders>
              <w:tl2br w:val="nil"/>
              <w:tr2bl w:val="nil"/>
            </w:tcBorders>
            <w:noWrap w:val="0"/>
            <w:vAlign w:val="center"/>
          </w:tcPr>
          <w:p w14:paraId="2150C407">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7802F951">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320D3BE2">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R2</w:t>
            </w:r>
          </w:p>
        </w:tc>
        <w:tc>
          <w:tcPr>
            <w:tcW w:w="1782" w:type="dxa"/>
            <w:tcBorders>
              <w:tl2br w:val="nil"/>
              <w:tr2bl w:val="nil"/>
            </w:tcBorders>
            <w:noWrap w:val="0"/>
            <w:vAlign w:val="center"/>
          </w:tcPr>
          <w:p w14:paraId="2C0CA7F7">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较大</w:t>
            </w:r>
          </w:p>
        </w:tc>
      </w:tr>
      <w:tr w14:paraId="014CB9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0B39D165">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12</w:t>
            </w:r>
          </w:p>
        </w:tc>
        <w:tc>
          <w:tcPr>
            <w:tcW w:w="1751" w:type="dxa"/>
            <w:vMerge w:val="continue"/>
            <w:tcBorders>
              <w:tl2br w:val="nil"/>
              <w:tr2bl w:val="nil"/>
            </w:tcBorders>
            <w:noWrap w:val="0"/>
            <w:vAlign w:val="center"/>
          </w:tcPr>
          <w:p w14:paraId="71B26B48">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4ACEE522">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14AB5BC3">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R3</w:t>
            </w:r>
          </w:p>
        </w:tc>
        <w:tc>
          <w:tcPr>
            <w:tcW w:w="1782" w:type="dxa"/>
            <w:tcBorders>
              <w:tl2br w:val="nil"/>
              <w:tr2bl w:val="nil"/>
            </w:tcBorders>
            <w:noWrap w:val="0"/>
            <w:vAlign w:val="center"/>
          </w:tcPr>
          <w:p w14:paraId="36DBE855">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较大</w:t>
            </w:r>
          </w:p>
        </w:tc>
      </w:tr>
      <w:tr w14:paraId="12A54A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2030DB9F">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13</w:t>
            </w:r>
          </w:p>
        </w:tc>
        <w:tc>
          <w:tcPr>
            <w:tcW w:w="1751" w:type="dxa"/>
            <w:vMerge w:val="continue"/>
            <w:tcBorders>
              <w:tl2br w:val="nil"/>
              <w:tr2bl w:val="nil"/>
            </w:tcBorders>
            <w:noWrap w:val="0"/>
            <w:vAlign w:val="center"/>
          </w:tcPr>
          <w:p w14:paraId="5C2491BE">
            <w:pPr>
              <w:ind w:firstLine="400"/>
              <w:rPr>
                <w:color w:val="000000" w:themeColor="text1"/>
                <w:sz w:val="20"/>
                <w:szCs w:val="20"/>
                <w:highlight w:val="none"/>
                <w14:textFill>
                  <w14:solidFill>
                    <w14:schemeClr w14:val="tx1"/>
                  </w14:solidFill>
                </w14:textFill>
              </w:rPr>
            </w:pPr>
          </w:p>
        </w:tc>
        <w:tc>
          <w:tcPr>
            <w:tcW w:w="2040" w:type="dxa"/>
            <w:vMerge w:val="restart"/>
            <w:tcBorders>
              <w:tl2br w:val="nil"/>
              <w:tr2bl w:val="nil"/>
            </w:tcBorders>
            <w:noWrap w:val="0"/>
            <w:vAlign w:val="center"/>
          </w:tcPr>
          <w:p w14:paraId="2BE8CD0E">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S2</w:t>
            </w:r>
          </w:p>
        </w:tc>
        <w:tc>
          <w:tcPr>
            <w:tcW w:w="2134" w:type="dxa"/>
            <w:tcBorders>
              <w:tl2br w:val="nil"/>
              <w:tr2bl w:val="nil"/>
            </w:tcBorders>
            <w:noWrap w:val="0"/>
            <w:vAlign w:val="center"/>
          </w:tcPr>
          <w:p w14:paraId="625A199D">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R1</w:t>
            </w:r>
          </w:p>
        </w:tc>
        <w:tc>
          <w:tcPr>
            <w:tcW w:w="1782" w:type="dxa"/>
            <w:tcBorders>
              <w:tl2br w:val="nil"/>
              <w:tr2bl w:val="nil"/>
            </w:tcBorders>
            <w:noWrap w:val="0"/>
            <w:vAlign w:val="center"/>
          </w:tcPr>
          <w:p w14:paraId="5D6D887A">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较大</w:t>
            </w:r>
          </w:p>
        </w:tc>
      </w:tr>
      <w:tr w14:paraId="2CD9D1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534D6342">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14</w:t>
            </w:r>
          </w:p>
        </w:tc>
        <w:tc>
          <w:tcPr>
            <w:tcW w:w="1751" w:type="dxa"/>
            <w:vMerge w:val="continue"/>
            <w:tcBorders>
              <w:tl2br w:val="nil"/>
              <w:tr2bl w:val="nil"/>
            </w:tcBorders>
            <w:noWrap w:val="0"/>
            <w:vAlign w:val="center"/>
          </w:tcPr>
          <w:p w14:paraId="3660A8AF">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093C9A39">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282B3245">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R2</w:t>
            </w:r>
          </w:p>
        </w:tc>
        <w:tc>
          <w:tcPr>
            <w:tcW w:w="1782" w:type="dxa"/>
            <w:tcBorders>
              <w:tl2br w:val="nil"/>
              <w:tr2bl w:val="nil"/>
            </w:tcBorders>
            <w:noWrap w:val="0"/>
            <w:vAlign w:val="center"/>
          </w:tcPr>
          <w:p w14:paraId="651C6DD3">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一般</w:t>
            </w:r>
          </w:p>
        </w:tc>
      </w:tr>
      <w:tr w14:paraId="66C92F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01C3308F">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15</w:t>
            </w:r>
          </w:p>
        </w:tc>
        <w:tc>
          <w:tcPr>
            <w:tcW w:w="1751" w:type="dxa"/>
            <w:vMerge w:val="continue"/>
            <w:tcBorders>
              <w:tl2br w:val="nil"/>
              <w:tr2bl w:val="nil"/>
            </w:tcBorders>
            <w:noWrap w:val="0"/>
            <w:vAlign w:val="center"/>
          </w:tcPr>
          <w:p w14:paraId="46394B06">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2F60D9F4">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4755B145">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R3</w:t>
            </w:r>
          </w:p>
        </w:tc>
        <w:tc>
          <w:tcPr>
            <w:tcW w:w="1782" w:type="dxa"/>
            <w:tcBorders>
              <w:tl2br w:val="nil"/>
              <w:tr2bl w:val="nil"/>
            </w:tcBorders>
            <w:noWrap w:val="0"/>
            <w:vAlign w:val="center"/>
          </w:tcPr>
          <w:p w14:paraId="68F83E2C">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一般</w:t>
            </w:r>
          </w:p>
        </w:tc>
      </w:tr>
      <w:tr w14:paraId="34EB9B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57C01A88">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16</w:t>
            </w:r>
          </w:p>
        </w:tc>
        <w:tc>
          <w:tcPr>
            <w:tcW w:w="1751" w:type="dxa"/>
            <w:vMerge w:val="continue"/>
            <w:tcBorders>
              <w:tl2br w:val="nil"/>
              <w:tr2bl w:val="nil"/>
            </w:tcBorders>
            <w:noWrap w:val="0"/>
            <w:vAlign w:val="center"/>
          </w:tcPr>
          <w:p w14:paraId="29AF95F3">
            <w:pPr>
              <w:ind w:firstLine="400"/>
              <w:rPr>
                <w:color w:val="000000" w:themeColor="text1"/>
                <w:sz w:val="20"/>
                <w:szCs w:val="20"/>
                <w:highlight w:val="none"/>
                <w14:textFill>
                  <w14:solidFill>
                    <w14:schemeClr w14:val="tx1"/>
                  </w14:solidFill>
                </w14:textFill>
              </w:rPr>
            </w:pPr>
          </w:p>
        </w:tc>
        <w:tc>
          <w:tcPr>
            <w:tcW w:w="2040" w:type="dxa"/>
            <w:vMerge w:val="restart"/>
            <w:tcBorders>
              <w:tl2br w:val="nil"/>
              <w:tr2bl w:val="nil"/>
            </w:tcBorders>
            <w:noWrap w:val="0"/>
            <w:vAlign w:val="center"/>
          </w:tcPr>
          <w:p w14:paraId="0A62E7F7">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S3</w:t>
            </w:r>
          </w:p>
        </w:tc>
        <w:tc>
          <w:tcPr>
            <w:tcW w:w="2134" w:type="dxa"/>
            <w:tcBorders>
              <w:tl2br w:val="nil"/>
              <w:tr2bl w:val="nil"/>
            </w:tcBorders>
            <w:noWrap w:val="0"/>
            <w:vAlign w:val="center"/>
          </w:tcPr>
          <w:p w14:paraId="299CCE02">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R1</w:t>
            </w:r>
          </w:p>
        </w:tc>
        <w:tc>
          <w:tcPr>
            <w:tcW w:w="1782" w:type="dxa"/>
            <w:tcBorders>
              <w:tl2br w:val="nil"/>
              <w:tr2bl w:val="nil"/>
            </w:tcBorders>
            <w:noWrap w:val="0"/>
            <w:vAlign w:val="center"/>
          </w:tcPr>
          <w:p w14:paraId="6A257631">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一般</w:t>
            </w:r>
          </w:p>
        </w:tc>
      </w:tr>
      <w:tr w14:paraId="3A4FCA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2D8121DC">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17</w:t>
            </w:r>
          </w:p>
        </w:tc>
        <w:tc>
          <w:tcPr>
            <w:tcW w:w="1751" w:type="dxa"/>
            <w:vMerge w:val="continue"/>
            <w:tcBorders>
              <w:tl2br w:val="nil"/>
              <w:tr2bl w:val="nil"/>
            </w:tcBorders>
            <w:noWrap w:val="0"/>
            <w:vAlign w:val="center"/>
          </w:tcPr>
          <w:p w14:paraId="5FD435B8">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2351F475">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2D7783E6">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R2</w:t>
            </w:r>
          </w:p>
        </w:tc>
        <w:tc>
          <w:tcPr>
            <w:tcW w:w="1782" w:type="dxa"/>
            <w:tcBorders>
              <w:tl2br w:val="nil"/>
              <w:tr2bl w:val="nil"/>
            </w:tcBorders>
            <w:noWrap w:val="0"/>
            <w:vAlign w:val="center"/>
          </w:tcPr>
          <w:p w14:paraId="44612F1C">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一般</w:t>
            </w:r>
          </w:p>
        </w:tc>
      </w:tr>
      <w:tr w14:paraId="35E4B8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08646F14">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18</w:t>
            </w:r>
          </w:p>
        </w:tc>
        <w:tc>
          <w:tcPr>
            <w:tcW w:w="1751" w:type="dxa"/>
            <w:vMerge w:val="continue"/>
            <w:tcBorders>
              <w:tl2br w:val="nil"/>
              <w:tr2bl w:val="nil"/>
            </w:tcBorders>
            <w:noWrap w:val="0"/>
            <w:vAlign w:val="center"/>
          </w:tcPr>
          <w:p w14:paraId="10387634">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7DFF8D37">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026A1C07">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R3</w:t>
            </w:r>
          </w:p>
        </w:tc>
        <w:tc>
          <w:tcPr>
            <w:tcW w:w="1782" w:type="dxa"/>
            <w:tcBorders>
              <w:tl2br w:val="nil"/>
              <w:tr2bl w:val="nil"/>
            </w:tcBorders>
            <w:noWrap w:val="0"/>
            <w:vAlign w:val="center"/>
          </w:tcPr>
          <w:p w14:paraId="14663290">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一般</w:t>
            </w:r>
          </w:p>
        </w:tc>
      </w:tr>
      <w:tr w14:paraId="51FCE8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07ACB8AF">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19</w:t>
            </w:r>
          </w:p>
        </w:tc>
        <w:tc>
          <w:tcPr>
            <w:tcW w:w="1751" w:type="dxa"/>
            <w:vMerge w:val="restart"/>
            <w:tcBorders>
              <w:tl2br w:val="nil"/>
              <w:tr2bl w:val="nil"/>
            </w:tcBorders>
            <w:noWrap w:val="0"/>
            <w:vAlign w:val="center"/>
          </w:tcPr>
          <w:p w14:paraId="0A99F008">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H3</w:t>
            </w:r>
          </w:p>
        </w:tc>
        <w:tc>
          <w:tcPr>
            <w:tcW w:w="2040" w:type="dxa"/>
            <w:vMerge w:val="restart"/>
            <w:tcBorders>
              <w:tl2br w:val="nil"/>
              <w:tr2bl w:val="nil"/>
            </w:tcBorders>
            <w:noWrap w:val="0"/>
            <w:vAlign w:val="center"/>
          </w:tcPr>
          <w:p w14:paraId="3CF4E659">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S1</w:t>
            </w:r>
          </w:p>
        </w:tc>
        <w:tc>
          <w:tcPr>
            <w:tcW w:w="2134" w:type="dxa"/>
            <w:tcBorders>
              <w:tl2br w:val="nil"/>
              <w:tr2bl w:val="nil"/>
            </w:tcBorders>
            <w:noWrap w:val="0"/>
            <w:vAlign w:val="center"/>
          </w:tcPr>
          <w:p w14:paraId="7CACF740">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R1</w:t>
            </w:r>
          </w:p>
        </w:tc>
        <w:tc>
          <w:tcPr>
            <w:tcW w:w="1782" w:type="dxa"/>
            <w:tcBorders>
              <w:tl2br w:val="nil"/>
              <w:tr2bl w:val="nil"/>
            </w:tcBorders>
            <w:noWrap w:val="0"/>
            <w:vAlign w:val="center"/>
          </w:tcPr>
          <w:p w14:paraId="5B54356E">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较大</w:t>
            </w:r>
          </w:p>
        </w:tc>
      </w:tr>
      <w:tr w14:paraId="1EABE0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42E3B613">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20</w:t>
            </w:r>
          </w:p>
        </w:tc>
        <w:tc>
          <w:tcPr>
            <w:tcW w:w="1751" w:type="dxa"/>
            <w:vMerge w:val="continue"/>
            <w:tcBorders>
              <w:tl2br w:val="nil"/>
              <w:tr2bl w:val="nil"/>
            </w:tcBorders>
            <w:noWrap w:val="0"/>
            <w:vAlign w:val="center"/>
          </w:tcPr>
          <w:p w14:paraId="5AE585E4">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56C4CD3F">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7B15DBC4">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R2</w:t>
            </w:r>
          </w:p>
        </w:tc>
        <w:tc>
          <w:tcPr>
            <w:tcW w:w="1782" w:type="dxa"/>
            <w:tcBorders>
              <w:tl2br w:val="nil"/>
              <w:tr2bl w:val="nil"/>
            </w:tcBorders>
            <w:noWrap w:val="0"/>
            <w:vAlign w:val="center"/>
          </w:tcPr>
          <w:p w14:paraId="1541AA44">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较大</w:t>
            </w:r>
          </w:p>
        </w:tc>
      </w:tr>
      <w:tr w14:paraId="5F5EE6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4DE5E653">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21</w:t>
            </w:r>
          </w:p>
        </w:tc>
        <w:tc>
          <w:tcPr>
            <w:tcW w:w="1751" w:type="dxa"/>
            <w:vMerge w:val="continue"/>
            <w:tcBorders>
              <w:tl2br w:val="nil"/>
              <w:tr2bl w:val="nil"/>
            </w:tcBorders>
            <w:noWrap w:val="0"/>
            <w:vAlign w:val="center"/>
          </w:tcPr>
          <w:p w14:paraId="7E868E6A">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2C039D82">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1F13D6CB">
            <w:pPr>
              <w:adjustRightInd w:val="0"/>
              <w:spacing w:line="360" w:lineRule="exact"/>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R3</w:t>
            </w:r>
          </w:p>
        </w:tc>
        <w:tc>
          <w:tcPr>
            <w:tcW w:w="1782" w:type="dxa"/>
            <w:tcBorders>
              <w:tl2br w:val="nil"/>
              <w:tr2bl w:val="nil"/>
            </w:tcBorders>
            <w:noWrap w:val="0"/>
            <w:vAlign w:val="center"/>
          </w:tcPr>
          <w:p w14:paraId="21923840">
            <w:pPr>
              <w:adjustRightInd w:val="0"/>
              <w:spacing w:line="360" w:lineRule="exact"/>
              <w:ind w:firstLine="0" w:firstLineChars="0"/>
              <w:jc w:val="center"/>
              <w:rPr>
                <w:b/>
                <w:bCs/>
                <w:color w:val="000000" w:themeColor="text1"/>
                <w:kern w:val="0"/>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一般</w:t>
            </w:r>
          </w:p>
        </w:tc>
      </w:tr>
      <w:tr w14:paraId="4DA25E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4535F417">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22</w:t>
            </w:r>
          </w:p>
        </w:tc>
        <w:tc>
          <w:tcPr>
            <w:tcW w:w="1751" w:type="dxa"/>
            <w:vMerge w:val="continue"/>
            <w:tcBorders>
              <w:tl2br w:val="nil"/>
              <w:tr2bl w:val="nil"/>
            </w:tcBorders>
            <w:noWrap w:val="0"/>
            <w:vAlign w:val="center"/>
          </w:tcPr>
          <w:p w14:paraId="4E352B22">
            <w:pPr>
              <w:ind w:firstLine="400"/>
              <w:rPr>
                <w:color w:val="000000" w:themeColor="text1"/>
                <w:sz w:val="20"/>
                <w:szCs w:val="20"/>
                <w:highlight w:val="none"/>
                <w14:textFill>
                  <w14:solidFill>
                    <w14:schemeClr w14:val="tx1"/>
                  </w14:solidFill>
                </w14:textFill>
              </w:rPr>
            </w:pPr>
          </w:p>
        </w:tc>
        <w:tc>
          <w:tcPr>
            <w:tcW w:w="2040" w:type="dxa"/>
            <w:vMerge w:val="restart"/>
            <w:tcBorders>
              <w:tl2br w:val="nil"/>
              <w:tr2bl w:val="nil"/>
            </w:tcBorders>
            <w:noWrap w:val="0"/>
            <w:vAlign w:val="center"/>
          </w:tcPr>
          <w:p w14:paraId="18575711">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S2</w:t>
            </w:r>
          </w:p>
        </w:tc>
        <w:tc>
          <w:tcPr>
            <w:tcW w:w="2134" w:type="dxa"/>
            <w:tcBorders>
              <w:tl2br w:val="nil"/>
              <w:tr2bl w:val="nil"/>
            </w:tcBorders>
            <w:noWrap w:val="0"/>
            <w:vAlign w:val="center"/>
          </w:tcPr>
          <w:p w14:paraId="1CE581B0">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R1</w:t>
            </w:r>
          </w:p>
        </w:tc>
        <w:tc>
          <w:tcPr>
            <w:tcW w:w="1782" w:type="dxa"/>
            <w:tcBorders>
              <w:tl2br w:val="nil"/>
              <w:tr2bl w:val="nil"/>
            </w:tcBorders>
            <w:noWrap w:val="0"/>
            <w:vAlign w:val="center"/>
          </w:tcPr>
          <w:p w14:paraId="6E6B39ED">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一般</w:t>
            </w:r>
          </w:p>
        </w:tc>
      </w:tr>
      <w:tr w14:paraId="6B5F95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1CBB03D9">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23</w:t>
            </w:r>
          </w:p>
        </w:tc>
        <w:tc>
          <w:tcPr>
            <w:tcW w:w="1751" w:type="dxa"/>
            <w:vMerge w:val="continue"/>
            <w:tcBorders>
              <w:tl2br w:val="nil"/>
              <w:tr2bl w:val="nil"/>
            </w:tcBorders>
            <w:noWrap w:val="0"/>
            <w:vAlign w:val="center"/>
          </w:tcPr>
          <w:p w14:paraId="1302E3BD">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6C1CD2D4">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11B6CD89">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R2</w:t>
            </w:r>
          </w:p>
        </w:tc>
        <w:tc>
          <w:tcPr>
            <w:tcW w:w="1782" w:type="dxa"/>
            <w:tcBorders>
              <w:tl2br w:val="nil"/>
              <w:tr2bl w:val="nil"/>
            </w:tcBorders>
            <w:noWrap w:val="0"/>
            <w:vAlign w:val="center"/>
          </w:tcPr>
          <w:p w14:paraId="4105D643">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一般</w:t>
            </w:r>
          </w:p>
        </w:tc>
      </w:tr>
      <w:tr w14:paraId="0D2A5D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771216FF">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24</w:t>
            </w:r>
          </w:p>
        </w:tc>
        <w:tc>
          <w:tcPr>
            <w:tcW w:w="1751" w:type="dxa"/>
            <w:vMerge w:val="continue"/>
            <w:tcBorders>
              <w:tl2br w:val="nil"/>
              <w:tr2bl w:val="nil"/>
            </w:tcBorders>
            <w:noWrap w:val="0"/>
            <w:vAlign w:val="center"/>
          </w:tcPr>
          <w:p w14:paraId="2AB801A1">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741F2FED">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3C585A63">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R3</w:t>
            </w:r>
          </w:p>
        </w:tc>
        <w:tc>
          <w:tcPr>
            <w:tcW w:w="1782" w:type="dxa"/>
            <w:tcBorders>
              <w:tl2br w:val="nil"/>
              <w:tr2bl w:val="nil"/>
            </w:tcBorders>
            <w:noWrap w:val="0"/>
            <w:vAlign w:val="center"/>
          </w:tcPr>
          <w:p w14:paraId="0CB5517D">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一般</w:t>
            </w:r>
          </w:p>
        </w:tc>
      </w:tr>
      <w:tr w14:paraId="7FCC22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034984C7">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25</w:t>
            </w:r>
          </w:p>
        </w:tc>
        <w:tc>
          <w:tcPr>
            <w:tcW w:w="1751" w:type="dxa"/>
            <w:vMerge w:val="continue"/>
            <w:tcBorders>
              <w:tl2br w:val="nil"/>
              <w:tr2bl w:val="nil"/>
            </w:tcBorders>
            <w:noWrap w:val="0"/>
            <w:vAlign w:val="center"/>
          </w:tcPr>
          <w:p w14:paraId="7B51F2B3">
            <w:pPr>
              <w:ind w:firstLine="400"/>
              <w:rPr>
                <w:color w:val="000000" w:themeColor="text1"/>
                <w:sz w:val="20"/>
                <w:szCs w:val="20"/>
                <w:highlight w:val="none"/>
                <w14:textFill>
                  <w14:solidFill>
                    <w14:schemeClr w14:val="tx1"/>
                  </w14:solidFill>
                </w14:textFill>
              </w:rPr>
            </w:pPr>
          </w:p>
        </w:tc>
        <w:tc>
          <w:tcPr>
            <w:tcW w:w="2040" w:type="dxa"/>
            <w:vMerge w:val="restart"/>
            <w:tcBorders>
              <w:tl2br w:val="nil"/>
              <w:tr2bl w:val="nil"/>
            </w:tcBorders>
            <w:noWrap w:val="0"/>
            <w:vAlign w:val="center"/>
          </w:tcPr>
          <w:p w14:paraId="386E3E0A">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S3</w:t>
            </w:r>
          </w:p>
        </w:tc>
        <w:tc>
          <w:tcPr>
            <w:tcW w:w="2134" w:type="dxa"/>
            <w:tcBorders>
              <w:tl2br w:val="nil"/>
              <w:tr2bl w:val="nil"/>
            </w:tcBorders>
            <w:noWrap w:val="0"/>
            <w:vAlign w:val="center"/>
          </w:tcPr>
          <w:p w14:paraId="1994A534">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R1</w:t>
            </w:r>
          </w:p>
        </w:tc>
        <w:tc>
          <w:tcPr>
            <w:tcW w:w="1782" w:type="dxa"/>
            <w:tcBorders>
              <w:tl2br w:val="nil"/>
              <w:tr2bl w:val="nil"/>
            </w:tcBorders>
            <w:noWrap w:val="0"/>
            <w:vAlign w:val="center"/>
          </w:tcPr>
          <w:p w14:paraId="6E7AA9E6">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一般</w:t>
            </w:r>
          </w:p>
        </w:tc>
      </w:tr>
      <w:tr w14:paraId="0F25B2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51B5F7C2">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26</w:t>
            </w:r>
          </w:p>
        </w:tc>
        <w:tc>
          <w:tcPr>
            <w:tcW w:w="1751" w:type="dxa"/>
            <w:vMerge w:val="continue"/>
            <w:tcBorders>
              <w:tl2br w:val="nil"/>
              <w:tr2bl w:val="nil"/>
            </w:tcBorders>
            <w:noWrap w:val="0"/>
            <w:vAlign w:val="center"/>
          </w:tcPr>
          <w:p w14:paraId="13093AA4">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5E494E20">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2FB2FDE6">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R2</w:t>
            </w:r>
          </w:p>
        </w:tc>
        <w:tc>
          <w:tcPr>
            <w:tcW w:w="1782" w:type="dxa"/>
            <w:tcBorders>
              <w:tl2br w:val="nil"/>
              <w:tr2bl w:val="nil"/>
            </w:tcBorders>
            <w:noWrap w:val="0"/>
            <w:vAlign w:val="center"/>
          </w:tcPr>
          <w:p w14:paraId="74D2085D">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一般</w:t>
            </w:r>
          </w:p>
        </w:tc>
      </w:tr>
      <w:tr w14:paraId="6C6D9C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noWrap w:val="0"/>
            <w:vAlign w:val="center"/>
          </w:tcPr>
          <w:p w14:paraId="3D8D74DA">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27</w:t>
            </w:r>
          </w:p>
        </w:tc>
        <w:tc>
          <w:tcPr>
            <w:tcW w:w="1751" w:type="dxa"/>
            <w:vMerge w:val="continue"/>
            <w:tcBorders>
              <w:tl2br w:val="nil"/>
              <w:tr2bl w:val="nil"/>
            </w:tcBorders>
            <w:noWrap w:val="0"/>
            <w:vAlign w:val="center"/>
          </w:tcPr>
          <w:p w14:paraId="2B054A36">
            <w:pPr>
              <w:ind w:firstLine="400"/>
              <w:rPr>
                <w:color w:val="000000" w:themeColor="text1"/>
                <w:sz w:val="20"/>
                <w:szCs w:val="20"/>
                <w:highlight w:val="none"/>
                <w14:textFill>
                  <w14:solidFill>
                    <w14:schemeClr w14:val="tx1"/>
                  </w14:solidFill>
                </w14:textFill>
              </w:rPr>
            </w:pPr>
          </w:p>
        </w:tc>
        <w:tc>
          <w:tcPr>
            <w:tcW w:w="2040" w:type="dxa"/>
            <w:vMerge w:val="continue"/>
            <w:tcBorders>
              <w:tl2br w:val="nil"/>
              <w:tr2bl w:val="nil"/>
            </w:tcBorders>
            <w:noWrap w:val="0"/>
            <w:vAlign w:val="center"/>
          </w:tcPr>
          <w:p w14:paraId="0EF50499">
            <w:pPr>
              <w:ind w:firstLine="400"/>
              <w:rPr>
                <w:color w:val="000000" w:themeColor="text1"/>
                <w:sz w:val="20"/>
                <w:szCs w:val="20"/>
                <w:highlight w:val="none"/>
                <w14:textFill>
                  <w14:solidFill>
                    <w14:schemeClr w14:val="tx1"/>
                  </w14:solidFill>
                </w14:textFill>
              </w:rPr>
            </w:pPr>
          </w:p>
        </w:tc>
        <w:tc>
          <w:tcPr>
            <w:tcW w:w="2134" w:type="dxa"/>
            <w:tcBorders>
              <w:tl2br w:val="nil"/>
              <w:tr2bl w:val="nil"/>
            </w:tcBorders>
            <w:noWrap w:val="0"/>
            <w:vAlign w:val="center"/>
          </w:tcPr>
          <w:p w14:paraId="074AEBED">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R3</w:t>
            </w:r>
          </w:p>
        </w:tc>
        <w:tc>
          <w:tcPr>
            <w:tcW w:w="1782" w:type="dxa"/>
            <w:tcBorders>
              <w:tl2br w:val="nil"/>
              <w:tr2bl w:val="nil"/>
            </w:tcBorders>
            <w:noWrap w:val="0"/>
            <w:vAlign w:val="center"/>
          </w:tcPr>
          <w:p w14:paraId="62DD6391">
            <w:pPr>
              <w:adjustRightInd w:val="0"/>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一般</w:t>
            </w:r>
          </w:p>
        </w:tc>
      </w:tr>
    </w:tbl>
    <w:p w14:paraId="6880DE7B">
      <w:pPr>
        <w:overflowPunct w:val="0"/>
        <w:topLinePunct/>
        <w:ind w:firstLine="480"/>
        <w:rPr>
          <w:rFonts w:cs="宋体"/>
          <w:color w:val="000000" w:themeColor="text1"/>
          <w:szCs w:val="21"/>
          <w:highlight w:val="none"/>
          <w:lang w:val="zh-CN" w:bidi="ar"/>
          <w14:textFill>
            <w14:solidFill>
              <w14:schemeClr w14:val="tx1"/>
            </w14:solidFill>
          </w14:textFill>
        </w:rPr>
      </w:pPr>
      <w:r>
        <w:rPr>
          <w:color w:val="000000" w:themeColor="text1"/>
          <w:highlight w:val="none"/>
          <w14:textFill>
            <w14:solidFill>
              <w14:schemeClr w14:val="tx1"/>
            </w14:solidFill>
          </w14:textFill>
        </w:rPr>
        <w:t>根据以上判定，结合《尾矿库环境风险评估技术导则（试行）》（HJ740-2015）表7中等级划分矩阵，确定本次尾矿库环境风险等级为一般（H3S</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R3）。</w:t>
      </w:r>
    </w:p>
    <w:p w14:paraId="15D3AF22">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b/>
          <w:bCs/>
          <w:color w:val="000000" w:themeColor="text1"/>
          <w:sz w:val="30"/>
          <w:szCs w:val="32"/>
          <w:highlight w:val="none"/>
          <w14:textFill>
            <w14:solidFill>
              <w14:schemeClr w14:val="tx1"/>
            </w14:solidFill>
          </w14:textFill>
        </w:rPr>
        <w:t>5.3.3环境风险识别</w:t>
      </w:r>
    </w:p>
    <w:p w14:paraId="7E7C5066">
      <w:pPr>
        <w:overflowPunct w:val="0"/>
        <w:topLinePunct/>
        <w:adjustRightInd w:val="0"/>
        <w:snapToGrid w:val="0"/>
        <w:ind w:firstLine="48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本项目属</w:t>
      </w:r>
      <w:r>
        <w:rPr>
          <w:rFonts w:hint="eastAsia"/>
          <w:color w:val="000000" w:themeColor="text1"/>
          <w:kern w:val="0"/>
          <w:szCs w:val="21"/>
          <w:highlight w:val="none"/>
          <w14:textFill>
            <w14:solidFill>
              <w14:schemeClr w14:val="tx1"/>
            </w14:solidFill>
          </w14:textFill>
        </w:rPr>
        <w:t>选矿</w:t>
      </w:r>
      <w:r>
        <w:rPr>
          <w:color w:val="000000" w:themeColor="text1"/>
          <w:kern w:val="0"/>
          <w:szCs w:val="21"/>
          <w:highlight w:val="none"/>
          <w14:textFill>
            <w14:solidFill>
              <w14:schemeClr w14:val="tx1"/>
            </w14:solidFill>
          </w14:textFill>
        </w:rPr>
        <w:t>加工建设项目，</w:t>
      </w:r>
      <w:r>
        <w:rPr>
          <w:rFonts w:hint="eastAsia"/>
          <w:color w:val="000000" w:themeColor="text1"/>
          <w:kern w:val="0"/>
          <w:szCs w:val="21"/>
          <w:highlight w:val="none"/>
          <w14:textFill>
            <w14:solidFill>
              <w14:schemeClr w14:val="tx1"/>
            </w14:solidFill>
          </w14:textFill>
        </w:rPr>
        <w:t>涉及部分易燃物质</w:t>
      </w:r>
      <w:r>
        <w:rPr>
          <w:color w:val="000000" w:themeColor="text1"/>
          <w:kern w:val="0"/>
          <w:szCs w:val="21"/>
          <w:highlight w:val="none"/>
          <w14:textFill>
            <w14:solidFill>
              <w14:schemeClr w14:val="tx1"/>
            </w14:solidFill>
          </w14:textFill>
        </w:rPr>
        <w:t>，</w:t>
      </w:r>
      <w:r>
        <w:rPr>
          <w:rFonts w:hint="eastAsia"/>
          <w:color w:val="000000" w:themeColor="text1"/>
          <w:kern w:val="0"/>
          <w:szCs w:val="21"/>
          <w:highlight w:val="none"/>
          <w14:textFill>
            <w14:solidFill>
              <w14:schemeClr w14:val="tx1"/>
            </w14:solidFill>
          </w14:textFill>
        </w:rPr>
        <w:t>同时</w:t>
      </w:r>
      <w:r>
        <w:rPr>
          <w:color w:val="000000" w:themeColor="text1"/>
          <w:kern w:val="0"/>
          <w:szCs w:val="21"/>
          <w:highlight w:val="none"/>
          <w14:textFill>
            <w14:solidFill>
              <w14:schemeClr w14:val="tx1"/>
            </w14:solidFill>
          </w14:textFill>
        </w:rPr>
        <w:t>涉及</w:t>
      </w:r>
      <w:r>
        <w:rPr>
          <w:rFonts w:hint="eastAsia"/>
          <w:color w:val="000000" w:themeColor="text1"/>
          <w:kern w:val="0"/>
          <w:szCs w:val="21"/>
          <w:highlight w:val="none"/>
          <w14:textFill>
            <w14:solidFill>
              <w14:schemeClr w14:val="tx1"/>
            </w14:solidFill>
          </w14:textFill>
        </w:rPr>
        <w:t>较多</w:t>
      </w:r>
      <w:r>
        <w:rPr>
          <w:color w:val="000000" w:themeColor="text1"/>
          <w:kern w:val="0"/>
          <w:szCs w:val="21"/>
          <w:highlight w:val="none"/>
          <w14:textFill>
            <w14:solidFill>
              <w14:schemeClr w14:val="tx1"/>
            </w14:solidFill>
          </w14:textFill>
        </w:rPr>
        <w:t>生产单元</w:t>
      </w:r>
      <w:r>
        <w:rPr>
          <w:rFonts w:hint="eastAsia"/>
          <w:color w:val="000000" w:themeColor="text1"/>
          <w:kern w:val="0"/>
          <w:szCs w:val="21"/>
          <w:highlight w:val="none"/>
          <w14:textFill>
            <w14:solidFill>
              <w14:schemeClr w14:val="tx1"/>
            </w14:solidFill>
          </w14:textFill>
        </w:rPr>
        <w:t>及尾矿库</w:t>
      </w:r>
      <w:r>
        <w:rPr>
          <w:color w:val="000000" w:themeColor="text1"/>
          <w:kern w:val="0"/>
          <w:szCs w:val="21"/>
          <w:highlight w:val="none"/>
          <w14:textFill>
            <w14:solidFill>
              <w14:schemeClr w14:val="tx1"/>
            </w14:solidFill>
          </w14:textFill>
        </w:rPr>
        <w:t>，各生产单元的潜在危险因素和潜在危害程度也不同</w:t>
      </w:r>
      <w:r>
        <w:rPr>
          <w:rFonts w:hint="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因此，对各生产单元的危险因素进行识别。</w:t>
      </w:r>
    </w:p>
    <w:p w14:paraId="23622987">
      <w:pPr>
        <w:tabs>
          <w:tab w:val="left" w:pos="0"/>
          <w:tab w:val="left" w:pos="993"/>
        </w:tabs>
        <w:adjustRightInd w:val="0"/>
        <w:snapToGrid w:val="0"/>
        <w:ind w:firstLine="0" w:firstLineChars="0"/>
        <w:jc w:val="center"/>
        <w:rPr>
          <w:b/>
          <w:color w:val="000000" w:themeColor="text1"/>
          <w:szCs w:val="22"/>
          <w:highlight w:val="none"/>
          <w14:textFill>
            <w14:solidFill>
              <w14:schemeClr w14:val="tx1"/>
            </w14:solidFill>
          </w14:textFill>
        </w:rPr>
      </w:pPr>
      <w:r>
        <w:rPr>
          <w:b/>
          <w:color w:val="000000" w:themeColor="text1"/>
          <w:szCs w:val="22"/>
          <w:highlight w:val="none"/>
          <w14:textFill>
            <w14:solidFill>
              <w14:schemeClr w14:val="tx1"/>
            </w14:solidFill>
          </w14:textFill>
        </w:rPr>
        <w:t>表5.3-</w:t>
      </w:r>
      <w:r>
        <w:rPr>
          <w:rFonts w:hint="eastAsia"/>
          <w:b/>
          <w:color w:val="000000" w:themeColor="text1"/>
          <w:szCs w:val="22"/>
          <w:highlight w:val="none"/>
          <w14:textFill>
            <w14:solidFill>
              <w14:schemeClr w14:val="tx1"/>
            </w14:solidFill>
          </w14:textFill>
        </w:rPr>
        <w:t>1</w:t>
      </w:r>
      <w:r>
        <w:rPr>
          <w:rFonts w:hint="eastAsia"/>
          <w:b/>
          <w:color w:val="000000" w:themeColor="text1"/>
          <w:szCs w:val="22"/>
          <w:highlight w:val="none"/>
          <w:lang w:val="en-US" w:eastAsia="zh-CN"/>
          <w14:textFill>
            <w14:solidFill>
              <w14:schemeClr w14:val="tx1"/>
            </w14:solidFill>
          </w14:textFill>
        </w:rPr>
        <w:t>3</w:t>
      </w:r>
      <w:r>
        <w:rPr>
          <w:b/>
          <w:color w:val="000000" w:themeColor="text1"/>
          <w:szCs w:val="22"/>
          <w:highlight w:val="none"/>
          <w14:textFill>
            <w14:solidFill>
              <w14:schemeClr w14:val="tx1"/>
            </w14:solidFill>
          </w14:textFill>
        </w:rPr>
        <w:t xml:space="preserve">   本项目生产各作业场所的危险有害因素分布</w:t>
      </w:r>
    </w:p>
    <w:tbl>
      <w:tblPr>
        <w:tblStyle w:val="100"/>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02"/>
        <w:gridCol w:w="1075"/>
        <w:gridCol w:w="1067"/>
        <w:gridCol w:w="5692"/>
      </w:tblGrid>
      <w:tr w14:paraId="30D44B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jc w:val="center"/>
        </w:trPr>
        <w:tc>
          <w:tcPr>
            <w:tcW w:w="502" w:type="dxa"/>
            <w:noWrap w:val="0"/>
            <w:vAlign w:val="center"/>
          </w:tcPr>
          <w:p w14:paraId="25494911">
            <w:pPr>
              <w:pStyle w:val="45"/>
              <w:spacing w:before="0" w:beforeAutospacing="0" w:line="360" w:lineRule="exact"/>
              <w:ind w:firstLine="0" w:firstLineChars="0"/>
              <w:jc w:val="center"/>
              <w:rPr>
                <w:rFonts w:ascii="Calibri" w:hAnsi="Calibri" w:eastAsia="Times New Roman" w:cs="宋体"/>
                <w:b/>
                <w:color w:val="000000" w:themeColor="text1"/>
                <w:sz w:val="21"/>
                <w:szCs w:val="21"/>
                <w:highlight w:val="none"/>
                <w:lang w:eastAsia="en-US"/>
                <w14:textFill>
                  <w14:solidFill>
                    <w14:schemeClr w14:val="tx1"/>
                  </w14:solidFill>
                </w14:textFill>
              </w:rPr>
            </w:pPr>
            <w:r>
              <w:rPr>
                <w:rFonts w:hint="eastAsia" w:ascii="宋体" w:hAnsi="宋体" w:eastAsia="Times New Roman" w:cs="宋体"/>
                <w:b/>
                <w:color w:val="000000" w:themeColor="text1"/>
                <w:sz w:val="21"/>
                <w:szCs w:val="21"/>
                <w:highlight w:val="none"/>
                <w:lang w:eastAsia="en-US"/>
                <w14:textFill>
                  <w14:solidFill>
                    <w14:schemeClr w14:val="tx1"/>
                  </w14:solidFill>
                </w14:textFill>
              </w:rPr>
              <w:t>序号</w:t>
            </w:r>
          </w:p>
        </w:tc>
        <w:tc>
          <w:tcPr>
            <w:tcW w:w="1075" w:type="dxa"/>
            <w:noWrap w:val="0"/>
            <w:vAlign w:val="center"/>
          </w:tcPr>
          <w:p w14:paraId="3BE472F0">
            <w:pPr>
              <w:pStyle w:val="45"/>
              <w:spacing w:before="0" w:beforeAutospacing="0" w:line="360" w:lineRule="exact"/>
              <w:ind w:firstLine="0" w:firstLineChars="0"/>
              <w:jc w:val="center"/>
              <w:rPr>
                <w:rFonts w:ascii="Calibri" w:hAnsi="Calibri" w:eastAsia="Times New Roman" w:cs="宋体"/>
                <w:b/>
                <w:color w:val="000000" w:themeColor="text1"/>
                <w:sz w:val="21"/>
                <w:szCs w:val="21"/>
                <w:highlight w:val="none"/>
                <w:lang w:eastAsia="en-US"/>
                <w14:textFill>
                  <w14:solidFill>
                    <w14:schemeClr w14:val="tx1"/>
                  </w14:solidFill>
                </w14:textFill>
              </w:rPr>
            </w:pPr>
            <w:r>
              <w:rPr>
                <w:rFonts w:hint="eastAsia" w:ascii="宋体" w:hAnsi="宋体" w:eastAsia="Times New Roman" w:cs="宋体"/>
                <w:b/>
                <w:color w:val="000000" w:themeColor="text1"/>
                <w:sz w:val="21"/>
                <w:szCs w:val="21"/>
                <w:highlight w:val="none"/>
                <w:lang w:eastAsia="en-US"/>
                <w14:textFill>
                  <w14:solidFill>
                    <w14:schemeClr w14:val="tx1"/>
                  </w14:solidFill>
                </w14:textFill>
              </w:rPr>
              <w:t>风险单元</w:t>
            </w:r>
          </w:p>
        </w:tc>
        <w:tc>
          <w:tcPr>
            <w:tcW w:w="1067" w:type="dxa"/>
            <w:noWrap w:val="0"/>
            <w:vAlign w:val="center"/>
          </w:tcPr>
          <w:p w14:paraId="7E874E50">
            <w:pPr>
              <w:pStyle w:val="45"/>
              <w:spacing w:before="0" w:beforeAutospacing="0" w:line="360" w:lineRule="exact"/>
              <w:ind w:firstLine="0" w:firstLineChars="0"/>
              <w:jc w:val="center"/>
              <w:rPr>
                <w:rFonts w:ascii="Calibri" w:hAnsi="Calibri" w:eastAsia="Times New Roman" w:cs="宋体"/>
                <w:b/>
                <w:color w:val="000000" w:themeColor="text1"/>
                <w:sz w:val="21"/>
                <w:szCs w:val="21"/>
                <w:highlight w:val="none"/>
                <w:lang w:eastAsia="en-US"/>
                <w14:textFill>
                  <w14:solidFill>
                    <w14:schemeClr w14:val="tx1"/>
                  </w14:solidFill>
                </w14:textFill>
              </w:rPr>
            </w:pPr>
            <w:r>
              <w:rPr>
                <w:rFonts w:hint="eastAsia" w:ascii="宋体" w:hAnsi="宋体" w:eastAsia="Times New Roman" w:cs="宋体"/>
                <w:b/>
                <w:color w:val="000000" w:themeColor="text1"/>
                <w:sz w:val="21"/>
                <w:szCs w:val="21"/>
                <w:highlight w:val="none"/>
                <w:lang w:eastAsia="en-US"/>
                <w14:textFill>
                  <w14:solidFill>
                    <w14:schemeClr w14:val="tx1"/>
                  </w14:solidFill>
                </w14:textFill>
              </w:rPr>
              <w:t>事故类型</w:t>
            </w:r>
          </w:p>
        </w:tc>
        <w:tc>
          <w:tcPr>
            <w:tcW w:w="5692" w:type="dxa"/>
            <w:noWrap w:val="0"/>
            <w:vAlign w:val="center"/>
          </w:tcPr>
          <w:p w14:paraId="48A84493">
            <w:pPr>
              <w:pStyle w:val="45"/>
              <w:spacing w:before="0" w:beforeAutospacing="0" w:line="360" w:lineRule="exact"/>
              <w:ind w:firstLine="0" w:firstLineChars="0"/>
              <w:jc w:val="center"/>
              <w:rPr>
                <w:rFonts w:ascii="Calibri" w:hAnsi="Calibri" w:eastAsia="Times New Roman" w:cs="宋体"/>
                <w:b/>
                <w:color w:val="000000" w:themeColor="text1"/>
                <w:sz w:val="21"/>
                <w:szCs w:val="21"/>
                <w:highlight w:val="none"/>
                <w:lang w:eastAsia="zh-CN"/>
                <w14:textFill>
                  <w14:solidFill>
                    <w14:schemeClr w14:val="tx1"/>
                  </w14:solidFill>
                </w14:textFill>
              </w:rPr>
            </w:pPr>
            <w:r>
              <w:rPr>
                <w:rFonts w:hint="eastAsia" w:ascii="宋体" w:hAnsi="宋体" w:eastAsia="Times New Roman" w:cs="宋体"/>
                <w:b/>
                <w:color w:val="000000" w:themeColor="text1"/>
                <w:sz w:val="21"/>
                <w:szCs w:val="21"/>
                <w:highlight w:val="none"/>
                <w:lang w:eastAsia="zh-CN"/>
                <w14:textFill>
                  <w14:solidFill>
                    <w14:schemeClr w14:val="tx1"/>
                  </w14:solidFill>
                </w14:textFill>
              </w:rPr>
              <w:t>次生、衍生厂外环境污染</w:t>
            </w:r>
          </w:p>
        </w:tc>
      </w:tr>
      <w:tr w14:paraId="5595D9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restart"/>
            <w:noWrap w:val="0"/>
            <w:vAlign w:val="center"/>
          </w:tcPr>
          <w:p w14:paraId="7173FA21">
            <w:pPr>
              <w:pStyle w:val="45"/>
              <w:spacing w:before="0" w:beforeAutospacing="0" w:line="360" w:lineRule="exact"/>
              <w:ind w:firstLine="0" w:firstLineChars="0"/>
              <w:jc w:val="center"/>
              <w:rPr>
                <w:rFonts w:hint="eastAsia" w:ascii="Calibri" w:hAnsi="Calibri" w:eastAsia="宋体"/>
                <w:color w:val="000000" w:themeColor="text1"/>
                <w:sz w:val="21"/>
                <w:szCs w:val="21"/>
                <w:highlight w:val="none"/>
                <w:lang w:eastAsia="zh-CN"/>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1</w:t>
            </w:r>
          </w:p>
        </w:tc>
        <w:tc>
          <w:tcPr>
            <w:tcW w:w="1075" w:type="dxa"/>
            <w:vMerge w:val="restart"/>
            <w:noWrap w:val="0"/>
            <w:vAlign w:val="center"/>
          </w:tcPr>
          <w:p w14:paraId="460FB378">
            <w:pPr>
              <w:pStyle w:val="45"/>
              <w:spacing w:before="0" w:beforeAutospacing="0" w:line="360" w:lineRule="exact"/>
              <w:ind w:firstLine="0" w:firstLineChars="0"/>
              <w:jc w:val="center"/>
              <w:rPr>
                <w:rFonts w:hint="eastAsia" w:ascii="Calibri" w:hAnsi="Calibri"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危废贮存点</w:t>
            </w:r>
          </w:p>
        </w:tc>
        <w:tc>
          <w:tcPr>
            <w:tcW w:w="1067" w:type="dxa"/>
            <w:noWrap w:val="0"/>
            <w:vAlign w:val="center"/>
          </w:tcPr>
          <w:p w14:paraId="47258B6C">
            <w:pPr>
              <w:pStyle w:val="45"/>
              <w:spacing w:before="0" w:beforeAutospacing="0" w:line="360" w:lineRule="exact"/>
              <w:ind w:firstLine="0" w:firstLineChars="0"/>
              <w:jc w:val="center"/>
              <w:rPr>
                <w:rFonts w:ascii="Calibri" w:hAnsi="Calibri" w:eastAsia="Times New Roman" w:cs="宋体"/>
                <w:color w:val="000000" w:themeColor="text1"/>
                <w:sz w:val="21"/>
                <w:szCs w:val="21"/>
                <w:highlight w:val="none"/>
                <w:lang w:eastAsia="en-US"/>
                <w14:textFill>
                  <w14:solidFill>
                    <w14:schemeClr w14:val="tx1"/>
                  </w14:solidFill>
                </w14:textFill>
              </w:rPr>
            </w:pPr>
            <w:r>
              <w:rPr>
                <w:rFonts w:hint="eastAsia" w:ascii="宋体" w:hAnsi="宋体" w:eastAsia="Times New Roman" w:cs="宋体"/>
                <w:color w:val="000000" w:themeColor="text1"/>
                <w:sz w:val="21"/>
                <w:szCs w:val="21"/>
                <w:highlight w:val="none"/>
                <w:lang w:eastAsia="en-US"/>
                <w14:textFill>
                  <w14:solidFill>
                    <w14:schemeClr w14:val="tx1"/>
                  </w14:solidFill>
                </w14:textFill>
              </w:rPr>
              <w:t>泄漏</w:t>
            </w:r>
          </w:p>
        </w:tc>
        <w:tc>
          <w:tcPr>
            <w:tcW w:w="5692" w:type="dxa"/>
            <w:noWrap w:val="0"/>
            <w:vAlign w:val="center"/>
          </w:tcPr>
          <w:p w14:paraId="7CA3C21D">
            <w:pPr>
              <w:pStyle w:val="45"/>
              <w:spacing w:before="0" w:beforeAutospacing="0" w:line="360" w:lineRule="exact"/>
              <w:ind w:firstLine="0" w:firstLineChars="0"/>
              <w:jc w:val="both"/>
              <w:rPr>
                <w:rFonts w:ascii="Calibri" w:hAnsi="Calibri" w:eastAsia="Times New Roman" w:cs="宋体"/>
                <w:color w:val="000000" w:themeColor="text1"/>
                <w:sz w:val="21"/>
                <w:szCs w:val="21"/>
                <w:highlight w:val="none"/>
                <w:lang w:eastAsia="zh-CN"/>
                <w14:textFill>
                  <w14:solidFill>
                    <w14:schemeClr w14:val="tx1"/>
                  </w14:solidFill>
                </w14:textFill>
              </w:rPr>
            </w:pPr>
            <w:r>
              <w:rPr>
                <w:rFonts w:hint="eastAsia" w:ascii="宋体" w:hAnsi="宋体" w:eastAsia="Times New Roman" w:cs="宋体"/>
                <w:color w:val="000000" w:themeColor="text1"/>
                <w:sz w:val="21"/>
                <w:szCs w:val="21"/>
                <w:highlight w:val="none"/>
                <w:lang w:eastAsia="zh-CN"/>
                <w14:textFill>
                  <w14:solidFill>
                    <w14:schemeClr w14:val="tx1"/>
                  </w14:solidFill>
                </w14:textFill>
              </w:rPr>
              <w:t>泄漏</w:t>
            </w:r>
            <w:r>
              <w:rPr>
                <w:rFonts w:eastAsia="Times New Roman"/>
                <w:color w:val="000000" w:themeColor="text1"/>
                <w:sz w:val="21"/>
                <w:szCs w:val="21"/>
                <w:highlight w:val="none"/>
                <w:lang w:eastAsia="zh-CN"/>
                <w14:textFill>
                  <w14:solidFill>
                    <w14:schemeClr w14:val="tx1"/>
                  </w14:solidFill>
                </w14:textFill>
              </w:rPr>
              <w:t>/</w:t>
            </w:r>
            <w:r>
              <w:rPr>
                <w:rFonts w:hint="eastAsia" w:ascii="宋体" w:hAnsi="宋体" w:eastAsia="Times New Roman" w:cs="宋体"/>
                <w:color w:val="000000" w:themeColor="text1"/>
                <w:sz w:val="21"/>
                <w:szCs w:val="21"/>
                <w:highlight w:val="none"/>
                <w:lang w:eastAsia="zh-CN"/>
                <w14:textFill>
                  <w14:solidFill>
                    <w14:schemeClr w14:val="tx1"/>
                  </w14:solidFill>
                </w14:textFill>
              </w:rPr>
              <w:t>撒漏危险废物收集处置措施不当，直接外排，污染地表水；泄漏</w:t>
            </w:r>
            <w:r>
              <w:rPr>
                <w:rFonts w:eastAsia="Times New Roman"/>
                <w:color w:val="000000" w:themeColor="text1"/>
                <w:sz w:val="21"/>
                <w:szCs w:val="21"/>
                <w:highlight w:val="none"/>
                <w:lang w:eastAsia="zh-CN"/>
                <w14:textFill>
                  <w14:solidFill>
                    <w14:schemeClr w14:val="tx1"/>
                  </w14:solidFill>
                </w14:textFill>
              </w:rPr>
              <w:t>/</w:t>
            </w:r>
            <w:r>
              <w:rPr>
                <w:rFonts w:hint="eastAsia" w:ascii="宋体" w:hAnsi="宋体" w:eastAsia="Times New Roman" w:cs="宋体"/>
                <w:color w:val="000000" w:themeColor="text1"/>
                <w:sz w:val="21"/>
                <w:szCs w:val="21"/>
                <w:highlight w:val="none"/>
                <w:lang w:eastAsia="zh-CN"/>
                <w14:textFill>
                  <w14:solidFill>
                    <w14:schemeClr w14:val="tx1"/>
                  </w14:solidFill>
                </w14:textFill>
              </w:rPr>
              <w:t>撒漏危险废物收集处置措施不当，流入土壤，污染土壤及地下水；用于收集吸附泄漏</w:t>
            </w:r>
            <w:r>
              <w:rPr>
                <w:rFonts w:eastAsia="Times New Roman"/>
                <w:color w:val="000000" w:themeColor="text1"/>
                <w:sz w:val="21"/>
                <w:szCs w:val="21"/>
                <w:highlight w:val="none"/>
                <w:lang w:eastAsia="zh-CN"/>
                <w14:textFill>
                  <w14:solidFill>
                    <w14:schemeClr w14:val="tx1"/>
                  </w14:solidFill>
                </w14:textFill>
              </w:rPr>
              <w:t>/</w:t>
            </w:r>
            <w:r>
              <w:rPr>
                <w:rFonts w:hint="eastAsia" w:ascii="宋体" w:hAnsi="宋体" w:eastAsia="Times New Roman" w:cs="宋体"/>
                <w:color w:val="000000" w:themeColor="text1"/>
                <w:sz w:val="21"/>
                <w:szCs w:val="21"/>
                <w:highlight w:val="none"/>
                <w:lang w:eastAsia="zh-CN"/>
                <w14:textFill>
                  <w14:solidFill>
                    <w14:schemeClr w14:val="tx1"/>
                  </w14:solidFill>
                </w14:textFill>
              </w:rPr>
              <w:t>撒漏危险废物的吸收吸附材料后期处理处置不当，污染环境；洗消被泄漏</w:t>
            </w:r>
            <w:r>
              <w:rPr>
                <w:rFonts w:eastAsia="Times New Roman"/>
                <w:color w:val="000000" w:themeColor="text1"/>
                <w:sz w:val="21"/>
                <w:szCs w:val="21"/>
                <w:highlight w:val="none"/>
                <w:lang w:eastAsia="zh-CN"/>
                <w14:textFill>
                  <w14:solidFill>
                    <w14:schemeClr w14:val="tx1"/>
                  </w14:solidFill>
                </w14:textFill>
              </w:rPr>
              <w:t>/</w:t>
            </w:r>
            <w:r>
              <w:rPr>
                <w:rFonts w:hint="eastAsia" w:ascii="宋体" w:hAnsi="宋体" w:eastAsia="Times New Roman" w:cs="宋体"/>
                <w:color w:val="000000" w:themeColor="text1"/>
                <w:sz w:val="21"/>
                <w:szCs w:val="21"/>
                <w:highlight w:val="none"/>
                <w:lang w:eastAsia="zh-CN"/>
                <w14:textFill>
                  <w14:solidFill>
                    <w14:schemeClr w14:val="tx1"/>
                  </w14:solidFill>
                </w14:textFill>
              </w:rPr>
              <w:t>撒漏危险废物污染的地面过程中产生的洗消废水直接外排，污染地表水；洗消被泄漏</w:t>
            </w:r>
            <w:r>
              <w:rPr>
                <w:rFonts w:eastAsia="Times New Roman"/>
                <w:color w:val="000000" w:themeColor="text1"/>
                <w:sz w:val="21"/>
                <w:szCs w:val="21"/>
                <w:highlight w:val="none"/>
                <w:lang w:eastAsia="zh-CN"/>
                <w14:textFill>
                  <w14:solidFill>
                    <w14:schemeClr w14:val="tx1"/>
                  </w14:solidFill>
                </w14:textFill>
              </w:rPr>
              <w:t>/</w:t>
            </w:r>
            <w:r>
              <w:rPr>
                <w:rFonts w:hint="eastAsia" w:ascii="宋体" w:hAnsi="宋体" w:eastAsia="Times New Roman" w:cs="宋体"/>
                <w:color w:val="000000" w:themeColor="text1"/>
                <w:sz w:val="21"/>
                <w:szCs w:val="21"/>
                <w:highlight w:val="none"/>
                <w:lang w:eastAsia="zh-CN"/>
                <w14:textFill>
                  <w14:solidFill>
                    <w14:schemeClr w14:val="tx1"/>
                  </w14:solidFill>
                </w14:textFill>
              </w:rPr>
              <w:t>撒漏危险废物污染的地面过程中产生的洗消废水流入土壤，污染土壤及地下水。</w:t>
            </w:r>
          </w:p>
        </w:tc>
      </w:tr>
      <w:tr w14:paraId="785861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continue"/>
            <w:noWrap w:val="0"/>
            <w:vAlign w:val="center"/>
          </w:tcPr>
          <w:p w14:paraId="56F76415">
            <w:pPr>
              <w:widowControl/>
              <w:spacing w:line="360" w:lineRule="exact"/>
              <w:ind w:firstLine="0" w:firstLineChars="0"/>
              <w:jc w:val="center"/>
              <w:rPr>
                <w:rFonts w:ascii="Calibri" w:hAnsi="Calibri" w:eastAsia="Times New Roman"/>
                <w:color w:val="000000" w:themeColor="text1"/>
                <w:sz w:val="21"/>
                <w:szCs w:val="21"/>
                <w:highlight w:val="none"/>
                <w:lang w:eastAsia="zh-CN"/>
                <w14:textFill>
                  <w14:solidFill>
                    <w14:schemeClr w14:val="tx1"/>
                  </w14:solidFill>
                </w14:textFill>
              </w:rPr>
            </w:pPr>
          </w:p>
        </w:tc>
        <w:tc>
          <w:tcPr>
            <w:tcW w:w="1075" w:type="dxa"/>
            <w:vMerge w:val="continue"/>
            <w:noWrap w:val="0"/>
            <w:vAlign w:val="center"/>
          </w:tcPr>
          <w:p w14:paraId="11CC96F7">
            <w:pPr>
              <w:widowControl/>
              <w:spacing w:line="360" w:lineRule="exact"/>
              <w:ind w:firstLine="0" w:firstLineChars="0"/>
              <w:jc w:val="center"/>
              <w:rPr>
                <w:rFonts w:ascii="Calibri" w:hAnsi="Calibri" w:eastAsia="Times New Roman" w:cs="宋体"/>
                <w:color w:val="000000" w:themeColor="text1"/>
                <w:sz w:val="21"/>
                <w:szCs w:val="21"/>
                <w:highlight w:val="none"/>
                <w:lang w:eastAsia="zh-CN"/>
                <w14:textFill>
                  <w14:solidFill>
                    <w14:schemeClr w14:val="tx1"/>
                  </w14:solidFill>
                </w14:textFill>
              </w:rPr>
            </w:pPr>
          </w:p>
        </w:tc>
        <w:tc>
          <w:tcPr>
            <w:tcW w:w="1067" w:type="dxa"/>
            <w:noWrap w:val="0"/>
            <w:vAlign w:val="center"/>
          </w:tcPr>
          <w:p w14:paraId="1E627047">
            <w:pPr>
              <w:pStyle w:val="45"/>
              <w:spacing w:before="0" w:beforeAutospacing="0" w:line="360" w:lineRule="exact"/>
              <w:ind w:firstLine="0" w:firstLineChars="0"/>
              <w:jc w:val="center"/>
              <w:rPr>
                <w:rFonts w:ascii="Calibri" w:hAnsi="Calibri" w:eastAsia="Times New Roman" w:cs="宋体"/>
                <w:color w:val="000000" w:themeColor="text1"/>
                <w:sz w:val="21"/>
                <w:szCs w:val="21"/>
                <w:highlight w:val="none"/>
                <w:lang w:eastAsia="en-US"/>
                <w14:textFill>
                  <w14:solidFill>
                    <w14:schemeClr w14:val="tx1"/>
                  </w14:solidFill>
                </w14:textFill>
              </w:rPr>
            </w:pPr>
            <w:r>
              <w:rPr>
                <w:rFonts w:hint="eastAsia" w:ascii="宋体" w:hAnsi="宋体" w:eastAsia="Times New Roman" w:cs="宋体"/>
                <w:color w:val="000000" w:themeColor="text1"/>
                <w:sz w:val="21"/>
                <w:szCs w:val="21"/>
                <w:highlight w:val="none"/>
                <w:lang w:eastAsia="en-US"/>
                <w14:textFill>
                  <w14:solidFill>
                    <w14:schemeClr w14:val="tx1"/>
                  </w14:solidFill>
                </w14:textFill>
              </w:rPr>
              <w:t>火灾</w:t>
            </w:r>
          </w:p>
        </w:tc>
        <w:tc>
          <w:tcPr>
            <w:tcW w:w="5692" w:type="dxa"/>
            <w:noWrap w:val="0"/>
            <w:vAlign w:val="center"/>
          </w:tcPr>
          <w:p w14:paraId="615CA9F0">
            <w:pPr>
              <w:pStyle w:val="45"/>
              <w:spacing w:before="0" w:beforeAutospacing="0" w:line="360" w:lineRule="exact"/>
              <w:ind w:firstLine="0" w:firstLineChars="0"/>
              <w:jc w:val="both"/>
              <w:rPr>
                <w:rFonts w:ascii="Calibri" w:hAnsi="Calibri" w:eastAsia="Times New Roman" w:cs="宋体"/>
                <w:color w:val="000000" w:themeColor="text1"/>
                <w:sz w:val="21"/>
                <w:szCs w:val="21"/>
                <w:highlight w:val="none"/>
                <w:lang w:eastAsia="zh-CN"/>
                <w14:textFill>
                  <w14:solidFill>
                    <w14:schemeClr w14:val="tx1"/>
                  </w14:solidFill>
                </w14:textFill>
              </w:rPr>
            </w:pPr>
            <w:r>
              <w:rPr>
                <w:rFonts w:hint="eastAsia" w:ascii="宋体" w:hAnsi="宋体" w:eastAsia="Times New Roman" w:cs="宋体"/>
                <w:color w:val="000000" w:themeColor="text1"/>
                <w:sz w:val="21"/>
                <w:szCs w:val="21"/>
                <w:highlight w:val="none"/>
                <w:lang w:eastAsia="zh-CN"/>
                <w14:textFill>
                  <w14:solidFill>
                    <w14:schemeClr w14:val="tx1"/>
                  </w14:solidFill>
                </w14:textFill>
              </w:rPr>
              <w:t>危废燃烧产生的烟尘、一氧化碳等污染物污染周围大气环境；</w:t>
            </w:r>
            <w:r>
              <w:rPr>
                <w:rFonts w:hint="eastAsia" w:eastAsia="Times New Roman" w:cs="宋体"/>
                <w:color w:val="000000" w:themeColor="text1"/>
                <w:sz w:val="21"/>
                <w:szCs w:val="21"/>
                <w:highlight w:val="none"/>
                <w:lang w:eastAsia="zh-CN"/>
                <w14:textFill>
                  <w14:solidFill>
                    <w14:schemeClr w14:val="tx1"/>
                  </w14:solidFill>
                </w14:textFill>
              </w:rPr>
              <w:t xml:space="preserve"> </w:t>
            </w:r>
            <w:r>
              <w:rPr>
                <w:rFonts w:hint="eastAsia" w:ascii="宋体" w:hAnsi="宋体" w:eastAsia="Times New Roman" w:cs="宋体"/>
                <w:color w:val="000000" w:themeColor="text1"/>
                <w:sz w:val="21"/>
                <w:szCs w:val="21"/>
                <w:highlight w:val="none"/>
                <w:lang w:eastAsia="zh-CN"/>
                <w14:textFill>
                  <w14:solidFill>
                    <w14:schemeClr w14:val="tx1"/>
                  </w14:solidFill>
                </w14:textFill>
              </w:rPr>
              <w:t>危废燃烧消防过程中产生的消防废水处置不当，直接外排，污染地表水；危废燃烧消防过程中产生的消防废水处置不当，流入土壤，污染土壤及地下水。</w:t>
            </w:r>
          </w:p>
        </w:tc>
      </w:tr>
      <w:tr w14:paraId="301B24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continue"/>
            <w:noWrap w:val="0"/>
            <w:vAlign w:val="center"/>
          </w:tcPr>
          <w:p w14:paraId="44EA241A">
            <w:pPr>
              <w:spacing w:line="360" w:lineRule="exact"/>
              <w:ind w:firstLine="0" w:firstLineChars="0"/>
              <w:jc w:val="center"/>
              <w:rPr>
                <w:rFonts w:ascii="Calibri" w:hAnsi="Calibri" w:eastAsia="Times New Roman"/>
                <w:color w:val="000000" w:themeColor="text1"/>
                <w:sz w:val="21"/>
                <w:highlight w:val="none"/>
                <w:lang w:eastAsia="zh-CN"/>
                <w14:textFill>
                  <w14:solidFill>
                    <w14:schemeClr w14:val="tx1"/>
                  </w14:solidFill>
                </w14:textFill>
              </w:rPr>
            </w:pPr>
          </w:p>
        </w:tc>
        <w:tc>
          <w:tcPr>
            <w:tcW w:w="1075" w:type="dxa"/>
            <w:vMerge w:val="continue"/>
            <w:noWrap w:val="0"/>
            <w:vAlign w:val="center"/>
          </w:tcPr>
          <w:p w14:paraId="255F319E">
            <w:pPr>
              <w:spacing w:line="360" w:lineRule="exact"/>
              <w:ind w:firstLine="0" w:firstLineChars="0"/>
              <w:jc w:val="center"/>
              <w:rPr>
                <w:rFonts w:ascii="Calibri" w:hAnsi="Calibri" w:eastAsia="Times New Roman"/>
                <w:color w:val="000000" w:themeColor="text1"/>
                <w:sz w:val="21"/>
                <w:highlight w:val="none"/>
                <w:lang w:eastAsia="zh-CN"/>
                <w14:textFill>
                  <w14:solidFill>
                    <w14:schemeClr w14:val="tx1"/>
                  </w14:solidFill>
                </w14:textFill>
              </w:rPr>
            </w:pPr>
          </w:p>
        </w:tc>
        <w:tc>
          <w:tcPr>
            <w:tcW w:w="1067" w:type="dxa"/>
            <w:noWrap w:val="0"/>
            <w:vAlign w:val="center"/>
          </w:tcPr>
          <w:p w14:paraId="6F1A58CB">
            <w:pPr>
              <w:pStyle w:val="45"/>
              <w:spacing w:before="0" w:beforeAutospacing="0" w:line="360" w:lineRule="exact"/>
              <w:ind w:firstLine="0" w:firstLineChars="0"/>
              <w:jc w:val="center"/>
              <w:rPr>
                <w:rFonts w:ascii="Calibri" w:hAnsi="Calibri" w:eastAsia="Times New Roman" w:cs="宋体"/>
                <w:color w:val="000000" w:themeColor="text1"/>
                <w:sz w:val="21"/>
                <w:szCs w:val="21"/>
                <w:highlight w:val="none"/>
                <w:lang w:eastAsia="en-US"/>
                <w14:textFill>
                  <w14:solidFill>
                    <w14:schemeClr w14:val="tx1"/>
                  </w14:solidFill>
                </w14:textFill>
              </w:rPr>
            </w:pPr>
            <w:r>
              <w:rPr>
                <w:rFonts w:hint="eastAsia" w:ascii="宋体" w:hAnsi="宋体" w:eastAsia="Times New Roman" w:cs="宋体"/>
                <w:color w:val="000000" w:themeColor="text1"/>
                <w:sz w:val="21"/>
                <w:szCs w:val="21"/>
                <w:highlight w:val="none"/>
                <w:lang w:eastAsia="en-US"/>
                <w14:textFill>
                  <w14:solidFill>
                    <w14:schemeClr w14:val="tx1"/>
                  </w14:solidFill>
                </w14:textFill>
              </w:rPr>
              <w:t>爆炸</w:t>
            </w:r>
          </w:p>
        </w:tc>
        <w:tc>
          <w:tcPr>
            <w:tcW w:w="5692" w:type="dxa"/>
            <w:noWrap w:val="0"/>
            <w:vAlign w:val="center"/>
          </w:tcPr>
          <w:p w14:paraId="68F4A2A7">
            <w:pPr>
              <w:pStyle w:val="45"/>
              <w:spacing w:before="0" w:beforeAutospacing="0" w:line="360" w:lineRule="exact"/>
              <w:ind w:firstLine="0" w:firstLineChars="0"/>
              <w:jc w:val="both"/>
              <w:rPr>
                <w:rFonts w:ascii="Calibri" w:hAnsi="Calibri" w:eastAsia="Times New Roman" w:cs="宋体"/>
                <w:color w:val="000000" w:themeColor="text1"/>
                <w:sz w:val="21"/>
                <w:szCs w:val="21"/>
                <w:highlight w:val="none"/>
                <w:lang w:eastAsia="zh-CN"/>
                <w14:textFill>
                  <w14:solidFill>
                    <w14:schemeClr w14:val="tx1"/>
                  </w14:solidFill>
                </w14:textFill>
              </w:rPr>
            </w:pPr>
            <w:r>
              <w:rPr>
                <w:rFonts w:hint="eastAsia" w:ascii="宋体" w:hAnsi="宋体" w:eastAsia="Times New Roman" w:cs="宋体"/>
                <w:color w:val="000000" w:themeColor="text1"/>
                <w:sz w:val="21"/>
                <w:szCs w:val="21"/>
                <w:highlight w:val="none"/>
                <w:lang w:eastAsia="zh-CN"/>
                <w14:textFill>
                  <w14:solidFill>
                    <w14:schemeClr w14:val="tx1"/>
                  </w14:solidFill>
                </w14:textFill>
              </w:rPr>
              <w:t>危废贮存点爆炸后危废燃烧产生的烟尘、一氧化碳等污染物污染周围大气环境；危废贮存点爆炸后泄漏危废直接外排，污染地表水；危废贮存点爆炸后泄漏危废流入土壤，污染土壤及地下水。</w:t>
            </w:r>
          </w:p>
        </w:tc>
      </w:tr>
      <w:tr w14:paraId="0A4C81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noWrap w:val="0"/>
            <w:vAlign w:val="center"/>
          </w:tcPr>
          <w:p w14:paraId="4D03CA46">
            <w:pPr>
              <w:pStyle w:val="45"/>
              <w:spacing w:before="0" w:beforeAutospacing="0" w:line="360" w:lineRule="exact"/>
              <w:ind w:firstLine="0" w:firstLineChars="0"/>
              <w:jc w:val="center"/>
              <w:rPr>
                <w:rFonts w:hint="eastAsia" w:ascii="Calibri" w:hAnsi="Calibri" w:eastAsia="宋体"/>
                <w:color w:val="000000" w:themeColor="text1"/>
                <w:sz w:val="21"/>
                <w:szCs w:val="21"/>
                <w:highlight w:val="none"/>
                <w:lang w:eastAsia="zh-CN"/>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2</w:t>
            </w:r>
          </w:p>
        </w:tc>
        <w:tc>
          <w:tcPr>
            <w:tcW w:w="1075" w:type="dxa"/>
            <w:noWrap w:val="0"/>
            <w:vAlign w:val="center"/>
          </w:tcPr>
          <w:p w14:paraId="4FD6496B">
            <w:pPr>
              <w:pStyle w:val="45"/>
              <w:spacing w:before="0" w:beforeAutospacing="0" w:line="360" w:lineRule="exact"/>
              <w:ind w:firstLine="0" w:firstLineChars="0"/>
              <w:jc w:val="center"/>
              <w:rPr>
                <w:rFonts w:ascii="Calibri" w:hAnsi="Calibri" w:eastAsia="Times New Roman" w:cs="宋体"/>
                <w:color w:val="000000" w:themeColor="text1"/>
                <w:sz w:val="21"/>
                <w:szCs w:val="21"/>
                <w:highlight w:val="none"/>
                <w:lang w:eastAsia="en-US"/>
                <w14:textFill>
                  <w14:solidFill>
                    <w14:schemeClr w14:val="tx1"/>
                  </w14:solidFill>
                </w14:textFill>
              </w:rPr>
            </w:pPr>
            <w:r>
              <w:rPr>
                <w:rFonts w:hint="eastAsia" w:ascii="宋体" w:hAnsi="宋体" w:eastAsia="Times New Roman" w:cs="宋体"/>
                <w:color w:val="000000" w:themeColor="text1"/>
                <w:sz w:val="21"/>
                <w:szCs w:val="21"/>
                <w:highlight w:val="none"/>
                <w:lang w:eastAsia="en-US"/>
                <w14:textFill>
                  <w14:solidFill>
                    <w14:schemeClr w14:val="tx1"/>
                  </w14:solidFill>
                </w14:textFill>
              </w:rPr>
              <w:t>废水输送系统管道</w:t>
            </w:r>
          </w:p>
        </w:tc>
        <w:tc>
          <w:tcPr>
            <w:tcW w:w="1067" w:type="dxa"/>
            <w:noWrap w:val="0"/>
            <w:vAlign w:val="center"/>
          </w:tcPr>
          <w:p w14:paraId="031AD4F0">
            <w:pPr>
              <w:pStyle w:val="45"/>
              <w:spacing w:before="0" w:beforeAutospacing="0" w:line="360" w:lineRule="exact"/>
              <w:ind w:firstLine="0" w:firstLineChars="0"/>
              <w:jc w:val="center"/>
              <w:rPr>
                <w:rFonts w:ascii="Calibri" w:hAnsi="Calibri" w:eastAsia="Times New Roman" w:cs="宋体"/>
                <w:color w:val="000000" w:themeColor="text1"/>
                <w:sz w:val="21"/>
                <w:szCs w:val="21"/>
                <w:highlight w:val="none"/>
                <w:lang w:eastAsia="en-US"/>
                <w14:textFill>
                  <w14:solidFill>
                    <w14:schemeClr w14:val="tx1"/>
                  </w14:solidFill>
                </w14:textFill>
              </w:rPr>
            </w:pPr>
            <w:r>
              <w:rPr>
                <w:rFonts w:hint="eastAsia" w:ascii="宋体" w:hAnsi="宋体" w:eastAsia="Times New Roman" w:cs="宋体"/>
                <w:color w:val="000000" w:themeColor="text1"/>
                <w:sz w:val="21"/>
                <w:szCs w:val="21"/>
                <w:highlight w:val="none"/>
                <w:lang w:eastAsia="en-US"/>
                <w14:textFill>
                  <w14:solidFill>
                    <w14:schemeClr w14:val="tx1"/>
                  </w14:solidFill>
                </w14:textFill>
              </w:rPr>
              <w:t>泄漏</w:t>
            </w:r>
          </w:p>
        </w:tc>
        <w:tc>
          <w:tcPr>
            <w:tcW w:w="5692" w:type="dxa"/>
            <w:noWrap w:val="0"/>
            <w:vAlign w:val="center"/>
          </w:tcPr>
          <w:p w14:paraId="3C5659A8">
            <w:pPr>
              <w:pStyle w:val="45"/>
              <w:spacing w:before="0" w:beforeAutospacing="0" w:line="360" w:lineRule="exact"/>
              <w:ind w:firstLine="0" w:firstLineChars="0"/>
              <w:jc w:val="both"/>
              <w:rPr>
                <w:rFonts w:ascii="Calibri" w:hAnsi="Calibri" w:eastAsia="Times New Roman" w:cs="宋体"/>
                <w:color w:val="000000" w:themeColor="text1"/>
                <w:sz w:val="21"/>
                <w:szCs w:val="21"/>
                <w:highlight w:val="none"/>
                <w:lang w:eastAsia="zh-CN"/>
                <w14:textFill>
                  <w14:solidFill>
                    <w14:schemeClr w14:val="tx1"/>
                  </w14:solidFill>
                </w14:textFill>
              </w:rPr>
            </w:pPr>
            <w:r>
              <w:rPr>
                <w:rFonts w:hint="eastAsia" w:ascii="宋体" w:hAnsi="宋体" w:eastAsia="Times New Roman" w:cs="宋体"/>
                <w:color w:val="000000" w:themeColor="text1"/>
                <w:sz w:val="21"/>
                <w:szCs w:val="21"/>
                <w:highlight w:val="none"/>
                <w:lang w:eastAsia="zh-CN"/>
                <w14:textFill>
                  <w14:solidFill>
                    <w14:schemeClr w14:val="tx1"/>
                  </w14:solidFill>
                </w14:textFill>
              </w:rPr>
              <w:t>废水输送系统管道破裂、接头和阀门损坏易导致污水外溢，污染地表水及地下水。</w:t>
            </w:r>
          </w:p>
        </w:tc>
      </w:tr>
      <w:tr w14:paraId="0DADC9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noWrap w:val="0"/>
            <w:vAlign w:val="center"/>
          </w:tcPr>
          <w:p w14:paraId="042D3855">
            <w:pPr>
              <w:pStyle w:val="45"/>
              <w:spacing w:before="0" w:beforeAutospacing="0" w:line="360" w:lineRule="exact"/>
              <w:ind w:firstLine="0" w:firstLineChars="0"/>
              <w:jc w:val="center"/>
              <w:rPr>
                <w:rFonts w:hint="eastAsia" w:ascii="Calibri" w:hAnsi="Calibri" w:eastAsia="宋体"/>
                <w:color w:val="000000" w:themeColor="text1"/>
                <w:sz w:val="21"/>
                <w:szCs w:val="21"/>
                <w:highlight w:val="none"/>
                <w:lang w:eastAsia="zh-CN"/>
                <w14:textFill>
                  <w14:solidFill>
                    <w14:schemeClr w14:val="tx1"/>
                  </w14:solidFill>
                </w14:textFill>
              </w:rPr>
            </w:pPr>
            <w:r>
              <w:rPr>
                <w:rFonts w:hint="eastAsia" w:eastAsia="宋体"/>
                <w:color w:val="000000" w:themeColor="text1"/>
                <w:sz w:val="21"/>
                <w:highlight w:val="none"/>
                <w:lang w:val="en-US" w:eastAsia="zh-CN"/>
                <w14:textFill>
                  <w14:solidFill>
                    <w14:schemeClr w14:val="tx1"/>
                  </w14:solidFill>
                </w14:textFill>
              </w:rPr>
              <w:t>3</w:t>
            </w:r>
          </w:p>
        </w:tc>
        <w:tc>
          <w:tcPr>
            <w:tcW w:w="1075" w:type="dxa"/>
            <w:noWrap w:val="0"/>
            <w:vAlign w:val="center"/>
          </w:tcPr>
          <w:p w14:paraId="29BCD96F">
            <w:pPr>
              <w:pStyle w:val="45"/>
              <w:spacing w:before="0" w:beforeAutospacing="0" w:line="360" w:lineRule="exact"/>
              <w:ind w:firstLine="0" w:firstLineChars="0"/>
              <w:jc w:val="center"/>
              <w:rPr>
                <w:rFonts w:ascii="Calibri" w:hAnsi="Calibri" w:eastAsia="Times New Roman" w:cs="宋体"/>
                <w:color w:val="000000" w:themeColor="text1"/>
                <w:sz w:val="21"/>
                <w:szCs w:val="21"/>
                <w:highlight w:val="none"/>
                <w:lang w:eastAsia="en-US"/>
                <w14:textFill>
                  <w14:solidFill>
                    <w14:schemeClr w14:val="tx1"/>
                  </w14:solidFill>
                </w14:textFill>
              </w:rPr>
            </w:pPr>
            <w:r>
              <w:rPr>
                <w:rFonts w:hint="eastAsia" w:ascii="宋体" w:hAnsi="宋体" w:eastAsia="Times New Roman" w:cs="宋体"/>
                <w:color w:val="000000" w:themeColor="text1"/>
                <w:sz w:val="21"/>
                <w:szCs w:val="21"/>
                <w:highlight w:val="none"/>
                <w:lang w:eastAsia="en-US"/>
                <w14:textFill>
                  <w14:solidFill>
                    <w14:schemeClr w14:val="tx1"/>
                  </w14:solidFill>
                </w14:textFill>
              </w:rPr>
              <w:t>尾矿库</w:t>
            </w:r>
          </w:p>
        </w:tc>
        <w:tc>
          <w:tcPr>
            <w:tcW w:w="1067" w:type="dxa"/>
            <w:noWrap w:val="0"/>
            <w:vAlign w:val="center"/>
          </w:tcPr>
          <w:p w14:paraId="3A2A768A">
            <w:pPr>
              <w:pStyle w:val="45"/>
              <w:spacing w:before="0" w:beforeAutospacing="0" w:line="360" w:lineRule="exact"/>
              <w:ind w:firstLine="0" w:firstLineChars="0"/>
              <w:jc w:val="center"/>
              <w:rPr>
                <w:rFonts w:ascii="Calibri" w:hAnsi="Calibri" w:eastAsia="Times New Roman" w:cs="宋体"/>
                <w:color w:val="000000" w:themeColor="text1"/>
                <w:sz w:val="21"/>
                <w:szCs w:val="21"/>
                <w:highlight w:val="none"/>
                <w:lang w:eastAsia="en-US"/>
                <w14:textFill>
                  <w14:solidFill>
                    <w14:schemeClr w14:val="tx1"/>
                  </w14:solidFill>
                </w14:textFill>
              </w:rPr>
            </w:pPr>
            <w:r>
              <w:rPr>
                <w:rFonts w:hint="eastAsia" w:ascii="宋体" w:hAnsi="宋体" w:eastAsia="Times New Roman" w:cs="宋体"/>
                <w:color w:val="000000" w:themeColor="text1"/>
                <w:sz w:val="21"/>
                <w:szCs w:val="21"/>
                <w:highlight w:val="none"/>
                <w:lang w:eastAsia="en-US"/>
                <w14:textFill>
                  <w14:solidFill>
                    <w14:schemeClr w14:val="tx1"/>
                  </w14:solidFill>
                </w14:textFill>
              </w:rPr>
              <w:t>溃坝</w:t>
            </w:r>
          </w:p>
        </w:tc>
        <w:tc>
          <w:tcPr>
            <w:tcW w:w="5692" w:type="dxa"/>
            <w:noWrap w:val="0"/>
            <w:vAlign w:val="center"/>
          </w:tcPr>
          <w:p w14:paraId="41BD45D6">
            <w:pPr>
              <w:pStyle w:val="45"/>
              <w:spacing w:before="0" w:beforeAutospacing="0" w:line="360" w:lineRule="exact"/>
              <w:ind w:firstLine="0" w:firstLineChars="0"/>
              <w:jc w:val="both"/>
              <w:rPr>
                <w:rFonts w:ascii="Calibri" w:hAnsi="Calibri" w:eastAsia="Times New Roman" w:cs="宋体"/>
                <w:color w:val="000000" w:themeColor="text1"/>
                <w:sz w:val="21"/>
                <w:szCs w:val="21"/>
                <w:highlight w:val="none"/>
                <w:lang w:eastAsia="zh-CN"/>
                <w14:textFill>
                  <w14:solidFill>
                    <w14:schemeClr w14:val="tx1"/>
                  </w14:solidFill>
                </w14:textFill>
              </w:rPr>
            </w:pPr>
            <w:r>
              <w:rPr>
                <w:rFonts w:hint="eastAsia" w:ascii="宋体" w:hAnsi="宋体" w:eastAsia="Times New Roman" w:cs="宋体"/>
                <w:color w:val="000000" w:themeColor="text1"/>
                <w:sz w:val="21"/>
                <w:szCs w:val="21"/>
                <w:highlight w:val="none"/>
                <w:lang w:eastAsia="zh-CN"/>
                <w14:textFill>
                  <w14:solidFill>
                    <w14:schemeClr w14:val="tx1"/>
                  </w14:solidFill>
                </w14:textFill>
              </w:rPr>
              <w:t>排水设施堵塞或损坏、坝体裂缝、滑坡、洪水漫顶等导致的溃坝事故，污染土壤及地下水，破坏生态环境。</w:t>
            </w:r>
          </w:p>
        </w:tc>
      </w:tr>
    </w:tbl>
    <w:p w14:paraId="0C2385F0">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rFonts w:hint="eastAsia"/>
          <w:b/>
          <w:bCs/>
          <w:color w:val="000000" w:themeColor="text1"/>
          <w:sz w:val="30"/>
          <w:szCs w:val="32"/>
          <w:highlight w:val="none"/>
          <w14:textFill>
            <w14:solidFill>
              <w14:schemeClr w14:val="tx1"/>
            </w14:solidFill>
          </w14:textFill>
        </w:rPr>
        <w:t>5.3.</w:t>
      </w:r>
      <w:r>
        <w:rPr>
          <w:b/>
          <w:bCs/>
          <w:color w:val="000000" w:themeColor="text1"/>
          <w:sz w:val="30"/>
          <w:szCs w:val="32"/>
          <w:highlight w:val="none"/>
          <w14:textFill>
            <w14:solidFill>
              <w14:schemeClr w14:val="tx1"/>
            </w14:solidFill>
          </w14:textFill>
        </w:rPr>
        <w:t>4</w:t>
      </w:r>
      <w:r>
        <w:rPr>
          <w:rFonts w:hint="eastAsia"/>
          <w:b/>
          <w:bCs/>
          <w:color w:val="000000" w:themeColor="text1"/>
          <w:sz w:val="30"/>
          <w:szCs w:val="32"/>
          <w:highlight w:val="none"/>
          <w14:textFill>
            <w14:solidFill>
              <w14:schemeClr w14:val="tx1"/>
            </w14:solidFill>
          </w14:textFill>
        </w:rPr>
        <w:t>环境风险影响评价</w:t>
      </w:r>
    </w:p>
    <w:p w14:paraId="4A2E0D90">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（1）火灾事故环境空气影响分析</w:t>
      </w:r>
    </w:p>
    <w:p w14:paraId="294AF875">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物料发生火灾时将放出大量辐射热，同时还散发出大量的浓烟，浓烟是由燃烧物质释放出的高温蒸汽和毒气、被分解和凝聚的未燃烧物质、被火焰加热而带入上升气流中的大量空气等多种物质组成。它不但含有大量的热量，而且含有毒气体和弥散的固体微粒。因此浓烟对火场周围人员的生命安全危害程度远超过火灾本身，并对周围的大气环境质量造成很大的污染和破坏。</w:t>
      </w:r>
    </w:p>
    <w:p w14:paraId="12D86179">
      <w:pPr>
        <w:overflowPunct w:val="0"/>
        <w:topLinePunct/>
        <w:ind w:firstLine="480"/>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（2）废油泄漏环境影响分析</w:t>
      </w:r>
    </w:p>
    <w:p w14:paraId="32AE4F44">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废机油贮存在危废贮存点内，危废贮存点已按照《危险废物贮存污染控制标准》（GB18597-2023）要求进行设计建造，废机油泄漏的概率较小，废机油泄漏或引起火灾，对周围空气环境、水环境及生态环境造成危害。</w:t>
      </w:r>
    </w:p>
    <w:p w14:paraId="041930F7">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）风险事故水环境影响分析</w:t>
      </w:r>
    </w:p>
    <w:p w14:paraId="6FE03BC7">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项目</w:t>
      </w:r>
      <w:r>
        <w:rPr>
          <w:rFonts w:hint="eastAsia"/>
          <w:color w:val="000000" w:themeColor="text1"/>
          <w:highlight w:val="none"/>
          <w14:textFill>
            <w14:solidFill>
              <w14:schemeClr w14:val="tx1"/>
            </w14:solidFill>
          </w14:textFill>
        </w:rPr>
        <w:t>区内火灾除对空气会造成一定影响外，采用雾状水作灭火剂时，消防水处理不当也会对地表水体造成影响。因此，建设单位在运营时既要充分考虑火灾对大气的影响，又要特别重视事故处理过程中消防水的收集和处理问题，防止因火灾对周围水体造成二次污染。</w:t>
      </w:r>
    </w:p>
    <w:p w14:paraId="42F33518">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项目区不处于饮用水源保护区，地下水为Ⅲ类，不属于敏感区，项目运行后采用公路运输。因此，只对风险事故发生后产生的水环境影响进行分析。</w:t>
      </w:r>
    </w:p>
    <w:p w14:paraId="3C7E9B98">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（4）对地下水的风险影响分析</w:t>
      </w:r>
    </w:p>
    <w:p w14:paraId="52F6C35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新水水池、选矿车间、管道等一旦发生泄漏事故，如不能收集进入回水池，选矿水可能通过下渗污染地下水。</w:t>
      </w:r>
      <w:r>
        <w:rPr>
          <w:rFonts w:hint="eastAsia"/>
          <w:color w:val="000000" w:themeColor="text1"/>
          <w:spacing w:val="-4"/>
          <w:highlight w:val="none"/>
          <w14:textFill>
            <w14:solidFill>
              <w14:schemeClr w14:val="tx1"/>
            </w14:solidFill>
          </w14:textFill>
        </w:rPr>
        <w:t>本项目在生产过程中，一旦发生火灾等事故，在处理过程中，消防水会携带大量粉尘形成有悬浮物的废水，由于消防用水瞬时量比较大，悬浮物含量也较高，任其漫流会导致</w:t>
      </w:r>
      <w:r>
        <w:rPr>
          <w:color w:val="000000" w:themeColor="text1"/>
          <w:spacing w:val="-85"/>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污水通过雨水管网排入综合排水沟，污染地下水水质。项目区内事故废水统一收集至事故水池，因此，如项目区发生事故时，基本不会对地下水造成污染。</w:t>
      </w:r>
    </w:p>
    <w:p w14:paraId="4D96F45F">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（5）事故废水防控体系的风险影响分析</w:t>
      </w:r>
    </w:p>
    <w:p w14:paraId="61C7D923">
      <w:pPr>
        <w:overflowPunct w:val="0"/>
        <w:topLinePunct/>
        <w:ind w:firstLine="464"/>
        <w:rPr>
          <w:color w:val="000000" w:themeColor="text1"/>
          <w:highlight w:val="none"/>
          <w14:textFill>
            <w14:solidFill>
              <w14:schemeClr w14:val="tx1"/>
            </w14:solidFill>
          </w14:textFill>
        </w:rPr>
      </w:pPr>
      <w:r>
        <w:rPr>
          <w:rFonts w:hint="eastAsia"/>
          <w:color w:val="000000" w:themeColor="text1"/>
          <w:spacing w:val="-4"/>
          <w:highlight w:val="none"/>
          <w14:textFill>
            <w14:solidFill>
              <w14:schemeClr w14:val="tx1"/>
            </w14:solidFill>
          </w14:textFill>
        </w:rPr>
        <w:t>当火灾事故发生时，企业要建立消防废水、全厂废水的事故废水防控体系。消防废水防控体系：当项目生产储运区发生火灾事故时，使大量消防废水进入项目区沉淀池中。如果</w:t>
      </w:r>
      <w:r>
        <w:rPr>
          <w:color w:val="000000" w:themeColor="text1"/>
          <w:spacing w:val="-85"/>
          <w:highlight w:val="none"/>
          <w14:textFill>
            <w14:solidFill>
              <w14:schemeClr w14:val="tx1"/>
            </w14:solidFill>
          </w14:textFill>
        </w:rPr>
        <w:t xml:space="preserve"> </w:t>
      </w:r>
      <w:r>
        <w:rPr>
          <w:rFonts w:hint="eastAsia"/>
          <w:color w:val="000000" w:themeColor="text1"/>
          <w:spacing w:val="-4"/>
          <w:highlight w:val="none"/>
          <w14:textFill>
            <w14:solidFill>
              <w14:schemeClr w14:val="tx1"/>
            </w14:solidFill>
          </w14:textFill>
        </w:rPr>
        <w:t>部分废水漫流进入雨水管网，应立即关闭雨水排放口，将雨水管网与</w:t>
      </w:r>
      <w:r>
        <w:rPr>
          <w:rFonts w:hint="eastAsia"/>
          <w:color w:val="000000" w:themeColor="text1"/>
          <w:highlight w:val="none"/>
          <w14:textFill>
            <w14:solidFill>
              <w14:schemeClr w14:val="tx1"/>
            </w14:solidFill>
          </w14:textFill>
        </w:rPr>
        <w:t>沉淀池相连，使废水进入池中，避免进入外环境。以上措施作为企业消防废水防控措施，</w:t>
      </w:r>
      <w:r>
        <w:rPr>
          <w:rFonts w:hint="eastAsia"/>
          <w:color w:val="000000" w:themeColor="text1"/>
          <w:spacing w:val="-4"/>
          <w:highlight w:val="none"/>
          <w14:textFill>
            <w14:solidFill>
              <w14:schemeClr w14:val="tx1"/>
            </w14:solidFill>
          </w14:textFill>
        </w:rPr>
        <w:t>目的在于切断污染物与外界的通道，将污染物导入沉淀池内，将污染控制在项目区，防止产</w:t>
      </w:r>
      <w:r>
        <w:rPr>
          <w:color w:val="000000" w:themeColor="text1"/>
          <w:spacing w:val="-85"/>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生的消防废水造成环境污染。</w:t>
      </w:r>
    </w:p>
    <w:p w14:paraId="77DBBA2F">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）尾矿库溃坝的风险影响分析</w:t>
      </w:r>
    </w:p>
    <w:p w14:paraId="71E09444">
      <w:pPr>
        <w:overflowPunct w:val="0"/>
        <w:topLinePunct/>
        <w:ind w:firstLine="480"/>
        <w:rPr>
          <w:color w:val="000000" w:themeColor="text1"/>
          <w:highlight w:val="none"/>
          <w14:textFill>
            <w14:solidFill>
              <w14:schemeClr w14:val="tx1"/>
            </w14:solidFill>
          </w14:textFill>
        </w:rPr>
      </w:pPr>
      <w:r>
        <w:rPr>
          <w:color w:val="000000" w:themeColor="text1"/>
          <w:highlight w:val="none"/>
          <w:lang w:val="zh-CN"/>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拟建</w:t>
      </w:r>
      <w:r>
        <w:rPr>
          <w:color w:val="000000" w:themeColor="text1"/>
          <w:highlight w:val="none"/>
          <w14:textFill>
            <w14:solidFill>
              <w14:schemeClr w14:val="tx1"/>
            </w14:solidFill>
          </w14:textFill>
        </w:rPr>
        <w:t>尾矿库为四等尾矿库，设计最终堆积标高为</w:t>
      </w:r>
      <w:r>
        <w:rPr>
          <w:rFonts w:hint="eastAsia"/>
          <w:color w:val="000000" w:themeColor="text1"/>
          <w:highlight w:val="none"/>
          <w:lang w:val="en-US" w:eastAsia="zh-CN"/>
          <w14:textFill>
            <w14:solidFill>
              <w14:schemeClr w14:val="tx1"/>
            </w14:solidFill>
          </w14:textFill>
        </w:rPr>
        <w:t>1264.0</w:t>
      </w:r>
      <w:r>
        <w:rPr>
          <w:color w:val="000000" w:themeColor="text1"/>
          <w:highlight w:val="none"/>
          <w14:textFill>
            <w14:solidFill>
              <w14:schemeClr w14:val="tx1"/>
            </w14:solidFill>
          </w14:textFill>
        </w:rPr>
        <w:t>m，堆积坝高</w:t>
      </w:r>
      <w:r>
        <w:rPr>
          <w:rFonts w:hint="eastAsia"/>
          <w:color w:val="000000" w:themeColor="text1"/>
          <w:highlight w:val="none"/>
          <w:lang w:val="en-US" w:eastAsia="zh-CN"/>
          <w14:textFill>
            <w14:solidFill>
              <w14:schemeClr w14:val="tx1"/>
            </w14:solidFill>
          </w14:textFill>
        </w:rPr>
        <w:t>30</w:t>
      </w:r>
      <w:r>
        <w:rPr>
          <w:color w:val="000000" w:themeColor="text1"/>
          <w:highlight w:val="none"/>
          <w14:textFill>
            <w14:solidFill>
              <w14:schemeClr w14:val="tx1"/>
            </w14:solidFill>
          </w14:textFill>
        </w:rPr>
        <w:t>m，设计库容为</w:t>
      </w:r>
      <w:r>
        <w:rPr>
          <w:rFonts w:hint="eastAsia"/>
          <w:color w:val="000000" w:themeColor="text1"/>
          <w:highlight w:val="none"/>
          <w:lang w:val="en-US" w:eastAsia="zh-CN"/>
          <w14:textFill>
            <w14:solidFill>
              <w14:schemeClr w14:val="tx1"/>
            </w14:solidFill>
          </w14:textFill>
        </w:rPr>
        <w:t>527.55</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，有效库容为</w:t>
      </w:r>
      <w:r>
        <w:rPr>
          <w:rFonts w:hint="eastAsia"/>
          <w:color w:val="000000" w:themeColor="text1"/>
          <w:highlight w:val="none"/>
          <w:lang w:val="en-US" w:eastAsia="zh-CN"/>
          <w14:textFill>
            <w14:solidFill>
              <w14:schemeClr w14:val="tx1"/>
            </w14:solidFill>
          </w14:textFill>
        </w:rPr>
        <w:t>501.17</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，尾矿砂堆比重为1.45，充填系数为0.85，可服役年限为</w:t>
      </w:r>
      <w:r>
        <w:rPr>
          <w:rFonts w:hint="eastAsia"/>
          <w:color w:val="000000" w:themeColor="text1"/>
          <w:highlight w:val="none"/>
          <w:lang w:val="en-US" w:eastAsia="zh-CN"/>
          <w14:textFill>
            <w14:solidFill>
              <w14:schemeClr w14:val="tx1"/>
            </w14:solidFill>
          </w14:textFill>
        </w:rPr>
        <w:t>19</w:t>
      </w:r>
      <w:r>
        <w:rPr>
          <w:color w:val="000000" w:themeColor="text1"/>
          <w:highlight w:val="none"/>
          <w14:textFill>
            <w14:solidFill>
              <w14:schemeClr w14:val="tx1"/>
            </w14:solidFill>
          </w14:textFill>
        </w:rPr>
        <w:t>年。</w:t>
      </w:r>
    </w:p>
    <w:p w14:paraId="55B519A6">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溃坝是在蠕变拉裂一剪断复合机制下形成的，在重力和残余剪切强度作用下，自坡脚区材料强度破坏开始，缓慢累进性破坏，其过程初为坡脚蠕变，接着沿接裂扩张，然后中部剪断贯通，当贯通剪断面形成时，斜坡开始高速滑动，与此相应，溃坝过程由静止、加速并达到整体滑动的最大速度，其后滑体自后部至前锋依次减速构成，溃坝过程往往在几分钟内完成。溃坝液体下泄时一般以涌波形式运动，涌波的高度是不断变化的，同时逐渐向下游形成扇形流推进，最后流进附近地势较低处，溃坝对下游区域生态环境会造成一定影响。</w:t>
      </w:r>
    </w:p>
    <w:p w14:paraId="68D6FC23">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根据《尾矿库环境风险评估技术导则（试行）》（HJ740-2015），确定项目为一般风险源，根据附录B、附录D，确定项目环境危险因素主要为坝体的溃坝风险。</w:t>
      </w:r>
      <w:r>
        <w:rPr>
          <w:color w:val="000000" w:themeColor="text1"/>
          <w:highlight w:val="none"/>
          <w:lang w:val="zh-CN"/>
          <w14:textFill>
            <w14:solidFill>
              <w14:schemeClr w14:val="tx1"/>
            </w14:solidFill>
          </w14:textFill>
        </w:rPr>
        <w:t>本项目尾矿库</w:t>
      </w:r>
      <w:r>
        <w:rPr>
          <w:color w:val="000000" w:themeColor="text1"/>
          <w:highlight w:val="none"/>
          <w14:textFill>
            <w14:solidFill>
              <w14:schemeClr w14:val="tx1"/>
            </w14:solidFill>
          </w14:textFill>
        </w:rPr>
        <w:t>一旦发生溃坝事故时，将会对周边生态环境产生较大影响。本次针对尾矿库溃坝进行分析。</w:t>
      </w:r>
    </w:p>
    <w:p w14:paraId="5C3A2272">
      <w:pPr>
        <w:overflowPunct w:val="0"/>
        <w:topLinePunct/>
        <w:ind w:firstLine="480"/>
        <w:rPr>
          <w:rFonts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本项目尾矿库为不透水坝，设计最终堆积标高为</w:t>
      </w:r>
      <w:r>
        <w:rPr>
          <w:rFonts w:hint="eastAsia"/>
          <w:color w:val="000000" w:themeColor="text1"/>
          <w:highlight w:val="none"/>
          <w:lang w:val="en-US" w:eastAsia="zh-CN"/>
          <w14:textFill>
            <w14:solidFill>
              <w14:schemeClr w14:val="tx1"/>
            </w14:solidFill>
          </w14:textFill>
        </w:rPr>
        <w:t>1264.0</w:t>
      </w:r>
      <w:r>
        <w:rPr>
          <w:color w:val="000000" w:themeColor="text1"/>
          <w:highlight w:val="none"/>
          <w14:textFill>
            <w14:solidFill>
              <w14:schemeClr w14:val="tx1"/>
            </w14:solidFill>
          </w14:textFill>
        </w:rPr>
        <w:t>m，堆积坝高</w:t>
      </w:r>
      <w:r>
        <w:rPr>
          <w:rFonts w:hint="eastAsia"/>
          <w:color w:val="000000" w:themeColor="text1"/>
          <w:highlight w:val="none"/>
          <w:lang w:val="en-US" w:eastAsia="zh-CN"/>
          <w14:textFill>
            <w14:solidFill>
              <w14:schemeClr w14:val="tx1"/>
            </w14:solidFill>
          </w14:textFill>
        </w:rPr>
        <w:t>30</w:t>
      </w:r>
      <w:r>
        <w:rPr>
          <w:color w:val="000000" w:themeColor="text1"/>
          <w:highlight w:val="none"/>
          <w14:textFill>
            <w14:solidFill>
              <w14:schemeClr w14:val="tx1"/>
            </w14:solidFill>
          </w14:textFill>
        </w:rPr>
        <w:t>m，设计库容为</w:t>
      </w:r>
      <w:r>
        <w:rPr>
          <w:rFonts w:hint="eastAsia"/>
          <w:color w:val="000000" w:themeColor="text1"/>
          <w:highlight w:val="none"/>
          <w:lang w:val="en-US" w:eastAsia="zh-CN"/>
          <w14:textFill>
            <w14:solidFill>
              <w14:schemeClr w14:val="tx1"/>
            </w14:solidFill>
          </w14:textFill>
        </w:rPr>
        <w:t>527.55</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，有效库容为</w:t>
      </w:r>
      <w:r>
        <w:rPr>
          <w:rFonts w:hint="eastAsia"/>
          <w:color w:val="000000" w:themeColor="text1"/>
          <w:highlight w:val="none"/>
          <w:lang w:val="en-US" w:eastAsia="zh-CN"/>
          <w14:textFill>
            <w14:solidFill>
              <w14:schemeClr w14:val="tx1"/>
            </w14:solidFill>
          </w14:textFill>
        </w:rPr>
        <w:t>501.17</w:t>
      </w: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，尾矿库为四等尾矿库，可服役年限为</w:t>
      </w:r>
      <w:r>
        <w:rPr>
          <w:rFonts w:hint="eastAsia"/>
          <w:color w:val="000000" w:themeColor="text1"/>
          <w:highlight w:val="none"/>
          <w:lang w:val="en-US" w:eastAsia="zh-CN"/>
          <w14:textFill>
            <w14:solidFill>
              <w14:schemeClr w14:val="tx1"/>
            </w14:solidFill>
          </w14:textFill>
        </w:rPr>
        <w:t>19</w:t>
      </w:r>
      <w:r>
        <w:rPr>
          <w:color w:val="000000" w:themeColor="text1"/>
          <w:highlight w:val="none"/>
          <w14:textFill>
            <w14:solidFill>
              <w14:schemeClr w14:val="tx1"/>
            </w14:solidFill>
          </w14:textFill>
        </w:rPr>
        <w:t>年。尾矿库溃坝情景为尾矿坝堆满时溃坝。</w:t>
      </w:r>
    </w:p>
    <w:p w14:paraId="282902EE">
      <w:pPr>
        <w:overflowPunct w:val="0"/>
        <w:topLinePunct/>
        <w:ind w:firstLine="480"/>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A、溃口宽度</w:t>
      </w:r>
    </w:p>
    <w:p w14:paraId="61621526">
      <w:pPr>
        <w:ind w:firstLine="0" w:firstLineChars="0"/>
        <w:jc w:val="center"/>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b=0.1KW</w:t>
      </w:r>
      <w:r>
        <w:rPr>
          <w:rFonts w:hint="eastAsia" w:cs="宋体"/>
          <w:color w:val="000000" w:themeColor="text1"/>
          <w:highlight w:val="none"/>
          <w:vertAlign w:val="superscript"/>
          <w14:textFill>
            <w14:solidFill>
              <w14:schemeClr w14:val="tx1"/>
            </w14:solidFill>
          </w14:textFill>
        </w:rPr>
        <w:t>0.25</w:t>
      </w:r>
      <w:r>
        <w:rPr>
          <w:rFonts w:hint="eastAsia" w:cs="宋体"/>
          <w:color w:val="000000" w:themeColor="text1"/>
          <w:highlight w:val="none"/>
          <w14:textFill>
            <w14:solidFill>
              <w14:schemeClr w14:val="tx1"/>
            </w14:solidFill>
          </w14:textFill>
        </w:rPr>
        <w:t>B</w:t>
      </w:r>
      <w:r>
        <w:rPr>
          <w:rFonts w:hint="eastAsia" w:cs="宋体"/>
          <w:color w:val="000000" w:themeColor="text1"/>
          <w:highlight w:val="none"/>
          <w:vertAlign w:val="superscript"/>
          <w14:textFill>
            <w14:solidFill>
              <w14:schemeClr w14:val="tx1"/>
            </w14:solidFill>
          </w14:textFill>
        </w:rPr>
        <w:t>0.25</w:t>
      </w:r>
      <w:r>
        <w:rPr>
          <w:rFonts w:hint="eastAsia" w:cs="宋体"/>
          <w:color w:val="000000" w:themeColor="text1"/>
          <w:highlight w:val="none"/>
          <w14:textFill>
            <w14:solidFill>
              <w14:schemeClr w14:val="tx1"/>
            </w14:solidFill>
          </w14:textFill>
        </w:rPr>
        <w:t>H</w:t>
      </w:r>
      <w:r>
        <w:rPr>
          <w:rFonts w:hint="eastAsia" w:cs="宋体"/>
          <w:color w:val="000000" w:themeColor="text1"/>
          <w:highlight w:val="none"/>
          <w:vertAlign w:val="superscript"/>
          <w14:textFill>
            <w14:solidFill>
              <w14:schemeClr w14:val="tx1"/>
            </w14:solidFill>
          </w14:textFill>
        </w:rPr>
        <w:t>0.5</w:t>
      </w:r>
      <w:r>
        <w:rPr>
          <w:rFonts w:hint="eastAsia" w:cs="宋体"/>
          <w:color w:val="000000" w:themeColor="text1"/>
          <w:highlight w:val="none"/>
          <w14:textFill>
            <w14:solidFill>
              <w14:schemeClr w14:val="tx1"/>
            </w14:solidFill>
          </w14:textFill>
        </w:rPr>
        <w:t>（黄河水利委员会经验公式）</w:t>
      </w:r>
    </w:p>
    <w:p w14:paraId="2C704052">
      <w:pPr>
        <w:adjustRightInd w:val="0"/>
        <w:snapToGrid w:val="0"/>
        <w:spacing w:line="460" w:lineRule="atLeast"/>
        <w:ind w:firstLine="4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上式中，W—</w:t>
      </w:r>
      <w:r>
        <w:rPr>
          <w:rFonts w:hint="eastAsia" w:eastAsia="宋体"/>
          <w:color w:val="000000" w:themeColor="text1"/>
          <w:highlight w:val="none"/>
          <w14:textFill>
            <w14:solidFill>
              <w14:schemeClr w14:val="tx1"/>
            </w14:solidFill>
          </w14:textFill>
        </w:rPr>
        <w:t>下泄尾砂量</w:t>
      </w:r>
      <w:r>
        <w:rPr>
          <w:rFonts w:eastAsia="宋体"/>
          <w:color w:val="000000" w:themeColor="text1"/>
          <w:highlight w:val="none"/>
          <w14:textFill>
            <w14:solidFill>
              <w14:schemeClr w14:val="tx1"/>
            </w14:solidFill>
          </w14:textFill>
        </w:rPr>
        <w:t>，取有效库容的</w:t>
      </w:r>
      <w:r>
        <w:rPr>
          <w:rFonts w:hint="eastAsia" w:eastAsia="宋体"/>
          <w:color w:val="000000" w:themeColor="text1"/>
          <w:highlight w:val="none"/>
          <w14:textFill>
            <w14:solidFill>
              <w14:schemeClr w14:val="tx1"/>
            </w14:solidFill>
          </w14:textFill>
        </w:rPr>
        <w:t>5</w:t>
      </w:r>
      <w:r>
        <w:rPr>
          <w:rFonts w:eastAsia="宋体"/>
          <w:color w:val="000000" w:themeColor="text1"/>
          <w:highlight w:val="none"/>
          <w14:textFill>
            <w14:solidFill>
              <w14:schemeClr w14:val="tx1"/>
            </w14:solidFill>
          </w14:textFill>
        </w:rPr>
        <w:t>0%，</w:t>
      </w:r>
      <w:r>
        <w:rPr>
          <w:rFonts w:hint="eastAsia" w:eastAsia="宋体"/>
          <w:color w:val="000000" w:themeColor="text1"/>
          <w:highlight w:val="none"/>
          <w:lang w:val="en-US" w:eastAsia="zh-CN"/>
          <w14:textFill>
            <w14:solidFill>
              <w14:schemeClr w14:val="tx1"/>
            </w14:solidFill>
          </w14:textFill>
        </w:rPr>
        <w:t>本项目</w:t>
      </w:r>
      <w:r>
        <w:rPr>
          <w:rFonts w:eastAsia="宋体"/>
          <w:color w:val="000000" w:themeColor="text1"/>
          <w:highlight w:val="none"/>
          <w14:textFill>
            <w14:solidFill>
              <w14:schemeClr w14:val="tx1"/>
            </w14:solidFill>
          </w14:textFill>
        </w:rPr>
        <w:t>尾矿库为</w:t>
      </w:r>
      <w:r>
        <w:rPr>
          <w:rFonts w:hint="eastAsia" w:eastAsia="宋体"/>
          <w:color w:val="000000" w:themeColor="text1"/>
          <w:highlight w:val="none"/>
          <w:lang w:val="en-US" w:eastAsia="zh-CN"/>
          <w14:textFill>
            <w14:solidFill>
              <w14:schemeClr w14:val="tx1"/>
            </w14:solidFill>
          </w14:textFill>
        </w:rPr>
        <w:t>501.17</w:t>
      </w:r>
      <w:r>
        <w:rPr>
          <w:rFonts w:hint="eastAsia" w:eastAsia="宋体"/>
          <w:color w:val="000000" w:themeColor="text1"/>
          <w:highlight w:val="none"/>
          <w14:textFill>
            <w14:solidFill>
              <w14:schemeClr w14:val="tx1"/>
            </w14:solidFill>
          </w14:textFill>
        </w:rPr>
        <w:t>万</w:t>
      </w:r>
      <w:r>
        <w:rPr>
          <w:rFonts w:eastAsia="宋体"/>
          <w:color w:val="000000" w:themeColor="text1"/>
          <w:highlight w:val="none"/>
          <w14:textFill>
            <w14:solidFill>
              <w14:schemeClr w14:val="tx1"/>
            </w14:solidFill>
          </w14:textFill>
        </w:rPr>
        <w:t>m</w:t>
      </w:r>
      <w:r>
        <w:rPr>
          <w:rFonts w:eastAsia="宋体"/>
          <w:color w:val="000000" w:themeColor="text1"/>
          <w:highlight w:val="none"/>
          <w:vertAlign w:val="superscript"/>
          <w14:textFill>
            <w14:solidFill>
              <w14:schemeClr w14:val="tx1"/>
            </w14:solidFill>
          </w14:textFill>
        </w:rPr>
        <w:t>3</w:t>
      </w:r>
      <w:r>
        <w:rPr>
          <w:rFonts w:eastAsia="宋体"/>
          <w:color w:val="000000" w:themeColor="text1"/>
          <w:highlight w:val="none"/>
          <w14:textFill>
            <w14:solidFill>
              <w14:schemeClr w14:val="tx1"/>
            </w14:solidFill>
          </w14:textFill>
        </w:rPr>
        <w:t>。</w:t>
      </w:r>
    </w:p>
    <w:p w14:paraId="1F432414">
      <w:pPr>
        <w:adjustRightInd w:val="0"/>
        <w:snapToGrid w:val="0"/>
        <w:spacing w:line="460" w:lineRule="atLeast"/>
        <w:ind w:firstLine="1440" w:firstLineChars="60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B—坝顶长度，</w:t>
      </w:r>
      <w:r>
        <w:rPr>
          <w:rFonts w:hint="eastAsia" w:eastAsia="宋体"/>
          <w:color w:val="000000" w:themeColor="text1"/>
          <w:highlight w:val="none"/>
          <w:lang w:val="en-US" w:eastAsia="zh-CN"/>
          <w14:textFill>
            <w14:solidFill>
              <w14:schemeClr w14:val="tx1"/>
            </w14:solidFill>
          </w14:textFill>
        </w:rPr>
        <w:t>本项目</w:t>
      </w:r>
      <w:r>
        <w:rPr>
          <w:rFonts w:eastAsia="宋体"/>
          <w:color w:val="000000" w:themeColor="text1"/>
          <w:highlight w:val="none"/>
          <w14:textFill>
            <w14:solidFill>
              <w14:schemeClr w14:val="tx1"/>
            </w14:solidFill>
          </w14:textFill>
        </w:rPr>
        <w:t>尾矿库坝顶长度为</w:t>
      </w:r>
      <w:r>
        <w:rPr>
          <w:rFonts w:hint="eastAsia"/>
          <w:color w:val="000000" w:themeColor="text1"/>
          <w:highlight w:val="none"/>
          <w:lang w:val="en-US" w:eastAsia="zh-CN"/>
          <w14:textFill>
            <w14:solidFill>
              <w14:schemeClr w14:val="tx1"/>
            </w14:solidFill>
          </w14:textFill>
        </w:rPr>
        <w:t>566</w:t>
      </w:r>
      <w:r>
        <w:rPr>
          <w:rFonts w:eastAsia="宋体"/>
          <w:color w:val="000000" w:themeColor="text1"/>
          <w:highlight w:val="none"/>
          <w14:textFill>
            <w14:solidFill>
              <w14:schemeClr w14:val="tx1"/>
            </w14:solidFill>
          </w14:textFill>
        </w:rPr>
        <w:t>m；</w:t>
      </w:r>
    </w:p>
    <w:p w14:paraId="48EBA494">
      <w:pPr>
        <w:adjustRightInd w:val="0"/>
        <w:snapToGrid w:val="0"/>
        <w:spacing w:line="460" w:lineRule="atLeast"/>
        <w:ind w:firstLine="1440" w:firstLineChars="60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H—坝高，</w:t>
      </w:r>
      <w:r>
        <w:rPr>
          <w:rFonts w:hint="eastAsia" w:eastAsia="宋体"/>
          <w:color w:val="000000" w:themeColor="text1"/>
          <w:highlight w:val="none"/>
          <w:lang w:val="en-US" w:eastAsia="zh-CN"/>
          <w14:textFill>
            <w14:solidFill>
              <w14:schemeClr w14:val="tx1"/>
            </w14:solidFill>
          </w14:textFill>
        </w:rPr>
        <w:t>本项目</w:t>
      </w:r>
      <w:r>
        <w:rPr>
          <w:rFonts w:eastAsia="宋体"/>
          <w:color w:val="000000" w:themeColor="text1"/>
          <w:highlight w:val="none"/>
          <w14:textFill>
            <w14:solidFill>
              <w14:schemeClr w14:val="tx1"/>
            </w14:solidFill>
          </w14:textFill>
        </w:rPr>
        <w:t>尾矿库坝高为</w:t>
      </w:r>
      <w:r>
        <w:rPr>
          <w:rFonts w:hint="eastAsia" w:eastAsia="宋体"/>
          <w:color w:val="000000" w:themeColor="text1"/>
          <w:highlight w:val="none"/>
          <w:lang w:val="en-US" w:eastAsia="zh-CN"/>
          <w14:textFill>
            <w14:solidFill>
              <w14:schemeClr w14:val="tx1"/>
            </w14:solidFill>
          </w14:textFill>
        </w:rPr>
        <w:t>30</w:t>
      </w:r>
      <w:r>
        <w:rPr>
          <w:rFonts w:eastAsia="宋体"/>
          <w:color w:val="000000" w:themeColor="text1"/>
          <w:highlight w:val="none"/>
          <w14:textFill>
            <w14:solidFill>
              <w14:schemeClr w14:val="tx1"/>
            </w14:solidFill>
          </w14:textFill>
        </w:rPr>
        <w:t>m；</w:t>
      </w:r>
    </w:p>
    <w:p w14:paraId="4A4BC669">
      <w:pPr>
        <w:adjustRightInd w:val="0"/>
        <w:snapToGrid w:val="0"/>
        <w:spacing w:line="460" w:lineRule="atLeast"/>
        <w:ind w:firstLine="1440" w:firstLineChars="60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K—与坝体土质有关的经验系数，粘土取0.65。</w:t>
      </w:r>
    </w:p>
    <w:p w14:paraId="187EB32D">
      <w:pPr>
        <w:ind w:firstLine="480"/>
        <w:rPr>
          <w:rFonts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经计算，b=</w:t>
      </w:r>
      <w:r>
        <w:rPr>
          <w:rFonts w:hint="eastAsia"/>
          <w:color w:val="000000" w:themeColor="text1"/>
          <w:highlight w:val="none"/>
          <w:lang w:val="en-US" w:eastAsia="zh-CN"/>
          <w14:textFill>
            <w14:solidFill>
              <w14:schemeClr w14:val="tx1"/>
            </w14:solidFill>
          </w14:textFill>
        </w:rPr>
        <w:t>82.2</w:t>
      </w:r>
      <w:r>
        <w:rPr>
          <w:color w:val="000000" w:themeColor="text1"/>
          <w:highlight w:val="none"/>
          <w14:textFill>
            <w14:solidFill>
              <w14:schemeClr w14:val="tx1"/>
            </w14:solidFill>
          </w14:textFill>
        </w:rPr>
        <w:t>m。即极端天气下，</w:t>
      </w:r>
      <w:r>
        <w:rPr>
          <w:rFonts w:hint="eastAsia"/>
          <w:color w:val="000000" w:themeColor="text1"/>
          <w:highlight w:val="none"/>
          <w:lang w:val="en-US" w:eastAsia="zh-CN"/>
          <w14:textFill>
            <w14:solidFill>
              <w14:schemeClr w14:val="tx1"/>
            </w14:solidFill>
          </w14:textFill>
        </w:rPr>
        <w:t>本项目</w:t>
      </w:r>
      <w:r>
        <w:rPr>
          <w:color w:val="000000" w:themeColor="text1"/>
          <w:highlight w:val="none"/>
          <w14:textFill>
            <w14:solidFill>
              <w14:schemeClr w14:val="tx1"/>
            </w14:solidFill>
          </w14:textFill>
        </w:rPr>
        <w:t>尾矿库瞬间溃坝口宽度为</w:t>
      </w:r>
      <w:r>
        <w:rPr>
          <w:rFonts w:hint="eastAsia"/>
          <w:color w:val="000000" w:themeColor="text1"/>
          <w:highlight w:val="none"/>
          <w:lang w:val="en-US" w:eastAsia="zh-CN"/>
          <w14:textFill>
            <w14:solidFill>
              <w14:schemeClr w14:val="tx1"/>
            </w14:solidFill>
          </w14:textFill>
        </w:rPr>
        <w:t>82.2</w:t>
      </w:r>
      <w:r>
        <w:rPr>
          <w:color w:val="000000" w:themeColor="text1"/>
          <w:highlight w:val="none"/>
          <w14:textFill>
            <w14:solidFill>
              <w14:schemeClr w14:val="tx1"/>
            </w14:solidFill>
          </w14:textFill>
        </w:rPr>
        <w:t>m。</w:t>
      </w:r>
    </w:p>
    <w:p w14:paraId="744027DA">
      <w:pPr>
        <w:overflowPunct w:val="0"/>
        <w:topLinePunct/>
        <w:ind w:firstLine="480"/>
        <w:rPr>
          <w:rFonts w:ascii="宋体" w:hAnsi="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w:t>
      </w:r>
      <w:r>
        <w:rPr>
          <w:rFonts w:hint="eastAsia" w:ascii="宋体" w:hAnsi="宋体" w:cs="宋体"/>
          <w:color w:val="000000" w:themeColor="text1"/>
          <w:highlight w:val="none"/>
          <w14:textFill>
            <w14:solidFill>
              <w14:schemeClr w14:val="tx1"/>
            </w14:solidFill>
          </w14:textFill>
        </w:rPr>
        <w:t>最大下泄流量</w:t>
      </w:r>
    </w:p>
    <w:p w14:paraId="2EC91CAC">
      <w:pPr>
        <w:spacing w:line="240" w:lineRule="auto"/>
        <w:ind w:firstLine="0" w:firstLineChars="0"/>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position w:val="-28"/>
          <w:highlight w:val="none"/>
          <w14:textFill>
            <w14:solidFill>
              <w14:schemeClr w14:val="tx1"/>
            </w14:solidFill>
          </w14:textFill>
        </w:rPr>
        <w:object>
          <v:shape id="_x0000_i1028" o:spt="75" type="#_x0000_t75" style="height:36pt;width:128.55pt;" o:ole="t" filled="f" o:preferrelative="t" stroked="f" coordsize="21600,21600">
            <v:path/>
            <v:fill on="f" focussize="0,0"/>
            <v:stroke on="f" joinstyle="miter"/>
            <v:imagedata r:id="rId46" o:title=""/>
            <o:lock v:ext="edit" aspectratio="t"/>
            <w10:wrap type="none"/>
            <w10:anchorlock/>
          </v:shape>
          <o:OLEObject Type="Embed" ProgID="Equation.3" ShapeID="_x0000_i1028" DrawAspect="Content" ObjectID="_1468075728" r:id="rId45">
            <o:LockedField>false</o:LockedField>
          </o:OLEObject>
        </w:object>
      </w:r>
    </w:p>
    <w:p w14:paraId="7501924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式中：b——溃口宽度，</w:t>
      </w:r>
      <w:r>
        <w:rPr>
          <w:rFonts w:hint="eastAsia"/>
          <w:color w:val="000000" w:themeColor="text1"/>
          <w:highlight w:val="none"/>
          <w:lang w:val="en-US" w:eastAsia="zh-CN"/>
          <w14:textFill>
            <w14:solidFill>
              <w14:schemeClr w14:val="tx1"/>
            </w14:solidFill>
          </w14:textFill>
        </w:rPr>
        <w:t>82.2</w:t>
      </w:r>
      <w:r>
        <w:rPr>
          <w:color w:val="000000" w:themeColor="text1"/>
          <w:highlight w:val="none"/>
          <w14:textFill>
            <w14:solidFill>
              <w14:schemeClr w14:val="tx1"/>
            </w14:solidFill>
          </w14:textFill>
        </w:rPr>
        <w:t>m</w:t>
      </w:r>
      <w:r>
        <w:rPr>
          <w:rFonts w:eastAsia="宋体"/>
          <w:color w:val="000000" w:themeColor="text1"/>
          <w:highlight w:val="none"/>
          <w14:textFill>
            <w14:solidFill>
              <w14:schemeClr w14:val="tx1"/>
            </w14:solidFill>
          </w14:textFill>
        </w:rPr>
        <w:t>；</w:t>
      </w:r>
    </w:p>
    <w:p w14:paraId="7FB39B6A">
      <w:pPr>
        <w:overflowPunct w:val="0"/>
        <w:topLinePunct/>
        <w:ind w:firstLine="1200" w:firstLineChars="5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B——尾矿库主坝长度，</w:t>
      </w:r>
      <w:r>
        <w:rPr>
          <w:rFonts w:hint="eastAsia" w:eastAsia="宋体"/>
          <w:color w:val="000000" w:themeColor="text1"/>
          <w:highlight w:val="none"/>
          <w:lang w:val="en-US" w:eastAsia="zh-CN"/>
          <w14:textFill>
            <w14:solidFill>
              <w14:schemeClr w14:val="tx1"/>
            </w14:solidFill>
          </w14:textFill>
        </w:rPr>
        <w:t>本项目</w:t>
      </w:r>
      <w:r>
        <w:rPr>
          <w:rFonts w:eastAsia="宋体"/>
          <w:color w:val="000000" w:themeColor="text1"/>
          <w:highlight w:val="none"/>
          <w14:textFill>
            <w14:solidFill>
              <w14:schemeClr w14:val="tx1"/>
            </w14:solidFill>
          </w14:textFill>
        </w:rPr>
        <w:t>尾矿库为</w:t>
      </w:r>
      <w:r>
        <w:rPr>
          <w:rFonts w:hint="eastAsia"/>
          <w:color w:val="000000" w:themeColor="text1"/>
          <w:highlight w:val="none"/>
          <w:lang w:val="en-US" w:eastAsia="zh-CN"/>
          <w14:textFill>
            <w14:solidFill>
              <w14:schemeClr w14:val="tx1"/>
            </w14:solidFill>
          </w14:textFill>
        </w:rPr>
        <w:t>566</w:t>
      </w:r>
      <w:r>
        <w:rPr>
          <w:rFonts w:eastAsia="宋体"/>
          <w:color w:val="000000" w:themeColor="text1"/>
          <w:highlight w:val="none"/>
          <w14:textFill>
            <w14:solidFill>
              <w14:schemeClr w14:val="tx1"/>
            </w14:solidFill>
          </w14:textFill>
        </w:rPr>
        <w:t>m</w:t>
      </w:r>
      <w:r>
        <w:rPr>
          <w:color w:val="000000" w:themeColor="text1"/>
          <w:highlight w:val="none"/>
          <w14:textFill>
            <w14:solidFill>
              <w14:schemeClr w14:val="tx1"/>
            </w14:solidFill>
          </w14:textFill>
        </w:rPr>
        <w:t>；</w:t>
      </w:r>
    </w:p>
    <w:p w14:paraId="5BECCB3E">
      <w:pPr>
        <w:overflowPunct w:val="0"/>
        <w:topLinePunct/>
        <w:ind w:firstLine="1200" w:firstLineChars="5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G——重力加速度，9.8</w:t>
      </w:r>
      <w:r>
        <w:rPr>
          <w:rFonts w:eastAsia="宋体"/>
          <w:color w:val="000000" w:themeColor="text1"/>
          <w:highlight w:val="none"/>
          <w14:textFill>
            <w14:solidFill>
              <w14:schemeClr w14:val="tx1"/>
            </w14:solidFill>
          </w14:textFill>
        </w:rPr>
        <w:t>m/s</w:t>
      </w:r>
      <w:r>
        <w:rPr>
          <w:rFonts w:eastAsia="宋体"/>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p>
    <w:p w14:paraId="0B738DBD">
      <w:pPr>
        <w:overflowPunct w:val="0"/>
        <w:topLinePunct/>
        <w:ind w:firstLine="1200" w:firstLineChars="5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0</w:t>
      </w:r>
      <w:r>
        <w:rPr>
          <w:color w:val="000000" w:themeColor="text1"/>
          <w:highlight w:val="none"/>
          <w14:textFill>
            <w14:solidFill>
              <w14:schemeClr w14:val="tx1"/>
            </w14:solidFill>
          </w14:textFill>
        </w:rPr>
        <w:t>——坝前上游水深，取</w:t>
      </w:r>
      <w:r>
        <w:rPr>
          <w:rFonts w:hint="eastAsia"/>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t>m。</w:t>
      </w:r>
    </w:p>
    <w:p w14:paraId="221ACDCE">
      <w:pPr>
        <w:overflowPunct w:val="0"/>
        <w:topLinePunct/>
        <w:ind w:firstLine="480"/>
        <w:rPr>
          <w:rFonts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通过计算可得，最大下泄流量为</w:t>
      </w:r>
      <w:r>
        <w:rPr>
          <w:rFonts w:hint="eastAsia"/>
          <w:color w:val="000000" w:themeColor="text1"/>
          <w:highlight w:val="none"/>
          <w:lang w:val="en-US" w:eastAsia="zh-CN"/>
          <w14:textFill>
            <w14:solidFill>
              <w14:schemeClr w14:val="tx1"/>
            </w14:solidFill>
          </w14:textFill>
        </w:rPr>
        <w:t>72.5</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/s。</w:t>
      </w:r>
    </w:p>
    <w:p w14:paraId="6178DB53">
      <w:pPr>
        <w:overflowPunct w:val="0"/>
        <w:topLinePunct/>
        <w:ind w:firstLine="480"/>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C、溃坝尾砂流到达时间</w:t>
      </w:r>
    </w:p>
    <w:p w14:paraId="436DCEE9">
      <w:pPr>
        <w:overflowPunct w:val="0"/>
        <w:topLinePunct/>
        <w:ind w:firstLine="480"/>
        <w:rPr>
          <w:rFonts w:cs="宋体"/>
          <w:color w:val="000000" w:themeColor="text1"/>
          <w:highlight w:val="none"/>
          <w14:textFill>
            <w14:solidFill>
              <w14:schemeClr w14:val="tx1"/>
            </w14:solidFill>
          </w14:textFill>
        </w:rPr>
      </w:pPr>
      <w:r>
        <w:rPr>
          <w:rFonts w:eastAsia="宋体"/>
          <w:bCs/>
          <w:color w:val="000000" w:themeColor="text1"/>
          <w:highlight w:val="none"/>
          <w14:textFill>
            <w14:solidFill>
              <w14:schemeClr w14:val="tx1"/>
            </w14:solidFill>
          </w14:textFill>
        </w:rPr>
        <w:t>根据尾矿泄漏量和最大泄砂流量可以计算，溃坝尾矿</w:t>
      </w:r>
      <w:r>
        <w:rPr>
          <w:rFonts w:hint="eastAsia" w:eastAsia="宋体"/>
          <w:bCs/>
          <w:color w:val="000000" w:themeColor="text1"/>
          <w:highlight w:val="none"/>
          <w14:textFill>
            <w14:solidFill>
              <w14:schemeClr w14:val="tx1"/>
            </w14:solidFill>
          </w14:textFill>
        </w:rPr>
        <w:t>下泄</w:t>
      </w:r>
      <w:r>
        <w:rPr>
          <w:rFonts w:eastAsia="宋体"/>
          <w:bCs/>
          <w:color w:val="000000" w:themeColor="text1"/>
          <w:highlight w:val="none"/>
          <w14:textFill>
            <w14:solidFill>
              <w14:schemeClr w14:val="tx1"/>
            </w14:solidFill>
          </w14:textFill>
        </w:rPr>
        <w:t>最小总历时，计算公式如下：</w:t>
      </w:r>
    </w:p>
    <w:p w14:paraId="2BAA365A">
      <w:pPr>
        <w:spacing w:line="240" w:lineRule="auto"/>
        <w:ind w:firstLine="0" w:firstLineChars="0"/>
        <w:jc w:val="center"/>
        <w:rPr>
          <w:rFonts w:cs="宋体"/>
          <w:color w:val="000000" w:themeColor="text1"/>
          <w:highlight w:val="none"/>
          <w14:textFill>
            <w14:solidFill>
              <w14:schemeClr w14:val="tx1"/>
            </w14:solidFill>
          </w14:textFill>
        </w:rPr>
      </w:pPr>
      <w:r>
        <w:rPr>
          <w:rFonts w:eastAsia="宋体"/>
          <w:bCs/>
          <w:color w:val="000000" w:themeColor="text1"/>
          <w:highlight w:val="none"/>
          <w14:textFill>
            <w14:solidFill>
              <w14:schemeClr w14:val="tx1"/>
            </w14:solidFill>
          </w14:textFill>
        </w:rPr>
        <w:drawing>
          <wp:inline distT="0" distB="0" distL="114300" distR="114300">
            <wp:extent cx="541020" cy="438785"/>
            <wp:effectExtent l="0" t="0" r="0" b="18415"/>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pic:cNvPicPr>
                      <a:picLocks noChangeAspect="1"/>
                    </pic:cNvPicPr>
                  </pic:nvPicPr>
                  <pic:blipFill>
                    <a:blip r:embed="rId47"/>
                    <a:stretch>
                      <a:fillRect/>
                    </a:stretch>
                  </pic:blipFill>
                  <pic:spPr>
                    <a:xfrm>
                      <a:off x="0" y="0"/>
                      <a:ext cx="541020" cy="438785"/>
                    </a:xfrm>
                    <a:prstGeom prst="rect">
                      <a:avLst/>
                    </a:prstGeom>
                    <a:noFill/>
                    <a:ln>
                      <a:noFill/>
                    </a:ln>
                  </pic:spPr>
                </pic:pic>
              </a:graphicData>
            </a:graphic>
          </wp:inline>
        </w:drawing>
      </w:r>
    </w:p>
    <w:p w14:paraId="5B1918CE">
      <w:pPr>
        <w:adjustRightInd w:val="0"/>
        <w:snapToGrid w:val="0"/>
        <w:spacing w:line="460" w:lineRule="atLeast"/>
        <w:ind w:firstLine="480"/>
        <w:rPr>
          <w:rFonts w:hint="default" w:eastAsia="宋体"/>
          <w:bCs/>
          <w:color w:val="000000" w:themeColor="text1"/>
          <w:highlight w:val="none"/>
          <w:lang w:val="en-US" w:eastAsia="zh-CN"/>
          <w14:textFill>
            <w14:solidFill>
              <w14:schemeClr w14:val="tx1"/>
            </w14:solidFill>
          </w14:textFill>
        </w:rPr>
      </w:pPr>
      <w:r>
        <w:rPr>
          <w:rFonts w:eastAsia="宋体"/>
          <w:bCs/>
          <w:color w:val="000000" w:themeColor="text1"/>
          <w:highlight w:val="none"/>
          <w14:textFill>
            <w14:solidFill>
              <w14:schemeClr w14:val="tx1"/>
            </w14:solidFill>
          </w14:textFill>
        </w:rPr>
        <w:t>式中：V</w:t>
      </w:r>
      <w:r>
        <w:rPr>
          <w:rFonts w:hint="eastAsia"/>
          <w:bCs/>
          <w:color w:val="000000" w:themeColor="text1"/>
          <w:highlight w:val="none"/>
          <w:lang w:eastAsia="zh-CN"/>
          <w14:textFill>
            <w14:solidFill>
              <w14:schemeClr w14:val="tx1"/>
            </w14:solidFill>
          </w14:textFill>
        </w:rPr>
        <w:t>——</w:t>
      </w:r>
      <w:r>
        <w:rPr>
          <w:rFonts w:eastAsia="宋体"/>
          <w:bCs/>
          <w:color w:val="000000" w:themeColor="text1"/>
          <w:highlight w:val="none"/>
          <w14:textFill>
            <w14:solidFill>
              <w14:schemeClr w14:val="tx1"/>
            </w14:solidFill>
          </w14:textFill>
        </w:rPr>
        <w:t>尾矿最大下泄量，</w:t>
      </w:r>
      <w:r>
        <w:rPr>
          <w:rFonts w:eastAsia="宋体"/>
          <w:color w:val="000000" w:themeColor="text1"/>
          <w:highlight w:val="none"/>
          <w14:textFill>
            <w14:solidFill>
              <w14:schemeClr w14:val="tx1"/>
            </w14:solidFill>
          </w14:textFill>
        </w:rPr>
        <w:t>取有效库容的</w:t>
      </w:r>
      <w:r>
        <w:rPr>
          <w:rFonts w:hint="eastAsia" w:eastAsia="宋体"/>
          <w:color w:val="000000" w:themeColor="text1"/>
          <w:highlight w:val="none"/>
          <w14:textFill>
            <w14:solidFill>
              <w14:schemeClr w14:val="tx1"/>
            </w14:solidFill>
          </w14:textFill>
        </w:rPr>
        <w:t>5</w:t>
      </w:r>
      <w:r>
        <w:rPr>
          <w:rFonts w:eastAsia="宋体"/>
          <w:color w:val="000000" w:themeColor="text1"/>
          <w:highlight w:val="none"/>
          <w14:textFill>
            <w14:solidFill>
              <w14:schemeClr w14:val="tx1"/>
            </w14:solidFill>
          </w14:textFill>
        </w:rPr>
        <w:t>0%，</w:t>
      </w:r>
      <w:r>
        <w:rPr>
          <w:rFonts w:hint="eastAsia"/>
          <w:color w:val="000000" w:themeColor="text1"/>
          <w:highlight w:val="none"/>
          <w:lang w:eastAsia="zh-CN"/>
          <w14:textFill>
            <w14:solidFill>
              <w14:schemeClr w14:val="tx1"/>
            </w14:solidFill>
          </w14:textFill>
        </w:rPr>
        <w:t>本项目</w:t>
      </w:r>
      <w:r>
        <w:rPr>
          <w:rFonts w:eastAsia="宋体"/>
          <w:color w:val="000000" w:themeColor="text1"/>
          <w:highlight w:val="none"/>
          <w14:textFill>
            <w14:solidFill>
              <w14:schemeClr w14:val="tx1"/>
            </w14:solidFill>
          </w14:textFill>
        </w:rPr>
        <w:t>尾矿库为</w:t>
      </w:r>
      <w:r>
        <w:rPr>
          <w:rFonts w:hint="eastAsia"/>
          <w:color w:val="000000" w:themeColor="text1"/>
          <w:highlight w:val="none"/>
          <w:lang w:val="en-US" w:eastAsia="zh-CN"/>
          <w14:textFill>
            <w14:solidFill>
              <w14:schemeClr w14:val="tx1"/>
            </w14:solidFill>
          </w14:textFill>
        </w:rPr>
        <w:t>501.17</w:t>
      </w:r>
      <w:r>
        <w:rPr>
          <w:rFonts w:hint="eastAsia" w:eastAsia="宋体"/>
          <w:color w:val="000000" w:themeColor="text1"/>
          <w:highlight w:val="none"/>
          <w14:textFill>
            <w14:solidFill>
              <w14:schemeClr w14:val="tx1"/>
            </w14:solidFill>
          </w14:textFill>
        </w:rPr>
        <w:t>万</w:t>
      </w:r>
      <w:r>
        <w:rPr>
          <w:rFonts w:eastAsia="宋体"/>
          <w:color w:val="000000" w:themeColor="text1"/>
          <w:highlight w:val="none"/>
          <w14:textFill>
            <w14:solidFill>
              <w14:schemeClr w14:val="tx1"/>
            </w14:solidFill>
          </w14:textFill>
        </w:rPr>
        <w:t>m</w:t>
      </w:r>
      <w:r>
        <w:rPr>
          <w:rFonts w:eastAsia="宋体"/>
          <w:color w:val="000000" w:themeColor="text1"/>
          <w:highlight w:val="none"/>
          <w:vertAlign w:val="superscript"/>
          <w14:textFill>
            <w14:solidFill>
              <w14:schemeClr w14:val="tx1"/>
            </w14:solidFill>
          </w14:textFill>
        </w:rPr>
        <w:t>3</w:t>
      </w:r>
      <w:r>
        <w:rPr>
          <w:rFonts w:eastAsia="宋体"/>
          <w:bCs/>
          <w:color w:val="000000" w:themeColor="text1"/>
          <w:highlight w:val="none"/>
          <w14:textFill>
            <w14:solidFill>
              <w14:schemeClr w14:val="tx1"/>
            </w14:solidFill>
          </w14:textFill>
        </w:rPr>
        <w:t>。</w:t>
      </w:r>
    </w:p>
    <w:p w14:paraId="53B1C571">
      <w:pPr>
        <w:adjustRightInd w:val="0"/>
        <w:snapToGrid w:val="0"/>
        <w:spacing w:line="460" w:lineRule="atLeast"/>
        <w:rPr>
          <w:rFonts w:eastAsia="宋体"/>
          <w:bCs/>
          <w:color w:val="000000" w:themeColor="text1"/>
          <w:highlight w:val="none"/>
          <w14:textFill>
            <w14:solidFill>
              <w14:schemeClr w14:val="tx1"/>
            </w14:solidFill>
          </w14:textFill>
        </w:rPr>
      </w:pPr>
      <w:r>
        <w:rPr>
          <w:rFonts w:eastAsia="宋体"/>
          <w:bCs/>
          <w:color w:val="000000" w:themeColor="text1"/>
          <w:highlight w:val="none"/>
          <w14:textFill>
            <w14:solidFill>
              <w14:schemeClr w14:val="tx1"/>
            </w14:solidFill>
          </w14:textFill>
        </w:rPr>
        <w:t>Q</w:t>
      </w:r>
      <w:r>
        <w:rPr>
          <w:rFonts w:eastAsia="宋体"/>
          <w:bCs/>
          <w:color w:val="000000" w:themeColor="text1"/>
          <w:highlight w:val="none"/>
          <w:vertAlign w:val="subscript"/>
          <w14:textFill>
            <w14:solidFill>
              <w14:schemeClr w14:val="tx1"/>
            </w14:solidFill>
          </w14:textFill>
        </w:rPr>
        <w:t>max</w:t>
      </w:r>
      <w:r>
        <w:rPr>
          <w:rFonts w:hint="eastAsia"/>
          <w:bCs/>
          <w:color w:val="000000" w:themeColor="text1"/>
          <w:highlight w:val="none"/>
          <w:lang w:eastAsia="zh-CN"/>
          <w14:textFill>
            <w14:solidFill>
              <w14:schemeClr w14:val="tx1"/>
            </w14:solidFill>
          </w14:textFill>
        </w:rPr>
        <w:t>——</w:t>
      </w:r>
      <w:r>
        <w:rPr>
          <w:rFonts w:eastAsia="宋体"/>
          <w:bCs/>
          <w:color w:val="000000" w:themeColor="text1"/>
          <w:highlight w:val="none"/>
          <w14:textFill>
            <w14:solidFill>
              <w14:schemeClr w14:val="tx1"/>
            </w14:solidFill>
          </w14:textFill>
        </w:rPr>
        <w:t>最大泄砂流量，</w:t>
      </w:r>
      <w:r>
        <w:rPr>
          <w:rFonts w:hint="eastAsia"/>
          <w:color w:val="000000" w:themeColor="text1"/>
          <w:highlight w:val="none"/>
          <w:lang w:eastAsia="zh-CN"/>
          <w14:textFill>
            <w14:solidFill>
              <w14:schemeClr w14:val="tx1"/>
            </w14:solidFill>
          </w14:textFill>
        </w:rPr>
        <w:t>本项目</w:t>
      </w:r>
      <w:r>
        <w:rPr>
          <w:color w:val="000000" w:themeColor="text1"/>
          <w:highlight w:val="none"/>
          <w14:textFill>
            <w14:solidFill>
              <w14:schemeClr w14:val="tx1"/>
            </w14:solidFill>
          </w14:textFill>
        </w:rPr>
        <w:t>尾矿库为</w:t>
      </w:r>
      <w:r>
        <w:rPr>
          <w:rFonts w:hint="eastAsia"/>
          <w:color w:val="000000" w:themeColor="text1"/>
          <w:highlight w:val="none"/>
          <w:lang w:val="en-US" w:eastAsia="zh-CN"/>
          <w14:textFill>
            <w14:solidFill>
              <w14:schemeClr w14:val="tx1"/>
            </w14:solidFill>
          </w14:textFill>
        </w:rPr>
        <w:t>72.5</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/s</w:t>
      </w:r>
      <w:r>
        <w:rPr>
          <w:rFonts w:eastAsia="宋体"/>
          <w:bCs/>
          <w:color w:val="000000" w:themeColor="text1"/>
          <w:highlight w:val="none"/>
          <w14:textFill>
            <w14:solidFill>
              <w14:schemeClr w14:val="tx1"/>
            </w14:solidFill>
          </w14:textFill>
        </w:rPr>
        <w:t>。</w:t>
      </w:r>
    </w:p>
    <w:p w14:paraId="3DC58D75">
      <w:pPr>
        <w:overflowPunct w:val="0"/>
        <w:topLinePunct/>
        <w:ind w:firstLine="480"/>
        <w:rPr>
          <w:rFonts w:cs="宋体"/>
          <w:color w:val="000000" w:themeColor="text1"/>
          <w:highlight w:val="none"/>
          <w14:textFill>
            <w14:solidFill>
              <w14:schemeClr w14:val="tx1"/>
            </w14:solidFill>
          </w14:textFill>
        </w:rPr>
      </w:pPr>
      <w:r>
        <w:rPr>
          <w:rFonts w:eastAsia="宋体"/>
          <w:bCs/>
          <w:color w:val="000000" w:themeColor="text1"/>
          <w:highlight w:val="none"/>
          <w14:textFill>
            <w14:solidFill>
              <w14:schemeClr w14:val="tx1"/>
            </w14:solidFill>
          </w14:textFill>
        </w:rPr>
        <w:t>经计算，</w:t>
      </w:r>
      <w:r>
        <w:rPr>
          <w:rFonts w:hint="eastAsia"/>
          <w:bCs/>
          <w:color w:val="000000" w:themeColor="text1"/>
          <w:highlight w:val="none"/>
          <w:lang w:eastAsia="zh-CN"/>
          <w14:textFill>
            <w14:solidFill>
              <w14:schemeClr w14:val="tx1"/>
            </w14:solidFill>
          </w14:textFill>
        </w:rPr>
        <w:t>本项目</w:t>
      </w:r>
      <w:r>
        <w:rPr>
          <w:rFonts w:eastAsia="宋体"/>
          <w:bCs/>
          <w:color w:val="000000" w:themeColor="text1"/>
          <w:highlight w:val="none"/>
          <w14:textFill>
            <w14:solidFill>
              <w14:schemeClr w14:val="tx1"/>
            </w14:solidFill>
          </w14:textFill>
        </w:rPr>
        <w:t>尾矿下泄最小总历时为</w:t>
      </w:r>
      <w:r>
        <w:rPr>
          <w:rFonts w:hint="eastAsia"/>
          <w:bCs/>
          <w:color w:val="000000" w:themeColor="text1"/>
          <w:highlight w:val="none"/>
          <w:lang w:val="en-US" w:eastAsia="zh-CN"/>
          <w14:textFill>
            <w14:solidFill>
              <w14:schemeClr w14:val="tx1"/>
            </w14:solidFill>
          </w14:textFill>
        </w:rPr>
        <w:t>34563</w:t>
      </w:r>
      <w:r>
        <w:rPr>
          <w:rFonts w:eastAsia="宋体"/>
          <w:bCs/>
          <w:color w:val="000000" w:themeColor="text1"/>
          <w:highlight w:val="none"/>
          <w14:textFill>
            <w14:solidFill>
              <w14:schemeClr w14:val="tx1"/>
            </w14:solidFill>
          </w14:textFill>
        </w:rPr>
        <w:t>s</w:t>
      </w:r>
      <w:r>
        <w:rPr>
          <w:rFonts w:hint="eastAsia"/>
          <w:bCs/>
          <w:color w:val="000000" w:themeColor="text1"/>
          <w:highlight w:val="none"/>
          <w:lang w:eastAsia="zh-CN"/>
          <w14:textFill>
            <w14:solidFill>
              <w14:schemeClr w14:val="tx1"/>
            </w14:solidFill>
          </w14:textFill>
        </w:rPr>
        <w:t>（</w:t>
      </w:r>
      <w:r>
        <w:rPr>
          <w:rFonts w:hint="eastAsia"/>
          <w:bCs/>
          <w:color w:val="000000" w:themeColor="text1"/>
          <w:highlight w:val="none"/>
          <w:lang w:val="en-US" w:eastAsia="zh-CN"/>
          <w14:textFill>
            <w14:solidFill>
              <w14:schemeClr w14:val="tx1"/>
            </w14:solidFill>
          </w14:textFill>
        </w:rPr>
        <w:t>约9.6h</w:t>
      </w:r>
      <w:r>
        <w:rPr>
          <w:rFonts w:hint="eastAsia"/>
          <w:bCs/>
          <w:color w:val="000000" w:themeColor="text1"/>
          <w:highlight w:val="none"/>
          <w:lang w:eastAsia="zh-CN"/>
          <w14:textFill>
            <w14:solidFill>
              <w14:schemeClr w14:val="tx1"/>
            </w14:solidFill>
          </w14:textFill>
        </w:rPr>
        <w:t>）</w:t>
      </w:r>
      <w:r>
        <w:rPr>
          <w:rFonts w:eastAsia="宋体"/>
          <w:bCs/>
          <w:color w:val="000000" w:themeColor="text1"/>
          <w:highlight w:val="none"/>
          <w14:textFill>
            <w14:solidFill>
              <w14:schemeClr w14:val="tx1"/>
            </w14:solidFill>
          </w14:textFill>
        </w:rPr>
        <w:t>。</w:t>
      </w:r>
    </w:p>
    <w:p w14:paraId="48915BB4">
      <w:pPr>
        <w:adjustRightInd w:val="0"/>
        <w:snapToGrid w:val="0"/>
        <w:spacing w:line="460" w:lineRule="atLeast"/>
        <w:ind w:firstLine="480"/>
        <w:rPr>
          <w:rFonts w:eastAsia="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w:t>
      </w:r>
      <w:r>
        <w:rPr>
          <w:rFonts w:eastAsia="宋体"/>
          <w:color w:val="000000" w:themeColor="text1"/>
          <w:highlight w:val="none"/>
          <w14:textFill>
            <w14:solidFill>
              <w14:schemeClr w14:val="tx1"/>
            </w14:solidFill>
          </w14:textFill>
        </w:rPr>
        <w:t>环境影响范围</w:t>
      </w:r>
    </w:p>
    <w:p w14:paraId="69AFD052">
      <w:pPr>
        <w:adjustRightInd w:val="0"/>
        <w:snapToGrid w:val="0"/>
        <w:spacing w:line="460" w:lineRule="atLeast"/>
        <w:ind w:firstLine="480"/>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总结国内外曾发生的尾矿库溃坝事故实例，溃坝影响范围与坝高和下游坡度有较大的关系，一般溃坝影响范围是坝高的10~50倍。本项目尾矿库下游坡度约为3%左右，根据经验值估算，溃坝事故的环境影响范围取总坝高的50倍，本项目尾矿库主坝坝高最大值</w:t>
      </w:r>
      <w:r>
        <w:rPr>
          <w:rFonts w:hint="eastAsia"/>
          <w:color w:val="000000" w:themeColor="text1"/>
          <w:highlight w:val="none"/>
          <w:lang w:val="en-US" w:eastAsia="zh-CN"/>
          <w14:textFill>
            <w14:solidFill>
              <w14:schemeClr w14:val="tx1"/>
            </w14:solidFill>
          </w14:textFill>
        </w:rPr>
        <w:t>30</w:t>
      </w:r>
      <w:r>
        <w:rPr>
          <w:rFonts w:eastAsia="宋体"/>
          <w:color w:val="000000" w:themeColor="text1"/>
          <w:highlight w:val="none"/>
          <w14:textFill>
            <w14:solidFill>
              <w14:schemeClr w14:val="tx1"/>
            </w14:solidFill>
          </w14:textFill>
        </w:rPr>
        <w:t>m，库体周围为山体，则本次主坝溃坝风险影响范围为主坝下游</w:t>
      </w:r>
      <w:r>
        <w:rPr>
          <w:rFonts w:hint="eastAsia"/>
          <w:color w:val="000000" w:themeColor="text1"/>
          <w:highlight w:val="none"/>
          <w:lang w:val="en-US" w:eastAsia="zh-CN"/>
          <w14:textFill>
            <w14:solidFill>
              <w14:schemeClr w14:val="tx1"/>
            </w14:solidFill>
          </w14:textFill>
        </w:rPr>
        <w:t>1500</w:t>
      </w:r>
      <w:r>
        <w:rPr>
          <w:rFonts w:eastAsia="宋体"/>
          <w:color w:val="000000" w:themeColor="text1"/>
          <w:highlight w:val="none"/>
          <w14:textFill>
            <w14:solidFill>
              <w14:schemeClr w14:val="tx1"/>
            </w14:solidFill>
          </w14:textFill>
        </w:rPr>
        <w:t>m范围。</w:t>
      </w:r>
    </w:p>
    <w:p w14:paraId="6630C538">
      <w:pPr>
        <w:overflowPunct w:val="0"/>
        <w:topLinePunct/>
        <w:ind w:firstLine="480"/>
        <w:rPr>
          <w:rFonts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本项目的尾矿砂属于Ⅰ类固体废物，不属于有毒有害物质，</w:t>
      </w:r>
      <w:r>
        <w:rPr>
          <w:rFonts w:hint="eastAsia"/>
          <w:color w:val="000000" w:themeColor="text1"/>
          <w:highlight w:val="none"/>
          <w:lang w:eastAsia="zh-CN"/>
          <w14:textFill>
            <w14:solidFill>
              <w14:schemeClr w14:val="tx1"/>
            </w14:solidFill>
          </w14:textFill>
        </w:rPr>
        <w:t>即使</w:t>
      </w:r>
      <w:r>
        <w:rPr>
          <w:color w:val="000000" w:themeColor="text1"/>
          <w:highlight w:val="none"/>
          <w14:textFill>
            <w14:solidFill>
              <w14:schemeClr w14:val="tx1"/>
            </w14:solidFill>
          </w14:textFill>
        </w:rPr>
        <w:t>尾矿外泄，由于尾矿砂不属于有毒有害物质的大面积扩散，不构成重大危险事故源。但根据预测结果，当尾矿库发生溃坝事件时，下泄流量将达到</w:t>
      </w:r>
      <w:r>
        <w:rPr>
          <w:rFonts w:hint="eastAsia"/>
          <w:color w:val="000000" w:themeColor="text1"/>
          <w:highlight w:val="none"/>
          <w:lang w:val="en-US" w:eastAsia="zh-CN"/>
          <w14:textFill>
            <w14:solidFill>
              <w14:schemeClr w14:val="tx1"/>
            </w14:solidFill>
          </w14:textFill>
        </w:rPr>
        <w:t>72.5</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/s，一旦发生溃坝事件将对尾矿库下游的生态环境产生较大的冲击，因此本次环评要求尾矿库下游建设</w:t>
      </w:r>
      <w:r>
        <w:rPr>
          <w:rFonts w:hint="eastAsia"/>
          <w:color w:val="000000" w:themeColor="text1"/>
          <w:highlight w:val="none"/>
          <w14:textFill>
            <w14:solidFill>
              <w14:schemeClr w14:val="tx1"/>
            </w14:solidFill>
          </w14:textFill>
        </w:rPr>
        <w:t>事故池，</w:t>
      </w:r>
      <w:r>
        <w:rPr>
          <w:color w:val="000000" w:themeColor="text1"/>
          <w:highlight w:val="none"/>
          <w14:textFill>
            <w14:solidFill>
              <w14:schemeClr w14:val="tx1"/>
            </w14:solidFill>
          </w14:textFill>
        </w:rPr>
        <w:t>同时加强尾矿库的监管及隐患排查工作，避免出现尾矿库溃坝现象对下游环境目标产生影响。</w:t>
      </w:r>
    </w:p>
    <w:p w14:paraId="1593E39F">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rFonts w:hint="eastAsia"/>
          <w:b/>
          <w:bCs/>
          <w:color w:val="000000" w:themeColor="text1"/>
          <w:sz w:val="30"/>
          <w:szCs w:val="32"/>
          <w:highlight w:val="none"/>
          <w14:textFill>
            <w14:solidFill>
              <w14:schemeClr w14:val="tx1"/>
            </w14:solidFill>
          </w14:textFill>
        </w:rPr>
        <w:t>5.3.</w:t>
      </w:r>
      <w:r>
        <w:rPr>
          <w:b/>
          <w:bCs/>
          <w:color w:val="000000" w:themeColor="text1"/>
          <w:sz w:val="30"/>
          <w:szCs w:val="32"/>
          <w:highlight w:val="none"/>
          <w14:textFill>
            <w14:solidFill>
              <w14:schemeClr w14:val="tx1"/>
            </w14:solidFill>
          </w14:textFill>
        </w:rPr>
        <w:t>5</w:t>
      </w:r>
      <w:r>
        <w:rPr>
          <w:rFonts w:hint="eastAsia"/>
          <w:b/>
          <w:bCs/>
          <w:color w:val="000000" w:themeColor="text1"/>
          <w:sz w:val="30"/>
          <w:szCs w:val="32"/>
          <w:highlight w:val="none"/>
          <w14:textFill>
            <w14:solidFill>
              <w14:schemeClr w14:val="tx1"/>
            </w14:solidFill>
          </w14:textFill>
        </w:rPr>
        <w:t>环境风险防范措施</w:t>
      </w:r>
    </w:p>
    <w:p w14:paraId="6FF33905">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（1）火灾事故防范措施</w:t>
      </w:r>
    </w:p>
    <w:p w14:paraId="7297B8E8">
      <w:pPr>
        <w:overflowPunct w:val="0"/>
        <w:topLinePunct/>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车间内配备相应品种和数量的消防器材及泄漏应急处理设备。</w:t>
      </w:r>
    </w:p>
    <w:p w14:paraId="30908AFB">
      <w:pPr>
        <w:overflowPunct w:val="0"/>
        <w:topLinePunct/>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安排专人每周对化学品储存桶进行使用安全检查，并将检查情况记录在</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储存设备检查记录表</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上，检查内容包括：储存桶是否泄漏、是否完好、各阀门、胶管及接头是否正常、管道或阀门有无泄漏、各种</w:t>
      </w:r>
      <w:r>
        <w:rPr>
          <w:rFonts w:hint="eastAsia"/>
          <w:color w:val="000000" w:themeColor="text1"/>
          <w:highlight w:val="none"/>
          <w:lang w:eastAsia="zh-CN"/>
          <w14:textFill>
            <w14:solidFill>
              <w14:schemeClr w14:val="tx1"/>
            </w14:solidFill>
          </w14:textFill>
        </w:rPr>
        <w:t>警示标志</w:t>
      </w:r>
      <w:r>
        <w:rPr>
          <w:color w:val="000000" w:themeColor="text1"/>
          <w:highlight w:val="none"/>
          <w14:textFill>
            <w14:solidFill>
              <w14:schemeClr w14:val="tx1"/>
            </w14:solidFill>
          </w14:textFill>
        </w:rPr>
        <w:t>是否齐全、周边消防设施是否正常等。</w:t>
      </w:r>
    </w:p>
    <w:p w14:paraId="4293ECCB">
      <w:pPr>
        <w:overflowPunct w:val="0"/>
        <w:topLinePunct/>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操作人员必须经过专门培训，严格遵守操作规程。搬运时要轻装轻卸，防止包装及容器损坏。</w:t>
      </w:r>
    </w:p>
    <w:p w14:paraId="06D08856">
      <w:pPr>
        <w:overflowPunct w:val="0"/>
        <w:topLinePunct/>
        <w:ind w:firstLine="48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④</w:t>
      </w:r>
      <w:r>
        <w:rPr>
          <w:color w:val="000000" w:themeColor="text1"/>
          <w:highlight w:val="none"/>
          <w14:textFill>
            <w14:solidFill>
              <w14:schemeClr w14:val="tx1"/>
            </w14:solidFill>
          </w14:textFill>
        </w:rPr>
        <w:t>车间内工作人员不得携带易燃易爆、易腐烂危险品或与生产无关物品。控制明火，不得在车间任何区域吸烟。</w:t>
      </w:r>
    </w:p>
    <w:p w14:paraId="06706546">
      <w:pPr>
        <w:keepNext w:val="0"/>
        <w:keepLines w:val="0"/>
        <w:pageBreakBefore w:val="0"/>
        <w:widowControl w:val="0"/>
        <w:kinsoku/>
        <w:wordWrap/>
        <w:overflowPunct w:val="0"/>
        <w:topLinePunct/>
        <w:autoSpaceDE/>
        <w:autoSpaceDN/>
        <w:bidi w:val="0"/>
        <w:adjustRightInd/>
        <w:snapToGrid/>
        <w:ind w:firstLine="480"/>
        <w:textAlignment w:val="auto"/>
        <w:outlineLvl w:val="9"/>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通过采取以上防范措施，可以有效降低火灾事故发生概率。</w:t>
      </w:r>
    </w:p>
    <w:p w14:paraId="0F6A5393">
      <w:pPr>
        <w:keepNext w:val="0"/>
        <w:keepLines w:val="0"/>
        <w:pageBreakBefore w:val="0"/>
        <w:widowControl w:val="0"/>
        <w:kinsoku/>
        <w:wordWrap/>
        <w:overflowPunct w:val="0"/>
        <w:topLinePunct/>
        <w:autoSpaceDE/>
        <w:autoSpaceDN/>
        <w:bidi w:val="0"/>
        <w:adjustRightInd/>
        <w:snapToGrid/>
        <w:ind w:firstLine="480"/>
        <w:textAlignment w:val="auto"/>
        <w:outlineLvl w:val="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废油泄漏</w:t>
      </w:r>
      <w:r>
        <w:rPr>
          <w:color w:val="000000" w:themeColor="text1"/>
          <w:highlight w:val="none"/>
          <w14:textFill>
            <w14:solidFill>
              <w14:schemeClr w14:val="tx1"/>
            </w14:solidFill>
          </w14:textFill>
        </w:rPr>
        <w:t>风险防范措施</w:t>
      </w:r>
    </w:p>
    <w:p w14:paraId="3D3CD402">
      <w:pPr>
        <w:keepNext w:val="0"/>
        <w:keepLines w:val="0"/>
        <w:pageBreakBefore w:val="0"/>
        <w:widowControl w:val="0"/>
        <w:kinsoku/>
        <w:wordWrap/>
        <w:overflowPunct w:val="0"/>
        <w:topLinePunct/>
        <w:autoSpaceDE/>
        <w:autoSpaceDN/>
        <w:bidi w:val="0"/>
        <w:adjustRightInd/>
        <w:snapToGrid/>
        <w:ind w:firstLine="480"/>
        <w:textAlignment w:val="auto"/>
        <w:outlineLvl w:val="9"/>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①危废贮存点建设满足《危险废物贮存污染控制标准》（</w:t>
      </w:r>
      <w:r>
        <w:rPr>
          <w:rFonts w:hint="default"/>
          <w:color w:val="000000" w:themeColor="text1"/>
          <w:highlight w:val="none"/>
          <w:lang w:val="en-US" w:eastAsia="zh-CN"/>
          <w14:textFill>
            <w14:solidFill>
              <w14:schemeClr w14:val="tx1"/>
            </w14:solidFill>
          </w14:textFill>
        </w:rPr>
        <w:t>GB18597-2023</w:t>
      </w:r>
      <w:r>
        <w:rPr>
          <w:rFonts w:hint="eastAsia"/>
          <w:color w:val="000000" w:themeColor="text1"/>
          <w:highlight w:val="none"/>
          <w:lang w:val="en-US" w:eastAsia="zh-CN"/>
          <w14:textFill>
            <w14:solidFill>
              <w14:schemeClr w14:val="tx1"/>
            </w14:solidFill>
          </w14:textFill>
        </w:rPr>
        <w:t>）标准要求，地面采取防渗措施，并设置导流槽及防溢流围堰等。</w:t>
      </w:r>
    </w:p>
    <w:p w14:paraId="39A8813A">
      <w:pPr>
        <w:keepNext w:val="0"/>
        <w:keepLines w:val="0"/>
        <w:pageBreakBefore w:val="0"/>
        <w:widowControl w:val="0"/>
        <w:kinsoku/>
        <w:wordWrap/>
        <w:overflowPunct w:val="0"/>
        <w:topLinePunct/>
        <w:autoSpaceDE/>
        <w:autoSpaceDN/>
        <w:bidi w:val="0"/>
        <w:adjustRightInd/>
        <w:snapToGrid/>
        <w:ind w:firstLine="480"/>
        <w:textAlignment w:val="auto"/>
        <w:outlineLvl w:val="9"/>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②建立事故管理和应急计划，设立厂内急救指挥小组，并和当地有关化学事故急救部门建立正常的定期联系。</w:t>
      </w:r>
    </w:p>
    <w:p w14:paraId="33835B63">
      <w:pPr>
        <w:keepNext w:val="0"/>
        <w:keepLines w:val="0"/>
        <w:pageBreakBefore w:val="0"/>
        <w:widowControl w:val="0"/>
        <w:kinsoku/>
        <w:wordWrap/>
        <w:overflowPunct w:val="0"/>
        <w:topLinePunct/>
        <w:autoSpaceDE/>
        <w:autoSpaceDN/>
        <w:bidi w:val="0"/>
        <w:adjustRightInd/>
        <w:snapToGrid/>
        <w:ind w:firstLine="480"/>
        <w:textAlignment w:val="auto"/>
        <w:outlineLvl w:val="9"/>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③备有一定数量灭火器材并保持有效状态以及防毒面具等气防设备。</w:t>
      </w:r>
    </w:p>
    <w:p w14:paraId="64CDE220">
      <w:pPr>
        <w:keepNext w:val="0"/>
        <w:keepLines w:val="0"/>
        <w:pageBreakBefore w:val="0"/>
        <w:widowControl w:val="0"/>
        <w:kinsoku/>
        <w:wordWrap/>
        <w:overflowPunct w:val="0"/>
        <w:topLinePunct/>
        <w:autoSpaceDE/>
        <w:autoSpaceDN/>
        <w:bidi w:val="0"/>
        <w:adjustRightInd/>
        <w:snapToGrid/>
        <w:ind w:firstLine="480"/>
        <w:textAlignment w:val="auto"/>
        <w:outlineLvl w:val="9"/>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④加强设备（包括各种安全仪表）的维修、保养，杜绝由于设备破损、折旧带来的事故隐患。</w:t>
      </w:r>
    </w:p>
    <w:p w14:paraId="4DDB7E23">
      <w:pPr>
        <w:keepNext w:val="0"/>
        <w:keepLines w:val="0"/>
        <w:pageBreakBefore w:val="0"/>
        <w:widowControl w:val="0"/>
        <w:kinsoku/>
        <w:wordWrap/>
        <w:overflowPunct w:val="0"/>
        <w:topLinePunct/>
        <w:autoSpaceDE/>
        <w:autoSpaceDN/>
        <w:bidi w:val="0"/>
        <w:adjustRightInd/>
        <w:snapToGrid/>
        <w:ind w:firstLine="480"/>
        <w:textAlignment w:val="auto"/>
        <w:outlineLvl w:val="9"/>
        <w:rPr>
          <w:color w:val="000000" w:themeColor="text1"/>
          <w:kern w:val="0"/>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⑤加强对职工的教育培训，实行上岗证制度，增强职工风险意识，提高事故自救能力，制定和强化各种安全管理、安全生产的规程，减少人为风险事故（如误操作）的发生</w:t>
      </w:r>
      <w:r>
        <w:rPr>
          <w:color w:val="000000" w:themeColor="text1"/>
          <w:highlight w:val="none"/>
          <w14:textFill>
            <w14:solidFill>
              <w14:schemeClr w14:val="tx1"/>
            </w14:solidFill>
          </w14:textFill>
        </w:rPr>
        <w:t>。</w:t>
      </w:r>
    </w:p>
    <w:p w14:paraId="5239369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（3）地下水风险防范措施</w:t>
      </w:r>
    </w:p>
    <w:p w14:paraId="2D123603">
      <w:pPr>
        <w:pStyle w:val="41"/>
        <w:overflowPunct w:val="0"/>
        <w:topLinePunct/>
        <w:spacing w:line="480" w:lineRule="exact"/>
        <w:ind w:firstLine="480"/>
        <w:rPr>
          <w:rFonts w:cs="Times New Roman"/>
          <w:color w:val="000000" w:themeColor="text1"/>
          <w:kern w:val="0"/>
          <w:szCs w:val="24"/>
          <w:highlight w:val="none"/>
          <w14:textFill>
            <w14:solidFill>
              <w14:schemeClr w14:val="tx1"/>
            </w14:solidFill>
          </w14:textFill>
        </w:rPr>
      </w:pPr>
      <w:r>
        <w:rPr>
          <w:rFonts w:hint="eastAsia" w:ascii="宋体" w:hAnsi="宋体"/>
          <w:color w:val="000000" w:themeColor="text1"/>
          <w:kern w:val="0"/>
          <w:szCs w:val="24"/>
          <w:highlight w:val="none"/>
          <w14:textFill>
            <w14:solidFill>
              <w14:schemeClr w14:val="tx1"/>
            </w14:solidFill>
          </w14:textFill>
        </w:rPr>
        <w:t>①</w:t>
      </w:r>
      <w:r>
        <w:rPr>
          <w:rFonts w:cs="Times New Roman"/>
          <w:color w:val="000000" w:themeColor="text1"/>
          <w:kern w:val="0"/>
          <w:szCs w:val="24"/>
          <w:highlight w:val="none"/>
          <w14:textFill>
            <w14:solidFill>
              <w14:schemeClr w14:val="tx1"/>
            </w14:solidFill>
          </w14:textFill>
        </w:rPr>
        <w:t>源头控制措施</w:t>
      </w:r>
    </w:p>
    <w:p w14:paraId="2F9753A5">
      <w:pPr>
        <w:pStyle w:val="41"/>
        <w:overflowPunct w:val="0"/>
        <w:topLinePunct/>
        <w:spacing w:line="480" w:lineRule="exact"/>
        <w:ind w:firstLine="480"/>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项目建设、生产过程中，除了按照既定方案处理废水外，应严格把关工程质量：</w:t>
      </w:r>
    </w:p>
    <w:p w14:paraId="2E278200">
      <w:pPr>
        <w:pStyle w:val="41"/>
        <w:overflowPunct w:val="0"/>
        <w:topLinePunct/>
        <w:spacing w:line="480" w:lineRule="exact"/>
        <w:ind w:firstLine="480"/>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a</w:t>
      </w:r>
      <w:r>
        <w:rPr>
          <w:rFonts w:hint="eastAsia" w:cs="Times New Roman"/>
          <w:color w:val="000000" w:themeColor="text1"/>
          <w:kern w:val="0"/>
          <w:szCs w:val="24"/>
          <w:highlight w:val="none"/>
          <w:lang w:eastAsia="zh-CN"/>
          <w14:textFill>
            <w14:solidFill>
              <w14:schemeClr w14:val="tx1"/>
            </w14:solidFill>
          </w14:textFill>
        </w:rPr>
        <w:t>、</w:t>
      </w:r>
      <w:r>
        <w:rPr>
          <w:rFonts w:cs="Times New Roman"/>
          <w:color w:val="000000" w:themeColor="text1"/>
          <w:kern w:val="0"/>
          <w:szCs w:val="24"/>
          <w:highlight w:val="none"/>
          <w14:textFill>
            <w14:solidFill>
              <w14:schemeClr w14:val="tx1"/>
            </w14:solidFill>
          </w14:textFill>
        </w:rPr>
        <w:t>设备采购中要按照国家相关标准严格把关设备质量；</w:t>
      </w:r>
    </w:p>
    <w:p w14:paraId="49FADDD6">
      <w:pPr>
        <w:pStyle w:val="41"/>
        <w:overflowPunct w:val="0"/>
        <w:topLinePunct/>
        <w:spacing w:line="480" w:lineRule="exact"/>
        <w:ind w:firstLine="480"/>
        <w:rPr>
          <w:rFonts w:cs="Times New Roman"/>
          <w:color w:val="000000" w:themeColor="text1"/>
          <w:kern w:val="0"/>
          <w:szCs w:val="24"/>
          <w:highlight w:val="none"/>
          <w14:textFill>
            <w14:solidFill>
              <w14:schemeClr w14:val="tx1"/>
            </w14:solidFill>
          </w14:textFill>
        </w:rPr>
      </w:pPr>
      <w:r>
        <w:rPr>
          <w:rFonts w:hint="eastAsia" w:cs="Times New Roman"/>
          <w:color w:val="000000" w:themeColor="text1"/>
          <w:kern w:val="0"/>
          <w:szCs w:val="24"/>
          <w:highlight w:val="none"/>
          <w:lang w:val="en-US" w:eastAsia="zh-CN"/>
          <w14:textFill>
            <w14:solidFill>
              <w14:schemeClr w14:val="tx1"/>
            </w14:solidFill>
          </w14:textFill>
        </w:rPr>
        <w:t>b</w:t>
      </w:r>
      <w:r>
        <w:rPr>
          <w:rFonts w:hint="eastAsia" w:cs="Times New Roman"/>
          <w:color w:val="000000" w:themeColor="text1"/>
          <w:kern w:val="0"/>
          <w:szCs w:val="24"/>
          <w:highlight w:val="none"/>
          <w:lang w:eastAsia="zh-CN"/>
          <w14:textFill>
            <w14:solidFill>
              <w14:schemeClr w14:val="tx1"/>
            </w14:solidFill>
          </w14:textFill>
        </w:rPr>
        <w:t>、</w:t>
      </w:r>
      <w:r>
        <w:rPr>
          <w:rFonts w:cs="Times New Roman"/>
          <w:color w:val="000000" w:themeColor="text1"/>
          <w:kern w:val="0"/>
          <w:szCs w:val="24"/>
          <w:highlight w:val="none"/>
          <w14:textFill>
            <w14:solidFill>
              <w14:schemeClr w14:val="tx1"/>
            </w14:solidFill>
          </w14:textFill>
        </w:rPr>
        <w:t>施工过程中要按照国家相关建设标准严格把关建设质量；</w:t>
      </w:r>
    </w:p>
    <w:p w14:paraId="1BACAAC7">
      <w:pPr>
        <w:pStyle w:val="41"/>
        <w:overflowPunct w:val="0"/>
        <w:topLinePunct/>
        <w:spacing w:line="480" w:lineRule="exact"/>
        <w:ind w:firstLine="480"/>
        <w:rPr>
          <w:rFonts w:cs="Times New Roman"/>
          <w:color w:val="000000" w:themeColor="text1"/>
          <w:kern w:val="0"/>
          <w:szCs w:val="24"/>
          <w:highlight w:val="none"/>
          <w14:textFill>
            <w14:solidFill>
              <w14:schemeClr w14:val="tx1"/>
            </w14:solidFill>
          </w14:textFill>
        </w:rPr>
      </w:pPr>
      <w:r>
        <w:rPr>
          <w:rFonts w:hint="eastAsia" w:cs="Times New Roman"/>
          <w:color w:val="000000" w:themeColor="text1"/>
          <w:kern w:val="0"/>
          <w:szCs w:val="24"/>
          <w:highlight w:val="none"/>
          <w:lang w:val="en-US" w:eastAsia="zh-CN"/>
          <w14:textFill>
            <w14:solidFill>
              <w14:schemeClr w14:val="tx1"/>
            </w14:solidFill>
          </w14:textFill>
        </w:rPr>
        <w:t>c</w:t>
      </w:r>
      <w:r>
        <w:rPr>
          <w:rFonts w:hint="eastAsia" w:cs="Times New Roman"/>
          <w:color w:val="000000" w:themeColor="text1"/>
          <w:kern w:val="0"/>
          <w:szCs w:val="24"/>
          <w:highlight w:val="none"/>
          <w:lang w:eastAsia="zh-CN"/>
          <w14:textFill>
            <w14:solidFill>
              <w14:schemeClr w14:val="tx1"/>
            </w14:solidFill>
          </w14:textFill>
        </w:rPr>
        <w:t>、</w:t>
      </w:r>
      <w:r>
        <w:rPr>
          <w:rFonts w:cs="Times New Roman"/>
          <w:color w:val="000000" w:themeColor="text1"/>
          <w:kern w:val="0"/>
          <w:szCs w:val="24"/>
          <w:highlight w:val="none"/>
          <w14:textFill>
            <w14:solidFill>
              <w14:schemeClr w14:val="tx1"/>
            </w14:solidFill>
          </w14:textFill>
        </w:rPr>
        <w:t>施工过程中要对管道采取防腐措施，运行期间要定期进行防腐检测；</w:t>
      </w:r>
    </w:p>
    <w:p w14:paraId="2D7CB0F5">
      <w:pPr>
        <w:pStyle w:val="41"/>
        <w:overflowPunct w:val="0"/>
        <w:topLinePunct/>
        <w:spacing w:line="480" w:lineRule="exact"/>
        <w:ind w:firstLine="480"/>
        <w:rPr>
          <w:rFonts w:cs="Times New Roman"/>
          <w:color w:val="000000" w:themeColor="text1"/>
          <w:kern w:val="0"/>
          <w:szCs w:val="24"/>
          <w:highlight w:val="none"/>
          <w14:textFill>
            <w14:solidFill>
              <w14:schemeClr w14:val="tx1"/>
            </w14:solidFill>
          </w14:textFill>
        </w:rPr>
      </w:pPr>
      <w:r>
        <w:rPr>
          <w:rFonts w:hint="eastAsia" w:cs="Times New Roman"/>
          <w:color w:val="000000" w:themeColor="text1"/>
          <w:kern w:val="0"/>
          <w:szCs w:val="24"/>
          <w:highlight w:val="none"/>
          <w:lang w:val="en-US" w:eastAsia="zh-CN"/>
          <w14:textFill>
            <w14:solidFill>
              <w14:schemeClr w14:val="tx1"/>
            </w14:solidFill>
          </w14:textFill>
        </w:rPr>
        <w:t>d</w:t>
      </w:r>
      <w:r>
        <w:rPr>
          <w:rFonts w:hint="eastAsia" w:cs="Times New Roman"/>
          <w:color w:val="000000" w:themeColor="text1"/>
          <w:kern w:val="0"/>
          <w:szCs w:val="24"/>
          <w:highlight w:val="none"/>
          <w:lang w:eastAsia="zh-CN"/>
          <w14:textFill>
            <w14:solidFill>
              <w14:schemeClr w14:val="tx1"/>
            </w14:solidFill>
          </w14:textFill>
        </w:rPr>
        <w:t>、</w:t>
      </w:r>
      <w:r>
        <w:rPr>
          <w:rFonts w:cs="Times New Roman"/>
          <w:color w:val="000000" w:themeColor="text1"/>
          <w:kern w:val="0"/>
          <w:szCs w:val="24"/>
          <w:highlight w:val="none"/>
          <w14:textFill>
            <w14:solidFill>
              <w14:schemeClr w14:val="tx1"/>
            </w14:solidFill>
          </w14:textFill>
        </w:rPr>
        <w:t>投产前应按要求进行试运行，并对管道进行试压，对焊缝质量进行检验；</w:t>
      </w:r>
    </w:p>
    <w:p w14:paraId="062C48AC">
      <w:pPr>
        <w:pStyle w:val="41"/>
        <w:overflowPunct w:val="0"/>
        <w:topLinePunct/>
        <w:spacing w:line="480" w:lineRule="exact"/>
        <w:ind w:firstLine="480"/>
        <w:rPr>
          <w:rFonts w:cs="Times New Roman"/>
          <w:color w:val="000000" w:themeColor="text1"/>
          <w:kern w:val="0"/>
          <w:szCs w:val="24"/>
          <w:highlight w:val="none"/>
          <w14:textFill>
            <w14:solidFill>
              <w14:schemeClr w14:val="tx1"/>
            </w14:solidFill>
          </w14:textFill>
        </w:rPr>
      </w:pPr>
      <w:r>
        <w:rPr>
          <w:rFonts w:hint="eastAsia" w:cs="Times New Roman"/>
          <w:color w:val="000000" w:themeColor="text1"/>
          <w:kern w:val="0"/>
          <w:szCs w:val="24"/>
          <w:highlight w:val="none"/>
          <w:lang w:val="en-US" w:eastAsia="zh-CN"/>
          <w14:textFill>
            <w14:solidFill>
              <w14:schemeClr w14:val="tx1"/>
            </w14:solidFill>
          </w14:textFill>
        </w:rPr>
        <w:t>e</w:t>
      </w:r>
      <w:r>
        <w:rPr>
          <w:rFonts w:hint="eastAsia" w:cs="Times New Roman"/>
          <w:color w:val="000000" w:themeColor="text1"/>
          <w:kern w:val="0"/>
          <w:szCs w:val="24"/>
          <w:highlight w:val="none"/>
          <w:lang w:eastAsia="zh-CN"/>
          <w14:textFill>
            <w14:solidFill>
              <w14:schemeClr w14:val="tx1"/>
            </w14:solidFill>
          </w14:textFill>
        </w:rPr>
        <w:t>、</w:t>
      </w:r>
      <w:r>
        <w:rPr>
          <w:rFonts w:cs="Times New Roman"/>
          <w:color w:val="000000" w:themeColor="text1"/>
          <w:kern w:val="0"/>
          <w:szCs w:val="24"/>
          <w:highlight w:val="none"/>
          <w14:textFill>
            <w14:solidFill>
              <w14:schemeClr w14:val="tx1"/>
            </w14:solidFill>
          </w14:textFill>
        </w:rPr>
        <w:t>运行期间要定期检查各设备、管线及其连接部位，确保无跑冒滴漏现象。</w:t>
      </w:r>
    </w:p>
    <w:p w14:paraId="0248E12C">
      <w:pPr>
        <w:overflowPunct w:val="0"/>
        <w:topLinePunct/>
        <w:ind w:firstLine="480"/>
        <w:rPr>
          <w:color w:val="000000" w:themeColor="text1"/>
          <w:kern w:val="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严格做好工程防渗</w:t>
      </w:r>
    </w:p>
    <w:p w14:paraId="584F5FD6">
      <w:pPr>
        <w:widowControl/>
        <w:overflowPunct w:val="0"/>
        <w:topLinePunct/>
        <w:ind w:firstLine="480"/>
        <w:rPr>
          <w:color w:val="000000" w:themeColor="text1"/>
          <w:highlight w:val="none"/>
          <w14:textFill>
            <w14:solidFill>
              <w14:schemeClr w14:val="tx1"/>
            </w14:solidFill>
          </w14:textFill>
        </w:rPr>
      </w:pPr>
      <w:r>
        <w:rPr>
          <w:color w:val="000000" w:themeColor="text1"/>
          <w:szCs w:val="21"/>
          <w:highlight w:val="none"/>
          <w:lang w:bidi="ar"/>
          <w14:textFill>
            <w14:solidFill>
              <w14:schemeClr w14:val="tx1"/>
            </w14:solidFill>
          </w14:textFill>
        </w:rPr>
        <w:t>为防止地下水污染事故，本项目针对各生产车间、尾矿库等要求其进行分区防渗，具体分区防渗措施见第六章，采取分区防渗后可从源头控制对地下水的影响。</w:t>
      </w:r>
    </w:p>
    <w:p w14:paraId="52D1311A">
      <w:pPr>
        <w:pStyle w:val="41"/>
        <w:overflowPunct w:val="0"/>
        <w:topLinePunct/>
        <w:spacing w:line="480" w:lineRule="exact"/>
        <w:ind w:firstLine="480"/>
        <w:rPr>
          <w:rFonts w:cs="Times New Roman"/>
          <w:color w:val="000000" w:themeColor="text1"/>
          <w:kern w:val="0"/>
          <w:szCs w:val="24"/>
          <w:highlight w:val="none"/>
          <w14:textFill>
            <w14:solidFill>
              <w14:schemeClr w14:val="tx1"/>
            </w14:solidFill>
          </w14:textFill>
        </w:rPr>
      </w:pPr>
      <w:r>
        <w:rPr>
          <w:rFonts w:hint="eastAsia" w:cs="Times New Roman"/>
          <w:color w:val="000000" w:themeColor="text1"/>
          <w:kern w:val="0"/>
          <w:szCs w:val="24"/>
          <w:highlight w:val="none"/>
          <w:lang w:val="en-US" w:eastAsia="zh-CN"/>
          <w14:textFill>
            <w14:solidFill>
              <w14:schemeClr w14:val="tx1"/>
            </w14:solidFill>
          </w14:textFill>
        </w:rPr>
        <w:t>③</w:t>
      </w:r>
      <w:r>
        <w:rPr>
          <w:rFonts w:cs="Times New Roman"/>
          <w:color w:val="000000" w:themeColor="text1"/>
          <w:kern w:val="0"/>
          <w:szCs w:val="24"/>
          <w:highlight w:val="none"/>
          <w14:textFill>
            <w14:solidFill>
              <w14:schemeClr w14:val="tx1"/>
            </w14:solidFill>
          </w14:textFill>
        </w:rPr>
        <w:t>防渗层维护</w:t>
      </w:r>
    </w:p>
    <w:p w14:paraId="3694F237">
      <w:pPr>
        <w:pStyle w:val="41"/>
        <w:overflowPunct w:val="0"/>
        <w:topLinePunct/>
        <w:spacing w:line="480" w:lineRule="exact"/>
        <w:ind w:firstLine="480"/>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项目日常运营过程，要定期对防渗措施进行检查和维护，确保防渗层的防渗效果，一旦发现防渗层有开裂、腐蚀等问题，应及时修补，避免事故状态下对项目区地下水造成污染。</w:t>
      </w:r>
    </w:p>
    <w:p w14:paraId="22530200">
      <w:pPr>
        <w:pStyle w:val="41"/>
        <w:overflowPunct w:val="0"/>
        <w:topLinePunct/>
        <w:spacing w:line="480" w:lineRule="exact"/>
        <w:ind w:firstLine="480"/>
        <w:rPr>
          <w:rFonts w:cs="Times New Roman"/>
          <w:color w:val="000000" w:themeColor="text1"/>
          <w:kern w:val="0"/>
          <w:szCs w:val="24"/>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经采取上述措施后，事故状态下产生的废水对区域地下水周围环境的影响较小。</w:t>
      </w:r>
    </w:p>
    <w:p w14:paraId="6968583D">
      <w:pPr>
        <w:pStyle w:val="41"/>
        <w:overflowPunct w:val="0"/>
        <w:topLinePunct/>
        <w:spacing w:line="480" w:lineRule="exact"/>
        <w:ind w:left="480" w:firstLine="0" w:firstLineChars="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（4）</w:t>
      </w:r>
      <w:r>
        <w:rPr>
          <w:rFonts w:cs="Times New Roman"/>
          <w:color w:val="000000" w:themeColor="text1"/>
          <w:highlight w:val="none"/>
          <w14:textFill>
            <w14:solidFill>
              <w14:schemeClr w14:val="tx1"/>
            </w14:solidFill>
          </w14:textFill>
        </w:rPr>
        <w:t>尾矿库环境风险防范措施</w:t>
      </w:r>
    </w:p>
    <w:p w14:paraId="39E363D6">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本尾矿库必须严格按照《选矿安全规程》《选矿厂尾矿库设施设计规范》及《尾矿库安全监督管理规定》</w:t>
      </w:r>
      <w:r>
        <w:rPr>
          <w:rFonts w:hint="eastAsia" w:ascii="Times New Roman" w:hAnsi="Times New Roman"/>
          <w:color w:val="000000" w:themeColor="text1"/>
          <w:highlight w:val="none"/>
          <w14:textFill>
            <w14:solidFill>
              <w14:schemeClr w14:val="tx1"/>
            </w14:solidFill>
          </w14:textFill>
        </w:rPr>
        <w:t>《尾矿库安全规程》（GB39496-2020）</w:t>
      </w:r>
      <w:r>
        <w:rPr>
          <w:rFonts w:cs="Times New Roman"/>
          <w:color w:val="000000" w:themeColor="text1"/>
          <w:highlight w:val="none"/>
          <w14:textFill>
            <w14:solidFill>
              <w14:schemeClr w14:val="tx1"/>
            </w14:solidFill>
          </w14:textFill>
        </w:rPr>
        <w:t>等相关规范对尾矿库进行设计、施工、生产运行、关闭及安全监督管理与维护，以防止发生溃坝等严重事故，并按《建筑抗震设计规范》进行抗震验算，同时环评要求本尾矿库在未闭库之前其安全管理必须严格按有关规范执行。尾矿库主要风险防范措施如下：</w:t>
      </w:r>
    </w:p>
    <w:p w14:paraId="274B84C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1）尾矿库</w:t>
      </w:r>
      <w:r>
        <w:rPr>
          <w:rFonts w:hint="eastAsia"/>
          <w:color w:val="000000" w:themeColor="text1"/>
          <w:highlight w:val="none"/>
          <w14:textFill>
            <w14:solidFill>
              <w14:schemeClr w14:val="tx1"/>
            </w14:solidFill>
          </w14:textFill>
        </w:rPr>
        <w:t>溃坝</w:t>
      </w:r>
      <w:r>
        <w:rPr>
          <w:color w:val="000000" w:themeColor="text1"/>
          <w:highlight w:val="none"/>
          <w14:textFill>
            <w14:solidFill>
              <w14:schemeClr w14:val="tx1"/>
            </w14:solidFill>
          </w14:textFill>
        </w:rPr>
        <w:t>的防范措施</w:t>
      </w:r>
    </w:p>
    <w:p w14:paraId="710ADCE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A.要坚持对尾矿坝的定期观测，包括坝体变形、坝内浸润线观测；通过坝体的渗透流量观测以及排洪隧洞的土压力及变形观测等，以保证能够及时发现问题，及时解决，防患于未然。</w:t>
      </w:r>
    </w:p>
    <w:p w14:paraId="5486EF3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本项目修建有初期坝、排水管+排洪明渠等排水设施。应对尾矿库进行管理和维护，随时检查尾矿库排水、排洪等构筑物的排洪情况，特别是在雨季、汛期，要坚持24小时值班，以保证遇到险情及时报告、及时排除。</w:t>
      </w:r>
    </w:p>
    <w:p w14:paraId="0657BFE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C.项目设置位移监测设施，包括位移监测点及监测基点。定期对坝体变形、坝内浸润线进行观测；通过坝体的渗透流量观测及变形观测等，以保证能够及时发现问题，及时解决，防患于未然。</w:t>
      </w:r>
    </w:p>
    <w:p w14:paraId="4FBBE94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D.服务期满后要在试验研究的基础上及时制定覆土、植被或复田的实施方案，并对坝体的稳定性进行检验，确保尾矿坝的安全。同时应做到及时封场并恢复植被，禁止尾矿库排入尾矿量超过设计指标。</w:t>
      </w:r>
    </w:p>
    <w:p w14:paraId="40A1741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E.根据国内外尾矿库的建设与运行实践，只要在尾矿库的设计、施工和运行过程中严格执行《选矿厂尾矿设施设计规程》和《尾矿设施管理规程》，保证施工质量，尾矿库垮坝的事故是可以避免的。</w:t>
      </w:r>
    </w:p>
    <w:p w14:paraId="54FAA6B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2）尾矿库维护管理</w:t>
      </w:r>
    </w:p>
    <w:p w14:paraId="4787C762">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A.尾矿库运行过程中，必须按照设计和有关技术规定，认真做好作业平台、待作业平台的维护管理工作。</w:t>
      </w:r>
    </w:p>
    <w:p w14:paraId="506F8665">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B.建立健全巡坝护坝工作责任制度，安排专人巡视尾矿坝和整个尾矿库区，保护好尾矿库内相关观测设施，做好坝体安全监测工作。</w:t>
      </w:r>
    </w:p>
    <w:p w14:paraId="0FFD6C7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C.发现尾矿坝外坡出现局部隆起、坍塌、流沙（土）、管涌等异常现象，应立即分析研究原因，制定处理措施并及时实施处理方案，同时加密观测次数并报告有关部门。</w:t>
      </w:r>
    </w:p>
    <w:p w14:paraId="34DD735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D.针对尾矿库实际情况，制定尾矿库管理维护和运行细则。安排专人定期检查维护排洪设施、排渗设施等。</w:t>
      </w:r>
    </w:p>
    <w:p w14:paraId="2CC84626">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F.当接到震情预报时，根据实际情况作出防震计划和安排。</w:t>
      </w:r>
    </w:p>
    <w:p w14:paraId="280AF36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G.在库区内严禁爆破、采石、挖土、滥挖尾矿等危害尾矿库安全的活动。如企业需要回采或综合利用库区尾矿时，必须做开发工程设计并经上级主管部门批准后方可进行。</w:t>
      </w:r>
    </w:p>
    <w:p w14:paraId="47EC02E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H.每级子坝堆筑完毕，应进行质量检验，检验记录与报告需经技术人员签字后存档。</w:t>
      </w:r>
    </w:p>
    <w:p w14:paraId="4CB4C4D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3）尾矿库</w:t>
      </w:r>
      <w:r>
        <w:rPr>
          <w:rFonts w:hint="eastAsia"/>
          <w:color w:val="000000" w:themeColor="text1"/>
          <w:highlight w:val="none"/>
          <w:lang w:eastAsia="zh-CN"/>
          <w14:textFill>
            <w14:solidFill>
              <w14:schemeClr w14:val="tx1"/>
            </w14:solidFill>
          </w14:textFill>
        </w:rPr>
        <w:t>度汛</w:t>
      </w:r>
    </w:p>
    <w:p w14:paraId="75787DE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A.汛前应按下列要求制定</w:t>
      </w:r>
      <w:r>
        <w:rPr>
          <w:rFonts w:hint="eastAsia"/>
          <w:color w:val="000000" w:themeColor="text1"/>
          <w:highlight w:val="none"/>
          <w:lang w:eastAsia="zh-CN"/>
          <w14:textFill>
            <w14:solidFill>
              <w14:schemeClr w14:val="tx1"/>
            </w14:solidFill>
          </w14:textFill>
        </w:rPr>
        <w:t>度汛</w:t>
      </w:r>
      <w:r>
        <w:rPr>
          <w:color w:val="000000" w:themeColor="text1"/>
          <w:highlight w:val="none"/>
          <w14:textFill>
            <w14:solidFill>
              <w14:schemeClr w14:val="tx1"/>
            </w14:solidFill>
          </w14:textFill>
        </w:rPr>
        <w:t>方案：</w:t>
      </w:r>
    </w:p>
    <w:p w14:paraId="12733927">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B.对坝体必须进行详细检查和可靠的维护，确保排洪通道畅通。</w:t>
      </w:r>
    </w:p>
    <w:p w14:paraId="54B3A46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C.应准备好必要的抢险、交通、通讯、供电及照明器材或设施，维护整修上坝道路，并确保安全畅通。</w:t>
      </w:r>
    </w:p>
    <w:p w14:paraId="0166307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D.应了解掌握汛期水情和气象预报。</w:t>
      </w:r>
    </w:p>
    <w:p w14:paraId="43E965E6">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4）尾矿库渗流控制</w:t>
      </w:r>
    </w:p>
    <w:p w14:paraId="1B375194">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A.应防止坝肩、坝体及坝基出现渗透破坏。</w:t>
      </w:r>
    </w:p>
    <w:p w14:paraId="7F279DA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B.当发现坝体裂缝、坍塌、管涌、渗水量增大或渗透水浑浊等异常情况时，应立即采取处理措施，同时加强观察并报告有关部门。</w:t>
      </w:r>
    </w:p>
    <w:p w14:paraId="178791A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5）检查和观测</w:t>
      </w:r>
    </w:p>
    <w:p w14:paraId="3AB3AAE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A.尾矿库检查</w:t>
      </w:r>
    </w:p>
    <w:p w14:paraId="3D4ADEF8">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尾矿库的检查工作可分为经常检查、定期检查、特别检查和安全鉴定：</w:t>
      </w:r>
    </w:p>
    <w:p w14:paraId="52A838E2">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a.经常检查由基层管理机构组织进行，检查项目可根据各尾矿库的具体情况自行决定。</w:t>
      </w:r>
    </w:p>
    <w:p w14:paraId="4ABDD715">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b.定期检查由上级管理机构组织进行，每年汛前、汛后，应对尾矿库进行全面检查。</w:t>
      </w:r>
    </w:p>
    <w:p w14:paraId="77F7DAB5">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c.特别检查，当发生特大洪水、暴雨、强烈地震及重大事故等非常情况后，基层管理单位应及时组织检查，必要时报上级有关单位会同检查。</w:t>
      </w:r>
    </w:p>
    <w:p w14:paraId="066FDAE8">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d.安全鉴定：应根据具体情况按现行规范进行一至两次以抗洪、稳定为重点的安全鉴定，以指导后期尾矿库的管理工作。</w:t>
      </w:r>
    </w:p>
    <w:p w14:paraId="7B9E8A4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通过检查尾矿库的实际运行情况可及时掌握</w:t>
      </w:r>
      <w:r>
        <w:rPr>
          <w:rFonts w:hint="eastAsia"/>
          <w:color w:val="000000" w:themeColor="text1"/>
          <w:highlight w:val="none"/>
          <w:lang w:val="en-US" w:eastAsia="zh-CN"/>
          <w14:textFill>
            <w14:solidFill>
              <w14:schemeClr w14:val="tx1"/>
            </w14:solidFill>
          </w14:textFill>
        </w:rPr>
        <w:t>坝体的</w:t>
      </w:r>
      <w:r>
        <w:rPr>
          <w:color w:val="000000" w:themeColor="text1"/>
          <w:highlight w:val="none"/>
          <w14:textFill>
            <w14:solidFill>
              <w14:schemeClr w14:val="tx1"/>
            </w14:solidFill>
          </w14:textFill>
        </w:rPr>
        <w:t>工作状态，为正确管理、处理事故、维修等提供依据；及时发现不正常的迹象，可分析原因、采取措施，从而防止事故发生。</w:t>
      </w:r>
    </w:p>
    <w:p w14:paraId="21B739E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对尾矿库的检查应按照以下要求具体执行：</w:t>
      </w:r>
    </w:p>
    <w:p w14:paraId="7EF432A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当尾矿设施遇到特殊运行情况或遭受严重外界影响时，例如排矿初期，暴风雨、温度聚变或地震等，对工程的薄弱部位和重要部位，应特别仔细检查，如发现对工程安全有严重威胁的情况，必须昼夜连续监视，并采取有效控制措施。</w:t>
      </w:r>
    </w:p>
    <w:p w14:paraId="60A272B6">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b.对其他土工构筑物的检查应注意它们有无裂缝、塌陷、隆起、流土、管涌、滑裂或滑落等现象，坝坡有无冲刷破坏，导渗降压设施是否完好等。</w:t>
      </w:r>
    </w:p>
    <w:p w14:paraId="43172E8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c.对于混凝土构筑物应针对不同工程的结构特点，注意检查结构有无裂缝，表面</w:t>
      </w:r>
      <w:r>
        <w:rPr>
          <w:rFonts w:hint="eastAsia"/>
          <w:color w:val="000000" w:themeColor="text1"/>
          <w:highlight w:val="none"/>
          <w:lang w:eastAsia="zh-CN"/>
          <w14:textFill>
            <w14:solidFill>
              <w14:schemeClr w14:val="tx1"/>
            </w14:solidFill>
          </w14:textFill>
        </w:rPr>
        <w:t>有无</w:t>
      </w:r>
      <w:r>
        <w:rPr>
          <w:color w:val="000000" w:themeColor="text1"/>
          <w:highlight w:val="none"/>
          <w14:textFill>
            <w14:solidFill>
              <w14:schemeClr w14:val="tx1"/>
            </w14:solidFill>
          </w14:textFill>
        </w:rPr>
        <w:t>剥蚀、脱落，有无冲刷、渗漏等。</w:t>
      </w:r>
    </w:p>
    <w:p w14:paraId="0D568FC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B.尾矿库观测</w:t>
      </w:r>
    </w:p>
    <w:p w14:paraId="18161CFA">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尾矿库观测应满足下列基本要求：</w:t>
      </w:r>
    </w:p>
    <w:p w14:paraId="39D5FD9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a.尾矿库工程观测必须按设计和管理规定的内容和时间进行全面、系统和连续的观测，相关的观测项目应配合进行。</w:t>
      </w:r>
    </w:p>
    <w:p w14:paraId="6224731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b.必须保证观测结果准确。</w:t>
      </w:r>
    </w:p>
    <w:p w14:paraId="60BA1103">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c.专业技术人员应对观测成果及时进行整编分析、绘制图表，如有异常现象时应进行复测，并根据复测结果提出处理意见。</w:t>
      </w:r>
    </w:p>
    <w:p w14:paraId="29E9560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d.尾矿设施的观测项目应根据运行要求、结构物特点、工程规模和技术水平等实际情况确定。</w:t>
      </w:r>
    </w:p>
    <w:p w14:paraId="102DC229">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e.检查观测都应详细记录，交给专业技术人员审阅分析后存档。</w:t>
      </w:r>
    </w:p>
    <w:p w14:paraId="049B918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f.定期检查、特别检查和安全鉴定的技术文件，观测结果的分析意见和主要参数，都应形成书面报告，除本单位存档外，同时报上级主管部门和监督站。</w:t>
      </w:r>
    </w:p>
    <w:p w14:paraId="7AE4721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6）抗震</w:t>
      </w:r>
    </w:p>
    <w:p w14:paraId="2CC62ED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抗震工作应贯彻预防为主的方针。当接到震情预防时，应根据实际情况做出防震、抗震技术和安排，其内容应包括：</w:t>
      </w:r>
    </w:p>
    <w:p w14:paraId="2EFCB09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A.按照设计文件的要求进行尾矿库抗震检查，根据检查结果，采取预防措施。</w:t>
      </w:r>
    </w:p>
    <w:p w14:paraId="2B96B277">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B.做好人员组织、物资、交通、通讯、照明、报警、抢险和救护等各项抗震准备工作，同时加强震前值班、巡坝工作。</w:t>
      </w:r>
    </w:p>
    <w:p w14:paraId="4D21EC52">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项目在实际运行的过程中应同时加强尾矿输送过程的管理，定期对管道进行检查，发现问题及时解决，防止由于管道磨损或破裂造成尾矿泄漏。</w:t>
      </w:r>
    </w:p>
    <w:p w14:paraId="25EEF0D5">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）尾矿库服务期满</w:t>
      </w:r>
    </w:p>
    <w:p w14:paraId="1D99DA42">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建设单位在尾矿库停止使用后必须进行处置，保证不污染环境，消除污染事故隐患。对尾矿库的环境污染防治设施、生态保护工程进行闭库验收，验收时应对尾矿库中的尾砂进行环境达标监测。关闭尾矿环保设施必须经企业主管部门报当地省环境保护行政部门验收、批准。经验收移交后的尾矿设施其污染防治由接收单位负责。利用处置过的环保设施，需经地区、县生态环境行政部门批准，并报省生态环境行政部门备案。</w:t>
      </w:r>
    </w:p>
    <w:p w14:paraId="75E9B1C0">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尾矿库使用到最终设计高程时，选矿厂应停止生产并进行闭库设计，做好闭库后尾矿库的管理工作。建设单位应当根据尾矿库设计资料，在尾矿库闭库前1年，委托具有相应资质的设计单位进行尾矿库闭库设计。</w:t>
      </w:r>
    </w:p>
    <w:p w14:paraId="0D260C13">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（5）地下水环境及土壤突发环境事件处置措施</w:t>
      </w:r>
    </w:p>
    <w:p w14:paraId="23B8C94D">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若尾矿浆或尾矿砂、尾矿渗滤水大量泄漏，由于地下水及土壤的污染与地表水的表现相比行程比较漫长，因此突发事件发生后，环境监测组</w:t>
      </w:r>
      <w:r>
        <w:rPr>
          <w:rFonts w:hint="eastAsia" w:cs="Times New Roman"/>
          <w:color w:val="000000" w:themeColor="text1"/>
          <w:highlight w:val="none"/>
          <w:lang w:eastAsia="zh-CN"/>
          <w14:textFill>
            <w14:solidFill>
              <w14:schemeClr w14:val="tx1"/>
            </w14:solidFill>
          </w14:textFill>
        </w:rPr>
        <w:t>协调</w:t>
      </w:r>
      <w:r>
        <w:rPr>
          <w:rFonts w:cs="Times New Roman"/>
          <w:color w:val="000000" w:themeColor="text1"/>
          <w:highlight w:val="none"/>
          <w14:textFill>
            <w14:solidFill>
              <w14:schemeClr w14:val="tx1"/>
            </w14:solidFill>
          </w14:textFill>
        </w:rPr>
        <w:t>当地环境监测站在项目周围设置地下水及土壤的监测点，监测项目根据突发事件泄漏的物料决定，地下水主要监测因子为pH、总硬度、溶解性总固体、硫酸盐、铁、锰、铜、高锰酸盐指数、氨氮、氟化物、铜、汞、砷、铅；土壤主要监测因子为铜、汞、砷、铅、石油类。</w:t>
      </w:r>
    </w:p>
    <w:p w14:paraId="0A44EE55">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监测周期需要从突发事件发生到突发事件处理结束，恢复正常生产，污水出水水质恢复正常。定期监测地下水和土壤相关污染物含量，了解突发事件对地下水及土壤的污染情况。根据污染情况，及时委托专业部门制定治理措施，防止污染的扩散。</w:t>
      </w:r>
    </w:p>
    <w:p w14:paraId="470A4692">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（6）自然灾害引发突发环境事件应急处置措施</w:t>
      </w:r>
    </w:p>
    <w:p w14:paraId="21A6FCC6">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因地震、洪涝、滑坡、山洪泥石流等自然灾害原因引发突发环境事件时，采取以下处置措施：</w:t>
      </w:r>
    </w:p>
    <w:p w14:paraId="3CE066D3">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①</w:t>
      </w:r>
      <w:r>
        <w:rPr>
          <w:rFonts w:cs="Times New Roman"/>
          <w:color w:val="000000" w:themeColor="text1"/>
          <w:highlight w:val="none"/>
          <w14:textFill>
            <w14:solidFill>
              <w14:schemeClr w14:val="tx1"/>
            </w14:solidFill>
          </w14:textFill>
        </w:rPr>
        <w:t>当有地震、洪涝、滑坡、山洪泥石流等自然灾害预警信息发布时，建设单位应急指挥中心提前协助上级政府部门做好下游可能受影响区域人员的转移工作，并妥善安置。</w:t>
      </w:r>
    </w:p>
    <w:p w14:paraId="06AB61D5">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②</w:t>
      </w:r>
      <w:r>
        <w:rPr>
          <w:rFonts w:cs="Times New Roman"/>
          <w:color w:val="000000" w:themeColor="text1"/>
          <w:highlight w:val="none"/>
          <w14:textFill>
            <w14:solidFill>
              <w14:schemeClr w14:val="tx1"/>
            </w14:solidFill>
          </w14:textFill>
        </w:rPr>
        <w:t>一旦发生尾矿库溃坝事故后，抢修救援组立即到达事故现场实施救援，警戒疏散组根据事故安全范围，建立警戒区，疏散与抢险无关人员至安全区域。</w:t>
      </w:r>
    </w:p>
    <w:p w14:paraId="3986D497">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③</w:t>
      </w:r>
      <w:r>
        <w:rPr>
          <w:rFonts w:cs="Times New Roman"/>
          <w:color w:val="000000" w:themeColor="text1"/>
          <w:highlight w:val="none"/>
          <w14:textFill>
            <w14:solidFill>
              <w14:schemeClr w14:val="tx1"/>
            </w14:solidFill>
          </w14:textFill>
        </w:rPr>
        <w:t>若可能对地下水造成污染，则环境监测组组织人员对可能污染的地下水、土壤等实施应急监测。</w:t>
      </w:r>
    </w:p>
    <w:p w14:paraId="6C7F6F18">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④</w:t>
      </w:r>
      <w:r>
        <w:rPr>
          <w:rFonts w:cs="Times New Roman"/>
          <w:color w:val="000000" w:themeColor="text1"/>
          <w:highlight w:val="none"/>
          <w14:textFill>
            <w14:solidFill>
              <w14:schemeClr w14:val="tx1"/>
            </w14:solidFill>
          </w14:textFill>
        </w:rPr>
        <w:t>后勤保障组及时调剂物资及动力设施的供应。</w:t>
      </w:r>
    </w:p>
    <w:p w14:paraId="2AE27C1F">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⑤</w:t>
      </w:r>
      <w:r>
        <w:rPr>
          <w:rFonts w:cs="Times New Roman"/>
          <w:color w:val="000000" w:themeColor="text1"/>
          <w:highlight w:val="none"/>
          <w14:textFill>
            <w14:solidFill>
              <w14:schemeClr w14:val="tx1"/>
            </w14:solidFill>
          </w14:textFill>
        </w:rPr>
        <w:t>信息联络组负责救援行动中的信息收集和内部信息传递。</w:t>
      </w:r>
    </w:p>
    <w:p w14:paraId="0943734F">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b/>
          <w:bCs/>
          <w:color w:val="000000" w:themeColor="text1"/>
          <w:sz w:val="30"/>
          <w:szCs w:val="32"/>
          <w:highlight w:val="none"/>
          <w14:textFill>
            <w14:solidFill>
              <w14:schemeClr w14:val="tx1"/>
            </w14:solidFill>
          </w14:textFill>
        </w:rPr>
        <w:t>5.3.6尾矿库环境安全隐患排查</w:t>
      </w:r>
    </w:p>
    <w:p w14:paraId="77F091E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（1）尾矿库环境安全隐患排查治理</w:t>
      </w:r>
    </w:p>
    <w:p w14:paraId="65BFA8AC">
      <w:pPr>
        <w:overflowPunct w:val="0"/>
        <w:topLinePunct/>
        <w:ind w:firstLine="480"/>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同类型尾矿库隐患及事故分析，本项目隐患排查应当建立台账，实行“一库一档”档案管理，对存在的环境违法问题和安全隐患进行全面整改，有效遏制突发环境事故的发生。本项目隐患排查注意从如下几方面进行：</w:t>
      </w:r>
      <w:bookmarkStart w:id="780" w:name="_Toc20886_WPSOffice_Level2"/>
    </w:p>
    <w:p w14:paraId="1ED9E366">
      <w:pPr>
        <w:ind w:firstLine="0" w:firstLineChars="0"/>
        <w:jc w:val="center"/>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表5.3-</w:t>
      </w:r>
      <w:r>
        <w:rPr>
          <w:rFonts w:hint="eastAsia"/>
          <w:b/>
          <w:bCs/>
          <w:color w:val="000000" w:themeColor="text1"/>
          <w:highlight w:val="none"/>
          <w:lang w:val="en-US" w:eastAsia="zh-CN"/>
          <w14:textFill>
            <w14:solidFill>
              <w14:schemeClr w14:val="tx1"/>
            </w14:solidFill>
          </w14:textFill>
        </w:rPr>
        <w:t>14</w:t>
      </w:r>
      <w:r>
        <w:rPr>
          <w:b/>
          <w:bCs/>
          <w:color w:val="000000" w:themeColor="text1"/>
          <w:highlight w:val="none"/>
          <w14:textFill>
            <w14:solidFill>
              <w14:schemeClr w14:val="tx1"/>
            </w14:solidFill>
          </w14:textFill>
        </w:rPr>
        <w:t xml:space="preserve">    尾矿库隐患排查记录表</w:t>
      </w:r>
      <w:bookmarkEnd w:id="780"/>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1"/>
        <w:gridCol w:w="741"/>
        <w:gridCol w:w="3970"/>
        <w:gridCol w:w="1266"/>
        <w:gridCol w:w="2044"/>
      </w:tblGrid>
      <w:tr w14:paraId="10D6C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1" w:type="dxa"/>
            <w:tcBorders>
              <w:tl2br w:val="nil"/>
              <w:tr2bl w:val="nil"/>
            </w:tcBorders>
            <w:noWrap w:val="0"/>
            <w:vAlign w:val="center"/>
          </w:tcPr>
          <w:p w14:paraId="235E22FF">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741" w:type="dxa"/>
            <w:tcBorders>
              <w:tl2br w:val="nil"/>
              <w:tr2bl w:val="nil"/>
            </w:tcBorders>
            <w:noWrap w:val="0"/>
            <w:vAlign w:val="center"/>
          </w:tcPr>
          <w:p w14:paraId="229847B6">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检查内容</w:t>
            </w:r>
          </w:p>
        </w:tc>
        <w:tc>
          <w:tcPr>
            <w:tcW w:w="3970" w:type="dxa"/>
            <w:tcBorders>
              <w:tl2br w:val="nil"/>
              <w:tr2bl w:val="nil"/>
            </w:tcBorders>
            <w:noWrap w:val="0"/>
            <w:vAlign w:val="center"/>
          </w:tcPr>
          <w:p w14:paraId="42EBF600">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检查标准或依据</w:t>
            </w:r>
          </w:p>
        </w:tc>
        <w:tc>
          <w:tcPr>
            <w:tcW w:w="1266" w:type="dxa"/>
            <w:tcBorders>
              <w:tl2br w:val="nil"/>
              <w:tr2bl w:val="nil"/>
            </w:tcBorders>
            <w:noWrap w:val="0"/>
            <w:vAlign w:val="center"/>
          </w:tcPr>
          <w:p w14:paraId="55A9F4E8">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法规依据</w:t>
            </w:r>
          </w:p>
        </w:tc>
        <w:tc>
          <w:tcPr>
            <w:tcW w:w="2044" w:type="dxa"/>
            <w:tcBorders>
              <w:tl2br w:val="nil"/>
              <w:tr2bl w:val="nil"/>
            </w:tcBorders>
            <w:noWrap w:val="0"/>
            <w:vAlign w:val="center"/>
          </w:tcPr>
          <w:p w14:paraId="25EF1602">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检查方法</w:t>
            </w:r>
          </w:p>
        </w:tc>
      </w:tr>
      <w:tr w14:paraId="30781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restart"/>
            <w:tcBorders>
              <w:tl2br w:val="nil"/>
              <w:tr2bl w:val="nil"/>
            </w:tcBorders>
            <w:noWrap w:val="0"/>
            <w:vAlign w:val="center"/>
          </w:tcPr>
          <w:p w14:paraId="27A37A3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741" w:type="dxa"/>
            <w:vMerge w:val="restart"/>
            <w:tcBorders>
              <w:tl2br w:val="nil"/>
              <w:tr2bl w:val="nil"/>
            </w:tcBorders>
            <w:noWrap w:val="0"/>
            <w:vAlign w:val="center"/>
          </w:tcPr>
          <w:p w14:paraId="222AB9F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尾矿坝</w:t>
            </w:r>
          </w:p>
        </w:tc>
        <w:tc>
          <w:tcPr>
            <w:tcW w:w="3970" w:type="dxa"/>
            <w:tcBorders>
              <w:tl2br w:val="nil"/>
              <w:tr2bl w:val="nil"/>
            </w:tcBorders>
            <w:noWrap w:val="0"/>
            <w:vAlign w:val="center"/>
          </w:tcPr>
          <w:p w14:paraId="289239B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初期坝上下游坡比应满足规程要求，同时不陡于设计规定的坡度</w:t>
            </w:r>
          </w:p>
        </w:tc>
        <w:tc>
          <w:tcPr>
            <w:tcW w:w="1266" w:type="dxa"/>
            <w:vMerge w:val="restart"/>
            <w:tcBorders>
              <w:tl2br w:val="nil"/>
              <w:tr2bl w:val="nil"/>
            </w:tcBorders>
            <w:noWrap w:val="0"/>
            <w:vAlign w:val="center"/>
          </w:tcPr>
          <w:p w14:paraId="6026301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《尾矿库安全规程》（GB39496-2020）</w:t>
            </w:r>
          </w:p>
        </w:tc>
        <w:tc>
          <w:tcPr>
            <w:tcW w:w="2044" w:type="dxa"/>
            <w:tcBorders>
              <w:tl2br w:val="nil"/>
              <w:tr2bl w:val="nil"/>
            </w:tcBorders>
            <w:noWrap w:val="0"/>
            <w:vAlign w:val="center"/>
          </w:tcPr>
          <w:p w14:paraId="540B3B2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查阅设计资料，检查初期坝</w:t>
            </w:r>
          </w:p>
        </w:tc>
      </w:tr>
      <w:tr w14:paraId="01745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05A301B7">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4114E3A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1746D9B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坝下渗水量正常，水质清澈，无</w:t>
            </w:r>
            <w:r>
              <w:rPr>
                <w:rFonts w:hint="eastAsia"/>
                <w:color w:val="000000" w:themeColor="text1"/>
                <w:sz w:val="21"/>
                <w:szCs w:val="21"/>
                <w:highlight w:val="none"/>
                <w:lang w:eastAsia="zh-CN"/>
                <w14:textFill>
                  <w14:solidFill>
                    <w14:schemeClr w14:val="tx1"/>
                  </w14:solidFill>
                </w14:textFill>
              </w:rPr>
              <w:t>浑水</w:t>
            </w:r>
            <w:r>
              <w:rPr>
                <w:color w:val="000000" w:themeColor="text1"/>
                <w:sz w:val="21"/>
                <w:szCs w:val="21"/>
                <w:highlight w:val="none"/>
                <w14:textFill>
                  <w14:solidFill>
                    <w14:schemeClr w14:val="tx1"/>
                  </w14:solidFill>
                </w14:textFill>
              </w:rPr>
              <w:t>渗出</w:t>
            </w:r>
          </w:p>
        </w:tc>
        <w:tc>
          <w:tcPr>
            <w:tcW w:w="1266" w:type="dxa"/>
            <w:vMerge w:val="continue"/>
            <w:tcBorders>
              <w:tl2br w:val="nil"/>
              <w:tr2bl w:val="nil"/>
            </w:tcBorders>
            <w:noWrap w:val="0"/>
            <w:vAlign w:val="center"/>
          </w:tcPr>
          <w:p w14:paraId="1246DF47">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70217A4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检查坝体渗水量和是否浑浊</w:t>
            </w:r>
          </w:p>
        </w:tc>
      </w:tr>
      <w:tr w14:paraId="6EB99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2CF57F7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27FBF68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65142DC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堆积坡比符合设计要求，不应陡于设计规定</w:t>
            </w:r>
          </w:p>
        </w:tc>
        <w:tc>
          <w:tcPr>
            <w:tcW w:w="1266" w:type="dxa"/>
            <w:vMerge w:val="continue"/>
            <w:tcBorders>
              <w:tl2br w:val="nil"/>
              <w:tr2bl w:val="nil"/>
            </w:tcBorders>
            <w:noWrap w:val="0"/>
            <w:vAlign w:val="center"/>
          </w:tcPr>
          <w:p w14:paraId="1105039C">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76A683D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检查尾矿坝现场，查阅设计资料</w:t>
            </w:r>
          </w:p>
        </w:tc>
      </w:tr>
      <w:tr w14:paraId="74944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445DB6A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5F18758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3D41124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下游坡面无严重冲沟、裂缝、塌坑和滑坡等不良现象</w:t>
            </w:r>
          </w:p>
        </w:tc>
        <w:tc>
          <w:tcPr>
            <w:tcW w:w="1266" w:type="dxa"/>
            <w:vMerge w:val="continue"/>
            <w:tcBorders>
              <w:tl2br w:val="nil"/>
              <w:tr2bl w:val="nil"/>
            </w:tcBorders>
            <w:noWrap w:val="0"/>
            <w:vAlign w:val="center"/>
          </w:tcPr>
          <w:p w14:paraId="10CFEE6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2BF3BFC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检查尾矿坝下游坡面</w:t>
            </w:r>
          </w:p>
        </w:tc>
      </w:tr>
      <w:tr w14:paraId="03B19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3216378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6CAD971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5917D17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尾矿坝下游坡面上不得有积水坑</w:t>
            </w:r>
          </w:p>
        </w:tc>
        <w:tc>
          <w:tcPr>
            <w:tcW w:w="1266" w:type="dxa"/>
            <w:vMerge w:val="continue"/>
            <w:tcBorders>
              <w:tl2br w:val="nil"/>
              <w:tr2bl w:val="nil"/>
            </w:tcBorders>
            <w:noWrap w:val="0"/>
            <w:vAlign w:val="center"/>
          </w:tcPr>
          <w:p w14:paraId="39E9638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7856C04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检查尾矿坝下游坡面</w:t>
            </w:r>
          </w:p>
        </w:tc>
      </w:tr>
      <w:tr w14:paraId="7A8F4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7226790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373CE7CD">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13D79C3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堆积坝下游坡面上宜用土石覆盖或用其他方式植被绿化，并可结合排渗设施每隔6～10m高差设置排水沟</w:t>
            </w:r>
          </w:p>
        </w:tc>
        <w:tc>
          <w:tcPr>
            <w:tcW w:w="1266" w:type="dxa"/>
            <w:vMerge w:val="continue"/>
            <w:tcBorders>
              <w:tl2br w:val="nil"/>
              <w:tr2bl w:val="nil"/>
            </w:tcBorders>
            <w:noWrap w:val="0"/>
            <w:vAlign w:val="center"/>
          </w:tcPr>
          <w:p w14:paraId="54E55B9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4A58CC9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检查尾矿坝下游坡面有无绿化和排水沟</w:t>
            </w:r>
          </w:p>
        </w:tc>
      </w:tr>
      <w:tr w14:paraId="7BE47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401A2E44">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22D91F7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54F6206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尾矿堆积坝下游坡与两岸山坡结合处应设置截水沟</w:t>
            </w:r>
          </w:p>
        </w:tc>
        <w:tc>
          <w:tcPr>
            <w:tcW w:w="1266" w:type="dxa"/>
            <w:vMerge w:val="continue"/>
            <w:tcBorders>
              <w:tl2br w:val="nil"/>
              <w:tr2bl w:val="nil"/>
            </w:tcBorders>
            <w:noWrap w:val="0"/>
            <w:vAlign w:val="center"/>
          </w:tcPr>
          <w:p w14:paraId="7E95434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63976AC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检查尾矿坝有无截水沟</w:t>
            </w:r>
          </w:p>
        </w:tc>
      </w:tr>
      <w:tr w14:paraId="0103F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5FCD1177">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61E7932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18FDA29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严格按设计要求控制坝体浸润线埋深</w:t>
            </w:r>
          </w:p>
        </w:tc>
        <w:tc>
          <w:tcPr>
            <w:tcW w:w="1266" w:type="dxa"/>
            <w:vMerge w:val="continue"/>
            <w:tcBorders>
              <w:tl2br w:val="nil"/>
              <w:tr2bl w:val="nil"/>
            </w:tcBorders>
            <w:noWrap w:val="0"/>
            <w:vAlign w:val="center"/>
          </w:tcPr>
          <w:p w14:paraId="3BE7FE16">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0DA5A8D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查阅设计资料、浸润线观测资料、现场检查</w:t>
            </w:r>
          </w:p>
        </w:tc>
      </w:tr>
      <w:tr w14:paraId="04296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7915999C">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50270CC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298541C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4级以上尾矿坝应设置坝体位移和坝体浸润线观测设施</w:t>
            </w:r>
          </w:p>
        </w:tc>
        <w:tc>
          <w:tcPr>
            <w:tcW w:w="1266" w:type="dxa"/>
            <w:vMerge w:val="continue"/>
            <w:tcBorders>
              <w:tl2br w:val="nil"/>
              <w:tr2bl w:val="nil"/>
            </w:tcBorders>
            <w:noWrap w:val="0"/>
            <w:vAlign w:val="center"/>
          </w:tcPr>
          <w:p w14:paraId="0AA879F1">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28A24F3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检查尾矿库现场、查阅监测资料</w:t>
            </w:r>
          </w:p>
        </w:tc>
      </w:tr>
      <w:tr w14:paraId="2547C2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165EEF9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3E13D8C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159679F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副坝坝高、坝型、上下游坡比应满足设计要求</w:t>
            </w:r>
          </w:p>
        </w:tc>
        <w:tc>
          <w:tcPr>
            <w:tcW w:w="1266" w:type="dxa"/>
            <w:vMerge w:val="continue"/>
            <w:tcBorders>
              <w:tl2br w:val="nil"/>
              <w:tr2bl w:val="nil"/>
            </w:tcBorders>
            <w:noWrap w:val="0"/>
            <w:vAlign w:val="center"/>
          </w:tcPr>
          <w:p w14:paraId="40F69117">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5C2E891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现场检查和查看设计资料</w:t>
            </w:r>
          </w:p>
        </w:tc>
      </w:tr>
      <w:tr w14:paraId="00487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1B73135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4F3FAC1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6A7F01D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建设单位应组织施工、监理、设计等单位的人员组成交工验收机构，进行初期坝、副坝、观测设施等工程验收，并编写验收报告</w:t>
            </w:r>
          </w:p>
        </w:tc>
        <w:tc>
          <w:tcPr>
            <w:tcW w:w="1266" w:type="dxa"/>
            <w:tcBorders>
              <w:tl2br w:val="nil"/>
              <w:tr2bl w:val="nil"/>
            </w:tcBorders>
            <w:noWrap w:val="0"/>
            <w:vAlign w:val="center"/>
          </w:tcPr>
          <w:p w14:paraId="4E323EB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《尾矿设施施工及验收规程》</w:t>
            </w:r>
          </w:p>
        </w:tc>
        <w:tc>
          <w:tcPr>
            <w:tcW w:w="2044" w:type="dxa"/>
            <w:tcBorders>
              <w:tl2br w:val="nil"/>
              <w:tr2bl w:val="nil"/>
            </w:tcBorders>
            <w:noWrap w:val="0"/>
            <w:vAlign w:val="center"/>
          </w:tcPr>
          <w:p w14:paraId="1E81148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查阅验收报告资料</w:t>
            </w:r>
          </w:p>
        </w:tc>
      </w:tr>
      <w:tr w14:paraId="0C3E3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7AF1D77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19B22C14">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76604D8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尾矿初期坝与堆积坝坝坡的抗滑稳定性系数应满足规程关于抗滑稳定安全系数要求</w:t>
            </w:r>
          </w:p>
        </w:tc>
        <w:tc>
          <w:tcPr>
            <w:tcW w:w="1266" w:type="dxa"/>
            <w:tcBorders>
              <w:tl2br w:val="nil"/>
              <w:tr2bl w:val="nil"/>
            </w:tcBorders>
            <w:noWrap w:val="0"/>
            <w:vAlign w:val="center"/>
          </w:tcPr>
          <w:p w14:paraId="05C8CA5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《选矿厂尾矿设施设计规范》</w:t>
            </w:r>
          </w:p>
        </w:tc>
        <w:tc>
          <w:tcPr>
            <w:tcW w:w="2044" w:type="dxa"/>
            <w:tcBorders>
              <w:tl2br w:val="nil"/>
              <w:tr2bl w:val="nil"/>
            </w:tcBorders>
            <w:noWrap w:val="0"/>
            <w:vAlign w:val="center"/>
          </w:tcPr>
          <w:p w14:paraId="70EE6ED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查阅有无坝体稳定性计算资料</w:t>
            </w:r>
          </w:p>
        </w:tc>
      </w:tr>
      <w:tr w14:paraId="2F80D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restart"/>
            <w:tcBorders>
              <w:tl2br w:val="nil"/>
              <w:tr2bl w:val="nil"/>
            </w:tcBorders>
            <w:noWrap w:val="0"/>
            <w:vAlign w:val="center"/>
          </w:tcPr>
          <w:p w14:paraId="32AC878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741" w:type="dxa"/>
            <w:vMerge w:val="restart"/>
            <w:tcBorders>
              <w:tl2br w:val="nil"/>
              <w:tr2bl w:val="nil"/>
            </w:tcBorders>
            <w:noWrap w:val="0"/>
            <w:vAlign w:val="center"/>
          </w:tcPr>
          <w:p w14:paraId="25CD886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排洪防汛</w:t>
            </w:r>
          </w:p>
        </w:tc>
        <w:tc>
          <w:tcPr>
            <w:tcW w:w="3970" w:type="dxa"/>
            <w:tcBorders>
              <w:tl2br w:val="nil"/>
              <w:tr2bl w:val="nil"/>
            </w:tcBorders>
            <w:noWrap w:val="0"/>
            <w:vAlign w:val="center"/>
          </w:tcPr>
          <w:p w14:paraId="378B64D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根据设计或尾矿库安全生产年度计划，应保证在洪水来临并达到最高洪水水位时，滩顶安全超高和干滩长度满足规程和设计要求</w:t>
            </w:r>
          </w:p>
        </w:tc>
        <w:tc>
          <w:tcPr>
            <w:tcW w:w="1266" w:type="dxa"/>
            <w:vMerge w:val="restart"/>
            <w:tcBorders>
              <w:tl2br w:val="nil"/>
              <w:tr2bl w:val="nil"/>
            </w:tcBorders>
            <w:noWrap w:val="0"/>
            <w:vAlign w:val="center"/>
          </w:tcPr>
          <w:p w14:paraId="76AA4E4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《尾矿库安全规程》</w:t>
            </w:r>
          </w:p>
        </w:tc>
        <w:tc>
          <w:tcPr>
            <w:tcW w:w="2044" w:type="dxa"/>
            <w:tcBorders>
              <w:tl2br w:val="nil"/>
              <w:tr2bl w:val="nil"/>
            </w:tcBorders>
            <w:noWrap w:val="0"/>
            <w:vAlign w:val="center"/>
          </w:tcPr>
          <w:p w14:paraId="38CF152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现场检查、查阅设计资料及安全生产年度计划</w:t>
            </w:r>
          </w:p>
        </w:tc>
      </w:tr>
      <w:tr w14:paraId="719E2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4EB8FC9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7F0457CD">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4198B1F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防洪标准应满足规程中有关不同等别尾矿库防洪标准的要求</w:t>
            </w:r>
          </w:p>
        </w:tc>
        <w:tc>
          <w:tcPr>
            <w:tcW w:w="1266" w:type="dxa"/>
            <w:vMerge w:val="continue"/>
            <w:tcBorders>
              <w:tl2br w:val="nil"/>
              <w:tr2bl w:val="nil"/>
            </w:tcBorders>
            <w:noWrap w:val="0"/>
            <w:vAlign w:val="center"/>
          </w:tcPr>
          <w:p w14:paraId="1FCBE096">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2BF8A00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查阅设计报告</w:t>
            </w:r>
          </w:p>
        </w:tc>
      </w:tr>
      <w:tr w14:paraId="2BA8A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2F58E73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2024C75A">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26CE5CB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排洪系统现状能够满足设计要求的泄水能力，当24小时洪水总量小于调洪库容时，洪水排出时间不宜超过72小时</w:t>
            </w:r>
          </w:p>
        </w:tc>
        <w:tc>
          <w:tcPr>
            <w:tcW w:w="1266" w:type="dxa"/>
            <w:vMerge w:val="continue"/>
            <w:tcBorders>
              <w:tl2br w:val="nil"/>
              <w:tr2bl w:val="nil"/>
            </w:tcBorders>
            <w:noWrap w:val="0"/>
            <w:vAlign w:val="center"/>
          </w:tcPr>
          <w:p w14:paraId="7B2A11C6">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2AC29D6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查阅设计资料、检查排洪设施是否完好</w:t>
            </w:r>
          </w:p>
        </w:tc>
      </w:tr>
      <w:tr w14:paraId="3E6A5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2CE1922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34FD578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432ABCA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在排水构筑物上或尾矿库内适当地点，应设置清晰醒目的水位标尺，标明正常运行水位和警戒水位</w:t>
            </w:r>
          </w:p>
        </w:tc>
        <w:tc>
          <w:tcPr>
            <w:tcW w:w="1266" w:type="dxa"/>
            <w:vMerge w:val="continue"/>
            <w:tcBorders>
              <w:tl2br w:val="nil"/>
              <w:tr2bl w:val="nil"/>
            </w:tcBorders>
            <w:noWrap w:val="0"/>
            <w:vAlign w:val="center"/>
          </w:tcPr>
          <w:p w14:paraId="31863211">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24A5D8F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检查尾矿库有无设置明显水位标尺</w:t>
            </w:r>
          </w:p>
        </w:tc>
      </w:tr>
      <w:tr w14:paraId="54DB3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3099EB2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2B76CAAE">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4E8B874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汛期前应对排洪设施进行检查、维修和疏浚，确保排洪设施畅通。根据确定的排洪底坎高程，将排洪底坎以上1.5倍调洪高度内的挡板全部打开，清除排洪口前水面漂浮物</w:t>
            </w:r>
          </w:p>
        </w:tc>
        <w:tc>
          <w:tcPr>
            <w:tcW w:w="1266" w:type="dxa"/>
            <w:vMerge w:val="continue"/>
            <w:tcBorders>
              <w:tl2br w:val="nil"/>
              <w:tr2bl w:val="nil"/>
            </w:tcBorders>
            <w:noWrap w:val="0"/>
            <w:vAlign w:val="center"/>
          </w:tcPr>
          <w:p w14:paraId="14AC130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47B9CAA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现场检查排洪设施和查阅记录</w:t>
            </w:r>
          </w:p>
        </w:tc>
      </w:tr>
      <w:tr w14:paraId="0B3A0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727C8AAD">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4E4F8E2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48B47AF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洪水过后应对排洪构筑物进行全面认真的检查与清理，发现问题及时修复，同时，采取措施降低库水位，防止连续降雨后发生垮坝事故</w:t>
            </w:r>
          </w:p>
        </w:tc>
        <w:tc>
          <w:tcPr>
            <w:tcW w:w="1266" w:type="dxa"/>
            <w:vMerge w:val="continue"/>
            <w:tcBorders>
              <w:tl2br w:val="nil"/>
              <w:tr2bl w:val="nil"/>
            </w:tcBorders>
            <w:noWrap w:val="0"/>
            <w:vAlign w:val="center"/>
          </w:tcPr>
          <w:p w14:paraId="6B521E07">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4C9605C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查阅检查记录</w:t>
            </w:r>
          </w:p>
        </w:tc>
      </w:tr>
      <w:tr w14:paraId="6938D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5A86CD27">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5CEC8D77">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347B9FA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尾矿库排水构筑物停用后，必须严格按设计要求及时封堵，并确保施工质量。严禁在排水井井筒顶部封堵</w:t>
            </w:r>
          </w:p>
        </w:tc>
        <w:tc>
          <w:tcPr>
            <w:tcW w:w="1266" w:type="dxa"/>
            <w:vMerge w:val="continue"/>
            <w:tcBorders>
              <w:tl2br w:val="nil"/>
              <w:tr2bl w:val="nil"/>
            </w:tcBorders>
            <w:noWrap w:val="0"/>
            <w:vAlign w:val="center"/>
          </w:tcPr>
          <w:p w14:paraId="1922E30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2A85E4E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现场检查和查阅封堵记录</w:t>
            </w:r>
          </w:p>
        </w:tc>
      </w:tr>
      <w:tr w14:paraId="4A750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restart"/>
            <w:tcBorders>
              <w:tl2br w:val="nil"/>
              <w:tr2bl w:val="nil"/>
            </w:tcBorders>
            <w:noWrap w:val="0"/>
            <w:vAlign w:val="center"/>
          </w:tcPr>
          <w:p w14:paraId="33F543D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741" w:type="dxa"/>
            <w:vMerge w:val="restart"/>
            <w:tcBorders>
              <w:tl2br w:val="nil"/>
              <w:tr2bl w:val="nil"/>
            </w:tcBorders>
            <w:noWrap w:val="0"/>
            <w:vAlign w:val="center"/>
          </w:tcPr>
          <w:p w14:paraId="7C52372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排放筑坝</w:t>
            </w:r>
          </w:p>
        </w:tc>
        <w:tc>
          <w:tcPr>
            <w:tcW w:w="3970" w:type="dxa"/>
            <w:tcBorders>
              <w:tl2br w:val="nil"/>
              <w:tr2bl w:val="nil"/>
            </w:tcBorders>
            <w:noWrap w:val="0"/>
            <w:vAlign w:val="center"/>
          </w:tcPr>
          <w:p w14:paraId="0984AA0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上游式筑坝法，应于坝前均匀放矿，维持坝体均匀上升，不得任意在库后或一侧岸坡放矿</w:t>
            </w:r>
          </w:p>
        </w:tc>
        <w:tc>
          <w:tcPr>
            <w:tcW w:w="1266" w:type="dxa"/>
            <w:vMerge w:val="continue"/>
            <w:tcBorders>
              <w:tl2br w:val="nil"/>
              <w:tr2bl w:val="nil"/>
            </w:tcBorders>
            <w:noWrap w:val="0"/>
            <w:vAlign w:val="center"/>
          </w:tcPr>
          <w:p w14:paraId="01487BF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0DEF7A9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现场检查是否均匀放矿</w:t>
            </w:r>
          </w:p>
        </w:tc>
      </w:tr>
      <w:tr w14:paraId="45FE4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18001606">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44AF4AB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64B0607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坝体较长时应采用分段交替作业，使坝体均匀上升，应避免滩面出现侧坡、扇形坡或细粒尾矿大量集中沉积于某端或某侧</w:t>
            </w:r>
          </w:p>
        </w:tc>
        <w:tc>
          <w:tcPr>
            <w:tcW w:w="1266" w:type="dxa"/>
            <w:vMerge w:val="continue"/>
            <w:tcBorders>
              <w:tl2br w:val="nil"/>
              <w:tr2bl w:val="nil"/>
            </w:tcBorders>
            <w:noWrap w:val="0"/>
            <w:vAlign w:val="center"/>
          </w:tcPr>
          <w:p w14:paraId="198590E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5326502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检查尾矿坝现场</w:t>
            </w:r>
          </w:p>
        </w:tc>
      </w:tr>
      <w:tr w14:paraId="58D09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dxa"/>
            <w:vMerge w:val="continue"/>
            <w:tcBorders>
              <w:tl2br w:val="nil"/>
              <w:tr2bl w:val="nil"/>
            </w:tcBorders>
            <w:noWrap w:val="0"/>
            <w:vAlign w:val="center"/>
          </w:tcPr>
          <w:p w14:paraId="0E214D11">
            <w:pPr>
              <w:spacing w:line="360" w:lineRule="exact"/>
              <w:ind w:firstLine="0" w:firstLineChars="0"/>
              <w:jc w:val="center"/>
              <w:rPr>
                <w:color w:val="000000" w:themeColor="text1"/>
                <w:sz w:val="21"/>
                <w:szCs w:val="21"/>
                <w:highlight w:val="none"/>
                <w14:textFill>
                  <w14:solidFill>
                    <w14:schemeClr w14:val="tx1"/>
                  </w14:solidFill>
                </w14:textFill>
              </w:rPr>
            </w:pPr>
          </w:p>
        </w:tc>
        <w:tc>
          <w:tcPr>
            <w:tcW w:w="741" w:type="dxa"/>
            <w:vMerge w:val="continue"/>
            <w:tcBorders>
              <w:tl2br w:val="nil"/>
              <w:tr2bl w:val="nil"/>
            </w:tcBorders>
            <w:noWrap w:val="0"/>
            <w:vAlign w:val="center"/>
          </w:tcPr>
          <w:p w14:paraId="0674723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970" w:type="dxa"/>
            <w:tcBorders>
              <w:tl2br w:val="nil"/>
              <w:tr2bl w:val="nil"/>
            </w:tcBorders>
            <w:noWrap w:val="0"/>
            <w:vAlign w:val="center"/>
          </w:tcPr>
          <w:p w14:paraId="15C2E43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每期子坝堆筑完毕，应进行质量检查，检查记录需经主管技术人员签字后存档备查</w:t>
            </w:r>
          </w:p>
        </w:tc>
        <w:tc>
          <w:tcPr>
            <w:tcW w:w="1266" w:type="dxa"/>
            <w:vMerge w:val="continue"/>
            <w:tcBorders>
              <w:tl2br w:val="nil"/>
              <w:tr2bl w:val="nil"/>
            </w:tcBorders>
            <w:noWrap w:val="0"/>
            <w:vAlign w:val="center"/>
          </w:tcPr>
          <w:p w14:paraId="5CCA7FE4">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4" w:type="dxa"/>
            <w:tcBorders>
              <w:tl2br w:val="nil"/>
              <w:tr2bl w:val="nil"/>
            </w:tcBorders>
            <w:noWrap w:val="0"/>
            <w:vAlign w:val="center"/>
          </w:tcPr>
          <w:p w14:paraId="1639C03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查阅堆坝记录</w:t>
            </w:r>
          </w:p>
        </w:tc>
      </w:tr>
    </w:tbl>
    <w:p w14:paraId="711739F3">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于排查发现的问题，应及时消除环境隐患，积极整改，确保尾矿库环境风险可控。如发现重大环境风险安全隐患，应立即预警，并启动应急预案，及时报告当地生态环境部门，并邀请相关行业专家进行现场评估及出具尾矿库整改方案，积极整改到位，消除风险安全隐患。</w:t>
      </w:r>
    </w:p>
    <w:p w14:paraId="7BC1E1A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（2）尾矿库环境安全隐患治理计划</w:t>
      </w:r>
    </w:p>
    <w:p w14:paraId="341DC12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一库一档”的要求，对历史遗留，要落实责任，制定整改方案，加强资金、技术、保障等方面的统筹，明确整治计划和期限，采取有力措施逐步消除安全和环境隐患。重点对尾矿库履行环评审批及建设项目“三同时”制度，相关环保设施设计、施工建设，尾矿库“三防措施”落实，污染物排放，尾矿库环境风险防范和应急管理等情况进行检查。具体内容见下表：</w:t>
      </w:r>
    </w:p>
    <w:p w14:paraId="32E80AF4">
      <w:pPr>
        <w:ind w:firstLine="0" w:firstLineChars="0"/>
        <w:jc w:val="center"/>
        <w:rPr>
          <w:color w:val="000000" w:themeColor="text1"/>
          <w:highlight w:val="none"/>
          <w14:textFill>
            <w14:solidFill>
              <w14:schemeClr w14:val="tx1"/>
            </w14:solidFill>
          </w14:textFill>
        </w:rPr>
      </w:pPr>
      <w:bookmarkStart w:id="781" w:name="_Toc12268_WPSOffice_Level2"/>
      <w:r>
        <w:rPr>
          <w:b/>
          <w:bCs/>
          <w:color w:val="000000" w:themeColor="text1"/>
          <w:highlight w:val="none"/>
          <w14:textFill>
            <w14:solidFill>
              <w14:schemeClr w14:val="tx1"/>
            </w14:solidFill>
          </w14:textFill>
        </w:rPr>
        <w:t>表5.3-1</w:t>
      </w:r>
      <w:r>
        <w:rPr>
          <w:rFonts w:hint="eastAsia"/>
          <w:b/>
          <w:bCs/>
          <w:color w:val="000000" w:themeColor="text1"/>
          <w:highlight w:val="none"/>
          <w:lang w:val="en-US" w:eastAsia="zh-CN"/>
          <w14:textFill>
            <w14:solidFill>
              <w14:schemeClr w14:val="tx1"/>
            </w14:solidFill>
          </w14:textFill>
        </w:rPr>
        <w:t>5</w:t>
      </w:r>
      <w:r>
        <w:rPr>
          <w:b/>
          <w:bCs/>
          <w:color w:val="000000" w:themeColor="text1"/>
          <w:highlight w:val="none"/>
          <w14:textFill>
            <w14:solidFill>
              <w14:schemeClr w14:val="tx1"/>
            </w14:solidFill>
          </w14:textFill>
        </w:rPr>
        <w:t xml:space="preserve">    尾矿库安全隐患治理计划表</w:t>
      </w:r>
      <w:bookmarkEnd w:id="781"/>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702"/>
        <w:gridCol w:w="1142"/>
        <w:gridCol w:w="2040"/>
      </w:tblGrid>
      <w:tr w14:paraId="07456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38" w:type="dxa"/>
            <w:tcBorders>
              <w:tl2br w:val="nil"/>
              <w:tr2bl w:val="nil"/>
            </w:tcBorders>
            <w:noWrap w:val="0"/>
            <w:vAlign w:val="center"/>
          </w:tcPr>
          <w:p w14:paraId="22AB1808">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4702" w:type="dxa"/>
            <w:tcBorders>
              <w:tl2br w:val="nil"/>
              <w:tr2bl w:val="nil"/>
            </w:tcBorders>
            <w:noWrap w:val="0"/>
            <w:vAlign w:val="center"/>
          </w:tcPr>
          <w:p w14:paraId="130613AE">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治理内容</w:t>
            </w:r>
          </w:p>
        </w:tc>
        <w:tc>
          <w:tcPr>
            <w:tcW w:w="1142" w:type="dxa"/>
            <w:tcBorders>
              <w:tl2br w:val="nil"/>
              <w:tr2bl w:val="nil"/>
            </w:tcBorders>
            <w:noWrap w:val="0"/>
            <w:vAlign w:val="center"/>
          </w:tcPr>
          <w:p w14:paraId="53A42453">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法规依据</w:t>
            </w:r>
          </w:p>
        </w:tc>
        <w:tc>
          <w:tcPr>
            <w:tcW w:w="2040" w:type="dxa"/>
            <w:tcBorders>
              <w:tl2br w:val="nil"/>
              <w:tr2bl w:val="nil"/>
            </w:tcBorders>
            <w:noWrap w:val="0"/>
            <w:vAlign w:val="center"/>
          </w:tcPr>
          <w:p w14:paraId="2B03DF9E">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检查方法</w:t>
            </w:r>
          </w:p>
        </w:tc>
      </w:tr>
      <w:tr w14:paraId="723A1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noWrap w:val="0"/>
            <w:vAlign w:val="center"/>
          </w:tcPr>
          <w:p w14:paraId="0B955E0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4702" w:type="dxa"/>
            <w:tcBorders>
              <w:tl2br w:val="nil"/>
              <w:tr2bl w:val="nil"/>
            </w:tcBorders>
            <w:noWrap w:val="0"/>
            <w:vAlign w:val="center"/>
          </w:tcPr>
          <w:p w14:paraId="67212BE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尾矿库及其相应的选矿项目，必须依法进行环境影响评价。</w:t>
            </w:r>
          </w:p>
        </w:tc>
        <w:tc>
          <w:tcPr>
            <w:tcW w:w="1142" w:type="dxa"/>
            <w:tcBorders>
              <w:tl2br w:val="nil"/>
              <w:tr2bl w:val="nil"/>
            </w:tcBorders>
            <w:noWrap w:val="0"/>
            <w:vAlign w:val="center"/>
          </w:tcPr>
          <w:p w14:paraId="2F7614B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环评报告及批复</w:t>
            </w:r>
          </w:p>
        </w:tc>
        <w:tc>
          <w:tcPr>
            <w:tcW w:w="2040" w:type="dxa"/>
            <w:tcBorders>
              <w:tl2br w:val="nil"/>
              <w:tr2bl w:val="nil"/>
            </w:tcBorders>
            <w:noWrap w:val="0"/>
            <w:vAlign w:val="center"/>
          </w:tcPr>
          <w:p w14:paraId="4C35C90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查阅资料</w:t>
            </w:r>
          </w:p>
        </w:tc>
      </w:tr>
      <w:tr w14:paraId="4FA6A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noWrap w:val="0"/>
            <w:vAlign w:val="center"/>
          </w:tcPr>
          <w:p w14:paraId="3D98EA9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4702" w:type="dxa"/>
            <w:tcBorders>
              <w:tl2br w:val="nil"/>
              <w:tr2bl w:val="nil"/>
            </w:tcBorders>
            <w:noWrap w:val="0"/>
            <w:vAlign w:val="center"/>
          </w:tcPr>
          <w:p w14:paraId="4A02A43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按要求开展自行监测，公开排污信息。</w:t>
            </w:r>
          </w:p>
        </w:tc>
        <w:tc>
          <w:tcPr>
            <w:tcW w:w="1142" w:type="dxa"/>
            <w:vMerge w:val="restart"/>
            <w:tcBorders>
              <w:tl2br w:val="nil"/>
              <w:tr2bl w:val="nil"/>
            </w:tcBorders>
            <w:noWrap w:val="0"/>
            <w:vAlign w:val="center"/>
          </w:tcPr>
          <w:p w14:paraId="41938B6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排污许可证</w:t>
            </w:r>
          </w:p>
        </w:tc>
        <w:tc>
          <w:tcPr>
            <w:tcW w:w="2040" w:type="dxa"/>
            <w:tcBorders>
              <w:tl2br w:val="nil"/>
              <w:tr2bl w:val="nil"/>
            </w:tcBorders>
            <w:noWrap w:val="0"/>
            <w:vAlign w:val="center"/>
          </w:tcPr>
          <w:p w14:paraId="0F50FC8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检查排污许可及公开情况</w:t>
            </w:r>
          </w:p>
        </w:tc>
      </w:tr>
      <w:tr w14:paraId="49CFB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noWrap w:val="0"/>
            <w:vAlign w:val="center"/>
          </w:tcPr>
          <w:p w14:paraId="1DA71F0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4702" w:type="dxa"/>
            <w:tcBorders>
              <w:tl2br w:val="nil"/>
              <w:tr2bl w:val="nil"/>
            </w:tcBorders>
            <w:noWrap w:val="0"/>
            <w:vAlign w:val="center"/>
          </w:tcPr>
          <w:p w14:paraId="44EC9A4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尾矿库按规范设置监控井，加强地下水监测，封场后地下水监测系统应继续维持正常运转。</w:t>
            </w:r>
          </w:p>
        </w:tc>
        <w:tc>
          <w:tcPr>
            <w:tcW w:w="1142" w:type="dxa"/>
            <w:vMerge w:val="continue"/>
            <w:tcBorders>
              <w:tl2br w:val="nil"/>
              <w:tr2bl w:val="nil"/>
            </w:tcBorders>
            <w:noWrap w:val="0"/>
            <w:vAlign w:val="center"/>
          </w:tcPr>
          <w:p w14:paraId="3C86BEB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0" w:type="dxa"/>
            <w:tcBorders>
              <w:tl2br w:val="nil"/>
              <w:tr2bl w:val="nil"/>
            </w:tcBorders>
            <w:noWrap w:val="0"/>
            <w:vAlign w:val="center"/>
          </w:tcPr>
          <w:p w14:paraId="788F738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现场检查</w:t>
            </w:r>
          </w:p>
        </w:tc>
      </w:tr>
      <w:tr w14:paraId="0C5E92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noWrap w:val="0"/>
            <w:vAlign w:val="center"/>
          </w:tcPr>
          <w:p w14:paraId="41F3523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4702" w:type="dxa"/>
            <w:tcBorders>
              <w:tl2br w:val="nil"/>
              <w:tr2bl w:val="nil"/>
            </w:tcBorders>
            <w:noWrap w:val="0"/>
            <w:vAlign w:val="center"/>
          </w:tcPr>
          <w:p w14:paraId="3D8D3EE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加强环境质量监测，及时掌握环境质量状况及其变化趋势。</w:t>
            </w:r>
          </w:p>
        </w:tc>
        <w:tc>
          <w:tcPr>
            <w:tcW w:w="1142" w:type="dxa"/>
            <w:vMerge w:val="continue"/>
            <w:tcBorders>
              <w:tl2br w:val="nil"/>
              <w:tr2bl w:val="nil"/>
            </w:tcBorders>
            <w:noWrap w:val="0"/>
            <w:vAlign w:val="center"/>
          </w:tcPr>
          <w:p w14:paraId="3670059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040" w:type="dxa"/>
            <w:tcBorders>
              <w:tl2br w:val="nil"/>
              <w:tr2bl w:val="nil"/>
            </w:tcBorders>
            <w:noWrap w:val="0"/>
            <w:vAlign w:val="center"/>
          </w:tcPr>
          <w:p w14:paraId="6774374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查阅资料</w:t>
            </w:r>
          </w:p>
        </w:tc>
      </w:tr>
      <w:tr w14:paraId="40C38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noWrap w:val="0"/>
            <w:vAlign w:val="center"/>
          </w:tcPr>
          <w:p w14:paraId="3334AA8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4702" w:type="dxa"/>
            <w:tcBorders>
              <w:tl2br w:val="nil"/>
              <w:tr2bl w:val="nil"/>
            </w:tcBorders>
            <w:noWrap w:val="0"/>
            <w:vAlign w:val="center"/>
          </w:tcPr>
          <w:p w14:paraId="5058275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按照原环保部《突发环境事件应急管理办法》（环境保护部令第34号）等有关要求，落实环境隐患排查治理主体责任，开展环境隐患排查治理、环境风险评估，制定突发环境事件应急预案并报环保部门备案。</w:t>
            </w:r>
          </w:p>
        </w:tc>
        <w:tc>
          <w:tcPr>
            <w:tcW w:w="1142" w:type="dxa"/>
            <w:tcBorders>
              <w:tl2br w:val="nil"/>
              <w:tr2bl w:val="nil"/>
            </w:tcBorders>
            <w:noWrap w:val="0"/>
            <w:vAlign w:val="center"/>
          </w:tcPr>
          <w:p w14:paraId="3CC5654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突发环境事件应急预案</w:t>
            </w:r>
          </w:p>
        </w:tc>
        <w:tc>
          <w:tcPr>
            <w:tcW w:w="2040" w:type="dxa"/>
            <w:tcBorders>
              <w:tl2br w:val="nil"/>
              <w:tr2bl w:val="nil"/>
            </w:tcBorders>
            <w:noWrap w:val="0"/>
            <w:vAlign w:val="center"/>
          </w:tcPr>
          <w:p w14:paraId="57B5DE5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查询资料及现场核查</w:t>
            </w:r>
          </w:p>
        </w:tc>
      </w:tr>
      <w:tr w14:paraId="42188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noWrap w:val="0"/>
            <w:vAlign w:val="center"/>
          </w:tcPr>
          <w:p w14:paraId="7A5FFFF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4702" w:type="dxa"/>
            <w:tcBorders>
              <w:tl2br w:val="nil"/>
              <w:tr2bl w:val="nil"/>
            </w:tcBorders>
            <w:noWrap w:val="0"/>
            <w:vAlign w:val="center"/>
          </w:tcPr>
          <w:p w14:paraId="4904B43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库应具备完整的截排水系统，应设置收集管网、坝下收集池对尾矿库溢流水进行收集，确保溢流水处理设施正常运行，外排废水达到相应排放标准。尾矿库闭库后，渗滤液处理设施应继续维持正常运转，直至水质稳定达标。</w:t>
            </w:r>
          </w:p>
        </w:tc>
        <w:tc>
          <w:tcPr>
            <w:tcW w:w="1142" w:type="dxa"/>
            <w:tcBorders>
              <w:tl2br w:val="nil"/>
              <w:tr2bl w:val="nil"/>
            </w:tcBorders>
            <w:noWrap w:val="0"/>
            <w:vAlign w:val="center"/>
          </w:tcPr>
          <w:p w14:paraId="566F527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环评报告及批复</w:t>
            </w:r>
          </w:p>
        </w:tc>
        <w:tc>
          <w:tcPr>
            <w:tcW w:w="2040" w:type="dxa"/>
            <w:tcBorders>
              <w:tl2br w:val="nil"/>
              <w:tr2bl w:val="nil"/>
            </w:tcBorders>
            <w:noWrap w:val="0"/>
            <w:vAlign w:val="center"/>
          </w:tcPr>
          <w:p w14:paraId="69F7979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现场检查、查阅设计资料</w:t>
            </w:r>
          </w:p>
        </w:tc>
      </w:tr>
      <w:tr w14:paraId="46407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noWrap w:val="0"/>
            <w:vAlign w:val="center"/>
          </w:tcPr>
          <w:p w14:paraId="15C1019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4702" w:type="dxa"/>
            <w:tcBorders>
              <w:tl2br w:val="nil"/>
              <w:tr2bl w:val="nil"/>
            </w:tcBorders>
            <w:noWrap w:val="0"/>
            <w:vAlign w:val="center"/>
          </w:tcPr>
          <w:p w14:paraId="762DB9B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尾矿库禁止危险废物和生活垃圾混入，无法综合处理的尾砂应进入符合规范要求的尾矿库进行安全堆存。</w:t>
            </w:r>
          </w:p>
        </w:tc>
        <w:tc>
          <w:tcPr>
            <w:tcW w:w="1142" w:type="dxa"/>
            <w:tcBorders>
              <w:tl2br w:val="nil"/>
              <w:tr2bl w:val="nil"/>
            </w:tcBorders>
            <w:noWrap w:val="0"/>
            <w:vAlign w:val="center"/>
          </w:tcPr>
          <w:p w14:paraId="529A380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环评报告及批复</w:t>
            </w:r>
          </w:p>
        </w:tc>
        <w:tc>
          <w:tcPr>
            <w:tcW w:w="2040" w:type="dxa"/>
            <w:tcBorders>
              <w:tl2br w:val="nil"/>
              <w:tr2bl w:val="nil"/>
            </w:tcBorders>
            <w:noWrap w:val="0"/>
            <w:vAlign w:val="center"/>
          </w:tcPr>
          <w:p w14:paraId="3BE44FB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现场检查</w:t>
            </w:r>
          </w:p>
        </w:tc>
      </w:tr>
      <w:tr w14:paraId="6A2C2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noWrap w:val="0"/>
            <w:vAlign w:val="center"/>
          </w:tcPr>
          <w:p w14:paraId="70B53C3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p>
        </w:tc>
        <w:tc>
          <w:tcPr>
            <w:tcW w:w="4702" w:type="dxa"/>
            <w:tcBorders>
              <w:tl2br w:val="nil"/>
              <w:tr2bl w:val="nil"/>
            </w:tcBorders>
            <w:noWrap w:val="0"/>
            <w:vAlign w:val="center"/>
          </w:tcPr>
          <w:p w14:paraId="30597ED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完善覆膜、压土、排洪、堤坝加固等隐患治理和闭库措施，阻断污染扩散途径。在尾矿库停止使用后必须进行处置，保证坝体安全，不污染环境，消除污染事故隐患。</w:t>
            </w:r>
          </w:p>
          <w:p w14:paraId="22F1319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关闭尾矿设施必须报上级生态环境主管部门验收、批准。利用处置过的尾矿或其设施，需经上级生态环境主管部门批准，并备案。</w:t>
            </w:r>
          </w:p>
        </w:tc>
        <w:tc>
          <w:tcPr>
            <w:tcW w:w="1142" w:type="dxa"/>
            <w:tcBorders>
              <w:tl2br w:val="nil"/>
              <w:tr2bl w:val="nil"/>
            </w:tcBorders>
            <w:noWrap w:val="0"/>
            <w:vAlign w:val="center"/>
          </w:tcPr>
          <w:p w14:paraId="53E57D3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环评报告及批复</w:t>
            </w:r>
          </w:p>
        </w:tc>
        <w:tc>
          <w:tcPr>
            <w:tcW w:w="2040" w:type="dxa"/>
            <w:tcBorders>
              <w:tl2br w:val="nil"/>
              <w:tr2bl w:val="nil"/>
            </w:tcBorders>
            <w:noWrap w:val="0"/>
            <w:vAlign w:val="center"/>
          </w:tcPr>
          <w:p w14:paraId="7A15857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查阅设计资料、现场检查</w:t>
            </w:r>
          </w:p>
        </w:tc>
      </w:tr>
    </w:tbl>
    <w:p w14:paraId="0B1C7DCB">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b/>
          <w:bCs/>
          <w:color w:val="000000" w:themeColor="text1"/>
          <w:sz w:val="30"/>
          <w:szCs w:val="32"/>
          <w:highlight w:val="none"/>
          <w14:textFill>
            <w14:solidFill>
              <w14:schemeClr w14:val="tx1"/>
            </w14:solidFill>
          </w14:textFill>
        </w:rPr>
        <w:t>5.3.7尾矿库环境风险三级防控体系</w:t>
      </w:r>
    </w:p>
    <w:p w14:paraId="6A076B91">
      <w:pPr>
        <w:widowControl/>
        <w:topLinePunct/>
        <w:ind w:firstLine="480"/>
        <w:rPr>
          <w:rFonts w:cs="宋体"/>
          <w:color w:val="000000" w:themeColor="text1"/>
          <w:szCs w:val="20"/>
          <w:highlight w:val="none"/>
          <w14:textFill>
            <w14:solidFill>
              <w14:schemeClr w14:val="tx1"/>
            </w14:solidFill>
          </w14:textFill>
        </w:rPr>
      </w:pPr>
      <w:r>
        <w:rPr>
          <w:rFonts w:hint="eastAsia" w:cs="宋体"/>
          <w:color w:val="000000" w:themeColor="text1"/>
          <w:szCs w:val="20"/>
          <w:highlight w:val="none"/>
          <w14:textFill>
            <w14:solidFill>
              <w14:schemeClr w14:val="tx1"/>
            </w14:solidFill>
          </w14:textFill>
        </w:rPr>
        <w:t>根据《尾矿库环境应急管理工作指南（试行）》（环办〔</w:t>
      </w:r>
      <w:r>
        <w:rPr>
          <w:rFonts w:cs="宋体"/>
          <w:color w:val="000000" w:themeColor="text1"/>
          <w:szCs w:val="20"/>
          <w:highlight w:val="none"/>
          <w14:textFill>
            <w14:solidFill>
              <w14:schemeClr w14:val="tx1"/>
            </w14:solidFill>
          </w14:textFill>
        </w:rPr>
        <w:t>2010</w:t>
      </w:r>
      <w:r>
        <w:rPr>
          <w:rFonts w:hint="eastAsia" w:cs="宋体"/>
          <w:color w:val="000000" w:themeColor="text1"/>
          <w:szCs w:val="20"/>
          <w:highlight w:val="none"/>
          <w14:textFill>
            <w14:solidFill>
              <w14:schemeClr w14:val="tx1"/>
            </w14:solidFill>
          </w14:textFill>
        </w:rPr>
        <w:t>〕</w:t>
      </w:r>
      <w:r>
        <w:rPr>
          <w:rFonts w:cs="宋体"/>
          <w:color w:val="000000" w:themeColor="text1"/>
          <w:szCs w:val="20"/>
          <w:highlight w:val="none"/>
          <w14:textFill>
            <w14:solidFill>
              <w14:schemeClr w14:val="tx1"/>
            </w14:solidFill>
          </w14:textFill>
        </w:rPr>
        <w:t>138</w:t>
      </w:r>
      <w:r>
        <w:rPr>
          <w:rFonts w:hint="eastAsia" w:cs="宋体"/>
          <w:color w:val="000000" w:themeColor="text1"/>
          <w:szCs w:val="20"/>
          <w:highlight w:val="none"/>
          <w14:textFill>
            <w14:solidFill>
              <w14:schemeClr w14:val="tx1"/>
            </w14:solidFill>
          </w14:textFill>
        </w:rPr>
        <w:t>号）要求，尾矿库企业应执行尾矿库三级防控体系进行分组防控。在车间、库区和流域三个层级设防布控，防止尾矿库企业发生污染事件。其中尾矿库企业应采取措施对车间及库区范围内可能发生的突发环境事件进行防控，地方人民政府组织企业建设流域防控措施。</w:t>
      </w:r>
    </w:p>
    <w:p w14:paraId="39350F3B">
      <w:pPr>
        <w:widowControl/>
        <w:topLinePunct/>
        <w:ind w:firstLine="480"/>
        <w:rPr>
          <w:rFonts w:cs="宋体"/>
          <w:color w:val="000000" w:themeColor="text1"/>
          <w:szCs w:val="20"/>
          <w:highlight w:val="none"/>
          <w14:textFill>
            <w14:solidFill>
              <w14:schemeClr w14:val="tx1"/>
            </w14:solidFill>
          </w14:textFill>
        </w:rPr>
      </w:pPr>
      <w:r>
        <w:rPr>
          <w:rFonts w:hint="eastAsia" w:cs="宋体"/>
          <w:color w:val="000000" w:themeColor="text1"/>
          <w:szCs w:val="20"/>
          <w:highlight w:val="none"/>
          <w14:textFill>
            <w14:solidFill>
              <w14:schemeClr w14:val="tx1"/>
            </w14:solidFill>
          </w14:textFill>
        </w:rPr>
        <w:t>（</w:t>
      </w:r>
      <w:r>
        <w:rPr>
          <w:rFonts w:cs="宋体"/>
          <w:color w:val="000000" w:themeColor="text1"/>
          <w:szCs w:val="20"/>
          <w:highlight w:val="none"/>
          <w14:textFill>
            <w14:solidFill>
              <w14:schemeClr w14:val="tx1"/>
            </w14:solidFill>
          </w14:textFill>
        </w:rPr>
        <w:t>1</w:t>
      </w:r>
      <w:r>
        <w:rPr>
          <w:rFonts w:hint="eastAsia" w:cs="宋体"/>
          <w:color w:val="000000" w:themeColor="text1"/>
          <w:szCs w:val="20"/>
          <w:highlight w:val="none"/>
          <w14:textFill>
            <w14:solidFill>
              <w14:schemeClr w14:val="tx1"/>
            </w14:solidFill>
          </w14:textFill>
        </w:rPr>
        <w:t>）第一级防控：车间级</w:t>
      </w:r>
    </w:p>
    <w:p w14:paraId="6B3E89AD">
      <w:pPr>
        <w:widowControl/>
        <w:topLinePunct/>
        <w:ind w:firstLine="480"/>
        <w:rPr>
          <w:rFonts w:cs="宋体"/>
          <w:color w:val="000000" w:themeColor="text1"/>
          <w:szCs w:val="20"/>
          <w:highlight w:val="none"/>
          <w14:textFill>
            <w14:solidFill>
              <w14:schemeClr w14:val="tx1"/>
            </w14:solidFill>
          </w14:textFill>
        </w:rPr>
      </w:pPr>
      <w:r>
        <w:rPr>
          <w:rFonts w:hint="eastAsia" w:cs="宋体"/>
          <w:color w:val="000000" w:themeColor="text1"/>
          <w:szCs w:val="20"/>
          <w:highlight w:val="none"/>
          <w14:textFill>
            <w14:solidFill>
              <w14:schemeClr w14:val="tx1"/>
            </w14:solidFill>
          </w14:textFill>
        </w:rPr>
        <w:t>第一级防控主要</w:t>
      </w:r>
      <w:r>
        <w:rPr>
          <w:rFonts w:hint="eastAsia" w:cs="宋体"/>
          <w:color w:val="000000" w:themeColor="text1"/>
          <w:szCs w:val="20"/>
          <w:highlight w:val="none"/>
          <w:lang w:eastAsia="zh-CN"/>
          <w14:textFill>
            <w14:solidFill>
              <w14:schemeClr w14:val="tx1"/>
            </w14:solidFill>
          </w14:textFill>
        </w:rPr>
        <w:t>预防</w:t>
      </w:r>
      <w:r>
        <w:rPr>
          <w:rFonts w:hint="eastAsia" w:cs="宋体"/>
          <w:color w:val="000000" w:themeColor="text1"/>
          <w:szCs w:val="20"/>
          <w:highlight w:val="none"/>
          <w14:textFill>
            <w14:solidFill>
              <w14:schemeClr w14:val="tx1"/>
            </w14:solidFill>
          </w14:textFill>
        </w:rPr>
        <w:t>尾矿库回水泵故障造成尾矿废水溢流。</w:t>
      </w:r>
    </w:p>
    <w:p w14:paraId="784D969C">
      <w:pPr>
        <w:widowControl/>
        <w:topLinePunct/>
        <w:ind w:firstLine="480"/>
        <w:rPr>
          <w:rFonts w:cs="宋体"/>
          <w:color w:val="000000" w:themeColor="text1"/>
          <w:szCs w:val="20"/>
          <w:highlight w:val="none"/>
          <w14:textFill>
            <w14:solidFill>
              <w14:schemeClr w14:val="tx1"/>
            </w14:solidFill>
          </w14:textFill>
        </w:rPr>
      </w:pPr>
      <w:r>
        <w:rPr>
          <w:rFonts w:hint="eastAsia" w:cs="宋体"/>
          <w:color w:val="000000" w:themeColor="text1"/>
          <w:szCs w:val="20"/>
          <w:highlight w:val="none"/>
          <w14:textFill>
            <w14:solidFill>
              <w14:schemeClr w14:val="tx1"/>
            </w14:solidFill>
          </w14:textFill>
        </w:rPr>
        <w:t>第一级防控主要措施为及时检修尾矿库相关设备，发现故障立即启用备用设备。同时联系选矿厂做好尾矿输送调度安排。</w:t>
      </w:r>
    </w:p>
    <w:p w14:paraId="48D18E6D">
      <w:pPr>
        <w:widowControl/>
        <w:topLinePunct/>
        <w:ind w:firstLine="480"/>
        <w:rPr>
          <w:rFonts w:cs="宋体"/>
          <w:color w:val="000000" w:themeColor="text1"/>
          <w:szCs w:val="20"/>
          <w:highlight w:val="none"/>
          <w14:textFill>
            <w14:solidFill>
              <w14:schemeClr w14:val="tx1"/>
            </w14:solidFill>
          </w14:textFill>
        </w:rPr>
      </w:pPr>
      <w:r>
        <w:rPr>
          <w:rFonts w:hint="eastAsia" w:cs="宋体"/>
          <w:color w:val="000000" w:themeColor="text1"/>
          <w:szCs w:val="20"/>
          <w:highlight w:val="none"/>
          <w14:textFill>
            <w14:solidFill>
              <w14:schemeClr w14:val="tx1"/>
            </w14:solidFill>
          </w14:textFill>
        </w:rPr>
        <w:t>（</w:t>
      </w:r>
      <w:r>
        <w:rPr>
          <w:rFonts w:cs="宋体"/>
          <w:color w:val="000000" w:themeColor="text1"/>
          <w:szCs w:val="20"/>
          <w:highlight w:val="none"/>
          <w14:textFill>
            <w14:solidFill>
              <w14:schemeClr w14:val="tx1"/>
            </w14:solidFill>
          </w14:textFill>
        </w:rPr>
        <w:t>2</w:t>
      </w:r>
      <w:r>
        <w:rPr>
          <w:rFonts w:hint="eastAsia" w:cs="宋体"/>
          <w:color w:val="000000" w:themeColor="text1"/>
          <w:szCs w:val="20"/>
          <w:highlight w:val="none"/>
          <w14:textFill>
            <w14:solidFill>
              <w14:schemeClr w14:val="tx1"/>
            </w14:solidFill>
          </w14:textFill>
        </w:rPr>
        <w:t>）第二级防控：厂区级</w:t>
      </w:r>
    </w:p>
    <w:p w14:paraId="358E4A4B">
      <w:pPr>
        <w:widowControl/>
        <w:topLinePunct/>
        <w:ind w:firstLine="480"/>
        <w:rPr>
          <w:rFonts w:cs="宋体"/>
          <w:color w:val="000000" w:themeColor="text1"/>
          <w:szCs w:val="20"/>
          <w:highlight w:val="none"/>
          <w14:textFill>
            <w14:solidFill>
              <w14:schemeClr w14:val="tx1"/>
            </w14:solidFill>
          </w14:textFill>
        </w:rPr>
      </w:pPr>
      <w:r>
        <w:rPr>
          <w:rFonts w:hint="eastAsia" w:cs="宋体"/>
          <w:color w:val="000000" w:themeColor="text1"/>
          <w:szCs w:val="20"/>
          <w:highlight w:val="none"/>
          <w14:textFill>
            <w14:solidFill>
              <w14:schemeClr w14:val="tx1"/>
            </w14:solidFill>
          </w14:textFill>
        </w:rPr>
        <w:t>第二级防控主要预防排水系统出现堵塞、管道破裂而发生</w:t>
      </w:r>
      <w:r>
        <w:rPr>
          <w:rFonts w:hint="eastAsia" w:cs="宋体"/>
          <w:color w:val="000000" w:themeColor="text1"/>
          <w:szCs w:val="20"/>
          <w:highlight w:val="none"/>
          <w:lang w:eastAsia="zh-CN"/>
          <w14:textFill>
            <w14:solidFill>
              <w14:schemeClr w14:val="tx1"/>
            </w14:solidFill>
          </w14:textFill>
        </w:rPr>
        <w:t>泄漏</w:t>
      </w:r>
      <w:r>
        <w:rPr>
          <w:rFonts w:hint="eastAsia" w:cs="宋体"/>
          <w:color w:val="000000" w:themeColor="text1"/>
          <w:szCs w:val="20"/>
          <w:highlight w:val="none"/>
          <w14:textFill>
            <w14:solidFill>
              <w14:schemeClr w14:val="tx1"/>
            </w14:solidFill>
          </w14:textFill>
        </w:rPr>
        <w:t>。</w:t>
      </w:r>
    </w:p>
    <w:p w14:paraId="3009F390">
      <w:pPr>
        <w:widowControl/>
        <w:topLinePunct/>
        <w:ind w:firstLine="480"/>
        <w:rPr>
          <w:rFonts w:cs="宋体"/>
          <w:color w:val="000000" w:themeColor="text1"/>
          <w:szCs w:val="20"/>
          <w:highlight w:val="none"/>
          <w14:textFill>
            <w14:solidFill>
              <w14:schemeClr w14:val="tx1"/>
            </w14:solidFill>
          </w14:textFill>
        </w:rPr>
      </w:pPr>
      <w:r>
        <w:rPr>
          <w:rFonts w:hint="eastAsia" w:cs="宋体"/>
          <w:color w:val="000000" w:themeColor="text1"/>
          <w:szCs w:val="20"/>
          <w:highlight w:val="none"/>
          <w14:textFill>
            <w14:solidFill>
              <w14:schemeClr w14:val="tx1"/>
            </w14:solidFill>
          </w14:textFill>
        </w:rPr>
        <w:t>第二级防控主要措施为平时加强尾矿库排水系统的维护，定期检修。尾矿排水管道破裂或堵塞时，应立即停止使用、切换到备用管道。尾矿库上游设置截水坝，两侧设置排水沟，减少坝外回水进入尾矿库。通过采取以上措施可以减少事故条件下下泄水量，有效地降低尾矿排水事故对下游的影响。</w:t>
      </w:r>
    </w:p>
    <w:p w14:paraId="6808A85D">
      <w:pPr>
        <w:widowControl/>
        <w:topLinePunct/>
        <w:ind w:firstLine="480"/>
        <w:rPr>
          <w:rFonts w:cs="宋体"/>
          <w:color w:val="000000" w:themeColor="text1"/>
          <w:szCs w:val="20"/>
          <w:highlight w:val="none"/>
          <w14:textFill>
            <w14:solidFill>
              <w14:schemeClr w14:val="tx1"/>
            </w14:solidFill>
          </w14:textFill>
        </w:rPr>
      </w:pPr>
      <w:r>
        <w:rPr>
          <w:rFonts w:hint="eastAsia" w:cs="宋体"/>
          <w:color w:val="000000" w:themeColor="text1"/>
          <w:szCs w:val="20"/>
          <w:highlight w:val="none"/>
          <w14:textFill>
            <w14:solidFill>
              <w14:schemeClr w14:val="tx1"/>
            </w14:solidFill>
          </w14:textFill>
        </w:rPr>
        <w:t>（</w:t>
      </w:r>
      <w:r>
        <w:rPr>
          <w:rFonts w:cs="宋体"/>
          <w:color w:val="000000" w:themeColor="text1"/>
          <w:szCs w:val="20"/>
          <w:highlight w:val="none"/>
          <w14:textFill>
            <w14:solidFill>
              <w14:schemeClr w14:val="tx1"/>
            </w14:solidFill>
          </w14:textFill>
        </w:rPr>
        <w:t>3</w:t>
      </w:r>
      <w:r>
        <w:rPr>
          <w:rFonts w:hint="eastAsia" w:cs="宋体"/>
          <w:color w:val="000000" w:themeColor="text1"/>
          <w:szCs w:val="20"/>
          <w:highlight w:val="none"/>
          <w14:textFill>
            <w14:solidFill>
              <w14:schemeClr w14:val="tx1"/>
            </w14:solidFill>
          </w14:textFill>
        </w:rPr>
        <w:t>）第三级防控：流域级</w:t>
      </w:r>
    </w:p>
    <w:p w14:paraId="484BDDBE">
      <w:pPr>
        <w:widowControl/>
        <w:topLinePunct/>
        <w:ind w:firstLine="480"/>
        <w:rPr>
          <w:rFonts w:cs="宋体"/>
          <w:color w:val="000000" w:themeColor="text1"/>
          <w:szCs w:val="20"/>
          <w:highlight w:val="none"/>
          <w14:textFill>
            <w14:solidFill>
              <w14:schemeClr w14:val="tx1"/>
            </w14:solidFill>
          </w14:textFill>
        </w:rPr>
      </w:pPr>
      <w:r>
        <w:rPr>
          <w:rFonts w:hint="eastAsia" w:cs="宋体"/>
          <w:color w:val="000000" w:themeColor="text1"/>
          <w:szCs w:val="20"/>
          <w:highlight w:val="none"/>
          <w14:textFill>
            <w14:solidFill>
              <w14:schemeClr w14:val="tx1"/>
            </w14:solidFill>
          </w14:textFill>
        </w:rPr>
        <w:t>第三级防控主要预防尾矿库发生溃坝，滑坡等事故，发生尾矿</w:t>
      </w:r>
      <w:r>
        <w:rPr>
          <w:rFonts w:hint="eastAsia" w:cs="宋体"/>
          <w:color w:val="000000" w:themeColor="text1"/>
          <w:szCs w:val="20"/>
          <w:highlight w:val="none"/>
          <w:lang w:eastAsia="zh-CN"/>
          <w14:textFill>
            <w14:solidFill>
              <w14:schemeClr w14:val="tx1"/>
            </w14:solidFill>
          </w14:textFill>
        </w:rPr>
        <w:t>泄漏</w:t>
      </w:r>
      <w:r>
        <w:rPr>
          <w:rFonts w:hint="eastAsia" w:cs="宋体"/>
          <w:color w:val="000000" w:themeColor="text1"/>
          <w:szCs w:val="20"/>
          <w:highlight w:val="none"/>
          <w14:textFill>
            <w14:solidFill>
              <w14:schemeClr w14:val="tx1"/>
            </w14:solidFill>
          </w14:textFill>
        </w:rPr>
        <w:t>，一、二级防控失败条件下的防控措施。</w:t>
      </w:r>
    </w:p>
    <w:p w14:paraId="043BFB87">
      <w:pPr>
        <w:pStyle w:val="41"/>
        <w:topLinePunct/>
        <w:spacing w:line="480" w:lineRule="exa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评价建议当地有关部门按照《尾矿库环境应急管理工作指南（试行）》（环办〔</w:t>
      </w:r>
      <w:r>
        <w:rPr>
          <w:color w:val="000000" w:themeColor="text1"/>
          <w:highlight w:val="none"/>
          <w14:textFill>
            <w14:solidFill>
              <w14:schemeClr w14:val="tx1"/>
            </w14:solidFill>
          </w14:textFill>
        </w:rPr>
        <w:t>2010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138</w:t>
      </w:r>
      <w:r>
        <w:rPr>
          <w:rFonts w:hint="eastAsia"/>
          <w:color w:val="000000" w:themeColor="text1"/>
          <w:highlight w:val="none"/>
          <w14:textFill>
            <w14:solidFill>
              <w14:schemeClr w14:val="tx1"/>
            </w14:solidFill>
          </w14:textFill>
        </w:rPr>
        <w:t>号）的有关要求编制流域级防治规定，并定期演练。主要措施包括在受尾矿库溃坝事故影响的流域下游设置具有拦截降解作用的设施，包括拦截坝等；在尾矿库上游建设</w:t>
      </w:r>
      <w:r>
        <w:rPr>
          <w:rFonts w:hint="eastAsia"/>
          <w:color w:val="000000" w:themeColor="text1"/>
          <w:highlight w:val="none"/>
          <w:lang w:eastAsia="zh-CN"/>
          <w14:textFill>
            <w14:solidFill>
              <w14:schemeClr w14:val="tx1"/>
            </w14:solidFill>
          </w14:textFill>
        </w:rPr>
        <w:t>应急物资</w:t>
      </w:r>
      <w:r>
        <w:rPr>
          <w:rFonts w:hint="eastAsia"/>
          <w:color w:val="000000" w:themeColor="text1"/>
          <w:highlight w:val="none"/>
          <w14:textFill>
            <w14:solidFill>
              <w14:schemeClr w14:val="tx1"/>
            </w14:solidFill>
          </w14:textFill>
        </w:rPr>
        <w:t>储备库，储备沙袋、水泥管等应急物资等。待当地流域级尾矿库环境应急防治规划出台后，本项目应严格履行相关规定，落实规划防治措施要求，并配合当地定期演练。</w:t>
      </w:r>
    </w:p>
    <w:p w14:paraId="1E4EE544">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b/>
          <w:bCs/>
          <w:color w:val="000000" w:themeColor="text1"/>
          <w:sz w:val="30"/>
          <w:szCs w:val="32"/>
          <w:highlight w:val="none"/>
          <w14:textFill>
            <w14:solidFill>
              <w14:schemeClr w14:val="tx1"/>
            </w14:solidFill>
          </w14:textFill>
        </w:rPr>
        <w:t>5.3.8应急预案</w:t>
      </w:r>
    </w:p>
    <w:p w14:paraId="69DB501E">
      <w:pPr>
        <w:overflowPunct w:val="0"/>
        <w:topLinePunct/>
        <w:ind w:firstLine="480"/>
        <w:rPr>
          <w:b/>
          <w:bCs/>
          <w:color w:val="000000" w:themeColor="text1"/>
          <w:sz w:val="30"/>
          <w:szCs w:val="32"/>
          <w:highlight w:val="none"/>
          <w14:textFill>
            <w14:solidFill>
              <w14:schemeClr w14:val="tx1"/>
            </w14:solidFill>
          </w14:textFill>
        </w:rPr>
      </w:pPr>
      <w:r>
        <w:rPr>
          <w:color w:val="000000" w:themeColor="text1"/>
          <w:highlight w:val="none"/>
          <w:lang w:bidi="ar"/>
          <w14:textFill>
            <w14:solidFill>
              <w14:schemeClr w14:val="tx1"/>
            </w14:solidFill>
          </w14:textFill>
        </w:rPr>
        <w:t>为应对项目可能产生的各类突发性环境污染事件以及生态破坏事故，</w:t>
      </w:r>
      <w:r>
        <w:rPr>
          <w:rFonts w:hint="eastAsia"/>
          <w:color w:val="000000" w:themeColor="text1"/>
          <w:highlight w:val="none"/>
          <w:lang w:eastAsia="zh-CN"/>
          <w14:textFill>
            <w14:solidFill>
              <w14:schemeClr w14:val="tx1"/>
            </w14:solidFill>
          </w14:textFill>
        </w:rPr>
        <w:t>哈密市西成矿业有限责任公司</w:t>
      </w:r>
      <w:r>
        <w:rPr>
          <w:rFonts w:hint="eastAsia"/>
          <w:color w:val="000000" w:themeColor="text1"/>
          <w:highlight w:val="none"/>
          <w:lang w:val="en-US" w:eastAsia="zh-CN"/>
          <w14:textFill>
            <w14:solidFill>
              <w14:schemeClr w14:val="tx1"/>
            </w14:solidFill>
          </w14:textFill>
        </w:rPr>
        <w:t>应编制</w:t>
      </w:r>
      <w:r>
        <w:rPr>
          <w:color w:val="000000" w:themeColor="text1"/>
          <w:highlight w:val="none"/>
          <w14:textFill>
            <w14:solidFill>
              <w14:schemeClr w14:val="tx1"/>
            </w14:solidFill>
          </w14:textFill>
        </w:rPr>
        <w:t>选矿厂</w:t>
      </w:r>
      <w:r>
        <w:rPr>
          <w:rFonts w:hint="eastAsia"/>
          <w:color w:val="000000" w:themeColor="text1"/>
          <w:highlight w:val="none"/>
          <w:lang w:val="en-US" w:eastAsia="zh-CN"/>
          <w14:textFill>
            <w14:solidFill>
              <w14:schemeClr w14:val="tx1"/>
            </w14:solidFill>
          </w14:textFill>
        </w:rPr>
        <w:t>突发环境事件应急预案、尾矿库突发环境事件应急预案</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并在</w:t>
      </w:r>
      <w:r>
        <w:rPr>
          <w:color w:val="000000" w:themeColor="text1"/>
          <w:kern w:val="0"/>
          <w:highlight w:val="none"/>
          <w:lang w:bidi="ar"/>
          <w14:textFill>
            <w14:solidFill>
              <w14:schemeClr w14:val="tx1"/>
            </w14:solidFill>
          </w14:textFill>
        </w:rPr>
        <w:t>本项目投运前</w:t>
      </w:r>
      <w:r>
        <w:rPr>
          <w:rFonts w:hint="eastAsia"/>
          <w:color w:val="000000" w:themeColor="text1"/>
          <w:kern w:val="0"/>
          <w:highlight w:val="none"/>
          <w:lang w:val="en-US" w:eastAsia="zh-CN" w:bidi="ar"/>
          <w14:textFill>
            <w14:solidFill>
              <w14:schemeClr w14:val="tx1"/>
            </w14:solidFill>
          </w14:textFill>
        </w:rPr>
        <w:t>及时</w:t>
      </w:r>
      <w:r>
        <w:rPr>
          <w:color w:val="000000" w:themeColor="text1"/>
          <w:kern w:val="0"/>
          <w:highlight w:val="none"/>
          <w:lang w:bidi="ar"/>
          <w14:textFill>
            <w14:solidFill>
              <w14:schemeClr w14:val="tx1"/>
            </w14:solidFill>
          </w14:textFill>
        </w:rPr>
        <w:t>对应急预案进行备案。</w:t>
      </w:r>
    </w:p>
    <w:p w14:paraId="1B274C76">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5.3.8.1应急计划要求</w:t>
      </w:r>
    </w:p>
    <w:p w14:paraId="14FEC095">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w:t>
      </w:r>
      <w:r>
        <w:rPr>
          <w:color w:val="000000" w:themeColor="text1"/>
          <w:szCs w:val="21"/>
          <w:highlight w:val="none"/>
          <w14:textFill>
            <w14:solidFill>
              <w14:schemeClr w14:val="tx1"/>
            </w14:solidFill>
          </w14:textFill>
        </w:rPr>
        <w:t>明确应急计划区，确定风险源和环境保护目标。</w:t>
      </w:r>
    </w:p>
    <w:p w14:paraId="59C26DE6">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w:t>
      </w:r>
      <w:r>
        <w:rPr>
          <w:color w:val="000000" w:themeColor="text1"/>
          <w:szCs w:val="21"/>
          <w:highlight w:val="none"/>
          <w14:textFill>
            <w14:solidFill>
              <w14:schemeClr w14:val="tx1"/>
            </w14:solidFill>
          </w14:textFill>
        </w:rPr>
        <w:t>应急组织要坚持</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主动预防、积极抢救</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的原则，能够处理各种突发事件，快速反应和正确处理相结合。</w:t>
      </w:r>
    </w:p>
    <w:p w14:paraId="67667856">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w:t>
      </w:r>
      <w:r>
        <w:rPr>
          <w:color w:val="000000" w:themeColor="text1"/>
          <w:szCs w:val="21"/>
          <w:highlight w:val="none"/>
          <w14:textFill>
            <w14:solidFill>
              <w14:schemeClr w14:val="tx1"/>
            </w14:solidFill>
          </w14:textFill>
        </w:rPr>
        <w:t>正确的措施</w:t>
      </w:r>
    </w:p>
    <w:p w14:paraId="42C6D57A">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保护和设置避难通道和安全联络设备，撤离灾区人员。采取必要措施切断风险源，防止事故扩大。</w:t>
      </w:r>
    </w:p>
    <w:p w14:paraId="2CE0BC65">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5.3.8.2应急组织机构和人员</w:t>
      </w:r>
    </w:p>
    <w:p w14:paraId="14357E92">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根据应急级别不同，常备应急组织人员分别由事故应急指挥领导小组，由总经理、生产技术部、保障部、计财部、各施工单位等部门领导组成，下设应急救援办公室（设在安环部）日常工作由安环部兼管。</w:t>
      </w:r>
    </w:p>
    <w:p w14:paraId="67C8F535">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各应急机构职责为：</w:t>
      </w:r>
    </w:p>
    <w:p w14:paraId="6A7796CA">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（1）领导小组</w:t>
      </w:r>
    </w:p>
    <w:p w14:paraId="07E814ED">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w:t>
      </w:r>
      <w:r>
        <w:rPr>
          <w:color w:val="000000" w:themeColor="text1"/>
          <w:szCs w:val="21"/>
          <w:highlight w:val="none"/>
          <w14:textFill>
            <w14:solidFill>
              <w14:schemeClr w14:val="tx1"/>
            </w14:solidFill>
          </w14:textFill>
        </w:rPr>
        <w:t>负责事故应急救援预案的编制；</w:t>
      </w:r>
    </w:p>
    <w:p w14:paraId="77F965EA">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w:t>
      </w:r>
      <w:r>
        <w:rPr>
          <w:color w:val="000000" w:themeColor="text1"/>
          <w:szCs w:val="21"/>
          <w:highlight w:val="none"/>
          <w14:textFill>
            <w14:solidFill>
              <w14:schemeClr w14:val="tx1"/>
            </w14:solidFill>
          </w14:textFill>
        </w:rPr>
        <w:t>组建应急救援专业队伍，并组织实施和演练；</w:t>
      </w:r>
    </w:p>
    <w:p w14:paraId="00D106D7">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w:t>
      </w:r>
      <w:r>
        <w:rPr>
          <w:color w:val="000000" w:themeColor="text1"/>
          <w:szCs w:val="21"/>
          <w:highlight w:val="none"/>
          <w14:textFill>
            <w14:solidFill>
              <w14:schemeClr w14:val="tx1"/>
            </w14:solidFill>
          </w14:textFill>
        </w:rPr>
        <w:t>检查督促做好重大事故的预防措施和应急救援的各项准备工作；</w:t>
      </w:r>
    </w:p>
    <w:p w14:paraId="339F1395">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④</w:t>
      </w:r>
      <w:r>
        <w:rPr>
          <w:color w:val="000000" w:themeColor="text1"/>
          <w:szCs w:val="21"/>
          <w:highlight w:val="none"/>
          <w14:textFill>
            <w14:solidFill>
              <w14:schemeClr w14:val="tx1"/>
            </w14:solidFill>
          </w14:textFill>
        </w:rPr>
        <w:t>负责与上级事故救援领导小组的联络及开展相应工作。</w:t>
      </w:r>
    </w:p>
    <w:p w14:paraId="45146A23">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（2）指挥部</w:t>
      </w:r>
    </w:p>
    <w:p w14:paraId="5F2EDA6A">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w:t>
      </w:r>
      <w:r>
        <w:rPr>
          <w:color w:val="000000" w:themeColor="text1"/>
          <w:szCs w:val="21"/>
          <w:highlight w:val="none"/>
          <w14:textFill>
            <w14:solidFill>
              <w14:schemeClr w14:val="tx1"/>
            </w14:solidFill>
          </w14:textFill>
        </w:rPr>
        <w:t>发生事故时，由指挥部发布和解除应急救援命令、信号；</w:t>
      </w:r>
    </w:p>
    <w:p w14:paraId="1C802DE0">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w:t>
      </w:r>
      <w:r>
        <w:rPr>
          <w:color w:val="000000" w:themeColor="text1"/>
          <w:szCs w:val="21"/>
          <w:highlight w:val="none"/>
          <w14:textFill>
            <w14:solidFill>
              <w14:schemeClr w14:val="tx1"/>
            </w14:solidFill>
          </w14:textFill>
        </w:rPr>
        <w:t>组织指挥救援队伍实施救援行动；</w:t>
      </w:r>
    </w:p>
    <w:p w14:paraId="43509EFD">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w:t>
      </w:r>
      <w:r>
        <w:rPr>
          <w:color w:val="000000" w:themeColor="text1"/>
          <w:szCs w:val="21"/>
          <w:highlight w:val="none"/>
          <w14:textFill>
            <w14:solidFill>
              <w14:schemeClr w14:val="tx1"/>
            </w14:solidFill>
          </w14:textFill>
        </w:rPr>
        <w:t>向上级汇报和向友邻单位通报事故情况，必要时向有关单位发出救援请求；</w:t>
      </w:r>
    </w:p>
    <w:p w14:paraId="7B2000E8">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④</w:t>
      </w:r>
      <w:r>
        <w:rPr>
          <w:color w:val="000000" w:themeColor="text1"/>
          <w:szCs w:val="21"/>
          <w:highlight w:val="none"/>
          <w14:textFill>
            <w14:solidFill>
              <w14:schemeClr w14:val="tx1"/>
            </w14:solidFill>
          </w14:textFill>
        </w:rPr>
        <w:t>组织事故调查，总结应急救援工作的经验教训。</w:t>
      </w:r>
    </w:p>
    <w:p w14:paraId="582E49F9">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（3）指挥部人员分工</w:t>
      </w:r>
    </w:p>
    <w:p w14:paraId="6AB13C6E">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总指挥：组织指挥全公司的应急救援工作；</w:t>
      </w:r>
    </w:p>
    <w:p w14:paraId="1C79F106">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常务副总指挥：负责应急救援的具体指挥工作；</w:t>
      </w:r>
    </w:p>
    <w:p w14:paraId="292A8C7C">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副总指挥：协助常务副总指挥负责分管范围内应急救援的具体指挥与落实工作。</w:t>
      </w:r>
    </w:p>
    <w:p w14:paraId="0A4DCD06">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（4）综合办公室</w:t>
      </w:r>
    </w:p>
    <w:p w14:paraId="450FD4A9">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w:t>
      </w:r>
      <w:r>
        <w:rPr>
          <w:color w:val="000000" w:themeColor="text1"/>
          <w:szCs w:val="21"/>
          <w:highlight w:val="none"/>
          <w14:textFill>
            <w14:solidFill>
              <w14:schemeClr w14:val="tx1"/>
            </w14:solidFill>
          </w14:textFill>
        </w:rPr>
        <w:t>协助总指挥做好事故报警，情况通报及事故的处置工作；</w:t>
      </w:r>
    </w:p>
    <w:p w14:paraId="66AFAB75">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w:t>
      </w:r>
      <w:r>
        <w:rPr>
          <w:color w:val="000000" w:themeColor="text1"/>
          <w:szCs w:val="21"/>
          <w:highlight w:val="none"/>
          <w14:textFill>
            <w14:solidFill>
              <w14:schemeClr w14:val="tx1"/>
            </w14:solidFill>
          </w14:textFill>
        </w:rPr>
        <w:t>负责组织控</w:t>
      </w:r>
      <w:r>
        <w:rPr>
          <w:rFonts w:hint="eastAsia"/>
          <w:color w:val="000000" w:themeColor="text1"/>
          <w:szCs w:val="21"/>
          <w:highlight w:val="none"/>
          <w:lang w:eastAsia="zh-CN"/>
          <w14:textFill>
            <w14:solidFill>
              <w14:schemeClr w14:val="tx1"/>
            </w14:solidFill>
          </w14:textFill>
        </w:rPr>
        <w:t>制和</w:t>
      </w:r>
      <w:r>
        <w:rPr>
          <w:color w:val="000000" w:themeColor="text1"/>
          <w:szCs w:val="21"/>
          <w:highlight w:val="none"/>
          <w14:textFill>
            <w14:solidFill>
              <w14:schemeClr w14:val="tx1"/>
            </w14:solidFill>
          </w14:textFill>
        </w:rPr>
        <w:t>消除现场隐患、警戒、治安、保卫、疏散、道路管制工作；</w:t>
      </w:r>
    </w:p>
    <w:p w14:paraId="2EC984D3">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w:t>
      </w:r>
      <w:r>
        <w:rPr>
          <w:color w:val="000000" w:themeColor="text1"/>
          <w:szCs w:val="21"/>
          <w:highlight w:val="none"/>
          <w14:textFill>
            <w14:solidFill>
              <w14:schemeClr w14:val="tx1"/>
            </w14:solidFill>
          </w14:textFill>
        </w:rPr>
        <w:t>负责事故现场通讯联系和对外联系；</w:t>
      </w:r>
    </w:p>
    <w:p w14:paraId="425772A1">
      <w:pPr>
        <w:overflowPunct w:val="0"/>
        <w:topLinePunct/>
        <w:ind w:firstLine="480"/>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④</w:t>
      </w:r>
      <w:r>
        <w:rPr>
          <w:color w:val="000000" w:themeColor="text1"/>
          <w:szCs w:val="21"/>
          <w:highlight w:val="none"/>
          <w14:textFill>
            <w14:solidFill>
              <w14:schemeClr w14:val="tx1"/>
            </w14:solidFill>
          </w14:textFill>
        </w:rPr>
        <w:t>必要时代表指挥部对外发布有关信息。</w:t>
      </w:r>
    </w:p>
    <w:p w14:paraId="285D5FCC">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（5）公司总调度室</w:t>
      </w:r>
    </w:p>
    <w:p w14:paraId="7A1891C1">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协助总指挥负责有关工程抢险，抢修的现场指挥和设备调配。</w:t>
      </w:r>
    </w:p>
    <w:p w14:paraId="15015B90">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（6）公司保障部</w:t>
      </w:r>
    </w:p>
    <w:p w14:paraId="31DD4793">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负责抢险救援物资的供应和运输工作。</w:t>
      </w:r>
    </w:p>
    <w:p w14:paraId="37294C5C">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（7）安环部</w:t>
      </w:r>
    </w:p>
    <w:p w14:paraId="0531770A">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负责现场的监测和事故的分析工作。</w:t>
      </w:r>
    </w:p>
    <w:p w14:paraId="6F09D849">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5.3.8.3预案分级及响应程序</w:t>
      </w:r>
    </w:p>
    <w:p w14:paraId="5F4B10D5">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根据事故的可控性、严重程度和影响范围，将应急预案分为四级，即特别重大环境事件（Ⅰ级）、重大环境事件（Ⅱ级）、较大环境事件（Ⅲ级）和一般环境事件（Ⅳ级）四级。</w:t>
      </w:r>
    </w:p>
    <w:p w14:paraId="47F68022">
      <w:pPr>
        <w:overflowPunct w:val="0"/>
        <w:topLinePunct/>
        <w:ind w:firstLine="48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r>
        <w:rPr>
          <w:color w:val="000000" w:themeColor="text1"/>
          <w:szCs w:val="21"/>
          <w:highlight w:val="none"/>
          <w14:textFill>
            <w14:solidFill>
              <w14:schemeClr w14:val="tx1"/>
            </w14:solidFill>
          </w14:textFill>
        </w:rPr>
        <w:t>I级应急：</w:t>
      </w:r>
    </w:p>
    <w:p w14:paraId="23FFC2F1">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1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①</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因环境污染直接导致30人以上死亡或100人以上中毒或重伤的；</w:t>
      </w:r>
    </w:p>
    <w:p w14:paraId="2BAD1D9D">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2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②</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因环境污染疏散、转移人员5万人以上的；</w:t>
      </w:r>
    </w:p>
    <w:p w14:paraId="5721A91C">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3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③</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因环境污染造成直接经济损失1亿元以上的；</w:t>
      </w:r>
    </w:p>
    <w:p w14:paraId="370D4221">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4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④</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因环境污染造成区域生态功能丧失或该区域国家重点保护物种灭绝的；</w:t>
      </w:r>
    </w:p>
    <w:p w14:paraId="423F92BA">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5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⑤</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因环境污染造成设区的市级以上城市集中式饮用水水源地取水中断的；</w:t>
      </w:r>
    </w:p>
    <w:p w14:paraId="4E7C4846">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6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⑥</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Ⅰ、Ⅱ类放射源丢失、被盗、失控并造成大范围严重辐射污染后果的；放射性同位素和射线装置失控导致3人以上急性死亡的；放射性物质泄漏，造成大范围辐射污染后果的；</w:t>
      </w:r>
    </w:p>
    <w:p w14:paraId="15AEBD6C">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7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⑦</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造成重大跨国境影响的境内突发环境事件。</w:t>
      </w:r>
    </w:p>
    <w:p w14:paraId="1BB067E8">
      <w:pPr>
        <w:overflowPunct w:val="0"/>
        <w:topLinePunct/>
        <w:ind w:firstLine="48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2 \* ROMAN </w:instrText>
      </w:r>
      <w:r>
        <w:rPr>
          <w:color w:val="000000" w:themeColor="text1"/>
          <w:szCs w:val="21"/>
          <w:highlight w:val="none"/>
          <w14:textFill>
            <w14:solidFill>
              <w14:schemeClr w14:val="tx1"/>
            </w14:solidFill>
          </w14:textFill>
        </w:rPr>
        <w:fldChar w:fldCharType="separate"/>
      </w:r>
      <w:r>
        <w:rPr>
          <w:color w:val="000000" w:themeColor="text1"/>
          <w:szCs w:val="21"/>
          <w:highlight w:val="none"/>
          <w14:textFill>
            <w14:solidFill>
              <w14:schemeClr w14:val="tx1"/>
            </w14:solidFill>
          </w14:textFill>
        </w:rPr>
        <w:t>II</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级应急：</w:t>
      </w:r>
    </w:p>
    <w:p w14:paraId="2E2ADE60">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1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①</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因环境污染直接导致10人以上30人以下死亡或50人以上100人以下中毒或重伤的；</w:t>
      </w:r>
    </w:p>
    <w:p w14:paraId="06F3D5F9">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2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②</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因环境污染疏散、转移人员1万人以上5万人以下的；</w:t>
      </w:r>
    </w:p>
    <w:p w14:paraId="178C374E">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3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③</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因环境污染造成直接经济损失2000万元以上1亿元以下的；</w:t>
      </w:r>
    </w:p>
    <w:p w14:paraId="0E3EB348">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4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④</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因环境污染造成区域生态功能部分丧失或该区域国家重点保护野生动植物种群大批死亡的；</w:t>
      </w:r>
    </w:p>
    <w:p w14:paraId="3F3F002F">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5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⑤</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因环境污染造成县级城市集中式饮用水水源地取水中断的；</w:t>
      </w:r>
    </w:p>
    <w:p w14:paraId="12D9E733">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6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⑥</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Ⅰ、Ⅱ类放射源丢失、被盗的；放射性同位素和射线装置失控导致3人以下急性死亡或者10人以上急性重度放射病、局部器官残疾的；放射性物质泄漏，造成较大范围辐射污染后果的；</w:t>
      </w:r>
    </w:p>
    <w:p w14:paraId="36E12D91">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7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⑦</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造成跨省级行政区域影响的突发环境事件。</w:t>
      </w:r>
    </w:p>
    <w:p w14:paraId="7690F78F">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一旦发生</w:t>
      </w: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2 \* ROMAN </w:instrText>
      </w:r>
      <w:r>
        <w:rPr>
          <w:color w:val="000000" w:themeColor="text1"/>
          <w:szCs w:val="21"/>
          <w:highlight w:val="none"/>
          <w14:textFill>
            <w14:solidFill>
              <w14:schemeClr w14:val="tx1"/>
            </w14:solidFill>
          </w14:textFill>
        </w:rPr>
        <w:fldChar w:fldCharType="separate"/>
      </w:r>
      <w:r>
        <w:rPr>
          <w:color w:val="000000" w:themeColor="text1"/>
          <w:szCs w:val="21"/>
          <w:highlight w:val="none"/>
          <w14:textFill>
            <w14:solidFill>
              <w14:schemeClr w14:val="tx1"/>
            </w14:solidFill>
          </w14:textFill>
        </w:rPr>
        <w:t>II</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级较大事故，应该迅速报告事故应急指挥领导小组，启动</w:t>
      </w: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2 \* ROMAN </w:instrText>
      </w:r>
      <w:r>
        <w:rPr>
          <w:color w:val="000000" w:themeColor="text1"/>
          <w:szCs w:val="21"/>
          <w:highlight w:val="none"/>
          <w14:textFill>
            <w14:solidFill>
              <w14:schemeClr w14:val="tx1"/>
            </w14:solidFill>
          </w14:textFill>
        </w:rPr>
        <w:fldChar w:fldCharType="separate"/>
      </w:r>
      <w:r>
        <w:rPr>
          <w:color w:val="000000" w:themeColor="text1"/>
          <w:szCs w:val="21"/>
          <w:highlight w:val="none"/>
          <w14:textFill>
            <w14:solidFill>
              <w14:schemeClr w14:val="tx1"/>
            </w14:solidFill>
          </w14:textFill>
        </w:rPr>
        <w:t>II</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级应急预案，上报</w:t>
      </w:r>
      <w:r>
        <w:rPr>
          <w:rFonts w:hint="eastAsia"/>
          <w:color w:val="000000" w:themeColor="text1"/>
          <w:szCs w:val="21"/>
          <w:highlight w:val="none"/>
          <w:lang w:eastAsia="zh-CN"/>
          <w14:textFill>
            <w14:solidFill>
              <w14:schemeClr w14:val="tx1"/>
            </w14:solidFill>
          </w14:textFill>
        </w:rPr>
        <w:t>哈密市</w:t>
      </w:r>
      <w:r>
        <w:rPr>
          <w:color w:val="000000" w:themeColor="text1"/>
          <w:szCs w:val="21"/>
          <w:highlight w:val="none"/>
          <w14:textFill>
            <w14:solidFill>
              <w14:schemeClr w14:val="tx1"/>
            </w14:solidFill>
          </w14:textFill>
        </w:rPr>
        <w:t>人民政府，通知当地生态环境主管部门到现场进行事故评估。厂区主要配合应急小组处理事故现场。厂区各职能部门</w:t>
      </w:r>
      <w:r>
        <w:rPr>
          <w:rFonts w:hint="eastAsia"/>
          <w:color w:val="000000" w:themeColor="text1"/>
          <w:szCs w:val="21"/>
          <w:highlight w:val="none"/>
          <w:lang w:eastAsia="zh-CN"/>
          <w14:textFill>
            <w14:solidFill>
              <w14:schemeClr w14:val="tx1"/>
            </w14:solidFill>
          </w14:textFill>
        </w:rPr>
        <w:t>在</w:t>
      </w:r>
      <w:r>
        <w:rPr>
          <w:color w:val="000000" w:themeColor="text1"/>
          <w:szCs w:val="21"/>
          <w:highlight w:val="none"/>
          <w14:textFill>
            <w14:solidFill>
              <w14:schemeClr w14:val="tx1"/>
            </w14:solidFill>
          </w14:textFill>
        </w:rPr>
        <w:t>发生事故时各自履行各自职责，环境监测站到现场进行事故影响监测。</w:t>
      </w:r>
    </w:p>
    <w:p w14:paraId="028E0192">
      <w:pPr>
        <w:overflowPunct w:val="0"/>
        <w:topLinePunct/>
        <w:ind w:firstLine="48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3 \* ROMAN </w:instrText>
      </w:r>
      <w:r>
        <w:rPr>
          <w:color w:val="000000" w:themeColor="text1"/>
          <w:szCs w:val="21"/>
          <w:highlight w:val="none"/>
          <w14:textFill>
            <w14:solidFill>
              <w14:schemeClr w14:val="tx1"/>
            </w14:solidFill>
          </w14:textFill>
        </w:rPr>
        <w:fldChar w:fldCharType="separate"/>
      </w:r>
      <w:r>
        <w:rPr>
          <w:color w:val="000000" w:themeColor="text1"/>
          <w:szCs w:val="21"/>
          <w:highlight w:val="none"/>
          <w14:textFill>
            <w14:solidFill>
              <w14:schemeClr w14:val="tx1"/>
            </w14:solidFill>
          </w14:textFill>
        </w:rPr>
        <w:t>III</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级应急：</w:t>
      </w:r>
    </w:p>
    <w:p w14:paraId="3CECA4FF">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1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①</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因环境污染直接导致3人以上10人以下死亡或10人以上50人以下中毒或重伤的；</w:t>
      </w:r>
    </w:p>
    <w:p w14:paraId="49F9E6EA">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2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②</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因环境污染疏散、转移人员5000人以上1万人以下的；</w:t>
      </w:r>
    </w:p>
    <w:p w14:paraId="4B3AE0BE">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3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③</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因环境污染造成直接经济损失500万元以上2000万元以下的；</w:t>
      </w:r>
    </w:p>
    <w:p w14:paraId="465FA63B">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4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④</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因环境污染造成国家重点保护的动植物物种受到破坏的；</w:t>
      </w:r>
    </w:p>
    <w:p w14:paraId="7F2109DA">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5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⑤</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因环境污染造成乡镇集中式饮用水水源地取水中断的；</w:t>
      </w:r>
    </w:p>
    <w:p w14:paraId="3AC2A195">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6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⑥</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Ⅲ类放射源丢失、被盗的；放射性同位素和射线装置失控导致10人以下急性重度放射病、局部器官残疾的；放射性物质泄漏，造成小范围辐射污染后果的；</w:t>
      </w:r>
    </w:p>
    <w:p w14:paraId="4E1A00A9">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7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⑦</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造成跨设区的市级行政区域影响的突发环境事件。</w:t>
      </w:r>
    </w:p>
    <w:p w14:paraId="3B6C8A19">
      <w:pPr>
        <w:overflowPunct w:val="0"/>
        <w:topLinePunct/>
        <w:ind w:firstLine="48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r>
        <w:rPr>
          <w:color w:val="000000" w:themeColor="text1"/>
          <w:szCs w:val="21"/>
          <w:highlight w:val="none"/>
          <w14:textFill>
            <w14:solidFill>
              <w14:schemeClr w14:val="tx1"/>
            </w14:solidFill>
          </w14:textFill>
        </w:rPr>
        <w:t>Ⅳ级应急：</w:t>
      </w:r>
    </w:p>
    <w:p w14:paraId="44AA380A">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1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①</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因环境污染直接导致3人以下死亡或10人以下中毒或重伤的；</w:t>
      </w:r>
    </w:p>
    <w:p w14:paraId="2A334347">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2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②</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因环境污染疏散、转移人员5000人以下的；</w:t>
      </w:r>
    </w:p>
    <w:p w14:paraId="2B253D4C">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3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③</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因环境污染造成直接经济损失500万元以下的；</w:t>
      </w:r>
    </w:p>
    <w:p w14:paraId="11E384AF">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4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④</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因环境污染造成跨县级行政区域纠纷，引起一般性群体影响的；</w:t>
      </w:r>
    </w:p>
    <w:p w14:paraId="3110C2FF">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5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⑤</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Ⅳ、Ⅴ类放射源丢失、被盗的；放射性同位素和射线装置失控导致人员受到超过年剂量限值的照射的；放射性物质泄漏，造成厂区内或设施内局部辐射污染后果的；铀矿冶、伴生矿超标排放，造成环境辐射污染后果的；</w:t>
      </w:r>
    </w:p>
    <w:p w14:paraId="79392483">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6 \* GB3 </w:instrText>
      </w:r>
      <w:r>
        <w:rPr>
          <w:color w:val="000000" w:themeColor="text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⑥</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对环境造成一定影响，尚未达到较大突发环境事件级别的。</w:t>
      </w:r>
    </w:p>
    <w:p w14:paraId="0331FCD9">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一般环境事故发生时，当班人员报告给车间主任，车间主任根据事故大小确定应急级别，若为一般性事故，启动</w:t>
      </w:r>
      <w:r>
        <w:rPr>
          <w:color w:val="000000" w:themeColor="text1"/>
          <w:szCs w:val="21"/>
          <w:highlight w:val="none"/>
          <w14:textFill>
            <w14:solidFill>
              <w14:schemeClr w14:val="tx1"/>
            </w14:solidFill>
          </w14:textFill>
        </w:rPr>
        <w:fldChar w:fldCharType="begin"/>
      </w:r>
      <w:r>
        <w:rPr>
          <w:color w:val="000000" w:themeColor="text1"/>
          <w:szCs w:val="21"/>
          <w:highlight w:val="none"/>
          <w14:textFill>
            <w14:solidFill>
              <w14:schemeClr w14:val="tx1"/>
            </w14:solidFill>
          </w14:textFill>
        </w:rPr>
        <w:instrText xml:space="preserve"> = 3 \* ROMAN </w:instrText>
      </w:r>
      <w:r>
        <w:rPr>
          <w:color w:val="000000" w:themeColor="text1"/>
          <w:szCs w:val="21"/>
          <w:highlight w:val="none"/>
          <w14:textFill>
            <w14:solidFill>
              <w14:schemeClr w14:val="tx1"/>
            </w14:solidFill>
          </w14:textFill>
        </w:rPr>
        <w:fldChar w:fldCharType="separate"/>
      </w:r>
      <w:r>
        <w:rPr>
          <w:color w:val="000000" w:themeColor="text1"/>
          <w:szCs w:val="21"/>
          <w:highlight w:val="none"/>
          <w14:textFill>
            <w14:solidFill>
              <w14:schemeClr w14:val="tx1"/>
            </w14:solidFill>
          </w14:textFill>
        </w:rPr>
        <w:t>III</w:t>
      </w:r>
      <w:r>
        <w:rPr>
          <w:color w:val="000000" w:themeColor="text1"/>
          <w:szCs w:val="21"/>
          <w:highlight w:val="none"/>
          <w14:textFill>
            <w14:solidFill>
              <w14:schemeClr w14:val="tx1"/>
            </w14:solidFill>
          </w14:textFill>
        </w:rPr>
        <w:fldChar w:fldCharType="end"/>
      </w:r>
      <w:r>
        <w:rPr>
          <w:color w:val="000000" w:themeColor="text1"/>
          <w:szCs w:val="21"/>
          <w:highlight w:val="none"/>
          <w14:textFill>
            <w14:solidFill>
              <w14:schemeClr w14:val="tx1"/>
            </w14:solidFill>
          </w14:textFill>
        </w:rPr>
        <w:t>级应急预案。由车间主任任指挥，现场人员组成救援和应急小组，根据提前制定的应急程序准备救援。委托第三方监测单位到现场进行监测和事故评估，</w:t>
      </w:r>
      <w:r>
        <w:rPr>
          <w:rFonts w:hint="eastAsia"/>
          <w:color w:val="000000" w:themeColor="text1"/>
          <w:szCs w:val="21"/>
          <w:highlight w:val="none"/>
          <w:lang w:eastAsia="zh-CN"/>
          <w14:textFill>
            <w14:solidFill>
              <w14:schemeClr w14:val="tx1"/>
            </w14:solidFill>
          </w14:textFill>
        </w:rPr>
        <w:t>待</w:t>
      </w:r>
      <w:r>
        <w:rPr>
          <w:color w:val="000000" w:themeColor="text1"/>
          <w:szCs w:val="21"/>
          <w:highlight w:val="none"/>
          <w14:textFill>
            <w14:solidFill>
              <w14:schemeClr w14:val="tx1"/>
            </w14:solidFill>
          </w14:textFill>
        </w:rPr>
        <w:t>事故处理妥当，确定危险结束时才能再开始恢复生产。</w:t>
      </w:r>
    </w:p>
    <w:p w14:paraId="174A6942">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5.3.8.4应急救援保障</w:t>
      </w:r>
    </w:p>
    <w:p w14:paraId="15F8670A">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（1）应急救援队伍</w:t>
      </w:r>
    </w:p>
    <w:p w14:paraId="32EA4C94">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由现场工作人员迅速组织救援小组，同时上报给车间主任和厂区事故应急指挥领导小组，发布报警信息，组织疏散和撤离。</w:t>
      </w:r>
    </w:p>
    <w:p w14:paraId="05461C28">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（2）预备应急设施、设备及器材</w:t>
      </w:r>
    </w:p>
    <w:p w14:paraId="42EB3ECE">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（3）交通管制</w:t>
      </w:r>
    </w:p>
    <w:p w14:paraId="50CD12BD">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对事故区实施交通管制，保证救援通道畅通。</w:t>
      </w:r>
    </w:p>
    <w:p w14:paraId="3C7D2A51">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5.3.8.5</w:t>
      </w:r>
      <w:r>
        <w:rPr>
          <w:rFonts w:hint="eastAsia"/>
          <w:color w:val="000000" w:themeColor="text1"/>
          <w:highlight w:val="none"/>
          <w14:textFill>
            <w14:solidFill>
              <w14:schemeClr w14:val="tx1"/>
            </w14:solidFill>
          </w14:textFill>
        </w:rPr>
        <w:t>应急物资</w:t>
      </w:r>
    </w:p>
    <w:p w14:paraId="72D5427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lang w:eastAsia="zh-CN"/>
          <w14:textFill>
            <w14:solidFill>
              <w14:schemeClr w14:val="tx1"/>
            </w14:solidFill>
          </w14:textFill>
        </w:rPr>
        <w:t>哈密市西成矿业有限责任公司</w:t>
      </w:r>
      <w:r>
        <w:rPr>
          <w:color w:val="000000" w:themeColor="text1"/>
          <w:highlight w:val="none"/>
          <w14:textFill>
            <w14:solidFill>
              <w14:schemeClr w14:val="tx1"/>
            </w14:solidFill>
          </w14:textFill>
        </w:rPr>
        <w:t>选矿厂、尾矿库突发环境事件应急预案》（2020年版），现有工程应急物资调查结果显示现有工程共配套应急物资30种，物资储备可满足现有工程物资应急需要，本次环评后需根据本次建设情况重新对突发环境事件应急预案进行修编并且备案，同时按照要求补充应急物资。</w:t>
      </w:r>
    </w:p>
    <w:p w14:paraId="25385F2D">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5.3.8.6报警、通讯联络方式</w:t>
      </w:r>
    </w:p>
    <w:p w14:paraId="10A7431E">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一旦事故发生，要迅速报警，联络各职能部门。报警器材平时必须配备好，联络方式要能快速查到。遇到大事故，事故发现者立即用对讲机通知主操作室人员，由班长安</w:t>
      </w:r>
      <w:r>
        <w:rPr>
          <w:rFonts w:hint="eastAsia"/>
          <w:color w:val="000000" w:themeColor="text1"/>
          <w:szCs w:val="21"/>
          <w:highlight w:val="none"/>
          <w:lang w:eastAsia="zh-CN"/>
          <w14:textFill>
            <w14:solidFill>
              <w14:schemeClr w14:val="tx1"/>
            </w14:solidFill>
          </w14:textFill>
        </w:rPr>
        <w:t>排责</w:t>
      </w:r>
      <w:r>
        <w:rPr>
          <w:color w:val="000000" w:themeColor="text1"/>
          <w:szCs w:val="21"/>
          <w:highlight w:val="none"/>
          <w14:textFill>
            <w14:solidFill>
              <w14:schemeClr w14:val="tx1"/>
            </w14:solidFill>
          </w14:textFill>
        </w:rPr>
        <w:t>任人报警和通知车间人员、调度指挥中心。发生大事故时，直接向事故应急指挥领导小组汇报。</w:t>
      </w:r>
    </w:p>
    <w:p w14:paraId="6AF145D7">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5.3.8.7抢险、救援及控制措施</w:t>
      </w:r>
    </w:p>
    <w:p w14:paraId="05C28CDB">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接到事故报警时，现场人员根据事故大小对事故现场进行侦察，如为重大事故，立即通知安环部等职能部门，对现场进行监测评估，为指挥部门提供决策依据。</w:t>
      </w:r>
    </w:p>
    <w:p w14:paraId="4512CBB0">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5.3.8.8应急环境监测</w:t>
      </w:r>
    </w:p>
    <w:p w14:paraId="646D2BDE">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事故应急监测方案应与项目所在地附近环境监测部门共同</w:t>
      </w:r>
      <w:r>
        <w:rPr>
          <w:rFonts w:hint="eastAsia"/>
          <w:color w:val="000000" w:themeColor="text1"/>
          <w:szCs w:val="21"/>
          <w:highlight w:val="none"/>
          <w:lang w:eastAsia="zh-CN"/>
          <w14:textFill>
            <w14:solidFill>
              <w14:schemeClr w14:val="tx1"/>
            </w14:solidFill>
          </w14:textFill>
        </w:rPr>
        <w:t>制定</w:t>
      </w:r>
      <w:r>
        <w:rPr>
          <w:color w:val="000000" w:themeColor="text1"/>
          <w:szCs w:val="21"/>
          <w:highlight w:val="none"/>
          <w14:textFill>
            <w14:solidFill>
              <w14:schemeClr w14:val="tx1"/>
            </w14:solidFill>
          </w14:textFill>
        </w:rPr>
        <w:t>和实施，环境监测人员必须迅速到达事故现场，在采样24h必须报出，应急监测报告在48h内报出。根据事故发生源，污染物</w:t>
      </w:r>
      <w:r>
        <w:rPr>
          <w:rFonts w:hint="eastAsia"/>
          <w:color w:val="000000" w:themeColor="text1"/>
          <w:szCs w:val="21"/>
          <w:highlight w:val="none"/>
          <w:lang w:eastAsia="zh-CN"/>
          <w14:textFill>
            <w14:solidFill>
              <w14:schemeClr w14:val="tx1"/>
            </w14:solidFill>
          </w14:textFill>
        </w:rPr>
        <w:t>泄漏</w:t>
      </w:r>
      <w:r>
        <w:rPr>
          <w:color w:val="000000" w:themeColor="text1"/>
          <w:szCs w:val="21"/>
          <w:highlight w:val="none"/>
          <w14:textFill>
            <w14:solidFill>
              <w14:schemeClr w14:val="tx1"/>
            </w14:solidFill>
          </w14:textFill>
        </w:rPr>
        <w:t>种类的分析成果，检测事故的特征因子，对事故源附近的辐射圈周界进行采样监测，重点监测可能受影响的区域。本项目的环境监测主要</w:t>
      </w:r>
      <w:r>
        <w:rPr>
          <w:rFonts w:hint="eastAsia"/>
          <w:color w:val="000000" w:themeColor="text1"/>
          <w:szCs w:val="21"/>
          <w:highlight w:val="none"/>
          <w14:textFill>
            <w14:solidFill>
              <w14:schemeClr w14:val="tx1"/>
            </w14:solidFill>
          </w14:textFill>
        </w:rPr>
        <w:t>委托第三方监测单位完成</w:t>
      </w:r>
      <w:r>
        <w:rPr>
          <w:color w:val="000000" w:themeColor="text1"/>
          <w:szCs w:val="21"/>
          <w:highlight w:val="none"/>
          <w14:textFill>
            <w14:solidFill>
              <w14:schemeClr w14:val="tx1"/>
            </w14:solidFill>
          </w14:textFill>
        </w:rPr>
        <w:t>。</w:t>
      </w:r>
    </w:p>
    <w:p w14:paraId="7991DF43">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5.3.8.9事故应急救援关闭程序与恢复</w:t>
      </w:r>
    </w:p>
    <w:p w14:paraId="2244B18E">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经环境监测站监测结果和事故评估组认定风险已解除时，应急状态才终止。事故结束后，应组织进行事故现场善后处理与恢复，解除区域事故警戒。</w:t>
      </w:r>
    </w:p>
    <w:p w14:paraId="4E226B84">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5.3.8.10应急培训计划</w:t>
      </w:r>
    </w:p>
    <w:p w14:paraId="73A74A3D">
      <w:pPr>
        <w:overflowPunct w:val="0"/>
        <w:topLinePunct/>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应急计划制定后，由各车间定期安排人员培训与演练。同时，对项目影响区居民开展公众教育，培训和发布有关应急信息。项目具体事故应急预案主要内容见表5.</w:t>
      </w:r>
      <w:r>
        <w:rPr>
          <w:rFonts w:hint="eastAsia"/>
          <w:color w:val="000000" w:themeColor="text1"/>
          <w:szCs w:val="21"/>
          <w:highlight w:val="none"/>
          <w14:textFill>
            <w14:solidFill>
              <w14:schemeClr w14:val="tx1"/>
            </w14:solidFill>
          </w14:textFill>
        </w:rPr>
        <w:t>3-1</w:t>
      </w:r>
      <w:r>
        <w:rPr>
          <w:rFonts w:hint="eastAsia"/>
          <w:color w:val="000000" w:themeColor="text1"/>
          <w:szCs w:val="21"/>
          <w:highlight w:val="none"/>
          <w:lang w:val="en-US" w:eastAsia="zh-CN"/>
          <w14:textFill>
            <w14:solidFill>
              <w14:schemeClr w14:val="tx1"/>
            </w14:solidFill>
          </w14:textFill>
        </w:rPr>
        <w:t>6</w:t>
      </w:r>
      <w:r>
        <w:rPr>
          <w:color w:val="000000" w:themeColor="text1"/>
          <w:szCs w:val="21"/>
          <w:highlight w:val="none"/>
          <w14:textFill>
            <w14:solidFill>
              <w14:schemeClr w14:val="tx1"/>
            </w14:solidFill>
          </w14:textFill>
        </w:rPr>
        <w:t>。</w:t>
      </w:r>
    </w:p>
    <w:p w14:paraId="554FC1B2">
      <w:pPr>
        <w:ind w:firstLine="0" w:firstLineChars="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表5.3-</w:t>
      </w:r>
      <w:r>
        <w:rPr>
          <w:rFonts w:hint="eastAsia"/>
          <w:b/>
          <w:bCs/>
          <w:color w:val="000000" w:themeColor="text1"/>
          <w:szCs w:val="21"/>
          <w:highlight w:val="none"/>
          <w14:textFill>
            <w14:solidFill>
              <w14:schemeClr w14:val="tx1"/>
            </w14:solidFill>
          </w14:textFill>
        </w:rPr>
        <w:t>1</w:t>
      </w:r>
      <w:r>
        <w:rPr>
          <w:rFonts w:hint="eastAsia"/>
          <w:b/>
          <w:bCs/>
          <w:color w:val="000000" w:themeColor="text1"/>
          <w:szCs w:val="21"/>
          <w:highlight w:val="none"/>
          <w:lang w:val="en-US" w:eastAsia="zh-CN"/>
          <w14:textFill>
            <w14:solidFill>
              <w14:schemeClr w14:val="tx1"/>
            </w14:solidFill>
          </w14:textFill>
        </w:rPr>
        <w:t>6</w:t>
      </w:r>
      <w:r>
        <w:rPr>
          <w:b/>
          <w:bCs/>
          <w:color w:val="000000" w:themeColor="text1"/>
          <w:szCs w:val="21"/>
          <w:highlight w:val="none"/>
          <w14:textFill>
            <w14:solidFill>
              <w14:schemeClr w14:val="tx1"/>
            </w14:solidFill>
          </w14:textFill>
        </w:rPr>
        <w:t xml:space="preserve">    事故应急预案主要内容汇总表</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7"/>
        <w:gridCol w:w="2520"/>
        <w:gridCol w:w="5355"/>
      </w:tblGrid>
      <w:tr w14:paraId="04B71E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47" w:type="dxa"/>
            <w:noWrap w:val="0"/>
            <w:vAlign w:val="center"/>
          </w:tcPr>
          <w:p w14:paraId="7F833796">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2520" w:type="dxa"/>
            <w:noWrap w:val="0"/>
            <w:vAlign w:val="center"/>
          </w:tcPr>
          <w:p w14:paraId="7D49ED42">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w:t>
            </w:r>
          </w:p>
        </w:tc>
        <w:tc>
          <w:tcPr>
            <w:tcW w:w="5355" w:type="dxa"/>
            <w:noWrap w:val="0"/>
            <w:vAlign w:val="center"/>
          </w:tcPr>
          <w:p w14:paraId="01E779A4">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内容及要求</w:t>
            </w:r>
          </w:p>
        </w:tc>
      </w:tr>
      <w:tr w14:paraId="61D1C4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14:paraId="367AC36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520" w:type="dxa"/>
            <w:noWrap w:val="0"/>
            <w:vAlign w:val="center"/>
          </w:tcPr>
          <w:p w14:paraId="00CB6B8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应急计划区</w:t>
            </w:r>
          </w:p>
        </w:tc>
        <w:tc>
          <w:tcPr>
            <w:tcW w:w="5355" w:type="dxa"/>
            <w:noWrap w:val="0"/>
            <w:vAlign w:val="center"/>
          </w:tcPr>
          <w:p w14:paraId="230792EE">
            <w:pPr>
              <w:spacing w:line="360" w:lineRule="exact"/>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选矿厂、尾矿库、</w:t>
            </w:r>
            <w:r>
              <w:rPr>
                <w:color w:val="000000" w:themeColor="text1"/>
                <w:sz w:val="21"/>
                <w:szCs w:val="21"/>
                <w:highlight w:val="none"/>
                <w14:textFill>
                  <w14:solidFill>
                    <w14:schemeClr w14:val="tx1"/>
                  </w14:solidFill>
                </w14:textFill>
              </w:rPr>
              <w:t>尾矿输送系统、回</w:t>
            </w:r>
            <w:r>
              <w:rPr>
                <w:rFonts w:hint="eastAsia"/>
                <w:color w:val="000000" w:themeColor="text1"/>
                <w:sz w:val="21"/>
                <w:szCs w:val="21"/>
                <w:highlight w:val="none"/>
                <w:lang w:eastAsia="zh-CN"/>
                <w14:textFill>
                  <w14:solidFill>
                    <w14:schemeClr w14:val="tx1"/>
                  </w14:solidFill>
                </w14:textFill>
              </w:rPr>
              <w:t>水利</w:t>
            </w:r>
            <w:r>
              <w:rPr>
                <w:color w:val="000000" w:themeColor="text1"/>
                <w:sz w:val="21"/>
                <w:szCs w:val="21"/>
                <w:highlight w:val="none"/>
                <w14:textFill>
                  <w14:solidFill>
                    <w14:schemeClr w14:val="tx1"/>
                  </w14:solidFill>
                </w14:textFill>
              </w:rPr>
              <w:t>用系统</w:t>
            </w:r>
            <w:r>
              <w:rPr>
                <w:rFonts w:hint="eastAsia"/>
                <w:color w:val="000000" w:themeColor="text1"/>
                <w:sz w:val="21"/>
                <w:szCs w:val="21"/>
                <w:highlight w:val="none"/>
                <w14:textFill>
                  <w14:solidFill>
                    <w14:schemeClr w14:val="tx1"/>
                  </w14:solidFill>
                </w14:textFill>
              </w:rPr>
              <w:t>。</w:t>
            </w:r>
          </w:p>
        </w:tc>
      </w:tr>
      <w:tr w14:paraId="5BC396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14:paraId="520A37C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520" w:type="dxa"/>
            <w:noWrap w:val="0"/>
            <w:vAlign w:val="center"/>
          </w:tcPr>
          <w:p w14:paraId="6DF2813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应急组织结构、人员</w:t>
            </w:r>
          </w:p>
        </w:tc>
        <w:tc>
          <w:tcPr>
            <w:tcW w:w="5355" w:type="dxa"/>
            <w:noWrap w:val="0"/>
            <w:vAlign w:val="center"/>
          </w:tcPr>
          <w:p w14:paraId="33BD608B">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应急组织机构分级，各级别主要负责人为应急计划、协调第一人，应急人员必须为培训上岗熟练工；区域应急组织结构由</w:t>
            </w:r>
            <w:r>
              <w:rPr>
                <w:rFonts w:hint="eastAsia"/>
                <w:color w:val="000000" w:themeColor="text1"/>
                <w:sz w:val="21"/>
                <w:szCs w:val="21"/>
                <w:highlight w:val="none"/>
                <w:lang w:eastAsia="zh-CN"/>
                <w14:textFill>
                  <w14:solidFill>
                    <w14:schemeClr w14:val="tx1"/>
                  </w14:solidFill>
                </w14:textFill>
              </w:rPr>
              <w:t>哈密市</w:t>
            </w:r>
            <w:r>
              <w:rPr>
                <w:color w:val="000000" w:themeColor="text1"/>
                <w:sz w:val="21"/>
                <w:szCs w:val="21"/>
                <w:highlight w:val="none"/>
                <w14:textFill>
                  <w14:solidFill>
                    <w14:schemeClr w14:val="tx1"/>
                  </w14:solidFill>
                </w14:textFill>
              </w:rPr>
              <w:t>政府、相关行业专家、卫生安全相关单位组成，并由</w:t>
            </w:r>
            <w:r>
              <w:rPr>
                <w:rFonts w:hint="eastAsia"/>
                <w:color w:val="000000" w:themeColor="text1"/>
                <w:sz w:val="21"/>
                <w:szCs w:val="21"/>
                <w:highlight w:val="none"/>
                <w:lang w:eastAsia="zh-CN"/>
                <w14:textFill>
                  <w14:solidFill>
                    <w14:schemeClr w14:val="tx1"/>
                  </w14:solidFill>
                </w14:textFill>
              </w:rPr>
              <w:t>哈密市</w:t>
            </w:r>
            <w:r>
              <w:rPr>
                <w:color w:val="000000" w:themeColor="text1"/>
                <w:sz w:val="21"/>
                <w:szCs w:val="21"/>
                <w:highlight w:val="none"/>
                <w14:textFill>
                  <w14:solidFill>
                    <w14:schemeClr w14:val="tx1"/>
                  </w14:solidFill>
                </w14:textFill>
              </w:rPr>
              <w:t>政府进行统一调度</w:t>
            </w:r>
            <w:r>
              <w:rPr>
                <w:rFonts w:hint="eastAsia"/>
                <w:color w:val="000000" w:themeColor="text1"/>
                <w:sz w:val="21"/>
                <w:szCs w:val="21"/>
                <w:highlight w:val="none"/>
                <w14:textFill>
                  <w14:solidFill>
                    <w14:schemeClr w14:val="tx1"/>
                  </w14:solidFill>
                </w14:textFill>
              </w:rPr>
              <w:t>。</w:t>
            </w:r>
          </w:p>
        </w:tc>
      </w:tr>
      <w:tr w14:paraId="201268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14:paraId="06A21A1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2520" w:type="dxa"/>
            <w:noWrap w:val="0"/>
            <w:vAlign w:val="center"/>
          </w:tcPr>
          <w:p w14:paraId="3ED41D4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预案分级响应条件</w:t>
            </w:r>
          </w:p>
        </w:tc>
        <w:tc>
          <w:tcPr>
            <w:tcW w:w="5355" w:type="dxa"/>
            <w:noWrap w:val="0"/>
            <w:vAlign w:val="center"/>
          </w:tcPr>
          <w:p w14:paraId="3062D8CE">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根据事故的严重程度制定相应级别的应急预案，以及适合相应情况的处理措施。</w:t>
            </w:r>
          </w:p>
        </w:tc>
      </w:tr>
      <w:tr w14:paraId="53B422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14:paraId="35C47FD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2520" w:type="dxa"/>
            <w:noWrap w:val="0"/>
            <w:vAlign w:val="center"/>
          </w:tcPr>
          <w:p w14:paraId="1B053A6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应急救援保障</w:t>
            </w:r>
          </w:p>
        </w:tc>
        <w:tc>
          <w:tcPr>
            <w:tcW w:w="5355" w:type="dxa"/>
            <w:noWrap w:val="0"/>
            <w:vAlign w:val="center"/>
          </w:tcPr>
          <w:p w14:paraId="6A66562E">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应急设施、设备与器材等</w:t>
            </w:r>
            <w:r>
              <w:rPr>
                <w:rFonts w:hint="eastAsia"/>
                <w:color w:val="000000" w:themeColor="text1"/>
                <w:sz w:val="21"/>
                <w:szCs w:val="21"/>
                <w:highlight w:val="none"/>
                <w14:textFill>
                  <w14:solidFill>
                    <w14:schemeClr w14:val="tx1"/>
                  </w14:solidFill>
                </w14:textFill>
              </w:rPr>
              <w:t>。</w:t>
            </w:r>
          </w:p>
        </w:tc>
      </w:tr>
      <w:tr w14:paraId="64EB40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14:paraId="4D30948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2520" w:type="dxa"/>
            <w:noWrap w:val="0"/>
            <w:vAlign w:val="center"/>
          </w:tcPr>
          <w:p w14:paraId="19EE3100">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报警、通讯联络方式</w:t>
            </w:r>
          </w:p>
        </w:tc>
        <w:tc>
          <w:tcPr>
            <w:tcW w:w="5355" w:type="dxa"/>
            <w:noWrap w:val="0"/>
            <w:vAlign w:val="center"/>
          </w:tcPr>
          <w:p w14:paraId="7D29D549">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逐一细化应急状态下各主要负责单位的报警通讯方式、地点、电话号码以及相关配套的交通保障、管制、消防联络方法。</w:t>
            </w:r>
          </w:p>
        </w:tc>
      </w:tr>
      <w:tr w14:paraId="0DF0A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14:paraId="53E2522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2520" w:type="dxa"/>
            <w:noWrap w:val="0"/>
            <w:vAlign w:val="center"/>
          </w:tcPr>
          <w:p w14:paraId="2D963BD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应急环境监测、抢险、救援控制措施</w:t>
            </w:r>
          </w:p>
        </w:tc>
        <w:tc>
          <w:tcPr>
            <w:tcW w:w="5355" w:type="dxa"/>
            <w:noWrap w:val="0"/>
            <w:vAlign w:val="center"/>
          </w:tcPr>
          <w:p w14:paraId="253DACEA">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组织专业队伍负责对事故现场进行侦察监测，对事故性质、参数与后果进行评估，专为指挥部门提供决策依据。</w:t>
            </w:r>
          </w:p>
        </w:tc>
      </w:tr>
      <w:tr w14:paraId="74A81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14:paraId="0030142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2520" w:type="dxa"/>
            <w:noWrap w:val="0"/>
            <w:vAlign w:val="center"/>
          </w:tcPr>
          <w:p w14:paraId="432E608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应急监测、防护措施、清除</w:t>
            </w:r>
            <w:r>
              <w:rPr>
                <w:rFonts w:hint="eastAsia"/>
                <w:color w:val="000000" w:themeColor="text1"/>
                <w:sz w:val="21"/>
                <w:szCs w:val="21"/>
                <w:highlight w:val="none"/>
                <w:lang w:eastAsia="zh-CN"/>
                <w14:textFill>
                  <w14:solidFill>
                    <w14:schemeClr w14:val="tx1"/>
                  </w14:solidFill>
                </w14:textFill>
              </w:rPr>
              <w:t>泄漏</w:t>
            </w:r>
            <w:r>
              <w:rPr>
                <w:color w:val="000000" w:themeColor="text1"/>
                <w:sz w:val="21"/>
                <w:szCs w:val="21"/>
                <w:highlight w:val="none"/>
                <w14:textFill>
                  <w14:solidFill>
                    <w14:schemeClr w14:val="tx1"/>
                  </w14:solidFill>
                </w14:textFill>
              </w:rPr>
              <w:t>措施和器材</w:t>
            </w:r>
          </w:p>
        </w:tc>
        <w:tc>
          <w:tcPr>
            <w:tcW w:w="5355" w:type="dxa"/>
            <w:noWrap w:val="0"/>
            <w:vAlign w:val="center"/>
          </w:tcPr>
          <w:p w14:paraId="08317E8A">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严格规定事故多发区、事故现场、邻近区域、设置控制和清除污染措施及相应设备的数量、使用方法、使用人员。</w:t>
            </w:r>
          </w:p>
        </w:tc>
      </w:tr>
      <w:tr w14:paraId="42F090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14:paraId="78B5552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p>
        </w:tc>
        <w:tc>
          <w:tcPr>
            <w:tcW w:w="2520" w:type="dxa"/>
            <w:noWrap w:val="0"/>
            <w:vAlign w:val="center"/>
          </w:tcPr>
          <w:p w14:paraId="1C91F80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人员紧急撤离、疏散计划</w:t>
            </w:r>
          </w:p>
        </w:tc>
        <w:tc>
          <w:tcPr>
            <w:tcW w:w="5355" w:type="dxa"/>
            <w:noWrap w:val="0"/>
            <w:vAlign w:val="center"/>
          </w:tcPr>
          <w:p w14:paraId="6481149B">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制定紧急撤离组织计划和救护，医疗救护与公众健康。</w:t>
            </w:r>
          </w:p>
        </w:tc>
      </w:tr>
      <w:tr w14:paraId="68CAD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14:paraId="7D3C573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w:t>
            </w:r>
          </w:p>
        </w:tc>
        <w:tc>
          <w:tcPr>
            <w:tcW w:w="2520" w:type="dxa"/>
            <w:noWrap w:val="0"/>
            <w:vAlign w:val="center"/>
          </w:tcPr>
          <w:p w14:paraId="2A0E324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事故应急救援关闭程序</w:t>
            </w:r>
          </w:p>
        </w:tc>
        <w:tc>
          <w:tcPr>
            <w:tcW w:w="5355" w:type="dxa"/>
            <w:noWrap w:val="0"/>
            <w:vAlign w:val="center"/>
          </w:tcPr>
          <w:p w14:paraId="7B35CE59">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制定相关应急状态终止程序，事故现场、受影响范围内的善后处理、恢复措施，邻近区域解除事故警戒及善后恢复措施。</w:t>
            </w:r>
          </w:p>
        </w:tc>
      </w:tr>
      <w:tr w14:paraId="2515F9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14:paraId="2783C79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c>
          <w:tcPr>
            <w:tcW w:w="2520" w:type="dxa"/>
            <w:noWrap w:val="0"/>
            <w:vAlign w:val="center"/>
          </w:tcPr>
          <w:p w14:paraId="32953BA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事故恢复措施</w:t>
            </w:r>
          </w:p>
        </w:tc>
        <w:tc>
          <w:tcPr>
            <w:tcW w:w="5355" w:type="dxa"/>
            <w:noWrap w:val="0"/>
            <w:vAlign w:val="center"/>
          </w:tcPr>
          <w:p w14:paraId="653543F8">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制定有关的环境恢复措施（包括生态环境、水体），组织专业人员对事故后的环境变化进行监测，对事故应急措施的环境可行性进行后影响评价。</w:t>
            </w:r>
          </w:p>
        </w:tc>
      </w:tr>
      <w:tr w14:paraId="01F372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647" w:type="dxa"/>
            <w:noWrap w:val="0"/>
            <w:vAlign w:val="center"/>
          </w:tcPr>
          <w:p w14:paraId="5EE9BFF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w:t>
            </w:r>
          </w:p>
        </w:tc>
        <w:tc>
          <w:tcPr>
            <w:tcW w:w="2520" w:type="dxa"/>
            <w:noWrap w:val="0"/>
            <w:vAlign w:val="center"/>
          </w:tcPr>
          <w:p w14:paraId="130D182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应急培训计划</w:t>
            </w:r>
          </w:p>
        </w:tc>
        <w:tc>
          <w:tcPr>
            <w:tcW w:w="5355" w:type="dxa"/>
            <w:noWrap w:val="0"/>
            <w:vAlign w:val="center"/>
          </w:tcPr>
          <w:p w14:paraId="2D1BA7DD">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定期安排有关人员进行培训与演练</w:t>
            </w:r>
            <w:r>
              <w:rPr>
                <w:rFonts w:hint="eastAsia"/>
                <w:color w:val="000000" w:themeColor="text1"/>
                <w:sz w:val="21"/>
                <w:szCs w:val="21"/>
                <w:highlight w:val="none"/>
                <w14:textFill>
                  <w14:solidFill>
                    <w14:schemeClr w14:val="tx1"/>
                  </w14:solidFill>
                </w14:textFill>
              </w:rPr>
              <w:t>。</w:t>
            </w:r>
          </w:p>
        </w:tc>
      </w:tr>
      <w:tr w14:paraId="789401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noWrap w:val="0"/>
            <w:vAlign w:val="center"/>
          </w:tcPr>
          <w:p w14:paraId="0BCF282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12</w:t>
            </w:r>
          </w:p>
        </w:tc>
        <w:tc>
          <w:tcPr>
            <w:tcW w:w="2520" w:type="dxa"/>
            <w:noWrap w:val="0"/>
            <w:vAlign w:val="center"/>
          </w:tcPr>
          <w:p w14:paraId="4BDB84D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公众教育和信息</w:t>
            </w:r>
          </w:p>
        </w:tc>
        <w:tc>
          <w:tcPr>
            <w:tcW w:w="5355" w:type="dxa"/>
            <w:noWrap w:val="0"/>
            <w:vAlign w:val="center"/>
          </w:tcPr>
          <w:p w14:paraId="46581E5C">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对工厂邻近地区开展公众教育、培训和发布有关信息</w:t>
            </w:r>
            <w:r>
              <w:rPr>
                <w:rFonts w:hint="eastAsia"/>
                <w:color w:val="000000" w:themeColor="text1"/>
                <w:sz w:val="21"/>
                <w:szCs w:val="21"/>
                <w:highlight w:val="none"/>
                <w14:textFill>
                  <w14:solidFill>
                    <w14:schemeClr w14:val="tx1"/>
                  </w14:solidFill>
                </w14:textFill>
              </w:rPr>
              <w:t>。</w:t>
            </w:r>
          </w:p>
        </w:tc>
      </w:tr>
    </w:tbl>
    <w:p w14:paraId="131636A2">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rFonts w:hint="eastAsia"/>
          <w:b/>
          <w:bCs/>
          <w:color w:val="000000" w:themeColor="text1"/>
          <w:sz w:val="30"/>
          <w:szCs w:val="32"/>
          <w:highlight w:val="none"/>
          <w14:textFill>
            <w14:solidFill>
              <w14:schemeClr w14:val="tx1"/>
            </w14:solidFill>
          </w14:textFill>
        </w:rPr>
        <w:t>5.3.</w:t>
      </w:r>
      <w:r>
        <w:rPr>
          <w:b/>
          <w:bCs/>
          <w:color w:val="000000" w:themeColor="text1"/>
          <w:sz w:val="30"/>
          <w:szCs w:val="32"/>
          <w:highlight w:val="none"/>
          <w14:textFill>
            <w14:solidFill>
              <w14:schemeClr w14:val="tx1"/>
            </w14:solidFill>
          </w14:textFill>
        </w:rPr>
        <w:t>9</w:t>
      </w:r>
      <w:r>
        <w:rPr>
          <w:rFonts w:hint="eastAsia"/>
          <w:b/>
          <w:bCs/>
          <w:color w:val="000000" w:themeColor="text1"/>
          <w:sz w:val="30"/>
          <w:szCs w:val="32"/>
          <w:highlight w:val="none"/>
          <w14:textFill>
            <w14:solidFill>
              <w14:schemeClr w14:val="tx1"/>
            </w14:solidFill>
          </w14:textFill>
        </w:rPr>
        <w:t>环境风险评价小结</w:t>
      </w:r>
    </w:p>
    <w:p w14:paraId="040B2443">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企业在严格落实本次评价提出的各项环境风险防控措施的情况下，发生风险事故概率较小，项目环境风险可防可控。本次评价建议项目运营过程应根据生产运行工况以及各类危险物质的实际消耗量，尽可能减少危险物质在项目区内的存在量，减轻环境风险隐患；针对项目区存在的环境风险防控问题，尽快进行整改，同时应加强日常风险管理，加强员工安全培训，杜绝人为造成的环境风险隐患。</w:t>
      </w:r>
    </w:p>
    <w:p w14:paraId="587BEDFC">
      <w:pPr>
        <w:overflowPunct w:val="0"/>
        <w:topLinePunct/>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建设项目环境风险简单分析内容见下表。</w:t>
      </w:r>
    </w:p>
    <w:p w14:paraId="78247E92">
      <w:pPr>
        <w:overflowPunct w:val="0"/>
        <w:topLinePunct/>
        <w:ind w:firstLine="0" w:firstLineChars="0"/>
        <w:jc w:val="center"/>
        <w:rPr>
          <w:b/>
          <w:bCs/>
          <w:color w:val="000000" w:themeColor="text1"/>
          <w:spacing w:val="1"/>
          <w:kern w:val="0"/>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表5.3-</w:t>
      </w:r>
      <w:r>
        <w:rPr>
          <w:rFonts w:hint="eastAsia"/>
          <w:b/>
          <w:bCs/>
          <w:color w:val="000000" w:themeColor="text1"/>
          <w:szCs w:val="21"/>
          <w:highlight w:val="none"/>
          <w:lang w:val="en-US" w:eastAsia="zh-CN"/>
          <w14:textFill>
            <w14:solidFill>
              <w14:schemeClr w14:val="tx1"/>
            </w14:solidFill>
          </w14:textFill>
        </w:rPr>
        <w:t>17</w:t>
      </w:r>
      <w:r>
        <w:rPr>
          <w:b/>
          <w:bCs/>
          <w:color w:val="000000" w:themeColor="text1"/>
          <w:szCs w:val="21"/>
          <w:highlight w:val="none"/>
          <w14:textFill>
            <w14:solidFill>
              <w14:schemeClr w14:val="tx1"/>
            </w14:solidFill>
          </w14:textFill>
        </w:rPr>
        <w:t xml:space="preserve">    建设项目环境风险简单分析内容表</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402"/>
        <w:gridCol w:w="2032"/>
        <w:gridCol w:w="1065"/>
        <w:gridCol w:w="1418"/>
        <w:gridCol w:w="1063"/>
      </w:tblGrid>
      <w:tr w14:paraId="4A69C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noWrap w:val="0"/>
            <w:vAlign w:val="center"/>
          </w:tcPr>
          <w:p w14:paraId="50C75F58">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建设项目名称</w:t>
            </w:r>
          </w:p>
        </w:tc>
        <w:tc>
          <w:tcPr>
            <w:tcW w:w="6980" w:type="dxa"/>
            <w:gridSpan w:val="5"/>
            <w:tcBorders>
              <w:tl2br w:val="nil"/>
              <w:tr2bl w:val="nil"/>
            </w:tcBorders>
            <w:noWrap w:val="0"/>
            <w:vAlign w:val="center"/>
          </w:tcPr>
          <w:p w14:paraId="04464D60">
            <w:pPr>
              <w:spacing w:line="360" w:lineRule="exact"/>
              <w:ind w:firstLine="0" w:firstLineChars="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哈密市西成矿业有限责任公司年产30万吨铁精粉建设项目（重大变动）</w:t>
            </w:r>
          </w:p>
        </w:tc>
      </w:tr>
      <w:tr w14:paraId="15B99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noWrap w:val="0"/>
            <w:vAlign w:val="center"/>
          </w:tcPr>
          <w:p w14:paraId="1D9771CD">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建设地点</w:t>
            </w:r>
          </w:p>
        </w:tc>
        <w:tc>
          <w:tcPr>
            <w:tcW w:w="1402" w:type="dxa"/>
            <w:tcBorders>
              <w:tl2br w:val="nil"/>
              <w:tr2bl w:val="nil"/>
            </w:tcBorders>
            <w:noWrap w:val="0"/>
            <w:vAlign w:val="center"/>
          </w:tcPr>
          <w:p w14:paraId="45F81805">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新疆维吾尔自治区</w:t>
            </w:r>
          </w:p>
        </w:tc>
        <w:tc>
          <w:tcPr>
            <w:tcW w:w="2032" w:type="dxa"/>
            <w:tcBorders>
              <w:tl2br w:val="nil"/>
              <w:tr2bl w:val="nil"/>
            </w:tcBorders>
            <w:noWrap w:val="0"/>
            <w:vAlign w:val="center"/>
          </w:tcPr>
          <w:p w14:paraId="5B8E929B">
            <w:pPr>
              <w:spacing w:line="360" w:lineRule="exact"/>
              <w:ind w:left="-120" w:leftChars="-50" w:right="-120" w:rightChars="-50"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哈密市</w:t>
            </w:r>
          </w:p>
        </w:tc>
        <w:tc>
          <w:tcPr>
            <w:tcW w:w="1065" w:type="dxa"/>
            <w:tcBorders>
              <w:tl2br w:val="nil"/>
              <w:tr2bl w:val="nil"/>
            </w:tcBorders>
            <w:noWrap w:val="0"/>
            <w:vAlign w:val="center"/>
          </w:tcPr>
          <w:p w14:paraId="50D23EF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伊州</w:t>
            </w:r>
            <w:r>
              <w:rPr>
                <w:color w:val="000000" w:themeColor="text1"/>
                <w:sz w:val="21"/>
                <w:szCs w:val="21"/>
                <w:highlight w:val="none"/>
                <w14:textFill>
                  <w14:solidFill>
                    <w14:schemeClr w14:val="tx1"/>
                  </w14:solidFill>
                </w14:textFill>
              </w:rPr>
              <w:t>）区</w:t>
            </w:r>
          </w:p>
        </w:tc>
        <w:tc>
          <w:tcPr>
            <w:tcW w:w="1418" w:type="dxa"/>
            <w:tcBorders>
              <w:tl2br w:val="nil"/>
              <w:tr2bl w:val="nil"/>
            </w:tcBorders>
            <w:noWrap w:val="0"/>
            <w:vAlign w:val="center"/>
          </w:tcPr>
          <w:p w14:paraId="42304E9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w:t>
            </w:r>
            <w:r>
              <w:rPr>
                <w:color w:val="000000" w:themeColor="text1"/>
                <w:sz w:val="21"/>
                <w:szCs w:val="21"/>
                <w:highlight w:val="none"/>
                <w14:textFill>
                  <w14:solidFill>
                    <w14:schemeClr w14:val="tx1"/>
                  </w14:solidFill>
                </w14:textFill>
              </w:rPr>
              <w:t>）县</w:t>
            </w:r>
          </w:p>
        </w:tc>
        <w:tc>
          <w:tcPr>
            <w:tcW w:w="1063" w:type="dxa"/>
            <w:tcBorders>
              <w:tl2br w:val="nil"/>
              <w:tr2bl w:val="nil"/>
            </w:tcBorders>
            <w:noWrap w:val="0"/>
            <w:vAlign w:val="center"/>
          </w:tcPr>
          <w:p w14:paraId="72C8F03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（）园区</w:t>
            </w:r>
          </w:p>
        </w:tc>
      </w:tr>
      <w:tr w14:paraId="75B37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noWrap w:val="0"/>
            <w:vAlign w:val="center"/>
          </w:tcPr>
          <w:p w14:paraId="54B65BC0">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地理坐标</w:t>
            </w:r>
          </w:p>
        </w:tc>
        <w:tc>
          <w:tcPr>
            <w:tcW w:w="1402" w:type="dxa"/>
            <w:tcBorders>
              <w:tl2br w:val="nil"/>
              <w:tr2bl w:val="nil"/>
            </w:tcBorders>
            <w:noWrap w:val="0"/>
            <w:vAlign w:val="center"/>
          </w:tcPr>
          <w:p w14:paraId="2E0057B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经度</w:t>
            </w:r>
          </w:p>
        </w:tc>
        <w:tc>
          <w:tcPr>
            <w:tcW w:w="2032" w:type="dxa"/>
            <w:tcBorders>
              <w:tl2br w:val="nil"/>
              <w:tr2bl w:val="nil"/>
            </w:tcBorders>
            <w:noWrap w:val="0"/>
            <w:vAlign w:val="center"/>
          </w:tcPr>
          <w:p w14:paraId="28EF903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东经</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65" w:type="dxa"/>
            <w:tcBorders>
              <w:tl2br w:val="nil"/>
              <w:tr2bl w:val="nil"/>
            </w:tcBorders>
            <w:noWrap w:val="0"/>
            <w:vAlign w:val="center"/>
          </w:tcPr>
          <w:p w14:paraId="5B2F213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纬度</w:t>
            </w:r>
          </w:p>
        </w:tc>
        <w:tc>
          <w:tcPr>
            <w:tcW w:w="2481" w:type="dxa"/>
            <w:gridSpan w:val="2"/>
            <w:tcBorders>
              <w:tl2br w:val="nil"/>
              <w:tr2bl w:val="nil"/>
            </w:tcBorders>
            <w:noWrap w:val="0"/>
            <w:vAlign w:val="center"/>
          </w:tcPr>
          <w:p w14:paraId="3476A6C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北纬</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r>
      <w:tr w14:paraId="7E6EF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noWrap w:val="0"/>
            <w:vAlign w:val="center"/>
          </w:tcPr>
          <w:p w14:paraId="392148E8">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主要危险物质及分布</w:t>
            </w:r>
          </w:p>
        </w:tc>
        <w:tc>
          <w:tcPr>
            <w:tcW w:w="6980" w:type="dxa"/>
            <w:gridSpan w:val="5"/>
            <w:tcBorders>
              <w:tl2br w:val="nil"/>
              <w:tr2bl w:val="nil"/>
            </w:tcBorders>
            <w:noWrap w:val="0"/>
            <w:vAlign w:val="center"/>
          </w:tcPr>
          <w:p w14:paraId="5A10D515">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废机油</w:t>
            </w:r>
            <w:r>
              <w:rPr>
                <w:rFonts w:hint="eastAsia"/>
                <w:color w:val="000000" w:themeColor="text1"/>
                <w:sz w:val="21"/>
                <w:szCs w:val="21"/>
                <w:highlight w:val="none"/>
                <w14:textFill>
                  <w14:solidFill>
                    <w14:schemeClr w14:val="tx1"/>
                  </w14:solidFill>
                </w14:textFill>
              </w:rPr>
              <w:t>暂存于</w:t>
            </w:r>
            <w:r>
              <w:rPr>
                <w:rFonts w:hint="eastAsia"/>
                <w:color w:val="000000" w:themeColor="text1"/>
                <w:sz w:val="21"/>
                <w:szCs w:val="21"/>
                <w:highlight w:val="none"/>
                <w:lang w:val="en-US" w:eastAsia="zh-CN"/>
                <w14:textFill>
                  <w14:solidFill>
                    <w14:schemeClr w14:val="tx1"/>
                  </w14:solidFill>
                </w14:textFill>
              </w:rPr>
              <w:t>危废贮存点</w:t>
            </w:r>
          </w:p>
        </w:tc>
      </w:tr>
      <w:tr w14:paraId="3E17D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noWrap w:val="0"/>
            <w:vAlign w:val="center"/>
          </w:tcPr>
          <w:p w14:paraId="736D735E">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环境影响途径及危害后果（大气、地下水等）</w:t>
            </w:r>
          </w:p>
        </w:tc>
        <w:tc>
          <w:tcPr>
            <w:tcW w:w="6980" w:type="dxa"/>
            <w:gridSpan w:val="5"/>
            <w:tcBorders>
              <w:tl2br w:val="nil"/>
              <w:tr2bl w:val="nil"/>
            </w:tcBorders>
            <w:noWrap w:val="0"/>
            <w:vAlign w:val="center"/>
          </w:tcPr>
          <w:p w14:paraId="338C89C1">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在管理、存放、加工使用过程中会因管理和使用不当造成事故。</w:t>
            </w:r>
            <w:r>
              <w:rPr>
                <w:rFonts w:hint="eastAsia"/>
                <w:color w:val="000000" w:themeColor="text1"/>
                <w:sz w:val="21"/>
                <w:highlight w:val="none"/>
                <w14:textFill>
                  <w14:solidFill>
                    <w14:schemeClr w14:val="tx1"/>
                  </w14:solidFill>
                </w14:textFill>
              </w:rPr>
              <w:t>危险品泄漏，可能造成事故发生地地表水体、土壤的污染；消防水处理不当也会对地表水体造成影响；循环水系统故障造成选矿废水事故排放；尾矿库溃坝造成的人身安全、财产损失、环境污染、生态破坏等环境伤害。</w:t>
            </w:r>
          </w:p>
        </w:tc>
      </w:tr>
      <w:tr w14:paraId="10185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noWrap w:val="0"/>
            <w:vAlign w:val="center"/>
          </w:tcPr>
          <w:p w14:paraId="75B4181E">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风险防范措施要求</w:t>
            </w:r>
          </w:p>
        </w:tc>
        <w:tc>
          <w:tcPr>
            <w:tcW w:w="6980" w:type="dxa"/>
            <w:gridSpan w:val="5"/>
            <w:tcBorders>
              <w:tl2br w:val="nil"/>
              <w:tr2bl w:val="nil"/>
            </w:tcBorders>
            <w:noWrap w:val="0"/>
            <w:vAlign w:val="center"/>
          </w:tcPr>
          <w:p w14:paraId="5008086A">
            <w:pPr>
              <w:spacing w:line="360" w:lineRule="exact"/>
              <w:ind w:firstLine="0" w:firstLineChars="0"/>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w:t>
            </w:r>
            <w:r>
              <w:rPr>
                <w:color w:val="000000" w:themeColor="text1"/>
                <w:sz w:val="21"/>
                <w:highlight w:val="none"/>
                <w14:textFill>
                  <w14:solidFill>
                    <w14:schemeClr w14:val="tx1"/>
                  </w14:solidFill>
                </w14:textFill>
              </w:rPr>
              <w:t>1</w:t>
            </w:r>
            <w:r>
              <w:rPr>
                <w:rFonts w:hint="eastAsia"/>
                <w:color w:val="000000" w:themeColor="text1"/>
                <w:sz w:val="21"/>
                <w:highlight w:val="none"/>
                <w14:textFill>
                  <w14:solidFill>
                    <w14:schemeClr w14:val="tx1"/>
                  </w14:solidFill>
                </w14:textFill>
              </w:rPr>
              <w:t>）火灾事故防范措施：车间内配备相应品种和数量的消防器材及泄漏应急处理设备；安排专人每周对化学品储存桶进行使用安全检查；严格遵守操作规程。</w:t>
            </w:r>
          </w:p>
          <w:p w14:paraId="0BCD27D6">
            <w:pPr>
              <w:spacing w:line="360" w:lineRule="exact"/>
              <w:ind w:firstLine="0" w:firstLineChars="0"/>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w:t>
            </w:r>
            <w:r>
              <w:rPr>
                <w:color w:val="000000" w:themeColor="text1"/>
                <w:sz w:val="21"/>
                <w:highlight w:val="none"/>
                <w14:textFill>
                  <w14:solidFill>
                    <w14:schemeClr w14:val="tx1"/>
                  </w14:solidFill>
                </w14:textFill>
              </w:rPr>
              <w:t>2</w:t>
            </w:r>
            <w:r>
              <w:rPr>
                <w:rFonts w:hint="eastAsia"/>
                <w:color w:val="000000" w:themeColor="text1"/>
                <w:sz w:val="21"/>
                <w:highlight w:val="none"/>
                <w14:textFill>
                  <w14:solidFill>
                    <w14:schemeClr w14:val="tx1"/>
                  </w14:solidFill>
                </w14:textFill>
              </w:rPr>
              <w:t>）</w:t>
            </w:r>
            <w:r>
              <w:rPr>
                <w:rFonts w:hint="eastAsia"/>
                <w:color w:val="000000" w:themeColor="text1"/>
                <w:sz w:val="21"/>
                <w:highlight w:val="none"/>
                <w:lang w:val="en-US" w:eastAsia="zh-CN"/>
                <w14:textFill>
                  <w14:solidFill>
                    <w14:schemeClr w14:val="tx1"/>
                  </w14:solidFill>
                </w14:textFill>
              </w:rPr>
              <w:t>废油泄漏</w:t>
            </w:r>
            <w:r>
              <w:rPr>
                <w:rFonts w:hint="eastAsia"/>
                <w:color w:val="000000" w:themeColor="text1"/>
                <w:sz w:val="21"/>
                <w:highlight w:val="none"/>
                <w14:textFill>
                  <w14:solidFill>
                    <w14:schemeClr w14:val="tx1"/>
                  </w14:solidFill>
                </w14:textFill>
              </w:rPr>
              <w:t>风险防范措施：</w:t>
            </w:r>
            <w:r>
              <w:rPr>
                <w:rFonts w:hint="eastAsia"/>
                <w:color w:val="000000" w:themeColor="text1"/>
                <w:sz w:val="21"/>
                <w:highlight w:val="none"/>
                <w:lang w:val="en-US" w:eastAsia="zh-CN"/>
                <w14:textFill>
                  <w14:solidFill>
                    <w14:schemeClr w14:val="tx1"/>
                  </w14:solidFill>
                </w14:textFill>
              </w:rPr>
              <w:t>危废贮存点建设应满足《危险废物贮存污染控制标准》（GB18597-2023）标准要求，对地面采取防渗措施，并设置导流槽及防溢流围堰；危险废物运输前，应进行合理包装，防止运输过程出现泄漏；废机油有渗漏或泄漏的，其渗漏或泄漏液应储存在密闭的、与危废相容的容器中</w:t>
            </w:r>
            <w:r>
              <w:rPr>
                <w:rFonts w:hint="eastAsia"/>
                <w:color w:val="000000" w:themeColor="text1"/>
                <w:sz w:val="21"/>
                <w:highlight w:val="none"/>
                <w14:textFill>
                  <w14:solidFill>
                    <w14:schemeClr w14:val="tx1"/>
                  </w14:solidFill>
                </w14:textFill>
              </w:rPr>
              <w:t>。</w:t>
            </w:r>
          </w:p>
          <w:p w14:paraId="4DE1FB0B">
            <w:pPr>
              <w:spacing w:line="360" w:lineRule="exact"/>
              <w:ind w:firstLine="0" w:firstLineChars="0"/>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（3）地下水风险防范措施：源头控制、严格做好工程防渗，定期对防渗措施进行检查和维护，确保防渗层的防渗效果，一旦发现防渗层有开裂、腐蚀等问题，应及时修补。</w:t>
            </w:r>
          </w:p>
          <w:p w14:paraId="5D2FE8FA">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highlight w:val="none"/>
                <w14:textFill>
                  <w14:solidFill>
                    <w14:schemeClr w14:val="tx1"/>
                  </w14:solidFill>
                </w14:textFill>
              </w:rPr>
              <w:t>（4）尾矿库溃坝风险防范措施：在尾矿坝下游设置事故池，收集尾矿库事故废水。采取库外排洪的方式，设置截洪沟，该截洪沟将尾矿库上游洪水直接排泄至尾矿库两侧，不进入库区。</w:t>
            </w:r>
          </w:p>
        </w:tc>
      </w:tr>
      <w:tr w14:paraId="02D69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0" w:type="dxa"/>
            <w:gridSpan w:val="6"/>
            <w:tcBorders>
              <w:tl2br w:val="nil"/>
              <w:tr2bl w:val="nil"/>
            </w:tcBorders>
            <w:noWrap w:val="0"/>
            <w:vAlign w:val="center"/>
          </w:tcPr>
          <w:p w14:paraId="71E54BBF">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填表说明（列出项目相关信息及评价说明）：</w:t>
            </w:r>
          </w:p>
          <w:p w14:paraId="00654667">
            <w:pPr>
              <w:overflowPunct w:val="0"/>
              <w:topLinePunct/>
              <w:spacing w:line="360" w:lineRule="exact"/>
              <w:ind w:firstLine="0" w:firstLineChars="0"/>
              <w:rPr>
                <w:color w:val="000000" w:themeColor="text1"/>
                <w:sz w:val="21"/>
                <w:szCs w:val="21"/>
                <w:highlight w:val="none"/>
                <w14:textFill>
                  <w14:solidFill>
                    <w14:schemeClr w14:val="tx1"/>
                  </w14:solidFill>
                </w14:textFill>
              </w:rPr>
            </w:pPr>
            <w:r>
              <w:rPr>
                <w:rFonts w:hint="eastAsia"/>
                <w:color w:val="000000" w:themeColor="text1"/>
                <w:sz w:val="21"/>
                <w:highlight w:val="none"/>
                <w:lang w:bidi="ar"/>
                <w14:textFill>
                  <w14:solidFill>
                    <w14:schemeClr w14:val="tx1"/>
                  </w14:solidFill>
                </w14:textFill>
              </w:rPr>
              <w:t>本项目生产过程中</w:t>
            </w:r>
            <w:r>
              <w:rPr>
                <w:rFonts w:hint="eastAsia"/>
                <w:color w:val="000000" w:themeColor="text1"/>
                <w:sz w:val="21"/>
                <w:highlight w:val="none"/>
                <w:lang w:val="en-US" w:eastAsia="zh-CN" w:bidi="ar"/>
                <w14:textFill>
                  <w14:solidFill>
                    <w14:schemeClr w14:val="tx1"/>
                  </w14:solidFill>
                </w14:textFill>
              </w:rPr>
              <w:t>产生的废机油</w:t>
            </w:r>
            <w:r>
              <w:rPr>
                <w:rFonts w:hint="eastAsia"/>
                <w:color w:val="000000" w:themeColor="text1"/>
                <w:sz w:val="21"/>
                <w:highlight w:val="none"/>
                <w:lang w:bidi="ar"/>
                <w14:textFill>
                  <w14:solidFill>
                    <w14:schemeClr w14:val="tx1"/>
                  </w14:solidFill>
                </w14:textFill>
              </w:rPr>
              <w:t>为本项目的重大危险源。</w:t>
            </w:r>
            <w:r>
              <w:rPr>
                <w:color w:val="000000" w:themeColor="text1"/>
                <w:sz w:val="21"/>
                <w:highlight w:val="none"/>
                <w:lang w:bidi="ar"/>
                <w14:textFill>
                  <w14:solidFill>
                    <w14:schemeClr w14:val="tx1"/>
                  </w14:solidFill>
                </w14:textFill>
              </w:rPr>
              <w:t>Q</w:t>
            </w:r>
            <w:r>
              <w:rPr>
                <w:rFonts w:hint="eastAsia"/>
                <w:color w:val="000000" w:themeColor="text1"/>
                <w:sz w:val="21"/>
                <w:highlight w:val="none"/>
                <w:lang w:bidi="ar"/>
                <w14:textFill>
                  <w14:solidFill>
                    <w14:schemeClr w14:val="tx1"/>
                  </w14:solidFill>
                </w14:textFill>
              </w:rPr>
              <w:t>值＜</w:t>
            </w:r>
            <w:r>
              <w:rPr>
                <w:color w:val="000000" w:themeColor="text1"/>
                <w:sz w:val="21"/>
                <w:highlight w:val="none"/>
                <w:lang w:bidi="ar"/>
                <w14:textFill>
                  <w14:solidFill>
                    <w14:schemeClr w14:val="tx1"/>
                  </w14:solidFill>
                </w14:textFill>
              </w:rPr>
              <w:t>1</w:t>
            </w:r>
            <w:r>
              <w:rPr>
                <w:rFonts w:hint="eastAsia"/>
                <w:color w:val="000000" w:themeColor="text1"/>
                <w:sz w:val="21"/>
                <w:highlight w:val="none"/>
                <w:lang w:bidi="ar"/>
                <w14:textFill>
                  <w14:solidFill>
                    <w14:schemeClr w14:val="tx1"/>
                  </w14:solidFill>
                </w14:textFill>
              </w:rPr>
              <w:t>，风险潜势为</w:t>
            </w:r>
            <w:r>
              <w:rPr>
                <w:color w:val="000000" w:themeColor="text1"/>
                <w:sz w:val="21"/>
                <w:highlight w:val="none"/>
                <w:lang w:bidi="ar"/>
                <w14:textFill>
                  <w14:solidFill>
                    <w14:schemeClr w14:val="tx1"/>
                  </w14:solidFill>
                </w14:textFill>
              </w:rPr>
              <w:t>I</w:t>
            </w:r>
            <w:r>
              <w:rPr>
                <w:rFonts w:hint="eastAsia"/>
                <w:color w:val="000000" w:themeColor="text1"/>
                <w:sz w:val="21"/>
                <w:highlight w:val="none"/>
                <w:lang w:bidi="ar"/>
                <w14:textFill>
                  <w14:solidFill>
                    <w14:schemeClr w14:val="tx1"/>
                  </w14:solidFill>
                </w14:textFill>
              </w:rPr>
              <w:t>，因此本次环评仅对事故影响进行简要分析，提出防范、减缓和应急措施。根据《尾矿库环境风险评估技术导则（试行）》（</w:t>
            </w:r>
            <w:r>
              <w:rPr>
                <w:color w:val="000000" w:themeColor="text1"/>
                <w:sz w:val="21"/>
                <w:highlight w:val="none"/>
                <w:lang w:bidi="ar"/>
                <w14:textFill>
                  <w14:solidFill>
                    <w14:schemeClr w14:val="tx1"/>
                  </w14:solidFill>
                </w14:textFill>
              </w:rPr>
              <w:t>HJ740-2015</w:t>
            </w:r>
            <w:r>
              <w:rPr>
                <w:rFonts w:hint="eastAsia"/>
                <w:color w:val="000000" w:themeColor="text1"/>
                <w:sz w:val="21"/>
                <w:highlight w:val="none"/>
                <w:lang w:bidi="ar"/>
                <w14:textFill>
                  <w14:solidFill>
                    <w14:schemeClr w14:val="tx1"/>
                  </w14:solidFill>
                </w14:textFill>
              </w:rPr>
              <w:t>）从尾矿库的环境危害性（</w:t>
            </w:r>
            <w:r>
              <w:rPr>
                <w:color w:val="000000" w:themeColor="text1"/>
                <w:sz w:val="21"/>
                <w:highlight w:val="none"/>
                <w:lang w:bidi="ar"/>
                <w14:textFill>
                  <w14:solidFill>
                    <w14:schemeClr w14:val="tx1"/>
                  </w14:solidFill>
                </w14:textFill>
              </w:rPr>
              <w:t>H</w:t>
            </w:r>
            <w:r>
              <w:rPr>
                <w:rFonts w:hint="eastAsia"/>
                <w:color w:val="000000" w:themeColor="text1"/>
                <w:sz w:val="21"/>
                <w:highlight w:val="none"/>
                <w:lang w:bidi="ar"/>
                <w14:textFill>
                  <w14:solidFill>
                    <w14:schemeClr w14:val="tx1"/>
                  </w14:solidFill>
                </w14:textFill>
              </w:rPr>
              <w:t>）、周边环境敏感性（</w:t>
            </w:r>
            <w:r>
              <w:rPr>
                <w:color w:val="000000" w:themeColor="text1"/>
                <w:sz w:val="21"/>
                <w:highlight w:val="none"/>
                <w:lang w:bidi="ar"/>
                <w14:textFill>
                  <w14:solidFill>
                    <w14:schemeClr w14:val="tx1"/>
                  </w14:solidFill>
                </w14:textFill>
              </w:rPr>
              <w:t>S</w:t>
            </w:r>
            <w:r>
              <w:rPr>
                <w:rFonts w:hint="eastAsia"/>
                <w:color w:val="000000" w:themeColor="text1"/>
                <w:sz w:val="21"/>
                <w:highlight w:val="none"/>
                <w:lang w:bidi="ar"/>
                <w14:textFill>
                  <w14:solidFill>
                    <w14:schemeClr w14:val="tx1"/>
                  </w14:solidFill>
                </w14:textFill>
              </w:rPr>
              <w:t>）、控制机制可靠性（</w:t>
            </w:r>
            <w:r>
              <w:rPr>
                <w:color w:val="000000" w:themeColor="text1"/>
                <w:sz w:val="21"/>
                <w:highlight w:val="none"/>
                <w:lang w:bidi="ar"/>
                <w14:textFill>
                  <w14:solidFill>
                    <w14:schemeClr w14:val="tx1"/>
                  </w14:solidFill>
                </w14:textFill>
              </w:rPr>
              <w:t>R</w:t>
            </w:r>
            <w:r>
              <w:rPr>
                <w:rFonts w:hint="eastAsia"/>
                <w:color w:val="000000" w:themeColor="text1"/>
                <w:sz w:val="21"/>
                <w:highlight w:val="none"/>
                <w:lang w:bidi="ar"/>
                <w14:textFill>
                  <w14:solidFill>
                    <w14:schemeClr w14:val="tx1"/>
                  </w14:solidFill>
                </w14:textFill>
              </w:rPr>
              <w:t>）三个方面进行环境风险的辨识。由风险评价等级相关章节分析可知，本项目环境危险性等别为</w:t>
            </w:r>
            <w:r>
              <w:rPr>
                <w:color w:val="000000" w:themeColor="text1"/>
                <w:sz w:val="21"/>
                <w:highlight w:val="none"/>
                <w:lang w:bidi="ar"/>
                <w14:textFill>
                  <w14:solidFill>
                    <w14:schemeClr w14:val="tx1"/>
                  </w14:solidFill>
                </w14:textFill>
              </w:rPr>
              <w:t>H</w:t>
            </w:r>
            <w:r>
              <w:rPr>
                <w:rFonts w:hint="eastAsia"/>
                <w:color w:val="000000" w:themeColor="text1"/>
                <w:sz w:val="21"/>
                <w:highlight w:val="none"/>
                <w:lang w:bidi="ar"/>
                <w14:textFill>
                  <w14:solidFill>
                    <w14:schemeClr w14:val="tx1"/>
                  </w14:solidFill>
                </w14:textFill>
              </w:rPr>
              <w:t>3，周边环境敏感性等别为</w:t>
            </w:r>
            <w:r>
              <w:rPr>
                <w:color w:val="000000" w:themeColor="text1"/>
                <w:sz w:val="21"/>
                <w:highlight w:val="none"/>
                <w:lang w:bidi="ar"/>
                <w14:textFill>
                  <w14:solidFill>
                    <w14:schemeClr w14:val="tx1"/>
                  </w14:solidFill>
                </w14:textFill>
              </w:rPr>
              <w:t>S</w:t>
            </w:r>
            <w:r>
              <w:rPr>
                <w:rFonts w:hint="eastAsia"/>
                <w:color w:val="000000" w:themeColor="text1"/>
                <w:sz w:val="21"/>
                <w:highlight w:val="none"/>
                <w:lang w:val="en-US" w:eastAsia="zh-CN" w:bidi="ar"/>
                <w14:textFill>
                  <w14:solidFill>
                    <w14:schemeClr w14:val="tx1"/>
                  </w14:solidFill>
                </w14:textFill>
              </w:rPr>
              <w:t>3</w:t>
            </w:r>
            <w:r>
              <w:rPr>
                <w:rFonts w:hint="eastAsia"/>
                <w:color w:val="000000" w:themeColor="text1"/>
                <w:sz w:val="21"/>
                <w:highlight w:val="none"/>
                <w:lang w:bidi="ar"/>
                <w14:textFill>
                  <w14:solidFill>
                    <w14:schemeClr w14:val="tx1"/>
                  </w14:solidFill>
                </w14:textFill>
              </w:rPr>
              <w:t>，控制机制可靠性等别为</w:t>
            </w:r>
            <w:r>
              <w:rPr>
                <w:color w:val="000000" w:themeColor="text1"/>
                <w:sz w:val="21"/>
                <w:highlight w:val="none"/>
                <w:lang w:bidi="ar"/>
                <w14:textFill>
                  <w14:solidFill>
                    <w14:schemeClr w14:val="tx1"/>
                  </w14:solidFill>
                </w14:textFill>
              </w:rPr>
              <w:t>R</w:t>
            </w:r>
            <w:r>
              <w:rPr>
                <w:rFonts w:hint="eastAsia"/>
                <w:color w:val="000000" w:themeColor="text1"/>
                <w:sz w:val="21"/>
                <w:highlight w:val="none"/>
                <w:lang w:val="en-US" w:eastAsia="zh-CN" w:bidi="ar"/>
                <w14:textFill>
                  <w14:solidFill>
                    <w14:schemeClr w14:val="tx1"/>
                  </w14:solidFill>
                </w14:textFill>
              </w:rPr>
              <w:t>3</w:t>
            </w:r>
            <w:r>
              <w:rPr>
                <w:rFonts w:hint="eastAsia"/>
                <w:color w:val="000000" w:themeColor="text1"/>
                <w:sz w:val="21"/>
                <w:highlight w:val="none"/>
                <w:lang w:bidi="ar"/>
                <w14:textFill>
                  <w14:solidFill>
                    <w14:schemeClr w14:val="tx1"/>
                  </w14:solidFill>
                </w14:textFill>
              </w:rPr>
              <w:t>。根据以上判定，结合《尾矿库环境风险评估技术导则（试行）》（</w:t>
            </w:r>
            <w:r>
              <w:rPr>
                <w:color w:val="000000" w:themeColor="text1"/>
                <w:sz w:val="21"/>
                <w:highlight w:val="none"/>
                <w:lang w:bidi="ar"/>
                <w14:textFill>
                  <w14:solidFill>
                    <w14:schemeClr w14:val="tx1"/>
                  </w14:solidFill>
                </w14:textFill>
              </w:rPr>
              <w:t>HJ740-2015</w:t>
            </w:r>
            <w:r>
              <w:rPr>
                <w:rFonts w:hint="eastAsia"/>
                <w:color w:val="000000" w:themeColor="text1"/>
                <w:sz w:val="21"/>
                <w:highlight w:val="none"/>
                <w:lang w:bidi="ar"/>
                <w14:textFill>
                  <w14:solidFill>
                    <w14:schemeClr w14:val="tx1"/>
                  </w14:solidFill>
                </w14:textFill>
              </w:rPr>
              <w:t>）表</w:t>
            </w:r>
            <w:r>
              <w:rPr>
                <w:color w:val="000000" w:themeColor="text1"/>
                <w:sz w:val="21"/>
                <w:highlight w:val="none"/>
                <w:lang w:bidi="ar"/>
                <w14:textFill>
                  <w14:solidFill>
                    <w14:schemeClr w14:val="tx1"/>
                  </w14:solidFill>
                </w14:textFill>
              </w:rPr>
              <w:t>7</w:t>
            </w:r>
            <w:r>
              <w:rPr>
                <w:rFonts w:hint="eastAsia"/>
                <w:color w:val="000000" w:themeColor="text1"/>
                <w:sz w:val="21"/>
                <w:highlight w:val="none"/>
                <w:lang w:bidi="ar"/>
                <w14:textFill>
                  <w14:solidFill>
                    <w14:schemeClr w14:val="tx1"/>
                  </w14:solidFill>
                </w14:textFill>
              </w:rPr>
              <w:t>中等级划分矩阵，确定本次尾矿库风险等级为一般。最终确定环境风险可控，处于可接受水平。</w:t>
            </w:r>
          </w:p>
        </w:tc>
      </w:tr>
      <w:bookmarkEnd w:id="769"/>
      <w:bookmarkEnd w:id="770"/>
      <w:bookmarkEnd w:id="771"/>
      <w:bookmarkEnd w:id="772"/>
      <w:bookmarkEnd w:id="773"/>
      <w:bookmarkEnd w:id="774"/>
    </w:tbl>
    <w:p w14:paraId="0AD685FF">
      <w:pPr>
        <w:pStyle w:val="3"/>
        <w:rPr>
          <w:color w:val="000000" w:themeColor="text1"/>
          <w:highlight w:val="none"/>
          <w14:textFill>
            <w14:solidFill>
              <w14:schemeClr w14:val="tx1"/>
            </w14:solidFill>
          </w14:textFill>
        </w:rPr>
      </w:pPr>
      <w:bookmarkStart w:id="782" w:name="_Toc18369"/>
      <w:bookmarkStart w:id="783" w:name="_Toc107414668"/>
      <w:bookmarkStart w:id="784" w:name="_Toc8627"/>
      <w:bookmarkStart w:id="785" w:name="_Toc107413901"/>
      <w:bookmarkStart w:id="786" w:name="_Toc4827"/>
      <w:bookmarkStart w:id="787" w:name="_Toc11617"/>
      <w:bookmarkStart w:id="788" w:name="_Toc21463"/>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4退役期环境影响分析</w:t>
      </w:r>
      <w:bookmarkEnd w:id="782"/>
    </w:p>
    <w:p w14:paraId="108E96E4">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退役期相对来说是正影响的过程，是对景观及生态的恢复过程，不会对环境继续产生破坏。退役期如不落实水土保持方案、复垦计划以及生态恢复，则对开发区域带来的环境影响是极为严重的。其主要的环境问题是植被破坏造成的水土流失、改变土地利用方式对地貌景观的破坏等问题。因此退役期的环境保护措施和生态恢复是</w:t>
      </w:r>
      <w:r>
        <w:rPr>
          <w:rFonts w:hint="eastAsia"/>
          <w:color w:val="000000" w:themeColor="text1"/>
          <w:highlight w:val="none"/>
          <w14:textFill>
            <w14:solidFill>
              <w14:schemeClr w14:val="tx1"/>
            </w14:solidFill>
          </w14:textFill>
        </w:rPr>
        <w:t>本项目</w:t>
      </w:r>
      <w:r>
        <w:rPr>
          <w:color w:val="000000" w:themeColor="text1"/>
          <w:highlight w:val="none"/>
          <w14:textFill>
            <w14:solidFill>
              <w14:schemeClr w14:val="tx1"/>
            </w14:solidFill>
          </w14:textFill>
        </w:rPr>
        <w:t>环境保护的重要环节。分析论证建设方和水土保持方案制定的可行性，为有效控制项目新增水土流失，保护和恢复项目区内植被，保障当地生态环境建设与经济协调发展，对水土保持方案设计原则与目标等进行论证。做到</w:t>
      </w:r>
      <w:r>
        <w:rPr>
          <w:rFonts w:hint="eastAsia"/>
          <w:color w:val="000000" w:themeColor="text1"/>
          <w:highlight w:val="none"/>
          <w14:textFill>
            <w14:solidFill>
              <w14:schemeClr w14:val="tx1"/>
            </w14:solidFill>
          </w14:textFill>
        </w:rPr>
        <w:t>选矿厂、尾矿库退役的同时</w:t>
      </w:r>
      <w:r>
        <w:rPr>
          <w:color w:val="000000" w:themeColor="text1"/>
          <w:highlight w:val="none"/>
          <w14:textFill>
            <w14:solidFill>
              <w14:schemeClr w14:val="tx1"/>
            </w14:solidFill>
          </w14:textFill>
        </w:rPr>
        <w:t>，水土保持工程同年完成。</w:t>
      </w:r>
    </w:p>
    <w:p w14:paraId="0A4333C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本项目服务期满后应按照《尾矿库闭库安全监督管理规定》进行闭库。</w:t>
      </w:r>
    </w:p>
    <w:p w14:paraId="6D50BB19">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rFonts w:hint="eastAsia"/>
          <w:b/>
          <w:bCs/>
          <w:color w:val="000000" w:themeColor="text1"/>
          <w:sz w:val="30"/>
          <w:szCs w:val="32"/>
          <w:highlight w:val="none"/>
          <w14:textFill>
            <w14:solidFill>
              <w14:schemeClr w14:val="tx1"/>
            </w14:solidFill>
          </w14:textFill>
        </w:rPr>
        <w:t>5.4.1退役期大气环境影响分析</w:t>
      </w:r>
    </w:p>
    <w:p w14:paraId="71C0BB27">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bCs/>
          <w:color w:val="000000" w:themeColor="text1"/>
          <w:highlight w:val="none"/>
          <w14:textFill>
            <w14:solidFill>
              <w14:schemeClr w14:val="tx1"/>
            </w14:solidFill>
          </w14:textFill>
        </w:rPr>
        <w:t>退役期</w:t>
      </w:r>
      <w:r>
        <w:rPr>
          <w:rFonts w:hint="eastAsia"/>
          <w:color w:val="000000" w:themeColor="text1"/>
          <w:highlight w:val="none"/>
          <w14:textFill>
            <w14:solidFill>
              <w14:schemeClr w14:val="tx1"/>
            </w14:solidFill>
          </w14:textFill>
        </w:rPr>
        <w:t>废气主要为尾矿库内扬尘。闭库期如管理不善，扬尘将难以得到有效控制，对周边空气环境造成影响。故在闭库过程中应利用定期进行洒水保湿，以减少闭库中尾矿库扬尘。闭库后应及时进行复垦，通过压实及覆盖植被等措施防止尾矿渣体大面积裸露，从而可起到抑制尾矿库扬尘的作用。为减小</w:t>
      </w:r>
      <w:r>
        <w:rPr>
          <w:rFonts w:hint="eastAsia"/>
          <w:color w:val="000000" w:themeColor="text1"/>
          <w:highlight w:val="none"/>
          <w:lang w:eastAsia="zh-CN"/>
          <w14:textFill>
            <w14:solidFill>
              <w14:schemeClr w14:val="tx1"/>
            </w14:solidFill>
          </w14:textFill>
        </w:rPr>
        <w:t>扬尘</w:t>
      </w:r>
      <w:r>
        <w:rPr>
          <w:rFonts w:hint="eastAsia"/>
          <w:color w:val="000000" w:themeColor="text1"/>
          <w:highlight w:val="none"/>
          <w14:textFill>
            <w14:solidFill>
              <w14:schemeClr w14:val="tx1"/>
            </w14:solidFill>
          </w14:textFill>
        </w:rPr>
        <w:t>对周围环境的影响，报告提出项目建设方应在尾矿库闭库期采取以下措施：</w:t>
      </w:r>
    </w:p>
    <w:p w14:paraId="2A08039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（1）对</w:t>
      </w:r>
      <w:r>
        <w:rPr>
          <w:rFonts w:hint="eastAsia"/>
          <w:color w:val="000000" w:themeColor="text1"/>
          <w:highlight w:val="none"/>
          <w:lang w:eastAsia="zh-CN"/>
          <w14:textFill>
            <w14:solidFill>
              <w14:schemeClr w14:val="tx1"/>
            </w14:solidFill>
          </w14:textFill>
        </w:rPr>
        <w:t>尾矿库</w:t>
      </w:r>
      <w:r>
        <w:rPr>
          <w:rFonts w:hint="eastAsia"/>
          <w:color w:val="000000" w:themeColor="text1"/>
          <w:highlight w:val="none"/>
          <w14:textFill>
            <w14:solidFill>
              <w14:schemeClr w14:val="tx1"/>
            </w14:solidFill>
          </w14:textFill>
        </w:rPr>
        <w:t>区域定期进行洒水保湿以减少扬尘量。</w:t>
      </w:r>
    </w:p>
    <w:p w14:paraId="682BB65C">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（2）尾矿库应及时闭库复垦，进行覆土、压实等措施防止尾矿渣体大面积裸露，从而可起到抑制尾矿库扬尘的作用。</w:t>
      </w:r>
    </w:p>
    <w:p w14:paraId="7B200611">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综合分析，在采取以上措施后可有效减轻闭库期及之后扬尘对周边空气环境的影响。</w:t>
      </w:r>
    </w:p>
    <w:p w14:paraId="4965CA5A">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rFonts w:hint="eastAsia"/>
          <w:b/>
          <w:bCs/>
          <w:color w:val="000000" w:themeColor="text1"/>
          <w:sz w:val="30"/>
          <w:szCs w:val="32"/>
          <w:highlight w:val="none"/>
          <w14:textFill>
            <w14:solidFill>
              <w14:schemeClr w14:val="tx1"/>
            </w14:solidFill>
          </w14:textFill>
        </w:rPr>
        <w:t>5.4.2退役期水环境影响分析</w:t>
      </w:r>
    </w:p>
    <w:p w14:paraId="7E756190">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退役期废水主要为尾矿库内汇入收集的大气降水形成的尾矿库内废水。这部分废水如管理不善直接外排将污染地下水。</w:t>
      </w:r>
    </w:p>
    <w:p w14:paraId="4B1B2B33">
      <w:pPr>
        <w:overflowPunct w:val="0"/>
        <w:topLinePunct/>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为防止退役期这部分废水外排造成对周边地下水污染，对于闭库期尾矿库内蓄积废水，应回用于尾矿库库区洒水，防止其因缺乏管理外排污染周边地下水环境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退役期应对地下水开展持续监测工作。</w:t>
      </w:r>
    </w:p>
    <w:p w14:paraId="7915E9BF">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rFonts w:hint="eastAsia"/>
          <w:b/>
          <w:bCs/>
          <w:color w:val="000000" w:themeColor="text1"/>
          <w:sz w:val="30"/>
          <w:szCs w:val="32"/>
          <w:highlight w:val="none"/>
          <w14:textFill>
            <w14:solidFill>
              <w14:schemeClr w14:val="tx1"/>
            </w14:solidFill>
          </w14:textFill>
        </w:rPr>
        <w:t>5.4.3退役期声环境影响分析</w:t>
      </w:r>
    </w:p>
    <w:p w14:paraId="17623AFB">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退役期各类机械环境噪</w:t>
      </w:r>
      <w:r>
        <w:rPr>
          <w:rFonts w:hint="eastAsia"/>
          <w:color w:val="000000" w:themeColor="text1"/>
          <w:highlight w:val="none"/>
          <w:lang w:eastAsia="zh-CN"/>
          <w14:textFill>
            <w14:solidFill>
              <w14:schemeClr w14:val="tx1"/>
            </w14:solidFill>
          </w14:textFill>
        </w:rPr>
        <w:t>声</w:t>
      </w:r>
      <w:r>
        <w:rPr>
          <w:rFonts w:hint="eastAsia"/>
          <w:color w:val="000000" w:themeColor="text1"/>
          <w:highlight w:val="none"/>
          <w14:textFill>
            <w14:solidFill>
              <w14:schemeClr w14:val="tx1"/>
            </w14:solidFill>
          </w14:textFill>
        </w:rPr>
        <w:t>、车辆产生的噪声将消失，噪声较运营期将大幅降低，并逐渐恢复到环境背景值。因此，噪声对项目区及周围环境影响较小。</w:t>
      </w:r>
    </w:p>
    <w:p w14:paraId="737D10AA">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rFonts w:hint="eastAsia"/>
          <w:b/>
          <w:bCs/>
          <w:color w:val="000000" w:themeColor="text1"/>
          <w:sz w:val="30"/>
          <w:szCs w:val="32"/>
          <w:highlight w:val="none"/>
          <w14:textFill>
            <w14:solidFill>
              <w14:schemeClr w14:val="tx1"/>
            </w14:solidFill>
          </w14:textFill>
        </w:rPr>
        <w:t>5.4.4退役期固体废弃物环境影响分析</w:t>
      </w:r>
    </w:p>
    <w:p w14:paraId="2895B7D5">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退役期固体废弃物主要为项目区周边废弃建筑物。对废弃建筑物应统一拆除，建筑垃圾按照当地环卫部门要求进行处理。同时尾矿库闭库要求如下：</w:t>
      </w:r>
    </w:p>
    <w:p w14:paraId="3210CAF5">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（1）尾矿库应按《尾矿库闭库安全监督管理规定》进行闭库；</w:t>
      </w:r>
    </w:p>
    <w:p w14:paraId="57F7FE0B">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（2）在尾矿库闭库前1年，委托具有相应资质的评价机构进行尾矿库安全评价；</w:t>
      </w:r>
    </w:p>
    <w:p w14:paraId="26BF34B9">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（3）在尾矿库闭库前1年，委托具有相应资质的设计单位进行尾矿库闭库设计；</w:t>
      </w:r>
    </w:p>
    <w:p w14:paraId="4D7BB1AC">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（4）按照《尾矿设施施工及验收规程》（YS5418-95）进行闭库验收；</w:t>
      </w:r>
    </w:p>
    <w:p w14:paraId="2579F92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（5）尾矿库周边警示</w:t>
      </w:r>
      <w:r>
        <w:rPr>
          <w:rFonts w:hint="eastAsia"/>
          <w:color w:val="000000" w:themeColor="text1"/>
          <w:highlight w:val="none"/>
          <w:lang w:eastAsia="zh-CN"/>
          <w14:textFill>
            <w14:solidFill>
              <w14:schemeClr w14:val="tx1"/>
            </w14:solidFill>
          </w14:textFill>
        </w:rPr>
        <w:t>标识</w:t>
      </w:r>
      <w:r>
        <w:rPr>
          <w:rFonts w:hint="eastAsia"/>
          <w:color w:val="000000" w:themeColor="text1"/>
          <w:highlight w:val="none"/>
          <w14:textFill>
            <w14:solidFill>
              <w14:schemeClr w14:val="tx1"/>
            </w14:solidFill>
          </w14:textFill>
        </w:rPr>
        <w:t>及尾矿库观测点应予以保留。</w:t>
      </w:r>
    </w:p>
    <w:p w14:paraId="1DD8BCF7">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r>
        <w:rPr>
          <w:rFonts w:hint="eastAsia"/>
          <w:b/>
          <w:bCs/>
          <w:color w:val="000000" w:themeColor="text1"/>
          <w:sz w:val="30"/>
          <w:szCs w:val="32"/>
          <w:highlight w:val="none"/>
          <w14:textFill>
            <w14:solidFill>
              <w14:schemeClr w14:val="tx1"/>
            </w14:solidFill>
          </w14:textFill>
        </w:rPr>
        <w:t>5.4.5退役期生态环境影响分析</w:t>
      </w:r>
    </w:p>
    <w:p w14:paraId="4E5A9438">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退役期生态环境影响主要是遗留废弃建筑物及未按要求处置对今后周边生态环境带来的影响。</w:t>
      </w:r>
    </w:p>
    <w:p w14:paraId="5E618359">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尾矿库在闭库后需进行闭库设计。加强地质灾害防治工作，消除地质灾害隐患。对边坡进行稳定治理；对不稳定的岩块进行及时清理。</w:t>
      </w:r>
    </w:p>
    <w:p w14:paraId="3002765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随着项目区土地复垦的实施，项目区将会恢复到原貌，使生态系统顺向演替。</w:t>
      </w:r>
    </w:p>
    <w:p w14:paraId="2A7B0B5B">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7525E05">
      <w:pPr>
        <w:pStyle w:val="2"/>
        <w:spacing w:line="720" w:lineRule="exact"/>
        <w:rPr>
          <w:color w:val="000000" w:themeColor="text1"/>
          <w:highlight w:val="none"/>
          <w14:textFill>
            <w14:solidFill>
              <w14:schemeClr w14:val="tx1"/>
            </w14:solidFill>
          </w14:textFill>
        </w:rPr>
      </w:pPr>
      <w:bookmarkStart w:id="789" w:name="_Toc24488"/>
      <w:r>
        <w:rPr>
          <w:rFonts w:hint="eastAsia"/>
          <w:color w:val="000000" w:themeColor="text1"/>
          <w:highlight w:val="none"/>
          <w14:textFill>
            <w14:solidFill>
              <w14:schemeClr w14:val="tx1"/>
            </w14:solidFill>
          </w14:textFill>
        </w:rPr>
        <w:t>6环境保护措施及其可行性论证</w:t>
      </w:r>
      <w:bookmarkEnd w:id="783"/>
      <w:bookmarkEnd w:id="784"/>
      <w:bookmarkEnd w:id="785"/>
      <w:bookmarkEnd w:id="786"/>
      <w:bookmarkEnd w:id="787"/>
      <w:bookmarkEnd w:id="788"/>
      <w:bookmarkEnd w:id="789"/>
    </w:p>
    <w:p w14:paraId="6BE77A41">
      <w:pPr>
        <w:pStyle w:val="3"/>
        <w:rPr>
          <w:color w:val="000000" w:themeColor="text1"/>
          <w:highlight w:val="none"/>
          <w14:textFill>
            <w14:solidFill>
              <w14:schemeClr w14:val="tx1"/>
            </w14:solidFill>
          </w14:textFill>
        </w:rPr>
      </w:pPr>
      <w:bookmarkStart w:id="790" w:name="_Toc838"/>
      <w:bookmarkStart w:id="791" w:name="_Toc107413902"/>
      <w:bookmarkStart w:id="792" w:name="_Toc20330"/>
      <w:bookmarkStart w:id="793" w:name="_Toc14461"/>
      <w:bookmarkStart w:id="794" w:name="_Toc14170"/>
      <w:bookmarkStart w:id="795" w:name="_Toc107414669"/>
      <w:bookmarkStart w:id="796" w:name="_Toc29276"/>
      <w:bookmarkStart w:id="797" w:name="_Toc26045"/>
      <w:bookmarkStart w:id="798" w:name="_Toc9895"/>
      <w:bookmarkStart w:id="799" w:name="_Toc107413903"/>
      <w:bookmarkStart w:id="800" w:name="_Toc4683"/>
      <w:bookmarkStart w:id="801" w:name="_Toc107414670"/>
      <w:bookmarkStart w:id="802" w:name="_Toc5909"/>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施工期环境保护措施及其可行性论证</w:t>
      </w:r>
      <w:bookmarkEnd w:id="790"/>
      <w:bookmarkEnd w:id="791"/>
      <w:bookmarkEnd w:id="792"/>
      <w:bookmarkEnd w:id="793"/>
      <w:bookmarkEnd w:id="794"/>
      <w:bookmarkEnd w:id="795"/>
      <w:bookmarkEnd w:id="796"/>
    </w:p>
    <w:p w14:paraId="60C0D8A0">
      <w:pPr>
        <w:pStyle w:val="4"/>
        <w:rPr>
          <w:color w:val="000000" w:themeColor="text1"/>
          <w:highlight w:val="none"/>
          <w14:textFill>
            <w14:solidFill>
              <w14:schemeClr w14:val="tx1"/>
            </w14:solidFill>
          </w14:textFill>
        </w:rPr>
      </w:pPr>
      <w:bookmarkStart w:id="803" w:name="_Toc2237"/>
      <w:bookmarkStart w:id="804" w:name="_Toc6475"/>
      <w:bookmarkStart w:id="805" w:name="_Toc19579"/>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.1.1</w:t>
      </w:r>
      <w:r>
        <w:rPr>
          <w:rFonts w:hint="eastAsia"/>
          <w:color w:val="000000" w:themeColor="text1"/>
          <w:highlight w:val="none"/>
          <w14:textFill>
            <w14:solidFill>
              <w14:schemeClr w14:val="tx1"/>
            </w14:solidFill>
          </w14:textFill>
        </w:rPr>
        <w:t>大气污染防护措施</w:t>
      </w:r>
      <w:bookmarkEnd w:id="803"/>
      <w:bookmarkEnd w:id="804"/>
      <w:bookmarkEnd w:id="805"/>
    </w:p>
    <w:p w14:paraId="556C89B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施工期间必须采取合理可行的控制措施，尽量减轻扬尘对附近大气环境的污染，缩小其影响范围。要求采取如下技术方案：</w:t>
      </w:r>
    </w:p>
    <w:p w14:paraId="5FBCE8D9">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（1）土石方挖掘</w:t>
      </w:r>
      <w:r>
        <w:rPr>
          <w:rFonts w:hint="eastAsia"/>
          <w:color w:val="000000" w:themeColor="text1"/>
          <w:highlight w:val="none"/>
          <w:lang w:eastAsia="zh-CN"/>
          <w14:textFill>
            <w14:solidFill>
              <w14:schemeClr w14:val="tx1"/>
            </w14:solidFill>
          </w14:textFill>
        </w:rPr>
        <w:t>完成</w:t>
      </w:r>
      <w:r>
        <w:rPr>
          <w:color w:val="000000" w:themeColor="text1"/>
          <w:highlight w:val="none"/>
          <w14:textFill>
            <w14:solidFill>
              <w14:schemeClr w14:val="tx1"/>
            </w14:solidFill>
          </w14:textFill>
        </w:rPr>
        <w:t>后，要及时回填，剩余土方应及时运到需要填方的低洼处并喷水碾压，或临近堆放在施工生活区主导风向的下风向，减轻对施工生活区的影响，同时防止水土流失；</w:t>
      </w:r>
    </w:p>
    <w:p w14:paraId="125900C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（2）易产生扬尘的建筑材料不得随意露天堆放，应设置专门的堆场，且堆场四周有围挡设施，以免产生扬尘，对周围环境造成影响；</w:t>
      </w:r>
    </w:p>
    <w:p w14:paraId="3C513345">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（3）混凝土搅拌机应设在指定场地内，散落在地上的建筑材料要经常清理；</w:t>
      </w:r>
    </w:p>
    <w:p w14:paraId="5A0D4FF7">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（4）为防止运输过程产生的二次扬尘污染，要对施工道路定时洒水，在大风天气，停止土石方施工，对容易产生二次扬尘污染的重点施工现场进行遮盖；</w:t>
      </w:r>
    </w:p>
    <w:p w14:paraId="3E442FE9">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（5）运输建筑材料和设备的车辆不得超载，运输颗粒物料车辆的装载高度不得超过车槽，并用</w:t>
      </w:r>
      <w:r>
        <w:rPr>
          <w:rFonts w:hint="eastAsia"/>
          <w:color w:val="000000" w:themeColor="text1"/>
          <w:highlight w:val="none"/>
          <w:lang w:eastAsia="zh-CN"/>
          <w14:textFill>
            <w14:solidFill>
              <w14:schemeClr w14:val="tx1"/>
            </w14:solidFill>
          </w14:textFill>
        </w:rPr>
        <w:t>篷布</w:t>
      </w:r>
      <w:r>
        <w:rPr>
          <w:color w:val="000000" w:themeColor="text1"/>
          <w:highlight w:val="none"/>
          <w14:textFill>
            <w14:solidFill>
              <w14:schemeClr w14:val="tx1"/>
            </w14:solidFill>
          </w14:textFill>
        </w:rPr>
        <w:t>蒙严盖实，不得沿路</w:t>
      </w:r>
      <w:r>
        <w:rPr>
          <w:rFonts w:hint="eastAsia"/>
          <w:color w:val="000000" w:themeColor="text1"/>
          <w:highlight w:val="none"/>
          <w:lang w:eastAsia="zh-CN"/>
          <w14:textFill>
            <w14:solidFill>
              <w14:schemeClr w14:val="tx1"/>
            </w14:solidFill>
          </w14:textFill>
        </w:rPr>
        <w:t>抛撒</w:t>
      </w:r>
      <w:r>
        <w:rPr>
          <w:color w:val="000000" w:themeColor="text1"/>
          <w:highlight w:val="none"/>
          <w14:textFill>
            <w14:solidFill>
              <w14:schemeClr w14:val="tx1"/>
            </w14:solidFill>
          </w14:textFill>
        </w:rPr>
        <w:t>；</w:t>
      </w:r>
    </w:p>
    <w:p w14:paraId="50828806">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（6）建设期规划施工车辆行驶路线，对路面进行硬化处理，指定机械停放点，设置洒水车对道路、料场等处洒水降尘。</w:t>
      </w:r>
    </w:p>
    <w:p w14:paraId="23E7D878">
      <w:pPr>
        <w:pStyle w:val="61"/>
        <w:overflowPunct w:val="0"/>
        <w:topLinePunct/>
        <w:spacing w:line="480" w:lineRule="exact"/>
        <w:ind w:firstLine="480"/>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采取以上措施后，施工期废气影响将降至最低，对周围环境影响较小，本项目施工期大气治理措施可行。</w:t>
      </w:r>
    </w:p>
    <w:p w14:paraId="0BDF7F3F">
      <w:pPr>
        <w:pStyle w:val="4"/>
        <w:rPr>
          <w:color w:val="000000" w:themeColor="text1"/>
          <w:highlight w:val="none"/>
          <w14:textFill>
            <w14:solidFill>
              <w14:schemeClr w14:val="tx1"/>
            </w14:solidFill>
          </w14:textFill>
        </w:rPr>
      </w:pPr>
      <w:bookmarkStart w:id="806" w:name="_Toc3718"/>
      <w:bookmarkStart w:id="807" w:name="_Toc10638"/>
      <w:bookmarkStart w:id="808" w:name="_Toc17455"/>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2废水污染防护措施</w:t>
      </w:r>
      <w:bookmarkEnd w:id="806"/>
      <w:bookmarkEnd w:id="807"/>
      <w:bookmarkEnd w:id="808"/>
    </w:p>
    <w:p w14:paraId="7AEEB339">
      <w:pPr>
        <w:pStyle w:val="61"/>
        <w:overflowPunct w:val="0"/>
        <w:topLinePunct/>
        <w:spacing w:line="480" w:lineRule="exact"/>
        <w:ind w:firstLine="480"/>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施工过程产生废水主要为生活</w:t>
      </w:r>
      <w:r>
        <w:rPr>
          <w:rFonts w:hint="eastAsia"/>
          <w:color w:val="000000" w:themeColor="text1"/>
          <w:highlight w:val="none"/>
          <w14:textFill>
            <w14:solidFill>
              <w14:schemeClr w14:val="tx1"/>
            </w14:solidFill>
          </w14:textFill>
        </w:rPr>
        <w:t>污水、</w:t>
      </w:r>
      <w:r>
        <w:rPr>
          <w:color w:val="000000" w:themeColor="text1"/>
          <w:highlight w:val="none"/>
          <w14:textFill>
            <w14:solidFill>
              <w14:schemeClr w14:val="tx1"/>
            </w14:solidFill>
          </w14:textFill>
        </w:rPr>
        <w:t>施工废水，本环评提出的处理措施如下：</w:t>
      </w:r>
    </w:p>
    <w:p w14:paraId="6A78399B">
      <w:pPr>
        <w:pStyle w:val="61"/>
        <w:overflowPunct w:val="0"/>
        <w:topLinePunct/>
        <w:spacing w:line="480" w:lineRule="exact"/>
        <w:ind w:firstLine="480"/>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（1）施工场地设置临时沉淀池，将施工废水沉淀处理后回用于施工工序，如洒水降尘等</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对区域水环境影响较小。</w:t>
      </w:r>
    </w:p>
    <w:p w14:paraId="740BA698">
      <w:pPr>
        <w:pStyle w:val="61"/>
        <w:overflowPunct w:val="0"/>
        <w:topLinePunct/>
        <w:spacing w:line="480" w:lineRule="exact"/>
        <w:ind w:firstLine="480"/>
        <w:jc w:val="both"/>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（2）</w:t>
      </w:r>
      <w:r>
        <w:rPr>
          <w:color w:val="000000" w:themeColor="text1"/>
          <w:kern w:val="0"/>
          <w:highlight w:val="none"/>
          <w:lang w:val="zh-CN"/>
          <w14:textFill>
            <w14:solidFill>
              <w14:schemeClr w14:val="tx1"/>
            </w14:solidFill>
          </w14:textFill>
        </w:rPr>
        <w:t>施工期</w:t>
      </w:r>
      <w:r>
        <w:rPr>
          <w:rFonts w:hint="eastAsia"/>
          <w:color w:val="000000" w:themeColor="text1"/>
          <w:kern w:val="0"/>
          <w:highlight w:val="none"/>
          <w:lang w:val="zh-CN"/>
          <w14:textFill>
            <w14:solidFill>
              <w14:schemeClr w14:val="tx1"/>
            </w14:solidFill>
          </w14:textFill>
        </w:rPr>
        <w:t>生活污水依托现有生活区</w:t>
      </w:r>
      <w:r>
        <w:rPr>
          <w:rFonts w:hint="eastAsia"/>
          <w:color w:val="000000" w:themeColor="text1"/>
          <w:szCs w:val="28"/>
          <w:highlight w:val="none"/>
          <w14:textFill>
            <w14:solidFill>
              <w14:schemeClr w14:val="tx1"/>
            </w14:solidFill>
          </w14:textFill>
        </w:rPr>
        <w:t>污水处理设施处理，</w:t>
      </w:r>
      <w:r>
        <w:rPr>
          <w:rFonts w:hint="eastAsia"/>
          <w:color w:val="000000" w:themeColor="text1"/>
          <w:szCs w:val="28"/>
          <w:highlight w:val="none"/>
          <w:lang w:val="en-US" w:eastAsia="zh-CN"/>
          <w14:textFill>
            <w14:solidFill>
              <w14:schemeClr w14:val="tx1"/>
            </w14:solidFill>
          </w14:textFill>
        </w:rPr>
        <w:t>出水</w:t>
      </w:r>
      <w:r>
        <w:rPr>
          <w:rFonts w:hint="eastAsia"/>
          <w:color w:val="000000" w:themeColor="text1"/>
          <w:kern w:val="0"/>
          <w:highlight w:val="none"/>
          <w:lang w:val="zh-CN"/>
          <w14:textFill>
            <w14:solidFill>
              <w14:schemeClr w14:val="tx1"/>
            </w14:solidFill>
          </w14:textFill>
        </w:rPr>
        <w:t>满足</w:t>
      </w:r>
      <w:r>
        <w:rPr>
          <w:rFonts w:hint="eastAsia"/>
          <w:color w:val="000000" w:themeColor="text1"/>
          <w:highlight w:val="none"/>
          <w14:textFill>
            <w14:solidFill>
              <w14:schemeClr w14:val="tx1"/>
            </w14:solidFill>
          </w14:textFill>
        </w:rPr>
        <w:t>《农村生活污水处理排放标准》（DB65 4275-2019）表2规定的A级排放限值</w:t>
      </w:r>
      <w:r>
        <w:rPr>
          <w:rFonts w:hint="eastAsia" w:ascii="宋体" w:hAnsi="宋体" w:cs="宋体"/>
          <w:color w:val="000000" w:themeColor="text1"/>
          <w:spacing w:val="-1"/>
          <w:highlight w:val="none"/>
          <w:lang w:eastAsia="zh-CN"/>
          <w14:textFill>
            <w14:solidFill>
              <w14:schemeClr w14:val="tx1"/>
            </w14:solidFill>
          </w14:textFill>
        </w:rPr>
        <w:t>用于</w:t>
      </w:r>
      <w:r>
        <w:rPr>
          <w:rFonts w:hint="eastAsia" w:ascii="宋体" w:hAnsi="宋体" w:cs="宋体"/>
          <w:color w:val="000000" w:themeColor="text1"/>
          <w:spacing w:val="-1"/>
          <w:highlight w:val="none"/>
          <w14:textFill>
            <w14:solidFill>
              <w14:schemeClr w14:val="tx1"/>
            </w14:solidFill>
          </w14:textFill>
        </w:rPr>
        <w:t>绿化</w:t>
      </w:r>
      <w:r>
        <w:rPr>
          <w:rFonts w:hint="eastAsia"/>
          <w:color w:val="000000" w:themeColor="text1"/>
          <w:kern w:val="0"/>
          <w:highlight w:val="none"/>
          <w:lang w:val="zh-CN"/>
          <w14:textFill>
            <w14:solidFill>
              <w14:schemeClr w14:val="tx1"/>
            </w14:solidFill>
          </w14:textFill>
        </w:rPr>
        <w:t>，不外排。</w:t>
      </w:r>
      <w:r>
        <w:rPr>
          <w:color w:val="000000" w:themeColor="text1"/>
          <w:highlight w:val="none"/>
          <w:lang w:bidi="ar"/>
          <w14:textFill>
            <w14:solidFill>
              <w14:schemeClr w14:val="tx1"/>
            </w14:solidFill>
          </w14:textFill>
        </w:rPr>
        <w:t>对项目区</w:t>
      </w:r>
      <w:r>
        <w:rPr>
          <w:rFonts w:hint="eastAsia"/>
          <w:color w:val="000000" w:themeColor="text1"/>
          <w:highlight w:val="none"/>
          <w:lang w:bidi="ar"/>
          <w14:textFill>
            <w14:solidFill>
              <w14:schemeClr w14:val="tx1"/>
            </w14:solidFill>
          </w14:textFill>
        </w:rPr>
        <w:t>周围</w:t>
      </w:r>
      <w:r>
        <w:rPr>
          <w:color w:val="000000" w:themeColor="text1"/>
          <w:highlight w:val="none"/>
          <w:lang w:bidi="ar"/>
          <w14:textFill>
            <w14:solidFill>
              <w14:schemeClr w14:val="tx1"/>
            </w14:solidFill>
          </w14:textFill>
        </w:rPr>
        <w:t>水环境影响</w:t>
      </w:r>
      <w:r>
        <w:rPr>
          <w:rFonts w:hint="eastAsia"/>
          <w:color w:val="000000" w:themeColor="text1"/>
          <w:highlight w:val="none"/>
          <w:lang w:bidi="ar"/>
          <w14:textFill>
            <w14:solidFill>
              <w14:schemeClr w14:val="tx1"/>
            </w14:solidFill>
          </w14:textFill>
        </w:rPr>
        <w:t>较小</w:t>
      </w:r>
      <w:r>
        <w:rPr>
          <w:color w:val="000000" w:themeColor="text1"/>
          <w:highlight w:val="none"/>
          <w:lang w:bidi="ar"/>
          <w14:textFill>
            <w14:solidFill>
              <w14:schemeClr w14:val="tx1"/>
            </w14:solidFill>
          </w14:textFill>
        </w:rPr>
        <w:t>。</w:t>
      </w:r>
    </w:p>
    <w:p w14:paraId="268CC76E">
      <w:pPr>
        <w:pStyle w:val="4"/>
        <w:rPr>
          <w:color w:val="000000" w:themeColor="text1"/>
          <w:highlight w:val="none"/>
          <w14:textFill>
            <w14:solidFill>
              <w14:schemeClr w14:val="tx1"/>
            </w14:solidFill>
          </w14:textFill>
        </w:rPr>
      </w:pPr>
      <w:bookmarkStart w:id="809" w:name="_Toc2672"/>
      <w:bookmarkStart w:id="810" w:name="_Toc8334"/>
      <w:bookmarkStart w:id="811" w:name="_Toc17119"/>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3噪声污染防护措施</w:t>
      </w:r>
      <w:bookmarkEnd w:id="809"/>
      <w:bookmarkEnd w:id="810"/>
      <w:bookmarkEnd w:id="811"/>
    </w:p>
    <w:p w14:paraId="6BCE5098">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为了减轻施工噪声</w:t>
      </w:r>
      <w:r>
        <w:rPr>
          <w:rFonts w:hint="eastAsia"/>
          <w:color w:val="000000" w:themeColor="text1"/>
          <w:highlight w:val="none"/>
          <w14:textFill>
            <w14:solidFill>
              <w14:schemeClr w14:val="tx1"/>
            </w14:solidFill>
          </w14:textFill>
        </w:rPr>
        <w:t>对周围环境的影响</w:t>
      </w:r>
      <w:r>
        <w:rPr>
          <w:color w:val="000000" w:themeColor="text1"/>
          <w:highlight w:val="none"/>
          <w14:textFill>
            <w14:solidFill>
              <w14:schemeClr w14:val="tx1"/>
            </w14:solidFill>
          </w14:textFill>
        </w:rPr>
        <w:t>，建设方应采取有效措施控制施工期噪声。施工期噪声污染控制对策：</w:t>
      </w:r>
    </w:p>
    <w:p w14:paraId="1B9E8B06">
      <w:pPr>
        <w:numPr>
          <w:ilvl w:val="0"/>
          <w:numId w:val="3"/>
        </w:num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合理安排施工时间，禁止夜间施工，因混凝土浇灌、桩基冲孔、钻孔桩成型等生产工艺需要连续作业的除外</w:t>
      </w:r>
      <w:r>
        <w:rPr>
          <w:rFonts w:hint="eastAsia"/>
          <w:color w:val="000000" w:themeColor="text1"/>
          <w:highlight w:val="none"/>
          <w:lang w:eastAsia="zh-CN"/>
          <w14:textFill>
            <w14:solidFill>
              <w14:schemeClr w14:val="tx1"/>
            </w14:solidFill>
          </w14:textFill>
        </w:rPr>
        <w:t>；</w:t>
      </w:r>
    </w:p>
    <w:p w14:paraId="0941507C">
      <w:pPr>
        <w:numPr>
          <w:ilvl w:val="0"/>
          <w:numId w:val="3"/>
        </w:num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合理安排施工计划，集中安排高噪声施工阶段，便于合理控制；尽可能利用噪声距离衰减措施，在不影响施工的条件下，将强噪声设备尽量移至距厂界较远的地方，保证施工厂界达标</w:t>
      </w:r>
      <w:r>
        <w:rPr>
          <w:rFonts w:hint="eastAsia"/>
          <w:color w:val="000000" w:themeColor="text1"/>
          <w:highlight w:val="none"/>
          <w:lang w:eastAsia="zh-CN"/>
          <w14:textFill>
            <w14:solidFill>
              <w14:schemeClr w14:val="tx1"/>
            </w14:solidFill>
          </w14:textFill>
        </w:rPr>
        <w:t>；</w:t>
      </w:r>
    </w:p>
    <w:p w14:paraId="326FE2E4">
      <w:pPr>
        <w:numPr>
          <w:ilvl w:val="0"/>
          <w:numId w:val="3"/>
        </w:num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避免在同一地点安排大量动力机械设备，以避免局部声级过高；选用低噪声设备和先进的施工工艺，从源头上控制噪声排放；加强施工机械的维修、管理，保证施工机械处于低噪声、高效率的良好工作状态。</w:t>
      </w:r>
    </w:p>
    <w:p w14:paraId="22A1C151">
      <w:pPr>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上述施工期噪声减缓措施基本为管理措施，施工期间建设单位加强施工管理则可达到减缓施工期噪声影响的目的。由于本项目周边无声环境敏感保护目标，且施工噪声影响范围较小，施工期噪声减缓措施可行。</w:t>
      </w:r>
    </w:p>
    <w:p w14:paraId="71448904">
      <w:pPr>
        <w:pStyle w:val="4"/>
        <w:rPr>
          <w:color w:val="000000" w:themeColor="text1"/>
          <w:highlight w:val="none"/>
          <w14:textFill>
            <w14:solidFill>
              <w14:schemeClr w14:val="tx1"/>
            </w14:solidFill>
          </w14:textFill>
        </w:rPr>
      </w:pPr>
      <w:bookmarkStart w:id="812" w:name="_Toc31795"/>
      <w:bookmarkStart w:id="813" w:name="_Toc25985"/>
      <w:bookmarkStart w:id="814" w:name="_Toc13140"/>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4固体废物污染防护措施</w:t>
      </w:r>
      <w:bookmarkEnd w:id="812"/>
      <w:bookmarkEnd w:id="813"/>
      <w:bookmarkEnd w:id="814"/>
    </w:p>
    <w:p w14:paraId="71D65C32">
      <w:pPr>
        <w:pStyle w:val="11"/>
        <w:overflowPunct w:val="0"/>
        <w:topLinePunct/>
        <w:spacing w:after="0"/>
        <w:ind w:left="0" w:leftChars="0"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施工时由于工业场地建设平整土地、建设构筑物等过程中会产生一定量的施工</w:t>
      </w:r>
      <w:r>
        <w:rPr>
          <w:rFonts w:hint="eastAsia"/>
          <w:color w:val="000000" w:themeColor="text1"/>
          <w:highlight w:val="none"/>
          <w14:textFill>
            <w14:solidFill>
              <w14:schemeClr w14:val="tx1"/>
            </w14:solidFill>
          </w14:textFill>
        </w:rPr>
        <w:t>弃土、弃渣</w:t>
      </w:r>
      <w:r>
        <w:rPr>
          <w:color w:val="000000" w:themeColor="text1"/>
          <w:highlight w:val="none"/>
          <w14:textFill>
            <w14:solidFill>
              <w14:schemeClr w14:val="tx1"/>
            </w14:solidFill>
          </w14:textFill>
        </w:rPr>
        <w:t>和设备安装过程产生的金属废料等。</w:t>
      </w:r>
    </w:p>
    <w:p w14:paraId="79EAEC3A">
      <w:pPr>
        <w:widowControl/>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金属废料施工后可进行回收，施工所产生的弃土、弃渣应全部用于回填取土坑，平整。</w:t>
      </w:r>
    </w:p>
    <w:p w14:paraId="6DC9BD83">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施工区垃圾具有分散、不易收集等特点，对其处理措施有以下几方面：</w:t>
      </w:r>
    </w:p>
    <w:p w14:paraId="7C0CC9CB">
      <w:pPr>
        <w:numPr>
          <w:ilvl w:val="0"/>
          <w:numId w:val="4"/>
        </w:num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根据施工布置，设置加盖垃圾箱2个，向施工人员</w:t>
      </w:r>
      <w:r>
        <w:rPr>
          <w:rFonts w:hint="eastAsia"/>
          <w:color w:val="000000" w:themeColor="text1"/>
          <w:highlight w:val="none"/>
          <w:lang w:val="en-US" w:eastAsia="zh-CN"/>
          <w14:textFill>
            <w14:solidFill>
              <w14:schemeClr w14:val="tx1"/>
            </w14:solidFill>
          </w14:textFill>
        </w:rPr>
        <w:t>做</w:t>
      </w:r>
      <w:r>
        <w:rPr>
          <w:color w:val="000000" w:themeColor="text1"/>
          <w:highlight w:val="none"/>
          <w14:textFill>
            <w14:solidFill>
              <w14:schemeClr w14:val="tx1"/>
            </w14:solidFill>
          </w14:textFill>
        </w:rPr>
        <w:t>好卫生宣传工作，使他们养成向垃圾收集站投放垃圾的习惯。</w:t>
      </w:r>
    </w:p>
    <w:p w14:paraId="7E960E0C">
      <w:pPr>
        <w:numPr>
          <w:ilvl w:val="0"/>
          <w:numId w:val="4"/>
        </w:num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配设垃圾清运员及相应工具，由专人及时进行垃圾的清运工作。</w:t>
      </w:r>
    </w:p>
    <w:p w14:paraId="54F76808">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（3）做好垃圾收集及处理的规划工作，将清运后的垃圾</w:t>
      </w:r>
      <w:r>
        <w:rPr>
          <w:rFonts w:hint="eastAsia"/>
          <w:color w:val="000000" w:themeColor="text1"/>
          <w:highlight w:val="none"/>
          <w:lang w:val="en-US" w:eastAsia="zh-CN"/>
          <w14:textFill>
            <w14:solidFill>
              <w14:schemeClr w14:val="tx1"/>
            </w14:solidFill>
          </w14:textFill>
        </w:rPr>
        <w:t>集中收集，和厂区内的生活垃圾一起定期运送至哈密市</w:t>
      </w:r>
      <w:r>
        <w:rPr>
          <w:rFonts w:hint="eastAsia"/>
          <w:color w:val="000000" w:themeColor="text1"/>
          <w:kern w:val="0"/>
          <w:highlight w:val="none"/>
          <w:lang w:val="en-US" w:eastAsia="zh-CN"/>
          <w14:textFill>
            <w14:solidFill>
              <w14:schemeClr w14:val="tx1"/>
            </w14:solidFill>
          </w14:textFill>
        </w:rPr>
        <w:t>伊州区雅满苏镇生活垃圾转运站</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避免由于垃圾处置不当而造成二次污染。</w:t>
      </w:r>
    </w:p>
    <w:p w14:paraId="4DF9D02C">
      <w:pPr>
        <w:pStyle w:val="41"/>
        <w:overflowPunct w:val="0"/>
        <w:topLinePunct/>
        <w:spacing w:line="480" w:lineRule="exact"/>
        <w:ind w:firstLine="480"/>
        <w:rPr>
          <w:rFonts w:ascii="宋体" w:hAnsi="宋体"/>
          <w:color w:val="000000" w:themeColor="text1"/>
          <w:kern w:val="0"/>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各施工区作业结束后，要及时、全面地进行清场工作，不得</w:t>
      </w:r>
      <w:r>
        <w:rPr>
          <w:rFonts w:hint="eastAsia" w:cs="Times New Roman"/>
          <w:color w:val="000000" w:themeColor="text1"/>
          <w:szCs w:val="24"/>
          <w:highlight w:val="none"/>
          <w:lang w:eastAsia="zh-CN"/>
          <w14:textFill>
            <w14:solidFill>
              <w14:schemeClr w14:val="tx1"/>
            </w14:solidFill>
          </w14:textFill>
        </w:rPr>
        <w:t>遗留</w:t>
      </w:r>
      <w:r>
        <w:rPr>
          <w:rFonts w:cs="Times New Roman"/>
          <w:color w:val="000000" w:themeColor="text1"/>
          <w:szCs w:val="24"/>
          <w:highlight w:val="none"/>
          <w14:textFill>
            <w14:solidFill>
              <w14:schemeClr w14:val="tx1"/>
            </w14:solidFill>
          </w14:textFill>
        </w:rPr>
        <w:t>垃圾</w:t>
      </w:r>
      <w:r>
        <w:rPr>
          <w:rFonts w:hint="eastAsia" w:cs="Times New Roman"/>
          <w:color w:val="000000" w:themeColor="text1"/>
          <w:szCs w:val="24"/>
          <w:highlight w:val="none"/>
          <w14:textFill>
            <w14:solidFill>
              <w14:schemeClr w14:val="tx1"/>
            </w14:solidFill>
          </w14:textFill>
        </w:rPr>
        <w:t>。</w:t>
      </w:r>
    </w:p>
    <w:p w14:paraId="05AB8D91">
      <w:pPr>
        <w:pStyle w:val="4"/>
        <w:rPr>
          <w:color w:val="000000" w:themeColor="text1"/>
          <w:highlight w:val="none"/>
          <w14:textFill>
            <w14:solidFill>
              <w14:schemeClr w14:val="tx1"/>
            </w14:solidFill>
          </w14:textFill>
        </w:rPr>
      </w:pPr>
      <w:bookmarkStart w:id="815" w:name="_Toc677"/>
      <w:bookmarkStart w:id="816" w:name="_Toc29927"/>
      <w:bookmarkStart w:id="817" w:name="_Toc13123"/>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5生态环境保护措施</w:t>
      </w:r>
      <w:bookmarkEnd w:id="815"/>
      <w:bookmarkEnd w:id="816"/>
      <w:bookmarkEnd w:id="817"/>
    </w:p>
    <w:p w14:paraId="579332FF">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color w:val="000000" w:themeColor="text1"/>
          <w:szCs w:val="22"/>
          <w:highlight w:val="none"/>
          <w14:textFill>
            <w14:solidFill>
              <w14:schemeClr w14:val="tx1"/>
            </w14:solidFill>
          </w14:textFill>
        </w:rPr>
        <w:t>工程</w:t>
      </w:r>
      <w:r>
        <w:rPr>
          <w:color w:val="000000" w:themeColor="text1"/>
          <w:szCs w:val="22"/>
          <w:highlight w:val="none"/>
          <w:lang w:val="zh-TW" w:eastAsia="zh-TW"/>
          <w14:textFill>
            <w14:solidFill>
              <w14:schemeClr w14:val="tx1"/>
            </w14:solidFill>
          </w14:textFill>
        </w:rPr>
        <w:t>建设</w:t>
      </w:r>
      <w:r>
        <w:rPr>
          <w:color w:val="000000" w:themeColor="text1"/>
          <w:szCs w:val="22"/>
          <w:highlight w:val="none"/>
          <w14:textFill>
            <w14:solidFill>
              <w14:schemeClr w14:val="tx1"/>
            </w14:solidFill>
          </w14:textFill>
        </w:rPr>
        <w:t>期在</w:t>
      </w:r>
      <w:r>
        <w:rPr>
          <w:rFonts w:hint="eastAsia"/>
          <w:color w:val="000000" w:themeColor="text1"/>
          <w:szCs w:val="22"/>
          <w:highlight w:val="none"/>
          <w14:textFill>
            <w14:solidFill>
              <w14:schemeClr w14:val="tx1"/>
            </w14:solidFill>
          </w14:textFill>
        </w:rPr>
        <w:t>项目区</w:t>
      </w:r>
      <w:r>
        <w:rPr>
          <w:color w:val="000000" w:themeColor="text1"/>
          <w:szCs w:val="22"/>
          <w:highlight w:val="none"/>
          <w14:textFill>
            <w14:solidFill>
              <w14:schemeClr w14:val="tx1"/>
            </w14:solidFill>
          </w14:textFill>
        </w:rPr>
        <w:t>修筑</w:t>
      </w:r>
      <w:r>
        <w:rPr>
          <w:rFonts w:hint="eastAsia"/>
          <w:color w:val="000000" w:themeColor="text1"/>
          <w:szCs w:val="22"/>
          <w:highlight w:val="none"/>
          <w:lang w:val="en-US" w:eastAsia="zh-CN"/>
          <w14:textFill>
            <w14:solidFill>
              <w14:schemeClr w14:val="tx1"/>
            </w14:solidFill>
          </w14:textFill>
        </w:rPr>
        <w:t>尾矿库</w:t>
      </w:r>
      <w:r>
        <w:rPr>
          <w:color w:val="000000" w:themeColor="text1"/>
          <w:szCs w:val="22"/>
          <w:highlight w:val="none"/>
          <w14:textFill>
            <w14:solidFill>
              <w14:schemeClr w14:val="tx1"/>
            </w14:solidFill>
          </w14:textFill>
        </w:rPr>
        <w:t>、场地道路等建设活动时，永久占地将改变现有的土地利用方式，被占土地的地表植被破坏，使原自然生态系统所有功能完全损失，对生态系统完整性有一定影响并导致一定程度的水土流失。要求按《冶金行业绿色矿山建设规范》（DZ/T 0319-2018）的有关要求进行合理规划及建设，尽量减少占地</w:t>
      </w:r>
      <w:r>
        <w:rPr>
          <w:rFonts w:hint="eastAsia"/>
          <w:color w:val="000000" w:themeColor="text1"/>
          <w:szCs w:val="22"/>
          <w:highlight w:val="none"/>
          <w:lang w:eastAsia="zh-CN"/>
          <w14:textFill>
            <w14:solidFill>
              <w14:schemeClr w14:val="tx1"/>
            </w14:solidFill>
          </w14:textFill>
        </w:rPr>
        <w:t>；在</w:t>
      </w:r>
      <w:r>
        <w:rPr>
          <w:color w:val="000000" w:themeColor="text1"/>
          <w:szCs w:val="22"/>
          <w:highlight w:val="none"/>
          <w14:textFill>
            <w14:solidFill>
              <w14:schemeClr w14:val="tx1"/>
            </w14:solidFill>
          </w14:textFill>
        </w:rPr>
        <w:t>项目施工过程中，剥离的表土作为复垦用土；要求加强运输调度管理，禁止任意开辟施工道路，禁止车辆在非工作道路上到处碾压；科学合理地进行施工组织设计，尽量少挖方，少填方，最大限度地保持原有地貌；施工作业结束后，因地制宜地做好施工场地的恢复工作，并采取水土保持措施。主要分为以下几方面：</w:t>
      </w:r>
    </w:p>
    <w:p w14:paraId="4EEFA9AD">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color w:val="000000" w:themeColor="text1"/>
          <w:szCs w:val="22"/>
          <w:highlight w:val="none"/>
          <w14:textFill>
            <w14:solidFill>
              <w14:schemeClr w14:val="tx1"/>
            </w14:solidFill>
          </w14:textFill>
        </w:rPr>
        <w:t>（1）生态环境保护管理</w:t>
      </w:r>
    </w:p>
    <w:p w14:paraId="037FEEF2">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color w:val="000000" w:themeColor="text1"/>
          <w:szCs w:val="22"/>
          <w:highlight w:val="none"/>
          <w14:textFill>
            <w14:solidFill>
              <w14:schemeClr w14:val="tx1"/>
            </w14:solidFill>
          </w14:textFill>
        </w:rPr>
        <w:t>①设置施工期环境管理、监理机构，明确其职能，落实生态环境影响保护与恢复的监督管理措施。</w:t>
      </w:r>
    </w:p>
    <w:p w14:paraId="4C1CBE92">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color w:val="000000" w:themeColor="text1"/>
          <w:szCs w:val="22"/>
          <w:highlight w:val="none"/>
          <w14:textFill>
            <w14:solidFill>
              <w14:schemeClr w14:val="tx1"/>
            </w14:solidFill>
          </w14:textFill>
        </w:rPr>
        <w:t>②加强施工人员生态环境保护意识的宣传教育，严禁在施工区域外随意乱砍滥伐树木。</w:t>
      </w:r>
    </w:p>
    <w:p w14:paraId="4AA04C1C">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rFonts w:hint="eastAsia" w:ascii="宋体" w:hAnsi="宋体" w:cs="宋体"/>
          <w:color w:val="000000" w:themeColor="text1"/>
          <w:szCs w:val="22"/>
          <w:highlight w:val="none"/>
          <w14:textFill>
            <w14:solidFill>
              <w14:schemeClr w14:val="tx1"/>
            </w14:solidFill>
          </w14:textFill>
        </w:rPr>
        <w:t>③</w:t>
      </w:r>
      <w:r>
        <w:rPr>
          <w:color w:val="000000" w:themeColor="text1"/>
          <w:szCs w:val="22"/>
          <w:highlight w:val="none"/>
          <w14:textFill>
            <w14:solidFill>
              <w14:schemeClr w14:val="tx1"/>
            </w14:solidFill>
          </w14:textFill>
        </w:rPr>
        <w:t>按照施工总体布置，严格设置各施工生产、生活营地和施工临时道路。严格限制施工活动范围，禁止施工车辆在规划的道路以外超范围行驶，禁止施工机械碾压非施工区域，减少对土壤和植被的</w:t>
      </w:r>
      <w:r>
        <w:rPr>
          <w:rFonts w:hint="eastAsia"/>
          <w:color w:val="000000" w:themeColor="text1"/>
          <w:szCs w:val="22"/>
          <w:highlight w:val="none"/>
          <w:lang w:eastAsia="zh-CN"/>
          <w14:textFill>
            <w14:solidFill>
              <w14:schemeClr w14:val="tx1"/>
            </w14:solidFill>
          </w14:textFill>
        </w:rPr>
        <w:t>碾压</w:t>
      </w:r>
      <w:r>
        <w:rPr>
          <w:color w:val="000000" w:themeColor="text1"/>
          <w:szCs w:val="22"/>
          <w:highlight w:val="none"/>
          <w14:textFill>
            <w14:solidFill>
              <w14:schemeClr w14:val="tx1"/>
            </w14:solidFill>
          </w14:textFill>
        </w:rPr>
        <w:t>扰动，做到文明施工。</w:t>
      </w:r>
    </w:p>
    <w:p w14:paraId="0B13870C">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优化施工范围，</w:t>
      </w:r>
      <w:r>
        <w:rPr>
          <w:rFonts w:hint="eastAsia"/>
          <w:color w:val="000000" w:themeColor="text1"/>
          <w:szCs w:val="22"/>
          <w:highlight w:val="none"/>
          <w:lang w:eastAsia="zh-CN"/>
          <w14:textFill>
            <w14:solidFill>
              <w14:schemeClr w14:val="tx1"/>
            </w14:solidFill>
          </w14:textFill>
        </w:rPr>
        <w:t>尽量减少</w:t>
      </w:r>
      <w:r>
        <w:rPr>
          <w:rFonts w:hint="eastAsia"/>
          <w:color w:val="000000" w:themeColor="text1"/>
          <w:szCs w:val="22"/>
          <w:highlight w:val="none"/>
          <w14:textFill>
            <w14:solidFill>
              <w14:schemeClr w14:val="tx1"/>
            </w14:solidFill>
          </w14:textFill>
        </w:rPr>
        <w:t>对区域植被的破坏，同时严格监督施工后的土地平整及植被恢复工作。</w:t>
      </w:r>
    </w:p>
    <w:p w14:paraId="6719C37D">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color w:val="000000" w:themeColor="text1"/>
          <w:szCs w:val="22"/>
          <w:highlight w:val="none"/>
          <w14:textFill>
            <w14:solidFill>
              <w14:schemeClr w14:val="tx1"/>
            </w14:solidFill>
          </w14:textFill>
        </w:rPr>
        <w:t>（2）土壤环境保护与恢复措施</w:t>
      </w:r>
    </w:p>
    <w:p w14:paraId="589475D7">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color w:val="000000" w:themeColor="text1"/>
          <w:szCs w:val="22"/>
          <w:highlight w:val="none"/>
          <w14:textFill>
            <w14:solidFill>
              <w14:schemeClr w14:val="tx1"/>
            </w14:solidFill>
          </w14:textFill>
        </w:rPr>
        <w:t>①充分利用区域内地形地貌，尽可能减少占地面积，减小对土壤、植被的破坏面积；减少挖方、填方量，尽量做到工程自身土石方平衡。施工期应避开雨天与大风天气，减少水土流失量。</w:t>
      </w:r>
    </w:p>
    <w:p w14:paraId="7CDB3BBB">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color w:val="000000" w:themeColor="text1"/>
          <w:szCs w:val="22"/>
          <w:highlight w:val="none"/>
          <w14:textFill>
            <w14:solidFill>
              <w14:schemeClr w14:val="tx1"/>
            </w14:solidFill>
          </w14:textFill>
        </w:rPr>
        <w:t>②在开挖地表、平整土地时，尽可能将表土、底土和适于植物生长的土壤进行保护堆存，及时堆放在表土临时堆场，作为矿山及各场地绿化覆土。</w:t>
      </w:r>
    </w:p>
    <w:p w14:paraId="7E08B1DE">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color w:val="000000" w:themeColor="text1"/>
          <w:szCs w:val="22"/>
          <w:highlight w:val="none"/>
          <w14:textFill>
            <w14:solidFill>
              <w14:schemeClr w14:val="tx1"/>
            </w14:solidFill>
          </w14:textFill>
        </w:rPr>
        <w:t>③剥离的表土采取集中堆放、梯形堆放方式，表土四周采用土袋进行砌护，堆土表面采用密目网进行遮盖；并在旁边立一警示牌，标明属于表土堆存地，若表土堆放时间大于1年，应在表土上播撒草籽，减少土壤养分的流失。剥离表土的施工应避开雨季，减少水土流失。</w:t>
      </w:r>
    </w:p>
    <w:p w14:paraId="44D9BFC3">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color w:val="000000" w:themeColor="text1"/>
          <w:szCs w:val="22"/>
          <w:highlight w:val="none"/>
          <w14:textFill>
            <w14:solidFill>
              <w14:schemeClr w14:val="tx1"/>
            </w14:solidFill>
          </w14:textFill>
        </w:rPr>
        <w:t>④施工完毕后应尽快清理施工现场，对可以进行植被恢复的场地覆盖表土，做到及时对场地绿化。</w:t>
      </w:r>
    </w:p>
    <w:p w14:paraId="33100594">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color w:val="000000" w:themeColor="text1"/>
          <w:szCs w:val="22"/>
          <w:highlight w:val="none"/>
          <w14:textFill>
            <w14:solidFill>
              <w14:schemeClr w14:val="tx1"/>
            </w14:solidFill>
          </w14:textFill>
        </w:rPr>
        <w:t>（3）道路工程</w:t>
      </w:r>
      <w:r>
        <w:rPr>
          <w:rFonts w:hint="eastAsia"/>
          <w:color w:val="000000" w:themeColor="text1"/>
          <w:szCs w:val="22"/>
          <w:highlight w:val="none"/>
          <w14:textFill>
            <w14:solidFill>
              <w14:schemeClr w14:val="tx1"/>
            </w14:solidFill>
          </w14:textFill>
        </w:rPr>
        <w:t>及管线工程</w:t>
      </w:r>
      <w:r>
        <w:rPr>
          <w:color w:val="000000" w:themeColor="text1"/>
          <w:szCs w:val="22"/>
          <w:highlight w:val="none"/>
          <w14:textFill>
            <w14:solidFill>
              <w14:schemeClr w14:val="tx1"/>
            </w14:solidFill>
          </w14:textFill>
        </w:rPr>
        <w:t>施工生态保护措施</w:t>
      </w:r>
    </w:p>
    <w:p w14:paraId="027376AF">
      <w:pPr>
        <w:pStyle w:val="61"/>
        <w:overflowPunct w:val="0"/>
        <w:topLinePunct/>
        <w:spacing w:line="480" w:lineRule="exact"/>
        <w:ind w:firstLine="480"/>
        <w:jc w:val="both"/>
        <w:rPr>
          <w:rFonts w:hint="eastAsia"/>
          <w:color w:val="000000" w:themeColor="text1"/>
          <w:szCs w:val="22"/>
          <w:highlight w:val="none"/>
          <w:lang w:val="en-US" w:eastAsia="zh-CN"/>
          <w14:textFill>
            <w14:solidFill>
              <w14:schemeClr w14:val="tx1"/>
            </w14:solidFill>
          </w14:textFill>
        </w:rPr>
      </w:pPr>
      <w:r>
        <w:rPr>
          <w:rFonts w:hint="eastAsia"/>
          <w:color w:val="000000" w:themeColor="text1"/>
          <w:szCs w:val="22"/>
          <w:highlight w:val="none"/>
          <w:lang w:val="en-US" w:eastAsia="zh-CN"/>
          <w14:textFill>
            <w14:solidFill>
              <w14:schemeClr w14:val="tx1"/>
            </w14:solidFill>
          </w14:textFill>
        </w:rPr>
        <w:t>项目建设期间需要修筑道路，道路修建过程中应严格控制占地面积和范围。开挖路基及土石方工程均应根据道路施工进度有计划地进行施工，必要时应设置截排水沟、挡土墙等相应保护措施。土石方工程结束后，土石方应及时回填、整平、压实，有条件绿化的区域进行植被和景观恢复。道路绿化应以乡土树（草）种为主，选择适应性强、防尘效果好、护坡功能强的植物种，尽量与原有地貌和景观协调。</w:t>
      </w:r>
    </w:p>
    <w:p w14:paraId="6ABEF6FF">
      <w:pPr>
        <w:pStyle w:val="61"/>
        <w:overflowPunct w:val="0"/>
        <w:topLinePunct/>
        <w:spacing w:line="480" w:lineRule="exact"/>
        <w:ind w:firstLine="480"/>
        <w:jc w:val="both"/>
        <w:rPr>
          <w:rFonts w:hint="default" w:eastAsia="宋体"/>
          <w:color w:val="000000" w:themeColor="text1"/>
          <w:szCs w:val="22"/>
          <w:highlight w:val="none"/>
          <w:lang w:val="en-US" w:eastAsia="zh-CN"/>
          <w14:textFill>
            <w14:solidFill>
              <w14:schemeClr w14:val="tx1"/>
            </w14:solidFill>
          </w14:textFill>
        </w:rPr>
      </w:pPr>
      <w:r>
        <w:rPr>
          <w:rFonts w:hint="eastAsia"/>
          <w:color w:val="000000" w:themeColor="text1"/>
          <w:szCs w:val="22"/>
          <w:highlight w:val="none"/>
          <w14:textFill>
            <w14:solidFill>
              <w14:schemeClr w14:val="tx1"/>
            </w14:solidFill>
          </w14:textFill>
        </w:rPr>
        <w:t>（4）</w:t>
      </w:r>
      <w:r>
        <w:rPr>
          <w:rFonts w:hint="eastAsia"/>
          <w:color w:val="000000" w:themeColor="text1"/>
          <w:szCs w:val="22"/>
          <w:highlight w:val="none"/>
          <w:lang w:val="en-US" w:eastAsia="zh-CN"/>
          <w14:textFill>
            <w14:solidFill>
              <w14:schemeClr w14:val="tx1"/>
            </w14:solidFill>
          </w14:textFill>
        </w:rPr>
        <w:t>对戈壁砾幕层的保护措施</w:t>
      </w:r>
    </w:p>
    <w:p w14:paraId="294737EF">
      <w:pPr>
        <w:pStyle w:val="61"/>
        <w:overflowPunct w:val="0"/>
        <w:topLinePunct/>
        <w:spacing w:line="480" w:lineRule="exact"/>
        <w:ind w:firstLine="480"/>
        <w:jc w:val="both"/>
        <w:rPr>
          <w:rFonts w:hint="default"/>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根据遥感调查，</w:t>
      </w:r>
      <w:r>
        <w:rPr>
          <w:rFonts w:hint="default" w:ascii="Times New Roman" w:hAnsi="Times New Roman" w:cs="Times New Roman"/>
          <w:color w:val="000000" w:themeColor="text1"/>
          <w:spacing w:val="0"/>
          <w:w w:val="100"/>
          <w:kern w:val="2"/>
          <w:position w:val="0"/>
          <w:sz w:val="24"/>
          <w:szCs w:val="24"/>
          <w:highlight w:val="none"/>
          <w:lang w:val="en-US" w:eastAsia="zh-CN"/>
          <w14:textFill>
            <w14:solidFill>
              <w14:schemeClr w14:val="tx1"/>
            </w14:solidFill>
          </w14:textFill>
        </w:rPr>
        <w:t>评价</w:t>
      </w:r>
      <w:r>
        <w:rPr>
          <w:rFonts w:hint="default"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区内分布有大面积裸岩石砾地，大部分地表有砾幕层覆盖，砾幕层受到破坏后极易产生风蚀。为防治水土流失、减缓</w:t>
      </w:r>
      <w:r>
        <w:rPr>
          <w:rFonts w:hint="eastAsia"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项目区</w:t>
      </w:r>
      <w:r>
        <w:rPr>
          <w:rFonts w:hint="default"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生态环境恶化，对砾幕层的保护包括原地貌砾幕层保护和砾幕层的重构。</w:t>
      </w:r>
    </w:p>
    <w:p w14:paraId="449F598A">
      <w:pPr>
        <w:pStyle w:val="61"/>
        <w:overflowPunct w:val="0"/>
        <w:topLinePunct/>
        <w:spacing w:line="480" w:lineRule="exact"/>
        <w:ind w:firstLine="480"/>
        <w:jc w:val="both"/>
        <w:rPr>
          <w:rFonts w:hint="eastAsia"/>
          <w:color w:val="000000" w:themeColor="text1"/>
          <w:szCs w:val="22"/>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原地貌砾幕层保护：严格控制占地范围和影响范围，生产期间车辆和人员通过已有的道路通行，加强员工的教育工作，减少人为扰动，保护砾幕层。</w:t>
      </w:r>
    </w:p>
    <w:p w14:paraId="2C539159">
      <w:pPr>
        <w:pStyle w:val="61"/>
        <w:overflowPunct w:val="0"/>
        <w:topLinePunct/>
        <w:spacing w:line="480" w:lineRule="exact"/>
        <w:ind w:firstLine="480"/>
        <w:jc w:val="both"/>
        <w:rPr>
          <w:rFonts w:hint="default"/>
          <w:color w:val="000000" w:themeColor="text1"/>
          <w:szCs w:val="22"/>
          <w:highlight w:val="none"/>
          <w:lang w:val="en-US"/>
          <w14:textFill>
            <w14:solidFill>
              <w14:schemeClr w14:val="tx1"/>
            </w14:solidFill>
          </w14:textFill>
        </w:rPr>
      </w:pPr>
      <w:r>
        <w:rPr>
          <w:rFonts w:hint="default"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评价区属戈壁地貌，区内大部分为戈壁覆盖，土壤类型为棕漠土，棕漠土的地表砾幕覆盖，表层发育有不太明显的孔状荒漠结皮。大部分为碱性土，土壤容重大，含水量小，土壤容易板结。</w:t>
      </w:r>
      <w:r>
        <w:rPr>
          <w:rFonts w:hint="eastAsia"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施工期占地范围内剥离的</w:t>
      </w:r>
      <w:r>
        <w:rPr>
          <w:rFonts w:hint="default"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砾幕层</w:t>
      </w:r>
      <w:r>
        <w:rPr>
          <w:rFonts w:hint="default" w:ascii="Times New Roman" w:hAnsi="Times New Roman" w:cs="Times New Roman"/>
          <w:color w:val="000000" w:themeColor="text1"/>
          <w:spacing w:val="0"/>
          <w:w w:val="100"/>
          <w:kern w:val="2"/>
          <w:position w:val="0"/>
          <w:sz w:val="24"/>
          <w:szCs w:val="24"/>
          <w:highlight w:val="none"/>
          <w:lang w:val="en-US" w:eastAsia="zh-CN"/>
          <w14:textFill>
            <w14:solidFill>
              <w14:schemeClr w14:val="tx1"/>
            </w14:solidFill>
          </w14:textFill>
        </w:rPr>
        <w:t>临时堆存</w:t>
      </w:r>
      <w:r>
        <w:rPr>
          <w:rFonts w:hint="eastAsia" w:ascii="Times New Roman" w:hAnsi="Times New Roman" w:cs="Times New Roman"/>
          <w:color w:val="000000" w:themeColor="text1"/>
          <w:spacing w:val="0"/>
          <w:w w:val="100"/>
          <w:kern w:val="2"/>
          <w:position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pacing w:val="0"/>
          <w:w w:val="100"/>
          <w:kern w:val="2"/>
          <w:position w:val="0"/>
          <w:sz w:val="24"/>
          <w:szCs w:val="24"/>
          <w:highlight w:val="none"/>
          <w:lang w:val="en-US" w:eastAsia="zh-CN"/>
          <w14:textFill>
            <w14:solidFill>
              <w14:schemeClr w14:val="tx1"/>
            </w14:solidFill>
          </w14:textFill>
        </w:rPr>
        <w:t>采用防尘网苫盖</w:t>
      </w:r>
      <w:r>
        <w:rPr>
          <w:rFonts w:hint="default"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施工结束后将剥离的</w:t>
      </w:r>
      <w:r>
        <w:rPr>
          <w:rFonts w:hint="default"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砾幕层</w:t>
      </w:r>
      <w:r>
        <w:rPr>
          <w:rFonts w:hint="eastAsia"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原地恢复，</w:t>
      </w:r>
      <w:r>
        <w:rPr>
          <w:rFonts w:hint="default"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洒水</w:t>
      </w:r>
      <w:r>
        <w:rPr>
          <w:rFonts w:hint="eastAsia"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结皮</w:t>
      </w:r>
      <w:r>
        <w:rPr>
          <w:rFonts w:hint="default" w:ascii="Times New Roman" w:hAnsi="Times New Roman" w:eastAsia="宋体" w:cs="Times New Roman"/>
          <w:color w:val="000000" w:themeColor="text1"/>
          <w:spacing w:val="0"/>
          <w:w w:val="100"/>
          <w:kern w:val="2"/>
          <w:position w:val="0"/>
          <w:sz w:val="24"/>
          <w:szCs w:val="24"/>
          <w:highlight w:val="none"/>
          <w:lang w:val="en-US" w:eastAsia="zh-CN"/>
          <w14:textFill>
            <w14:solidFill>
              <w14:schemeClr w14:val="tx1"/>
            </w14:solidFill>
          </w14:textFill>
        </w:rPr>
        <w:t>，重构砾幕层。</w:t>
      </w:r>
    </w:p>
    <w:p w14:paraId="5CFB6DC9">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w:t>
      </w:r>
      <w:r>
        <w:rPr>
          <w:rFonts w:hint="eastAsia"/>
          <w:color w:val="000000" w:themeColor="text1"/>
          <w:szCs w:val="22"/>
          <w:highlight w:val="none"/>
          <w:lang w:val="en-US" w:eastAsia="zh-CN"/>
          <w14:textFill>
            <w14:solidFill>
              <w14:schemeClr w14:val="tx1"/>
            </w14:solidFill>
          </w14:textFill>
        </w:rPr>
        <w:t>5</w:t>
      </w:r>
      <w:r>
        <w:rPr>
          <w:rFonts w:hint="eastAsia"/>
          <w:color w:val="000000" w:themeColor="text1"/>
          <w:szCs w:val="22"/>
          <w:highlight w:val="none"/>
          <w14:textFill>
            <w14:solidFill>
              <w14:schemeClr w14:val="tx1"/>
            </w14:solidFill>
          </w14:textFill>
        </w:rPr>
        <w:t>）其他生态措施</w:t>
      </w:r>
    </w:p>
    <w:p w14:paraId="198020C7">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工程施工前按照相关法律法规的规定办理占用的各项审批手续，编制施工结束后生态恢复的可行性方案，获得相关主管部门批准后方可开始施工。</w:t>
      </w:r>
    </w:p>
    <w:p w14:paraId="0CD144C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开工前，施工单位对临时设施进行严格的规划，以达到既方便施工，又少占</w:t>
      </w:r>
      <w:r>
        <w:rPr>
          <w:rFonts w:hint="eastAsia"/>
          <w:color w:val="000000" w:themeColor="text1"/>
          <w:highlight w:val="none"/>
          <w:lang w:val="en-US" w:eastAsia="zh-CN"/>
          <w14:textFill>
            <w14:solidFill>
              <w14:schemeClr w14:val="tx1"/>
            </w14:solidFill>
          </w14:textFill>
        </w:rPr>
        <w:t>临时用地</w:t>
      </w:r>
      <w:r>
        <w:rPr>
          <w:color w:val="000000" w:themeColor="text1"/>
          <w:highlight w:val="none"/>
          <w14:textFill>
            <w14:solidFill>
              <w14:schemeClr w14:val="tx1"/>
            </w14:solidFill>
          </w14:textFill>
        </w:rPr>
        <w:t>的目的。</w:t>
      </w:r>
    </w:p>
    <w:p w14:paraId="266C6BC3">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施工过程中，加强施工人员的管理，禁止施工人员对野生植被</w:t>
      </w:r>
      <w:r>
        <w:rPr>
          <w:rFonts w:hint="eastAsia"/>
          <w:color w:val="000000" w:themeColor="text1"/>
          <w:highlight w:val="none"/>
          <w:lang w:eastAsia="zh-CN"/>
          <w14:textFill>
            <w14:solidFill>
              <w14:schemeClr w14:val="tx1"/>
            </w14:solidFill>
          </w14:textFill>
        </w:rPr>
        <w:t>乱砍滥伐</w:t>
      </w:r>
      <w:r>
        <w:rPr>
          <w:color w:val="000000" w:themeColor="text1"/>
          <w:highlight w:val="none"/>
          <w14:textFill>
            <w14:solidFill>
              <w14:schemeClr w14:val="tx1"/>
            </w14:solidFill>
          </w14:textFill>
        </w:rPr>
        <w:t>、乱捕</w:t>
      </w:r>
      <w:r>
        <w:rPr>
          <w:rFonts w:hint="eastAsia"/>
          <w:color w:val="000000" w:themeColor="text1"/>
          <w:highlight w:val="none"/>
          <w:lang w:eastAsia="zh-CN"/>
          <w14:textFill>
            <w14:solidFill>
              <w14:schemeClr w14:val="tx1"/>
            </w14:solidFill>
          </w14:textFill>
        </w:rPr>
        <w:t>滥</w:t>
      </w:r>
      <w:r>
        <w:rPr>
          <w:color w:val="000000" w:themeColor="text1"/>
          <w:highlight w:val="none"/>
          <w14:textFill>
            <w14:solidFill>
              <w14:schemeClr w14:val="tx1"/>
            </w14:solidFill>
          </w14:textFill>
        </w:rPr>
        <w:t>猎野生动物，严格限制人员的活动范围，破坏沿线的生态环境。</w:t>
      </w:r>
    </w:p>
    <w:p w14:paraId="5827DBD9">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w:t>
      </w:r>
      <w:r>
        <w:rPr>
          <w:color w:val="000000" w:themeColor="text1"/>
          <w:highlight w:val="none"/>
          <w14:textFill>
            <w14:solidFill>
              <w14:schemeClr w14:val="tx1"/>
            </w14:solidFill>
          </w14:textFill>
        </w:rPr>
        <w:t>确保施工人员和车辆在规定范围内作业，严禁</w:t>
      </w:r>
      <w:r>
        <w:rPr>
          <w:rFonts w:hint="eastAsia"/>
          <w:color w:val="000000" w:themeColor="text1"/>
          <w:highlight w:val="none"/>
          <w14:textFill>
            <w14:solidFill>
              <w14:schemeClr w14:val="tx1"/>
            </w14:solidFill>
          </w14:textFill>
        </w:rPr>
        <w:t>车辆碾压</w:t>
      </w:r>
      <w:r>
        <w:rPr>
          <w:color w:val="000000" w:themeColor="text1"/>
          <w:highlight w:val="none"/>
          <w14:textFill>
            <w14:solidFill>
              <w14:schemeClr w14:val="tx1"/>
            </w14:solidFill>
          </w14:textFill>
        </w:rPr>
        <w:t>植被</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尽量减少对作业区周围植被的影响。</w:t>
      </w:r>
    </w:p>
    <w:p w14:paraId="21AC466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⑤</w:t>
      </w:r>
      <w:r>
        <w:rPr>
          <w:color w:val="000000" w:themeColor="text1"/>
          <w:highlight w:val="none"/>
          <w14:textFill>
            <w14:solidFill>
              <w14:schemeClr w14:val="tx1"/>
            </w14:solidFill>
          </w14:textFill>
        </w:rPr>
        <w:t>要减少夜间作业，避免灯光、噪声对夜间动物活动的惊扰</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不准随便破坏</w:t>
      </w:r>
      <w:r>
        <w:rPr>
          <w:rFonts w:hint="eastAsia"/>
          <w:color w:val="000000" w:themeColor="text1"/>
          <w:highlight w:val="none"/>
          <w14:textFill>
            <w14:solidFill>
              <w14:schemeClr w14:val="tx1"/>
            </w14:solidFill>
          </w14:textFill>
        </w:rPr>
        <w:t>动物居住场所</w:t>
      </w:r>
      <w:r>
        <w:rPr>
          <w:color w:val="000000" w:themeColor="text1"/>
          <w:highlight w:val="none"/>
          <w14:textFill>
            <w14:solidFill>
              <w14:schemeClr w14:val="tx1"/>
            </w14:solidFill>
          </w14:textFill>
        </w:rPr>
        <w:t>，严禁捕捉各种鸟类，划定其在非施工期间的活动范围。</w:t>
      </w:r>
    </w:p>
    <w:p w14:paraId="3246313E">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⑥</w:t>
      </w:r>
      <w:r>
        <w:rPr>
          <w:color w:val="000000" w:themeColor="text1"/>
          <w:highlight w:val="none"/>
          <w14:textFill>
            <w14:solidFill>
              <w14:schemeClr w14:val="tx1"/>
            </w14:solidFill>
          </w14:textFill>
        </w:rPr>
        <w:t>尽量缩短施工期，减轻对野生动物的干扰，并使土壤暴露时间缩短，施工结束后，施工单位应负责及时清理现场，使之尽快恢复原状，减少对生态景观的影响。</w:t>
      </w:r>
    </w:p>
    <w:p w14:paraId="326DDEAF">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⑦</w:t>
      </w:r>
      <w:r>
        <w:rPr>
          <w:color w:val="000000" w:themeColor="text1"/>
          <w:highlight w:val="none"/>
          <w14:textFill>
            <w14:solidFill>
              <w14:schemeClr w14:val="tx1"/>
            </w14:solidFill>
          </w14:textFill>
        </w:rPr>
        <w:t>应充分利用现有道路作为施工道路进行施工作业</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尽量缩小活动范围，减少对地表的破坏。</w:t>
      </w:r>
    </w:p>
    <w:p w14:paraId="665C3485">
      <w:pPr>
        <w:pStyle w:val="61"/>
        <w:overflowPunct w:val="0"/>
        <w:topLinePunct/>
        <w:spacing w:line="480" w:lineRule="exact"/>
        <w:ind w:firstLine="480"/>
        <w:jc w:val="both"/>
        <w:rPr>
          <w:color w:val="000000" w:themeColor="text1"/>
          <w:szCs w:val="22"/>
          <w:highlight w:val="none"/>
          <w14:textFill>
            <w14:solidFill>
              <w14:schemeClr w14:val="tx1"/>
            </w14:solidFill>
          </w14:textFill>
        </w:rPr>
      </w:pPr>
      <w:r>
        <w:rPr>
          <w:rFonts w:hint="eastAsia"/>
          <w:color w:val="000000" w:themeColor="text1"/>
          <w:highlight w:val="none"/>
          <w14:textFill>
            <w14:solidFill>
              <w14:schemeClr w14:val="tx1"/>
            </w14:solidFill>
          </w14:textFill>
        </w:rPr>
        <w:t>⑧</w:t>
      </w:r>
      <w:r>
        <w:rPr>
          <w:color w:val="000000" w:themeColor="text1"/>
          <w:highlight w:val="none"/>
          <w14:textFill>
            <w14:solidFill>
              <w14:schemeClr w14:val="tx1"/>
            </w14:solidFill>
          </w14:textFill>
        </w:rPr>
        <w:t>加大培训力度，提高全员环保意识。要把环境保护培训工作列为重要工作之一。在项目开工前，首先对全体职工进行环境保护有关</w:t>
      </w:r>
      <w:r>
        <w:rPr>
          <w:rFonts w:hint="eastAsia"/>
          <w:color w:val="000000" w:themeColor="text1"/>
          <w:highlight w:val="none"/>
          <w:lang w:eastAsia="zh-CN"/>
          <w14:textFill>
            <w14:solidFill>
              <w14:schemeClr w14:val="tx1"/>
            </w14:solidFill>
          </w14:textFill>
        </w:rPr>
        <w:t>法律法规</w:t>
      </w:r>
      <w:r>
        <w:rPr>
          <w:color w:val="000000" w:themeColor="text1"/>
          <w:highlight w:val="none"/>
          <w14:textFill>
            <w14:solidFill>
              <w14:schemeClr w14:val="tx1"/>
            </w14:solidFill>
          </w14:textFill>
        </w:rPr>
        <w:t>知识的培训</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其</w:t>
      </w:r>
      <w:r>
        <w:rPr>
          <w:rFonts w:hint="eastAsia"/>
          <w:color w:val="000000" w:themeColor="text1"/>
          <w:highlight w:val="none"/>
          <w:lang w:eastAsia="zh-CN"/>
          <w14:textFill>
            <w14:solidFill>
              <w14:schemeClr w14:val="tx1"/>
            </w14:solidFill>
          </w14:textFill>
        </w:rPr>
        <w:t>次是</w:t>
      </w:r>
      <w:r>
        <w:rPr>
          <w:color w:val="000000" w:themeColor="text1"/>
          <w:highlight w:val="none"/>
          <w14:textFill>
            <w14:solidFill>
              <w14:schemeClr w14:val="tx1"/>
            </w14:solidFill>
          </w14:textFill>
        </w:rPr>
        <w:t>广大参建职工认真遵守，严格履行好自己的环保职责，确保全员环境保护意识进一步增强。</w:t>
      </w:r>
    </w:p>
    <w:p w14:paraId="7FCD324B">
      <w:pPr>
        <w:pStyle w:val="3"/>
        <w:rPr>
          <w:color w:val="000000" w:themeColor="text1"/>
          <w:highlight w:val="none"/>
          <w14:textFill>
            <w14:solidFill>
              <w14:schemeClr w14:val="tx1"/>
            </w14:solidFill>
          </w14:textFill>
        </w:rPr>
      </w:pPr>
      <w:bookmarkStart w:id="818" w:name="_Toc3076"/>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2运营期环境保护措施及其可行性论证</w:t>
      </w:r>
      <w:bookmarkEnd w:id="797"/>
      <w:bookmarkEnd w:id="798"/>
      <w:bookmarkEnd w:id="799"/>
      <w:bookmarkEnd w:id="800"/>
      <w:bookmarkEnd w:id="801"/>
      <w:bookmarkEnd w:id="802"/>
      <w:bookmarkEnd w:id="818"/>
    </w:p>
    <w:p w14:paraId="757C860D">
      <w:pPr>
        <w:pStyle w:val="4"/>
        <w:rPr>
          <w:color w:val="000000" w:themeColor="text1"/>
          <w:highlight w:val="none"/>
          <w14:textFill>
            <w14:solidFill>
              <w14:schemeClr w14:val="tx1"/>
            </w14:solidFill>
          </w14:textFill>
        </w:rPr>
      </w:pPr>
      <w:bookmarkStart w:id="819" w:name="_Toc4418"/>
      <w:bookmarkStart w:id="820" w:name="_Toc25926"/>
      <w:bookmarkStart w:id="821" w:name="_Toc16766"/>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大气污染防治措施</w:t>
      </w:r>
      <w:bookmarkEnd w:id="819"/>
      <w:bookmarkEnd w:id="820"/>
      <w:bookmarkEnd w:id="821"/>
    </w:p>
    <w:p w14:paraId="677D87C6">
      <w:pPr>
        <w:overflowPunct w:val="0"/>
        <w:topLinePunct/>
        <w:ind w:firstLine="480"/>
        <w:rPr>
          <w:color w:val="000000" w:themeColor="text1"/>
          <w:highlight w:val="none"/>
          <w14:textFill>
            <w14:solidFill>
              <w14:schemeClr w14:val="tx1"/>
            </w14:solidFill>
          </w14:textFill>
        </w:rPr>
      </w:pPr>
      <w:bookmarkStart w:id="822" w:name="_Toc12517"/>
      <w:bookmarkStart w:id="823" w:name="_Toc10248"/>
      <w:bookmarkStart w:id="824" w:name="_Toc24608"/>
      <w:r>
        <w:rPr>
          <w:color w:val="000000" w:themeColor="text1"/>
          <w:kern w:val="0"/>
          <w:highlight w:val="none"/>
          <w14:textFill>
            <w14:solidFill>
              <w14:schemeClr w14:val="tx1"/>
            </w14:solidFill>
          </w14:textFill>
        </w:rPr>
        <w:t>为了有效地控制颗粒物的排放量，减少其对周围环境的影响，对新增的产尘点采取以防为主的方针，从工艺设计上尽量减少生产中的扬尘产生，对</w:t>
      </w:r>
      <w:r>
        <w:rPr>
          <w:rFonts w:hint="eastAsia"/>
          <w:color w:val="000000" w:themeColor="text1"/>
          <w:kern w:val="0"/>
          <w:highlight w:val="none"/>
          <w14:textFill>
            <w14:solidFill>
              <w14:schemeClr w14:val="tx1"/>
            </w14:solidFill>
          </w14:textFill>
        </w:rPr>
        <w:t>有</w:t>
      </w:r>
      <w:r>
        <w:rPr>
          <w:color w:val="000000" w:themeColor="text1"/>
          <w:kern w:val="0"/>
          <w:highlight w:val="none"/>
          <w14:textFill>
            <w14:solidFill>
              <w14:schemeClr w14:val="tx1"/>
            </w14:solidFill>
          </w14:textFill>
        </w:rPr>
        <w:t>组织粉尘排放点采用密闭、安装集气罩及除尘器等措施，选矿厂所有产</w:t>
      </w:r>
      <w:r>
        <w:rPr>
          <w:rFonts w:hint="eastAsia"/>
          <w:color w:val="000000" w:themeColor="text1"/>
          <w:kern w:val="0"/>
          <w:highlight w:val="none"/>
          <w:lang w:eastAsia="zh-CN"/>
          <w14:textFill>
            <w14:solidFill>
              <w14:schemeClr w14:val="tx1"/>
            </w14:solidFill>
          </w14:textFill>
        </w:rPr>
        <w:t>尘</w:t>
      </w:r>
      <w:r>
        <w:rPr>
          <w:color w:val="000000" w:themeColor="text1"/>
          <w:kern w:val="0"/>
          <w:highlight w:val="none"/>
          <w14:textFill>
            <w14:solidFill>
              <w14:schemeClr w14:val="tx1"/>
            </w14:solidFill>
          </w14:textFill>
        </w:rPr>
        <w:t>点均安装收尘设施，对无组织粉尘排放源采用密闭式输送、降低物料落差、粉状物料储存采用封闭库以及洒水降尘等措施。</w:t>
      </w:r>
    </w:p>
    <w:p w14:paraId="3ED84232">
      <w:pPr>
        <w:pStyle w:val="5"/>
        <w:numPr>
          <w:ilvl w:val="3"/>
          <w:numId w:val="0"/>
        </w:numPr>
        <w:spacing w:before="0" w:after="0" w:line="520" w:lineRule="exact"/>
        <w:ind w:firstLine="482" w:firstLineChars="200"/>
        <w:jc w:val="both"/>
        <w:rPr>
          <w:rFonts w:hint="eastAsia"/>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6.2.1.1有组织粉尘排放污染防治措施及其可行性分析</w:t>
      </w:r>
    </w:p>
    <w:p w14:paraId="12613612">
      <w:pPr>
        <w:keepNext w:val="0"/>
        <w:keepLines w:val="0"/>
        <w:pageBreakBefore w:val="0"/>
        <w:widowControl w:val="0"/>
        <w:numPr>
          <w:ilvl w:val="0"/>
          <w:numId w:val="0"/>
        </w:numPr>
        <w:kinsoku/>
        <w:wordWrap/>
        <w:overflowPunct w:val="0"/>
        <w:topLinePunct/>
        <w:autoSpaceDE/>
        <w:autoSpaceDN/>
        <w:bidi w:val="0"/>
        <w:adjustRightInd w:val="0"/>
        <w:snapToGrid/>
        <w:ind w:firstLine="48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车间在上料工序的落料点设备</w:t>
      </w:r>
      <w:r>
        <w:rPr>
          <w:rFonts w:hint="eastAsia"/>
          <w:color w:val="000000" w:themeColor="text1"/>
          <w:highlight w:val="none"/>
          <w14:textFill>
            <w14:solidFill>
              <w14:schemeClr w14:val="tx1"/>
            </w14:solidFill>
          </w14:textFill>
        </w:rPr>
        <w:t>和破碎设备</w:t>
      </w:r>
      <w:r>
        <w:rPr>
          <w:color w:val="000000" w:themeColor="text1"/>
          <w:highlight w:val="none"/>
          <w14:textFill>
            <w14:solidFill>
              <w14:schemeClr w14:val="tx1"/>
            </w14:solidFill>
          </w14:textFill>
        </w:rPr>
        <w:t>上方安装集气罩，并配套安装</w:t>
      </w:r>
      <w:r>
        <w:rPr>
          <w:rFonts w:hint="eastAsia"/>
          <w:color w:val="000000" w:themeColor="text1"/>
          <w:highlight w:val="none"/>
          <w14:textFill>
            <w14:solidFill>
              <w14:schemeClr w14:val="tx1"/>
            </w14:solidFill>
          </w14:textFill>
        </w:rPr>
        <w:t>袋式</w:t>
      </w:r>
      <w:r>
        <w:rPr>
          <w:color w:val="000000" w:themeColor="text1"/>
          <w:highlight w:val="none"/>
          <w14:textFill>
            <w14:solidFill>
              <w14:schemeClr w14:val="tx1"/>
            </w14:solidFill>
          </w14:textFill>
        </w:rPr>
        <w:t>除尘器，车间安装排气筒，变无组织排放为有组织排放。目前</w:t>
      </w:r>
      <w:r>
        <w:rPr>
          <w:rFonts w:hint="eastAsia"/>
          <w:color w:val="000000" w:themeColor="text1"/>
          <w:highlight w:val="none"/>
          <w14:textFill>
            <w14:solidFill>
              <w14:schemeClr w14:val="tx1"/>
            </w14:solidFill>
          </w14:textFill>
        </w:rPr>
        <w:t>袋式</w:t>
      </w:r>
      <w:r>
        <w:rPr>
          <w:color w:val="000000" w:themeColor="text1"/>
          <w:highlight w:val="none"/>
          <w14:textFill>
            <w14:solidFill>
              <w14:schemeClr w14:val="tx1"/>
            </w14:solidFill>
          </w14:textFill>
        </w:rPr>
        <w:t>除尘技术在我国较成熟，使用广泛，收尘效率可达到</w:t>
      </w:r>
      <w:r>
        <w:rPr>
          <w:rFonts w:hint="eastAsia"/>
          <w:color w:val="000000" w:themeColor="text1"/>
          <w:highlight w:val="none"/>
          <w14:textFill>
            <w14:solidFill>
              <w14:schemeClr w14:val="tx1"/>
            </w14:solidFill>
          </w14:textFill>
        </w:rPr>
        <w:t>99%</w:t>
      </w:r>
      <w:r>
        <w:rPr>
          <w:color w:val="000000" w:themeColor="text1"/>
          <w:highlight w:val="none"/>
          <w14:textFill>
            <w14:solidFill>
              <w14:schemeClr w14:val="tx1"/>
            </w14:solidFill>
          </w14:textFill>
        </w:rPr>
        <w:t>以上，</w:t>
      </w:r>
      <w:r>
        <w:rPr>
          <w:rFonts w:hint="eastAsia"/>
          <w:color w:val="000000" w:themeColor="text1"/>
          <w:highlight w:val="none"/>
          <w:lang w:val="en-US" w:eastAsia="zh-CN"/>
          <w14:textFill>
            <w14:solidFill>
              <w14:schemeClr w14:val="tx1"/>
            </w14:solidFill>
          </w14:textFill>
        </w:rPr>
        <w:t>为污染防治技术要求中的可行技术。</w:t>
      </w:r>
      <w:r>
        <w:rPr>
          <w:color w:val="000000" w:themeColor="text1"/>
          <w:highlight w:val="none"/>
          <w14:textFill>
            <w14:solidFill>
              <w14:schemeClr w14:val="tx1"/>
            </w14:solidFill>
          </w14:textFill>
        </w:rPr>
        <w:t>由于</w:t>
      </w:r>
      <w:r>
        <w:rPr>
          <w:rFonts w:hint="eastAsia"/>
          <w:color w:val="000000" w:themeColor="text1"/>
          <w:highlight w:val="none"/>
          <w14:textFill>
            <w14:solidFill>
              <w14:schemeClr w14:val="tx1"/>
            </w14:solidFill>
          </w14:textFill>
        </w:rPr>
        <w:t>布袋</w:t>
      </w:r>
      <w:r>
        <w:rPr>
          <w:color w:val="000000" w:themeColor="text1"/>
          <w:highlight w:val="none"/>
          <w14:textFill>
            <w14:solidFill>
              <w14:schemeClr w14:val="tx1"/>
            </w14:solidFill>
          </w14:textFill>
        </w:rPr>
        <w:t>更换容易，因此事故排放时间短，排放量小，影响也较小。</w:t>
      </w:r>
    </w:p>
    <w:p w14:paraId="0FC9C692">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本项目环评要求为</w:t>
      </w:r>
      <w:r>
        <w:rPr>
          <w:rFonts w:hint="eastAsia"/>
          <w:color w:val="000000" w:themeColor="text1"/>
          <w:highlight w:val="none"/>
          <w:lang w:val="en-US" w:eastAsia="zh-CN"/>
          <w14:textFill>
            <w14:solidFill>
              <w14:schemeClr w14:val="tx1"/>
            </w14:solidFill>
          </w14:textFill>
        </w:rPr>
        <w:t>破碎筛分干选、</w:t>
      </w:r>
      <w:r>
        <w:rPr>
          <w:rFonts w:hint="eastAsia"/>
          <w:color w:val="000000" w:themeColor="text1"/>
          <w:kern w:val="0"/>
          <w:highlight w:val="none"/>
          <w14:textFill>
            <w14:solidFill>
              <w14:schemeClr w14:val="tx1"/>
            </w14:solidFill>
          </w14:textFill>
        </w:rPr>
        <w:t>高压辊磨及磨矿仓</w:t>
      </w:r>
      <w:r>
        <w:rPr>
          <w:rFonts w:hint="eastAsia"/>
          <w:color w:val="000000" w:themeColor="text1"/>
          <w:kern w:val="0"/>
          <w:highlight w:val="none"/>
          <w:lang w:val="en-US" w:eastAsia="zh-CN"/>
          <w14:textFill>
            <w14:solidFill>
              <w14:schemeClr w14:val="tx1"/>
            </w14:solidFill>
          </w14:textFill>
        </w:rPr>
        <w:t>等产尘点</w:t>
      </w:r>
      <w:r>
        <w:rPr>
          <w:rFonts w:hint="eastAsia"/>
          <w:color w:val="000000" w:themeColor="text1"/>
          <w:kern w:val="0"/>
          <w:highlight w:val="none"/>
          <w14:textFill>
            <w14:solidFill>
              <w14:schemeClr w14:val="tx1"/>
            </w14:solidFill>
          </w14:textFill>
        </w:rPr>
        <w:t>均</w:t>
      </w:r>
      <w:r>
        <w:rPr>
          <w:color w:val="000000" w:themeColor="text1"/>
          <w:highlight w:val="none"/>
          <w14:textFill>
            <w14:solidFill>
              <w14:schemeClr w14:val="tx1"/>
            </w14:solidFill>
          </w14:textFill>
        </w:rPr>
        <w:t>安装</w:t>
      </w:r>
      <w:r>
        <w:rPr>
          <w:rFonts w:hint="eastAsia"/>
          <w:color w:val="000000" w:themeColor="text1"/>
          <w:highlight w:val="none"/>
          <w14:textFill>
            <w14:solidFill>
              <w14:schemeClr w14:val="tx1"/>
            </w14:solidFill>
          </w14:textFill>
        </w:rPr>
        <w:t>集气罩收集、收集至袋式</w:t>
      </w:r>
      <w:r>
        <w:rPr>
          <w:color w:val="000000" w:themeColor="text1"/>
          <w:highlight w:val="none"/>
          <w14:textFill>
            <w14:solidFill>
              <w14:schemeClr w14:val="tx1"/>
            </w14:solidFill>
          </w14:textFill>
        </w:rPr>
        <w:t>除尘器处理后的粉尘通过排气筒排放、加强收尘器运行管理等治理措施后，有组织废气污染物排放满足</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铁矿采选工业污染物排放标准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GB28661-2012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中</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表5新建企业大气污染物排放浓度限值</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中有组织排放标准限值及环境功能</w:t>
      </w:r>
      <w:r>
        <w:rPr>
          <w:rFonts w:hint="eastAsia"/>
          <w:color w:val="000000" w:themeColor="text1"/>
          <w:highlight w:val="none"/>
          <w14:textFill>
            <w14:solidFill>
              <w14:schemeClr w14:val="tx1"/>
            </w14:solidFill>
          </w14:textFill>
        </w:rPr>
        <w:t>区</w:t>
      </w:r>
      <w:r>
        <w:rPr>
          <w:color w:val="000000" w:themeColor="text1"/>
          <w:highlight w:val="none"/>
          <w14:textFill>
            <w14:solidFill>
              <w14:schemeClr w14:val="tx1"/>
            </w14:solidFill>
          </w14:textFill>
        </w:rPr>
        <w:t>的要求。</w:t>
      </w:r>
    </w:p>
    <w:p w14:paraId="53F77EE5">
      <w:pPr>
        <w:overflowPunct w:val="0"/>
        <w:topLinePunct/>
        <w:ind w:firstLine="480"/>
        <w:rPr>
          <w:b/>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袋式除尘器是一种干式滤尘装置，适用于捕集细小、干燥、非纤维性粉尘。袋式除尘器的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w:t>
      </w:r>
    </w:p>
    <w:p w14:paraId="3CA23B8A">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袋式除尘器为现行粉尘废气较为常用的废气处理方式，具有以下特点：</w:t>
      </w:r>
    </w:p>
    <w:p w14:paraId="4B5D8892">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除尘效率高，一般在99%</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99.99%</w:t>
      </w:r>
      <w:r>
        <w:rPr>
          <w:color w:val="000000" w:themeColor="text1"/>
          <w:highlight w:val="none"/>
          <w14:textFill>
            <w14:solidFill>
              <w14:schemeClr w14:val="tx1"/>
            </w14:solidFill>
          </w14:textFill>
        </w:rPr>
        <w:t>，除尘器出口气体含尘浓度在数10mg/m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之内，对亚微米粒径的细尘有较高的分级效率。</w:t>
      </w:r>
    </w:p>
    <w:p w14:paraId="2AF54E1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处理风量的范围广，小的仅1min数m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，大的可达1min数万m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即可</w:t>
      </w:r>
      <w:r>
        <w:rPr>
          <w:color w:val="000000" w:themeColor="text1"/>
          <w:highlight w:val="none"/>
          <w14:textFill>
            <w14:solidFill>
              <w14:schemeClr w14:val="tx1"/>
            </w14:solidFill>
          </w14:textFill>
        </w:rPr>
        <w:t>用于工业炉窑的烟气除尘，减少大气污染物的排放。</w:t>
      </w:r>
    </w:p>
    <w:p w14:paraId="2FD59676">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结构简单，维护操作方便。</w:t>
      </w:r>
    </w:p>
    <w:p w14:paraId="432BC9F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在保证同样高除尘效率的前提下，造价低于电除尘器。</w:t>
      </w:r>
    </w:p>
    <w:p w14:paraId="34EB37F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采用玻璃纤维、聚四氟乙烯、P84等耐高温滤料时，可在200℃以上的高温条件下运行。</w:t>
      </w:r>
    </w:p>
    <w:p w14:paraId="4DE2A838">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F</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对粉尘的特性不敏感，不受粉尘</w:t>
      </w:r>
      <w:r>
        <w:rPr>
          <w:rFonts w:hint="eastAsia"/>
          <w:color w:val="000000" w:themeColor="text1"/>
          <w:highlight w:val="none"/>
          <w14:textFill>
            <w14:solidFill>
              <w14:schemeClr w14:val="tx1"/>
            </w14:solidFill>
          </w14:textFill>
        </w:rPr>
        <w:t>比</w:t>
      </w:r>
      <w:r>
        <w:rPr>
          <w:color w:val="000000" w:themeColor="text1"/>
          <w:highlight w:val="none"/>
          <w14:textFill>
            <w14:solidFill>
              <w14:schemeClr w14:val="tx1"/>
            </w14:solidFill>
          </w14:textFill>
        </w:rPr>
        <w:t>电阻的影响。</w:t>
      </w:r>
    </w:p>
    <w:p w14:paraId="18F963EE">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此外，在非正常工况下，若破碎筛分除尘系统故障，除尘效率将下降到</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此工况下粉尘对区域大气环境影响较大。因此，本次评价针对非正常工况粉尘排放提出如下防治措施：</w:t>
      </w:r>
    </w:p>
    <w:p w14:paraId="496BAAE5">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①破碎筛分除尘系统故障或检修时，对应的破碎筛分工艺设备应停止运行，待检修完毕后同步投入使用。</w:t>
      </w:r>
    </w:p>
    <w:p w14:paraId="146767C9">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②加强对生产设施和除尘系统的保养、检修，防止大气污染事故的发生。</w:t>
      </w:r>
    </w:p>
    <w:p w14:paraId="43878B5B">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为防止布袋除尘器的布袋破损，企业须定期关注布袋损伤程度，及时更换布袋。</w:t>
      </w:r>
    </w:p>
    <w:p w14:paraId="1722837D">
      <w:pPr>
        <w:pStyle w:val="5"/>
        <w:numPr>
          <w:ilvl w:val="3"/>
          <w:numId w:val="0"/>
        </w:numPr>
        <w:spacing w:before="0" w:after="0" w:line="520" w:lineRule="exact"/>
        <w:ind w:firstLine="482" w:firstLineChars="200"/>
        <w:jc w:val="both"/>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6.2.1.2无组织粉尘污染防治措施</w:t>
      </w:r>
    </w:p>
    <w:p w14:paraId="47F4EC26">
      <w:pPr>
        <w:overflowPunct w:val="0"/>
        <w:topLinePunct/>
        <w:ind w:firstLine="48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项目区内尾矿库、物料倒运、装卸等易产生扬尘。有风时项目区内扬尘严重，造成无组织面源污染问题，本环评提出如下要求：</w:t>
      </w:r>
    </w:p>
    <w:p w14:paraId="66955D04">
      <w:pPr>
        <w:overflowPunct w:val="0"/>
        <w:topLinePunct/>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（1）</w:t>
      </w:r>
      <w:r>
        <w:rPr>
          <w:rFonts w:hint="eastAsia"/>
          <w:color w:val="000000" w:themeColor="text1"/>
          <w:sz w:val="24"/>
          <w:highlight w:val="none"/>
          <w:lang w:val="en-US" w:eastAsia="zh-CN"/>
          <w14:textFill>
            <w14:solidFill>
              <w14:schemeClr w14:val="tx1"/>
            </w14:solidFill>
          </w14:textFill>
        </w:rPr>
        <w:t>各生产车间</w:t>
      </w:r>
      <w:r>
        <w:rPr>
          <w:rFonts w:hint="eastAsia" w:ascii="Times New Roman" w:hAnsi="Times New Roman"/>
          <w:color w:val="000000" w:themeColor="text1"/>
          <w:sz w:val="24"/>
          <w:highlight w:val="none"/>
          <w14:textFill>
            <w14:solidFill>
              <w14:schemeClr w14:val="tx1"/>
            </w14:solidFill>
          </w14:textFill>
        </w:rPr>
        <w:t>未收集粉尘：</w:t>
      </w:r>
      <w:r>
        <w:rPr>
          <w:rFonts w:ascii="Times New Roman" w:hAnsi="Times New Roman"/>
          <w:color w:val="000000" w:themeColor="text1"/>
          <w:kern w:val="0"/>
          <w:sz w:val="24"/>
          <w:highlight w:val="none"/>
          <w14:textFill>
            <w14:solidFill>
              <w14:schemeClr w14:val="tx1"/>
            </w14:solidFill>
          </w14:textFill>
        </w:rPr>
        <w:t>本项目</w:t>
      </w:r>
      <w:r>
        <w:rPr>
          <w:rFonts w:hint="eastAsia" w:ascii="Times New Roman" w:hAnsi="Times New Roman"/>
          <w:color w:val="000000" w:themeColor="text1"/>
          <w:kern w:val="0"/>
          <w:sz w:val="24"/>
          <w:highlight w:val="none"/>
          <w14:textFill>
            <w14:solidFill>
              <w14:schemeClr w14:val="tx1"/>
            </w14:solidFill>
          </w14:textFill>
        </w:rPr>
        <w:t>各生产</w:t>
      </w:r>
      <w:r>
        <w:rPr>
          <w:rFonts w:ascii="Times New Roman" w:hAnsi="Times New Roman"/>
          <w:color w:val="000000" w:themeColor="text1"/>
          <w:sz w:val="24"/>
          <w:highlight w:val="none"/>
          <w14:textFill>
            <w14:solidFill>
              <w14:schemeClr w14:val="tx1"/>
            </w14:solidFill>
          </w14:textFill>
        </w:rPr>
        <w:t>车间为</w:t>
      </w:r>
      <w:r>
        <w:rPr>
          <w:rFonts w:hint="eastAsia" w:ascii="Times New Roman" w:hAnsi="Times New Roman"/>
          <w:color w:val="000000" w:themeColor="text1"/>
          <w:sz w:val="24"/>
          <w:highlight w:val="none"/>
          <w14:textFill>
            <w14:solidFill>
              <w14:schemeClr w14:val="tx1"/>
            </w14:solidFill>
          </w14:textFill>
        </w:rPr>
        <w:t>全封闭状态，为了</w:t>
      </w:r>
      <w:r>
        <w:rPr>
          <w:rFonts w:ascii="Times New Roman" w:hAnsi="Times New Roman"/>
          <w:color w:val="000000" w:themeColor="text1"/>
          <w:sz w:val="24"/>
          <w:highlight w:val="none"/>
          <w14:textFill>
            <w14:solidFill>
              <w14:schemeClr w14:val="tx1"/>
            </w14:solidFill>
          </w14:textFill>
        </w:rPr>
        <w:t>有效防止粉尘污染</w:t>
      </w:r>
      <w:r>
        <w:rPr>
          <w:rFonts w:hint="eastAsia" w:ascii="Times New Roman" w:hAnsi="Times New Roman"/>
          <w:color w:val="000000" w:themeColor="text1"/>
          <w:sz w:val="24"/>
          <w:highlight w:val="none"/>
          <w14:textFill>
            <w14:solidFill>
              <w14:schemeClr w14:val="tx1"/>
            </w14:solidFill>
          </w14:textFill>
        </w:rPr>
        <w:t>，在车间设置</w:t>
      </w:r>
      <w:r>
        <w:rPr>
          <w:rFonts w:ascii="Times New Roman" w:hAnsi="Times New Roman"/>
          <w:color w:val="000000" w:themeColor="text1"/>
          <w:sz w:val="24"/>
          <w:highlight w:val="none"/>
          <w14:textFill>
            <w14:solidFill>
              <w14:schemeClr w14:val="tx1"/>
            </w14:solidFill>
          </w14:textFill>
        </w:rPr>
        <w:t>喷雾降尘，粉尘产生量很少。</w:t>
      </w:r>
    </w:p>
    <w:p w14:paraId="14F95E0F">
      <w:pPr>
        <w:overflowPunct w:val="0"/>
        <w:topLinePunct/>
        <w:ind w:firstLine="480"/>
        <w:rPr>
          <w:rFonts w:ascii="Times New Roman"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ascii="Times New Roman" w:hAnsi="Times New Roman"/>
          <w:color w:val="000000" w:themeColor="text1"/>
          <w:sz w:val="24"/>
          <w:highlight w:val="none"/>
          <w14:textFill>
            <w14:solidFill>
              <w14:schemeClr w14:val="tx1"/>
            </w14:solidFill>
          </w14:textFill>
        </w:rPr>
        <w:t>）尾矿库扬尘：尾砂含水率约</w:t>
      </w:r>
      <w:r>
        <w:rPr>
          <w:rFonts w:hint="eastAsia" w:ascii="Times New Roman" w:hAnsi="Times New Roman"/>
          <w:color w:val="000000" w:themeColor="text1"/>
          <w:sz w:val="24"/>
          <w:highlight w:val="none"/>
          <w:lang w:val="en-US" w:eastAsia="zh-CN"/>
          <w14:textFill>
            <w14:solidFill>
              <w14:schemeClr w14:val="tx1"/>
            </w14:solidFill>
          </w14:textFill>
        </w:rPr>
        <w:t>10</w:t>
      </w:r>
      <w:r>
        <w:rPr>
          <w:rFonts w:ascii="Times New Roman" w:hAnsi="Times New Roman"/>
          <w:color w:val="000000" w:themeColor="text1"/>
          <w:sz w:val="24"/>
          <w:highlight w:val="none"/>
          <w14:textFill>
            <w14:solidFill>
              <w14:schemeClr w14:val="tx1"/>
            </w14:solidFill>
          </w14:textFill>
        </w:rPr>
        <w:t>%，水分蒸发后形成干滩，当天晴有风时，裸露在干滩上的尾矿对尾砂库周围环境有一定的影响。本环评要求运行期采取以下防护措施：</w:t>
      </w:r>
    </w:p>
    <w:p w14:paraId="2F82B28F">
      <w:pPr>
        <w:overflowPunct w:val="0"/>
        <w:topLinePunct/>
        <w:ind w:firstLine="48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s="宋体"/>
          <w:color w:val="000000" w:themeColor="text1"/>
          <w:sz w:val="24"/>
          <w:highlight w:val="none"/>
          <w14:textFill>
            <w14:solidFill>
              <w14:schemeClr w14:val="tx1"/>
            </w14:solidFill>
          </w14:textFill>
        </w:rPr>
        <w:t>①</w:t>
      </w:r>
      <w:r>
        <w:rPr>
          <w:rFonts w:ascii="Times New Roman" w:hAnsi="Times New Roman"/>
          <w:color w:val="000000" w:themeColor="text1"/>
          <w:sz w:val="24"/>
          <w:highlight w:val="none"/>
          <w14:textFill>
            <w14:solidFill>
              <w14:schemeClr w14:val="tx1"/>
            </w14:solidFill>
          </w14:textFill>
        </w:rPr>
        <w:t>尾矿放矿过程中必须严格遵循设计提出的方案，尾矿的排放必须按设计要求沿坝体内坡均匀分散放矿，严禁在坝一侧或库中放矿。尾矿在库内的分布，应保证粗粒的沉积于坝前，细粒排至库内。尾矿在坝前排放时注意调整滩面，保持沉积滩均匀上升。</w:t>
      </w:r>
    </w:p>
    <w:p w14:paraId="778CD4C6">
      <w:pPr>
        <w:overflowPunct w:val="0"/>
        <w:topLinePunct/>
        <w:ind w:firstLine="48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s="宋体"/>
          <w:color w:val="000000" w:themeColor="text1"/>
          <w:sz w:val="24"/>
          <w:highlight w:val="none"/>
          <w14:textFill>
            <w14:solidFill>
              <w14:schemeClr w14:val="tx1"/>
            </w14:solidFill>
          </w14:textFill>
        </w:rPr>
        <w:t>②</w:t>
      </w:r>
      <w:r>
        <w:rPr>
          <w:rFonts w:ascii="Times New Roman" w:hAnsi="Times New Roman"/>
          <w:color w:val="000000" w:themeColor="text1"/>
          <w:sz w:val="24"/>
          <w:highlight w:val="none"/>
          <w14:textFill>
            <w14:solidFill>
              <w14:schemeClr w14:val="tx1"/>
            </w14:solidFill>
          </w14:textFill>
        </w:rPr>
        <w:t>环评要求采用喷洒生态高效抑制剂作为辅助抑尘手段，抑尘剂是由新型多功能高分子聚合物组合而成，通过凝并，黏结等作用能迅速捕捉并将微粒粉尘牢牢吸附，干燥后能在粉尘表面固化成膜，因而具有很强的抑尘、防尘的作用。因尾矿库扬尘区域较大，通过建设专用固定喷洒基站，将抑尘剂稀释液均匀喷洒于尾矿库扬尘区域，即可实现防尘、降尘的效果，在无暴雨及车辆碾压的情况下，在干滩上层均匀喷洒抑尘剂可产生较好抑尘效率。</w:t>
      </w:r>
    </w:p>
    <w:p w14:paraId="4E7E16AA">
      <w:pPr>
        <w:overflowPunct w:val="0"/>
        <w:topLinePunct/>
        <w:ind w:firstLine="48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s="宋体"/>
          <w:color w:val="000000" w:themeColor="text1"/>
          <w:sz w:val="24"/>
          <w:highlight w:val="none"/>
          <w14:textFill>
            <w14:solidFill>
              <w14:schemeClr w14:val="tx1"/>
            </w14:solidFill>
          </w14:textFill>
        </w:rPr>
        <w:t>③</w:t>
      </w:r>
      <w:r>
        <w:rPr>
          <w:rFonts w:ascii="Times New Roman" w:hAnsi="Times New Roman"/>
          <w:color w:val="000000" w:themeColor="text1"/>
          <w:sz w:val="24"/>
          <w:highlight w:val="none"/>
          <w14:textFill>
            <w14:solidFill>
              <w14:schemeClr w14:val="tx1"/>
            </w14:solidFill>
          </w14:textFill>
        </w:rPr>
        <w:t>坝体外坡应保持平整紧实，按设计要求设置坝体排水沟和护坡设施，防止坡面受雨水冲刷拉沟，破坏边坡稳定和产生尾矿粉尘飞扬污染环境。</w:t>
      </w:r>
    </w:p>
    <w:p w14:paraId="1BF1F638">
      <w:pPr>
        <w:overflowPunct w:val="0"/>
        <w:topLinePunct/>
        <w:ind w:firstLine="48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高效抑尘剂理化性质见表6.2-1。</w:t>
      </w:r>
    </w:p>
    <w:p w14:paraId="17E4AC5E">
      <w:pPr>
        <w:adjustRightInd w:val="0"/>
        <w:snapToGrid w:val="0"/>
        <w:ind w:firstLine="0" w:firstLineChars="0"/>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表6.2-1    高效抑尘剂理化性质特性一览表</w:t>
      </w:r>
    </w:p>
    <w:tbl>
      <w:tblPr>
        <w:tblStyle w:val="100"/>
        <w:tblW w:w="833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51"/>
        <w:gridCol w:w="3094"/>
        <w:gridCol w:w="1842"/>
        <w:gridCol w:w="2649"/>
      </w:tblGrid>
      <w:tr w14:paraId="001D45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336" w:type="dxa"/>
            <w:gridSpan w:val="4"/>
            <w:vAlign w:val="center"/>
          </w:tcPr>
          <w:p w14:paraId="3488F2ED">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b/>
                <w:bCs/>
                <w:color w:val="000000" w:themeColor="text1"/>
                <w:sz w:val="21"/>
                <w:szCs w:val="21"/>
                <w:highlight w:val="none"/>
                <w:lang w:eastAsia="en-US"/>
                <w14:textFill>
                  <w14:solidFill>
                    <w14:schemeClr w14:val="tx1"/>
                  </w14:solidFill>
                </w14:textFill>
              </w:rPr>
              <w:t>理化性质</w:t>
            </w:r>
          </w:p>
        </w:tc>
      </w:tr>
      <w:tr w14:paraId="0C35DF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1" w:type="dxa"/>
            <w:vAlign w:val="center"/>
          </w:tcPr>
          <w:p w14:paraId="4CBCD230">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cs="微软雅黑"/>
                <w:color w:val="000000" w:themeColor="text1"/>
                <w:sz w:val="21"/>
                <w:szCs w:val="21"/>
                <w:highlight w:val="none"/>
                <w:lang w:eastAsia="en-US"/>
                <w14:textFill>
                  <w14:solidFill>
                    <w14:schemeClr w14:val="tx1"/>
                  </w14:solidFill>
                </w14:textFill>
              </w:rPr>
              <w:t>外观</w:t>
            </w:r>
          </w:p>
        </w:tc>
        <w:tc>
          <w:tcPr>
            <w:tcW w:w="3094" w:type="dxa"/>
            <w:vAlign w:val="center"/>
          </w:tcPr>
          <w:p w14:paraId="4EE49FA8">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cs="微软雅黑"/>
                <w:color w:val="000000" w:themeColor="text1"/>
                <w:sz w:val="21"/>
                <w:szCs w:val="21"/>
                <w:highlight w:val="none"/>
                <w:lang w:eastAsia="en-US"/>
                <w14:textFill>
                  <w14:solidFill>
                    <w14:schemeClr w14:val="tx1"/>
                  </w14:solidFill>
                </w14:textFill>
              </w:rPr>
              <w:t>乳白色流动液体</w:t>
            </w:r>
          </w:p>
        </w:tc>
        <w:tc>
          <w:tcPr>
            <w:tcW w:w="1842" w:type="dxa"/>
            <w:vAlign w:val="center"/>
          </w:tcPr>
          <w:p w14:paraId="6FA7428B">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cs="微软雅黑"/>
                <w:color w:val="000000" w:themeColor="text1"/>
                <w:sz w:val="21"/>
                <w:szCs w:val="21"/>
                <w:highlight w:val="none"/>
                <w:lang w:eastAsia="en-US"/>
                <w14:textFill>
                  <w14:solidFill>
                    <w14:schemeClr w14:val="tx1"/>
                  </w14:solidFill>
                </w14:textFill>
              </w:rPr>
              <w:t>稀释比例</w:t>
            </w:r>
          </w:p>
        </w:tc>
        <w:tc>
          <w:tcPr>
            <w:tcW w:w="2649" w:type="dxa"/>
            <w:vAlign w:val="center"/>
          </w:tcPr>
          <w:p w14:paraId="3D5ADAB7">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color w:val="000000" w:themeColor="text1"/>
                <w:sz w:val="21"/>
                <w:szCs w:val="21"/>
                <w:highlight w:val="none"/>
                <w:lang w:eastAsia="en-US"/>
                <w14:textFill>
                  <w14:solidFill>
                    <w14:schemeClr w14:val="tx1"/>
                  </w14:solidFill>
                </w14:textFill>
              </w:rPr>
              <w:t>100-300</w:t>
            </w:r>
            <w:r>
              <w:rPr>
                <w:rFonts w:hint="eastAsia" w:cs="微软雅黑"/>
                <w:color w:val="000000" w:themeColor="text1"/>
                <w:sz w:val="21"/>
                <w:szCs w:val="21"/>
                <w:highlight w:val="none"/>
                <w:lang w:eastAsia="en-US"/>
                <w14:textFill>
                  <w14:solidFill>
                    <w14:schemeClr w14:val="tx1"/>
                  </w14:solidFill>
                </w14:textFill>
              </w:rPr>
              <w:t>倍</w:t>
            </w:r>
          </w:p>
        </w:tc>
      </w:tr>
      <w:tr w14:paraId="0F7C09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1" w:type="dxa"/>
            <w:vAlign w:val="center"/>
          </w:tcPr>
          <w:p w14:paraId="39CA437D">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cs="微软雅黑"/>
                <w:color w:val="000000" w:themeColor="text1"/>
                <w:sz w:val="21"/>
                <w:szCs w:val="21"/>
                <w:highlight w:val="none"/>
                <w:lang w:eastAsia="zh-CN"/>
                <w14:textFill>
                  <w14:solidFill>
                    <w14:schemeClr w14:val="tx1"/>
                  </w14:solidFill>
                </w14:textFill>
              </w:rPr>
              <w:t>黏度</w:t>
            </w:r>
          </w:p>
        </w:tc>
        <w:tc>
          <w:tcPr>
            <w:tcW w:w="3094" w:type="dxa"/>
            <w:vAlign w:val="center"/>
          </w:tcPr>
          <w:p w14:paraId="7CBE9E2E">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color w:val="000000" w:themeColor="text1"/>
                <w:sz w:val="21"/>
                <w:szCs w:val="21"/>
                <w:highlight w:val="none"/>
                <w:lang w:eastAsia="en-US"/>
                <w14:textFill>
                  <w14:solidFill>
                    <w14:schemeClr w14:val="tx1"/>
                  </w14:solidFill>
                </w14:textFill>
              </w:rPr>
              <w:t>1500-2800cPs</w:t>
            </w:r>
          </w:p>
        </w:tc>
        <w:tc>
          <w:tcPr>
            <w:tcW w:w="1842" w:type="dxa"/>
            <w:vAlign w:val="center"/>
          </w:tcPr>
          <w:p w14:paraId="1D197465">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cs="微软雅黑"/>
                <w:color w:val="000000" w:themeColor="text1"/>
                <w:sz w:val="21"/>
                <w:szCs w:val="21"/>
                <w:highlight w:val="none"/>
                <w:lang w:eastAsia="en-US"/>
                <w14:textFill>
                  <w14:solidFill>
                    <w14:schemeClr w14:val="tx1"/>
                  </w14:solidFill>
                </w14:textFill>
              </w:rPr>
              <w:t>损耗降低率</w:t>
            </w:r>
          </w:p>
        </w:tc>
        <w:tc>
          <w:tcPr>
            <w:tcW w:w="2649" w:type="dxa"/>
            <w:vAlign w:val="center"/>
          </w:tcPr>
          <w:p w14:paraId="20B028CD">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color w:val="000000" w:themeColor="text1"/>
                <w:sz w:val="21"/>
                <w:szCs w:val="21"/>
                <w:highlight w:val="none"/>
                <w:lang w:eastAsia="en-US"/>
                <w14:textFill>
                  <w14:solidFill>
                    <w14:schemeClr w14:val="tx1"/>
                  </w14:solidFill>
                </w14:textFill>
              </w:rPr>
              <w:t>95%</w:t>
            </w:r>
            <w:r>
              <w:rPr>
                <w:rFonts w:hint="eastAsia" w:cs="微软雅黑"/>
                <w:color w:val="000000" w:themeColor="text1"/>
                <w:sz w:val="21"/>
                <w:szCs w:val="21"/>
                <w:highlight w:val="none"/>
                <w:lang w:eastAsia="en-US"/>
                <w14:textFill>
                  <w14:solidFill>
                    <w14:schemeClr w14:val="tx1"/>
                  </w14:solidFill>
                </w14:textFill>
              </w:rPr>
              <w:t>以上</w:t>
            </w:r>
          </w:p>
        </w:tc>
      </w:tr>
      <w:tr w14:paraId="62FD55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1" w:type="dxa"/>
            <w:vAlign w:val="center"/>
          </w:tcPr>
          <w:p w14:paraId="6E02268C">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cs="微软雅黑"/>
                <w:color w:val="000000" w:themeColor="text1"/>
                <w:sz w:val="21"/>
                <w:szCs w:val="21"/>
                <w:highlight w:val="none"/>
                <w:lang w:eastAsia="en-US"/>
                <w14:textFill>
                  <w14:solidFill>
                    <w14:schemeClr w14:val="tx1"/>
                  </w14:solidFill>
                </w14:textFill>
              </w:rPr>
              <w:t>密度</w:t>
            </w:r>
          </w:p>
        </w:tc>
        <w:tc>
          <w:tcPr>
            <w:tcW w:w="3094" w:type="dxa"/>
            <w:vAlign w:val="center"/>
          </w:tcPr>
          <w:p w14:paraId="7C8A162A">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color w:val="000000" w:themeColor="text1"/>
                <w:sz w:val="21"/>
                <w:szCs w:val="21"/>
                <w:highlight w:val="none"/>
                <w:lang w:eastAsia="en-US"/>
                <w14:textFill>
                  <w14:solidFill>
                    <w14:schemeClr w14:val="tx1"/>
                  </w14:solidFill>
                </w14:textFill>
              </w:rPr>
              <w:t>1.0-1.1</w:t>
            </w:r>
          </w:p>
        </w:tc>
        <w:tc>
          <w:tcPr>
            <w:tcW w:w="1842" w:type="dxa"/>
            <w:vAlign w:val="center"/>
          </w:tcPr>
          <w:p w14:paraId="43BD0AAF">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color w:val="000000" w:themeColor="text1"/>
                <w:sz w:val="21"/>
                <w:szCs w:val="21"/>
                <w:highlight w:val="none"/>
                <w:lang w:eastAsia="en-US"/>
                <w14:textFill>
                  <w14:solidFill>
                    <w14:schemeClr w14:val="tx1"/>
                  </w14:solidFill>
                </w14:textFill>
              </w:rPr>
              <w:t>p</w:t>
            </w:r>
            <w:r>
              <w:rPr>
                <w:color w:val="000000" w:themeColor="text1"/>
                <w:sz w:val="21"/>
                <w:szCs w:val="21"/>
                <w:highlight w:val="none"/>
                <w:lang w:eastAsia="en-US"/>
                <w14:textFill>
                  <w14:solidFill>
                    <w14:schemeClr w14:val="tx1"/>
                  </w14:solidFill>
                </w14:textFill>
              </w:rPr>
              <w:t>H</w:t>
            </w:r>
            <w:r>
              <w:rPr>
                <w:rFonts w:hint="eastAsia" w:cs="微软雅黑"/>
                <w:color w:val="000000" w:themeColor="text1"/>
                <w:sz w:val="21"/>
                <w:szCs w:val="21"/>
                <w:highlight w:val="none"/>
                <w:lang w:eastAsia="en-US"/>
                <w14:textFill>
                  <w14:solidFill>
                    <w14:schemeClr w14:val="tx1"/>
                  </w14:solidFill>
                </w14:textFill>
              </w:rPr>
              <w:t>值</w:t>
            </w:r>
          </w:p>
        </w:tc>
        <w:tc>
          <w:tcPr>
            <w:tcW w:w="2649" w:type="dxa"/>
            <w:vAlign w:val="center"/>
          </w:tcPr>
          <w:p w14:paraId="27252E8E">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color w:val="000000" w:themeColor="text1"/>
                <w:sz w:val="21"/>
                <w:szCs w:val="21"/>
                <w:highlight w:val="none"/>
                <w:lang w:eastAsia="en-US"/>
                <w14:textFill>
                  <w14:solidFill>
                    <w14:schemeClr w14:val="tx1"/>
                  </w14:solidFill>
                </w14:textFill>
              </w:rPr>
              <w:t>6</w:t>
            </w:r>
            <w:r>
              <w:rPr>
                <w:rFonts w:hint="eastAsia"/>
                <w:color w:val="000000" w:themeColor="text1"/>
                <w:sz w:val="21"/>
                <w:szCs w:val="21"/>
                <w:highlight w:val="none"/>
                <w:lang w:eastAsia="en-US"/>
                <w14:textFill>
                  <w14:solidFill>
                    <w14:schemeClr w14:val="tx1"/>
                  </w14:solidFill>
                </w14:textFill>
              </w:rPr>
              <w:t>.0</w:t>
            </w:r>
            <w:r>
              <w:rPr>
                <w:color w:val="000000" w:themeColor="text1"/>
                <w:sz w:val="21"/>
                <w:szCs w:val="21"/>
                <w:highlight w:val="none"/>
                <w:lang w:eastAsia="en-US"/>
                <w14:textFill>
                  <w14:solidFill>
                    <w14:schemeClr w14:val="tx1"/>
                  </w14:solidFill>
                </w14:textFill>
              </w:rPr>
              <w:t>-8.5</w:t>
            </w:r>
          </w:p>
        </w:tc>
      </w:tr>
      <w:tr w14:paraId="2D4E17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1" w:type="dxa"/>
            <w:vAlign w:val="center"/>
          </w:tcPr>
          <w:p w14:paraId="5C0B7348">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cs="微软雅黑"/>
                <w:color w:val="000000" w:themeColor="text1"/>
                <w:sz w:val="21"/>
                <w:szCs w:val="21"/>
                <w:highlight w:val="none"/>
                <w:lang w:eastAsia="en-US"/>
                <w14:textFill>
                  <w14:solidFill>
                    <w14:schemeClr w14:val="tx1"/>
                  </w14:solidFill>
                </w14:textFill>
              </w:rPr>
              <w:t>作用</w:t>
            </w:r>
          </w:p>
        </w:tc>
        <w:tc>
          <w:tcPr>
            <w:tcW w:w="7585" w:type="dxa"/>
            <w:gridSpan w:val="3"/>
            <w:vAlign w:val="center"/>
          </w:tcPr>
          <w:p w14:paraId="35C3E921">
            <w:pPr>
              <w:spacing w:line="360" w:lineRule="exact"/>
              <w:ind w:firstLine="0" w:firstLineChars="0"/>
              <w:jc w:val="center"/>
              <w:rPr>
                <w:color w:val="000000" w:themeColor="text1"/>
                <w:sz w:val="21"/>
                <w:szCs w:val="21"/>
                <w:highlight w:val="none"/>
                <w:lang w:eastAsia="zh-CN"/>
                <w14:textFill>
                  <w14:solidFill>
                    <w14:schemeClr w14:val="tx1"/>
                  </w14:solidFill>
                </w14:textFill>
              </w:rPr>
            </w:pPr>
            <w:r>
              <w:rPr>
                <w:rFonts w:hint="eastAsia" w:cs="微软雅黑"/>
                <w:color w:val="000000" w:themeColor="text1"/>
                <w:sz w:val="21"/>
                <w:szCs w:val="21"/>
                <w:highlight w:val="none"/>
                <w:lang w:eastAsia="zh-CN"/>
                <w14:textFill>
                  <w14:solidFill>
                    <w14:schemeClr w14:val="tx1"/>
                  </w14:solidFill>
                </w14:textFill>
              </w:rPr>
              <w:t>由新型多功能高分子聚合物组成，该聚合物分子间有一定的交联度形成网状结构，同时聚合物分子间有各种离子基团，能与离子之间产生较强的亲和力。通过捕捉和吸附并团聚粉尘微粒紧锁在其既疏松而又不失坚固的网状结构之内，起到湿润、黏接、凝结、吸湿、防尘的作用。本产品经国家环保部相关部门测试，产品无毒无害、无污染、抗风蚀、抗雨淋、不伤害土壤和植物、不影响堆积物质量、安全可靠、使用方便、操作简单。</w:t>
            </w:r>
          </w:p>
        </w:tc>
      </w:tr>
      <w:tr w14:paraId="2B715D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1" w:type="dxa"/>
            <w:vAlign w:val="center"/>
          </w:tcPr>
          <w:p w14:paraId="617465D5">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cs="微软雅黑"/>
                <w:color w:val="000000" w:themeColor="text1"/>
                <w:sz w:val="21"/>
                <w:szCs w:val="21"/>
                <w:highlight w:val="none"/>
                <w:lang w:eastAsia="en-US"/>
                <w14:textFill>
                  <w14:solidFill>
                    <w14:schemeClr w14:val="tx1"/>
                  </w14:solidFill>
                </w14:textFill>
              </w:rPr>
              <w:t>使用</w:t>
            </w:r>
          </w:p>
          <w:p w14:paraId="498F732F">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cs="微软雅黑"/>
                <w:color w:val="000000" w:themeColor="text1"/>
                <w:sz w:val="21"/>
                <w:szCs w:val="21"/>
                <w:highlight w:val="none"/>
                <w:lang w:eastAsia="en-US"/>
                <w14:textFill>
                  <w14:solidFill>
                    <w14:schemeClr w14:val="tx1"/>
                  </w14:solidFill>
                </w14:textFill>
              </w:rPr>
              <w:t>方法</w:t>
            </w:r>
          </w:p>
        </w:tc>
        <w:tc>
          <w:tcPr>
            <w:tcW w:w="7585" w:type="dxa"/>
            <w:gridSpan w:val="3"/>
            <w:vAlign w:val="center"/>
          </w:tcPr>
          <w:p w14:paraId="4AA4C7EB">
            <w:pPr>
              <w:spacing w:line="360" w:lineRule="exact"/>
              <w:ind w:firstLine="0" w:firstLineChars="0"/>
              <w:jc w:val="center"/>
              <w:rPr>
                <w:color w:val="000000" w:themeColor="text1"/>
                <w:sz w:val="21"/>
                <w:szCs w:val="21"/>
                <w:highlight w:val="none"/>
                <w:lang w:eastAsia="zh-CN"/>
                <w14:textFill>
                  <w14:solidFill>
                    <w14:schemeClr w14:val="tx1"/>
                  </w14:solidFill>
                </w14:textFill>
              </w:rPr>
            </w:pPr>
            <w:r>
              <w:rPr>
                <w:rFonts w:hint="eastAsia" w:cs="微软雅黑"/>
                <w:color w:val="000000" w:themeColor="text1"/>
                <w:sz w:val="21"/>
                <w:szCs w:val="21"/>
                <w:highlight w:val="none"/>
                <w:lang w:eastAsia="zh-CN"/>
                <w14:textFill>
                  <w14:solidFill>
                    <w14:schemeClr w14:val="tx1"/>
                  </w14:solidFill>
                </w14:textFill>
              </w:rPr>
              <w:t>直接按比例加水稀释即可直接进行喷淋抑尘作业。可采用机械及人工喷洒的方法，均匀地喷洒在物料的表面，即可达到降尘、防尘目的。具体用量根据现场情况因地制宜地进行自行调节。</w:t>
            </w:r>
          </w:p>
        </w:tc>
      </w:tr>
      <w:tr w14:paraId="4D4F2E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51" w:type="dxa"/>
            <w:vAlign w:val="center"/>
          </w:tcPr>
          <w:p w14:paraId="2C70FD7C">
            <w:pPr>
              <w:spacing w:line="360" w:lineRule="exact"/>
              <w:ind w:firstLine="0" w:firstLineChars="0"/>
              <w:jc w:val="center"/>
              <w:rPr>
                <w:color w:val="000000" w:themeColor="text1"/>
                <w:sz w:val="21"/>
                <w:szCs w:val="21"/>
                <w:highlight w:val="none"/>
                <w:lang w:eastAsia="en-US"/>
                <w14:textFill>
                  <w14:solidFill>
                    <w14:schemeClr w14:val="tx1"/>
                  </w14:solidFill>
                </w14:textFill>
              </w:rPr>
            </w:pPr>
            <w:r>
              <w:rPr>
                <w:rFonts w:hint="eastAsia"/>
                <w:color w:val="000000" w:themeColor="text1"/>
                <w:sz w:val="21"/>
                <w:szCs w:val="21"/>
                <w:highlight w:val="none"/>
                <w:lang w:eastAsia="en-US"/>
                <w14:textFill>
                  <w14:solidFill>
                    <w14:schemeClr w14:val="tx1"/>
                  </w14:solidFill>
                </w14:textFill>
              </w:rPr>
              <w:t>优点</w:t>
            </w:r>
          </w:p>
        </w:tc>
        <w:tc>
          <w:tcPr>
            <w:tcW w:w="7585" w:type="dxa"/>
            <w:gridSpan w:val="3"/>
            <w:vAlign w:val="center"/>
          </w:tcPr>
          <w:p w14:paraId="0DE20796">
            <w:pPr>
              <w:spacing w:line="360" w:lineRule="exact"/>
              <w:ind w:firstLine="0" w:firstLineChars="0"/>
              <w:jc w:val="center"/>
              <w:rPr>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1</w:t>
            </w:r>
            <w:r>
              <w:rPr>
                <w:rFonts w:hint="eastAsia" w:cs="微软雅黑"/>
                <w:color w:val="000000" w:themeColor="text1"/>
                <w:sz w:val="21"/>
                <w:szCs w:val="21"/>
                <w:highlight w:val="none"/>
                <w:lang w:eastAsia="zh-CN"/>
                <w14:textFill>
                  <w14:solidFill>
                    <w14:schemeClr w14:val="tx1"/>
                  </w14:solidFill>
                </w14:textFill>
              </w:rPr>
              <w:t>、防尘效果好，能去除</w:t>
            </w:r>
            <w:r>
              <w:rPr>
                <w:rFonts w:hint="eastAsia"/>
                <w:color w:val="000000" w:themeColor="text1"/>
                <w:sz w:val="21"/>
                <w:szCs w:val="21"/>
                <w:highlight w:val="none"/>
                <w:lang w:eastAsia="zh-CN"/>
                <w14:textFill>
                  <w14:solidFill>
                    <w14:schemeClr w14:val="tx1"/>
                  </w14:solidFill>
                </w14:textFill>
              </w:rPr>
              <w:t>2.5</w:t>
            </w:r>
            <w:r>
              <w:rPr>
                <w:rFonts w:hint="eastAsia" w:cs="微软雅黑"/>
                <w:color w:val="000000" w:themeColor="text1"/>
                <w:sz w:val="21"/>
                <w:szCs w:val="21"/>
                <w:highlight w:val="none"/>
                <w:lang w:eastAsia="zh-CN"/>
                <w14:textFill>
                  <w14:solidFill>
                    <w14:schemeClr w14:val="tx1"/>
                  </w14:solidFill>
                </w14:textFill>
              </w:rPr>
              <w:t>微米以上的颗粒。</w:t>
            </w:r>
            <w:r>
              <w:rPr>
                <w:rFonts w:hint="eastAsia"/>
                <w:color w:val="000000" w:themeColor="text1"/>
                <w:sz w:val="21"/>
                <w:szCs w:val="21"/>
                <w:highlight w:val="none"/>
                <w:lang w:eastAsia="zh-CN"/>
                <w14:textFill>
                  <w14:solidFill>
                    <w14:schemeClr w14:val="tx1"/>
                  </w14:solidFill>
                </w14:textFill>
              </w:rPr>
              <w:t>2</w:t>
            </w:r>
            <w:r>
              <w:rPr>
                <w:rFonts w:hint="eastAsia" w:cs="微软雅黑"/>
                <w:color w:val="000000" w:themeColor="text1"/>
                <w:sz w:val="21"/>
                <w:szCs w:val="21"/>
                <w:highlight w:val="none"/>
                <w:lang w:eastAsia="zh-CN"/>
                <w14:textFill>
                  <w14:solidFill>
                    <w14:schemeClr w14:val="tx1"/>
                  </w14:solidFill>
                </w14:textFill>
              </w:rPr>
              <w:t>、固化后柔韧性好；潮湿时表面不滑。</w:t>
            </w:r>
            <w:r>
              <w:rPr>
                <w:rFonts w:hint="eastAsia"/>
                <w:color w:val="000000" w:themeColor="text1"/>
                <w:sz w:val="21"/>
                <w:szCs w:val="21"/>
                <w:highlight w:val="none"/>
                <w:lang w:eastAsia="zh-CN"/>
                <w14:textFill>
                  <w14:solidFill>
                    <w14:schemeClr w14:val="tx1"/>
                  </w14:solidFill>
                </w14:textFill>
              </w:rPr>
              <w:t>3</w:t>
            </w:r>
            <w:r>
              <w:rPr>
                <w:rFonts w:hint="eastAsia" w:cs="微软雅黑"/>
                <w:color w:val="000000" w:themeColor="text1"/>
                <w:sz w:val="21"/>
                <w:szCs w:val="21"/>
                <w:highlight w:val="none"/>
                <w:lang w:eastAsia="zh-CN"/>
                <w14:textFill>
                  <w14:solidFill>
                    <w14:schemeClr w14:val="tx1"/>
                  </w14:solidFill>
                </w14:textFill>
              </w:rPr>
              <w:t>、不会因为渗入水而从土壤中浸出，固化后也不会被雨水、其他形式的降水冲走。</w:t>
            </w:r>
            <w:r>
              <w:rPr>
                <w:rFonts w:hint="eastAsia"/>
                <w:color w:val="000000" w:themeColor="text1"/>
                <w:sz w:val="21"/>
                <w:szCs w:val="21"/>
                <w:highlight w:val="none"/>
                <w:lang w:eastAsia="zh-CN"/>
                <w14:textFill>
                  <w14:solidFill>
                    <w14:schemeClr w14:val="tx1"/>
                  </w14:solidFill>
                </w14:textFill>
              </w:rPr>
              <w:t>4</w:t>
            </w:r>
            <w:r>
              <w:rPr>
                <w:rFonts w:hint="eastAsia" w:cs="微软雅黑"/>
                <w:color w:val="000000" w:themeColor="text1"/>
                <w:sz w:val="21"/>
                <w:szCs w:val="21"/>
                <w:highlight w:val="none"/>
                <w:lang w:eastAsia="zh-CN"/>
                <w14:textFill>
                  <w14:solidFill>
                    <w14:schemeClr w14:val="tx1"/>
                  </w14:solidFill>
                </w14:textFill>
              </w:rPr>
              <w:t>、不受温度的影响，抗冻融、抗风蚀、抗雨水冲蚀。</w:t>
            </w:r>
            <w:r>
              <w:rPr>
                <w:rFonts w:hint="eastAsia"/>
                <w:color w:val="000000" w:themeColor="text1"/>
                <w:sz w:val="21"/>
                <w:szCs w:val="21"/>
                <w:highlight w:val="none"/>
                <w:lang w:eastAsia="zh-CN"/>
                <w14:textFill>
                  <w14:solidFill>
                    <w14:schemeClr w14:val="tx1"/>
                  </w14:solidFill>
                </w14:textFill>
              </w:rPr>
              <w:t>5</w:t>
            </w:r>
            <w:r>
              <w:rPr>
                <w:rFonts w:hint="eastAsia" w:cs="微软雅黑"/>
                <w:color w:val="000000" w:themeColor="text1"/>
                <w:sz w:val="21"/>
                <w:szCs w:val="21"/>
                <w:highlight w:val="none"/>
                <w:lang w:eastAsia="zh-CN"/>
                <w14:textFill>
                  <w14:solidFill>
                    <w14:schemeClr w14:val="tx1"/>
                  </w14:solidFill>
                </w14:textFill>
              </w:rPr>
              <w:t>、表层形成</w:t>
            </w:r>
            <w:r>
              <w:rPr>
                <w:rFonts w:hint="eastAsia"/>
                <w:color w:val="000000" w:themeColor="text1"/>
                <w:sz w:val="21"/>
                <w:szCs w:val="21"/>
                <w:highlight w:val="none"/>
                <w:lang w:eastAsia="zh-CN"/>
                <w14:textFill>
                  <w14:solidFill>
                    <w14:schemeClr w14:val="tx1"/>
                  </w14:solidFill>
                </w14:textFill>
              </w:rPr>
              <w:t>“</w:t>
            </w:r>
            <w:r>
              <w:rPr>
                <w:rFonts w:hint="eastAsia" w:cs="微软雅黑"/>
                <w:color w:val="000000" w:themeColor="text1"/>
                <w:sz w:val="21"/>
                <w:szCs w:val="21"/>
                <w:highlight w:val="none"/>
                <w:lang w:eastAsia="zh-CN"/>
                <w14:textFill>
                  <w14:solidFill>
                    <w14:schemeClr w14:val="tx1"/>
                  </w14:solidFill>
                </w14:textFill>
              </w:rPr>
              <w:t>硬壳</w:t>
            </w:r>
            <w:r>
              <w:rPr>
                <w:rFonts w:hint="eastAsia"/>
                <w:color w:val="000000" w:themeColor="text1"/>
                <w:sz w:val="21"/>
                <w:szCs w:val="21"/>
                <w:highlight w:val="none"/>
                <w:lang w:eastAsia="zh-CN"/>
                <w14:textFill>
                  <w14:solidFill>
                    <w14:schemeClr w14:val="tx1"/>
                  </w14:solidFill>
                </w14:textFill>
              </w:rPr>
              <w:t>”</w:t>
            </w:r>
            <w:r>
              <w:rPr>
                <w:rFonts w:hint="eastAsia" w:cs="微软雅黑"/>
                <w:color w:val="000000" w:themeColor="text1"/>
                <w:sz w:val="21"/>
                <w:szCs w:val="21"/>
                <w:highlight w:val="none"/>
                <w:lang w:eastAsia="zh-CN"/>
                <w14:textFill>
                  <w14:solidFill>
                    <w14:schemeClr w14:val="tx1"/>
                  </w14:solidFill>
                </w14:textFill>
              </w:rPr>
              <w:t>保护层后，在零下</w:t>
            </w:r>
            <w:r>
              <w:rPr>
                <w:rFonts w:hint="eastAsia"/>
                <w:color w:val="000000" w:themeColor="text1"/>
                <w:sz w:val="21"/>
                <w:szCs w:val="21"/>
                <w:highlight w:val="none"/>
                <w:lang w:eastAsia="zh-CN"/>
                <w14:textFill>
                  <w14:solidFill>
                    <w14:schemeClr w14:val="tx1"/>
                  </w14:solidFill>
                </w14:textFill>
              </w:rPr>
              <w:t>20</w:t>
            </w:r>
            <w:r>
              <w:rPr>
                <w:rFonts w:hint="eastAsia" w:cs="微软雅黑"/>
                <w:color w:val="000000" w:themeColor="text1"/>
                <w:sz w:val="21"/>
                <w:szCs w:val="21"/>
                <w:highlight w:val="none"/>
                <w:lang w:eastAsia="zh-CN"/>
                <w14:textFill>
                  <w14:solidFill>
                    <w14:schemeClr w14:val="tx1"/>
                  </w14:solidFill>
                </w14:textFill>
              </w:rPr>
              <w:t>℃的环境下不会影响其效果。</w:t>
            </w:r>
            <w:r>
              <w:rPr>
                <w:rFonts w:hint="eastAsia"/>
                <w:color w:val="000000" w:themeColor="text1"/>
                <w:sz w:val="21"/>
                <w:szCs w:val="21"/>
                <w:highlight w:val="none"/>
                <w:lang w:eastAsia="zh-CN"/>
                <w14:textFill>
                  <w14:solidFill>
                    <w14:schemeClr w14:val="tx1"/>
                  </w14:solidFill>
                </w14:textFill>
              </w:rPr>
              <w:t>6</w:t>
            </w:r>
            <w:r>
              <w:rPr>
                <w:rFonts w:hint="eastAsia" w:cs="微软雅黑"/>
                <w:color w:val="000000" w:themeColor="text1"/>
                <w:sz w:val="21"/>
                <w:szCs w:val="21"/>
                <w:highlight w:val="none"/>
                <w:lang w:eastAsia="zh-CN"/>
                <w14:textFill>
                  <w14:solidFill>
                    <w14:schemeClr w14:val="tx1"/>
                  </w14:solidFill>
                </w14:textFill>
              </w:rPr>
              <w:t>、生态环境安全，可生物降解，不损害植被。</w:t>
            </w:r>
            <w:r>
              <w:rPr>
                <w:rFonts w:hint="eastAsia"/>
                <w:color w:val="000000" w:themeColor="text1"/>
                <w:sz w:val="21"/>
                <w:szCs w:val="21"/>
                <w:highlight w:val="none"/>
                <w:lang w:eastAsia="zh-CN"/>
                <w14:textFill>
                  <w14:solidFill>
                    <w14:schemeClr w14:val="tx1"/>
                  </w14:solidFill>
                </w14:textFill>
              </w:rPr>
              <w:t>7</w:t>
            </w:r>
            <w:r>
              <w:rPr>
                <w:rFonts w:hint="eastAsia" w:cs="微软雅黑"/>
                <w:color w:val="000000" w:themeColor="text1"/>
                <w:sz w:val="21"/>
                <w:szCs w:val="21"/>
                <w:highlight w:val="none"/>
                <w:lang w:eastAsia="zh-CN"/>
                <w14:textFill>
                  <w14:solidFill>
                    <w14:schemeClr w14:val="tx1"/>
                  </w14:solidFill>
                </w14:textFill>
              </w:rPr>
              <w:t>、无腐蚀性，无毒性，水溶后呈乳白色。</w:t>
            </w:r>
            <w:r>
              <w:rPr>
                <w:rFonts w:hint="eastAsia"/>
                <w:color w:val="000000" w:themeColor="text1"/>
                <w:sz w:val="21"/>
                <w:szCs w:val="21"/>
                <w:highlight w:val="none"/>
                <w:lang w:eastAsia="zh-CN"/>
                <w14:textFill>
                  <w14:solidFill>
                    <w14:schemeClr w14:val="tx1"/>
                  </w14:solidFill>
                </w14:textFill>
              </w:rPr>
              <w:t>8</w:t>
            </w:r>
            <w:r>
              <w:rPr>
                <w:rFonts w:hint="eastAsia" w:cs="微软雅黑"/>
                <w:color w:val="000000" w:themeColor="text1"/>
                <w:sz w:val="21"/>
                <w:szCs w:val="21"/>
                <w:highlight w:val="none"/>
                <w:lang w:eastAsia="zh-CN"/>
                <w14:textFill>
                  <w14:solidFill>
                    <w14:schemeClr w14:val="tx1"/>
                  </w14:solidFill>
                </w14:textFill>
              </w:rPr>
              <w:t>、本产品属于环保型材料，使用后不会形成二次污染。</w:t>
            </w:r>
          </w:p>
        </w:tc>
      </w:tr>
    </w:tbl>
    <w:p w14:paraId="5AB89074">
      <w:pPr>
        <w:overflowPunct w:val="0"/>
        <w:topLinePunct/>
        <w:ind w:firstLine="48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3</w:t>
      </w:r>
      <w:r>
        <w:rPr>
          <w:rFonts w:ascii="Times New Roman" w:hAnsi="Times New Roman" w:eastAsia="宋体"/>
          <w:color w:val="000000" w:themeColor="text1"/>
          <w:sz w:val="24"/>
          <w:highlight w:val="none"/>
          <w14:textFill>
            <w14:solidFill>
              <w14:schemeClr w14:val="tx1"/>
            </w14:solidFill>
          </w14:textFill>
        </w:rPr>
        <w:t>）运输扬尘：本项目采取道路路面硬化，道路两侧根据实际情况实施绿化以减轻风力的扬尘影响。项目区内运输线路两侧无居民区。运输车辆上覆篷布，运输途中不易起尘，运输途中车辆严禁超载和超速行驶，运输道路进行洒水抑尘，减少粉尘污染。</w:t>
      </w:r>
    </w:p>
    <w:p w14:paraId="318E527E">
      <w:pPr>
        <w:overflowPunct w:val="0"/>
        <w:topLinePunct/>
        <w:ind w:firstLine="48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4</w:t>
      </w:r>
      <w:r>
        <w:rPr>
          <w:rFonts w:ascii="Times New Roman" w:hAnsi="Times New Roman" w:eastAsia="宋体"/>
          <w:color w:val="000000" w:themeColor="text1"/>
          <w:sz w:val="24"/>
          <w:highlight w:val="none"/>
          <w14:textFill>
            <w14:solidFill>
              <w14:schemeClr w14:val="tx1"/>
            </w14:solidFill>
          </w14:textFill>
        </w:rPr>
        <w:t>）针对燃油设备和车辆运行时产生的无组织燃油废气，选用低能耗、高效率的燃油设备和车辆，对其加强日常检修及维护保养，加强对燃油设备和车辆的管理，对项目区建筑设施及场所进行合理布局，在项目区合理设置指示牌，减少燃油设备和车辆运行时间和距离。</w:t>
      </w:r>
    </w:p>
    <w:p w14:paraId="54A8CC14">
      <w:pPr>
        <w:overflowPunct w:val="0"/>
        <w:topLinePunct/>
        <w:ind w:firstLine="48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5</w:t>
      </w:r>
      <w:r>
        <w:rPr>
          <w:rFonts w:ascii="Times New Roman" w:hAnsi="Times New Roman" w:eastAsia="宋体"/>
          <w:color w:val="000000" w:themeColor="text1"/>
          <w:sz w:val="24"/>
          <w:highlight w:val="none"/>
          <w14:textFill>
            <w14:solidFill>
              <w14:schemeClr w14:val="tx1"/>
            </w14:solidFill>
          </w14:textFill>
        </w:rPr>
        <w:t>）污染治理效果的好坏与企业管理机制是息息相关的，由众多调查结果看到，如果企业管理制度严明，管理得当，则不会对企业内环境构成威胁，如果企业内管理制度不严，任其随意堆放，不做任何处理的话，则会对环境产生不可估量的环境污染，影响整个企业的环境，企业管理制度便显示出其绝对重要性，因此必须加强企业管理。</w:t>
      </w:r>
    </w:p>
    <w:p w14:paraId="7A98D828">
      <w:pPr>
        <w:overflowPunct w:val="0"/>
        <w:topLinePunct/>
        <w:ind w:firstLine="48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6</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）本次环评要求选矿厂原料堆场和</w:t>
      </w:r>
      <w:r>
        <w:rPr>
          <w:rFonts w:hint="eastAsia" w:cs="Times New Roman"/>
          <w:color w:val="000000" w:themeColor="text1"/>
          <w:kern w:val="2"/>
          <w:sz w:val="24"/>
          <w:szCs w:val="24"/>
          <w:highlight w:val="none"/>
          <w:lang w:val="en-US" w:eastAsia="zh-CN" w:bidi="ar-SA"/>
          <w14:textFill>
            <w14:solidFill>
              <w14:schemeClr w14:val="tx1"/>
            </w14:solidFill>
          </w14:textFill>
        </w:rPr>
        <w:t>精矿库</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均采用密闭库房，装载机需在封闭库房内作业；皮带输送机</w:t>
      </w:r>
      <w:r>
        <w:rPr>
          <w:rFonts w:hint="eastAsia" w:ascii="Times New Roman" w:hAnsi="Times New Roman" w:eastAsia="宋体"/>
          <w:color w:val="000000" w:themeColor="text1"/>
          <w:sz w:val="24"/>
          <w:highlight w:val="none"/>
          <w:lang w:val="en-US" w:eastAsia="zh-CN"/>
          <w14:textFill>
            <w14:solidFill>
              <w14:schemeClr w14:val="tx1"/>
            </w14:solidFill>
          </w14:textFill>
        </w:rPr>
        <w:t>设</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全封闭式。</w:t>
      </w:r>
    </w:p>
    <w:p w14:paraId="4EC31C27">
      <w:pPr>
        <w:overflowPunct w:val="0"/>
        <w:topLinePunct/>
        <w:ind w:firstLine="48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）现状厂区内和出场道路两侧有废弃矿石随意堆存现象，本次环评要求建设单位对场址范围内外堆存的固废进行清理</w:t>
      </w:r>
      <w:r>
        <w:rPr>
          <w:rFonts w:hint="eastAsia" w:cs="Times New Roman"/>
          <w:color w:val="000000" w:themeColor="text1"/>
          <w:sz w:val="24"/>
          <w:highlight w:val="none"/>
          <w:lang w:val="en-US" w:eastAsia="zh-CN"/>
          <w14:textFill>
            <w14:solidFill>
              <w14:schemeClr w14:val="tx1"/>
            </w14:solidFill>
          </w14:textFill>
        </w:rPr>
        <w:t>，对</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场地进行平整和恢复。</w:t>
      </w:r>
    </w:p>
    <w:p w14:paraId="6AE31CC1">
      <w:pPr>
        <w:overflowPunct w:val="0"/>
        <w:topLinePun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以上措施是国内外生产实践中防止粉尘无组织排放而普遍采用、简易可行的成熟的技术和方法，经同类企业实践证明效果亦是较好的，尤其是对物料堆存粉尘的无组织排放防治效果明显，可以保证无组织粉尘达标排放，最大限度地减少对周围环境的影响。本项目对上述措施应严格予以实施。</w:t>
      </w:r>
    </w:p>
    <w:p w14:paraId="171C4E55">
      <w:pPr>
        <w:overflowPunct w:val="0"/>
        <w:topLinePunct/>
        <w:ind w:firstLine="48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本项目采取的废气治理措施经济合理可行，易操作</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ascii="Times New Roman" w:hAnsi="Times New Roman" w:eastAsia="宋体" w:cs="Times New Roman"/>
          <w:color w:val="000000" w:themeColor="text1"/>
          <w:sz w:val="24"/>
          <w:highlight w:val="none"/>
          <w14:textFill>
            <w14:solidFill>
              <w14:schemeClr w14:val="tx1"/>
            </w14:solidFill>
          </w14:textFill>
        </w:rPr>
        <w:t>对于</w:t>
      </w:r>
      <w:r>
        <w:rPr>
          <w:rFonts w:hint="eastAsia" w:ascii="Times New Roman" w:hAnsi="Times New Roman" w:eastAsia="宋体" w:cs="Times New Roman"/>
          <w:color w:val="000000" w:themeColor="text1"/>
          <w:sz w:val="24"/>
          <w:highlight w:val="none"/>
          <w14:textFill>
            <w14:solidFill>
              <w14:schemeClr w14:val="tx1"/>
            </w14:solidFill>
          </w14:textFill>
        </w:rPr>
        <w:t>本项目</w:t>
      </w:r>
      <w:r>
        <w:rPr>
          <w:rFonts w:ascii="Times New Roman" w:hAnsi="Times New Roman" w:eastAsia="宋体" w:cs="Times New Roman"/>
          <w:color w:val="000000" w:themeColor="text1"/>
          <w:sz w:val="24"/>
          <w:highlight w:val="none"/>
          <w14:textFill>
            <w14:solidFill>
              <w14:schemeClr w14:val="tx1"/>
            </w14:solidFill>
          </w14:textFill>
        </w:rPr>
        <w:t>无组织排放能够起到较好地控制效果。厂界粉尘也满足《铁矿采选工业污染物排放标准》</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ascii="Times New Roman" w:hAnsi="Times New Roman" w:eastAsia="宋体" w:cs="Times New Roman"/>
          <w:color w:val="000000" w:themeColor="text1"/>
          <w:sz w:val="24"/>
          <w:highlight w:val="none"/>
          <w14:textFill>
            <w14:solidFill>
              <w14:schemeClr w14:val="tx1"/>
            </w14:solidFill>
          </w14:textFill>
        </w:rPr>
        <w:t>GB28661-2012</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ascii="Times New Roman" w:hAnsi="Times New Roman" w:eastAsia="宋体" w:cs="Times New Roman"/>
          <w:color w:val="000000" w:themeColor="text1"/>
          <w:sz w:val="24"/>
          <w:highlight w:val="none"/>
          <w14:textFill>
            <w14:solidFill>
              <w14:schemeClr w14:val="tx1"/>
            </w14:solidFill>
          </w14:textFill>
        </w:rPr>
        <w:t>中无组织排放监控浓度限值标准要求。</w:t>
      </w:r>
    </w:p>
    <w:bookmarkEnd w:id="822"/>
    <w:bookmarkEnd w:id="823"/>
    <w:bookmarkEnd w:id="824"/>
    <w:p w14:paraId="1D9A4CBF">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2地表水污染防治措施</w:t>
      </w:r>
    </w:p>
    <w:p w14:paraId="416842A8">
      <w:pPr>
        <w:pStyle w:val="5"/>
        <w:ind w:firstLine="482" w:firstLineChars="200"/>
        <w:rPr>
          <w:color w:val="000000" w:themeColor="text1"/>
          <w:highlight w:val="none"/>
          <w14:textFill>
            <w14:solidFill>
              <w14:schemeClr w14:val="tx1"/>
            </w14:solidFill>
          </w14:textFill>
        </w:rPr>
      </w:pPr>
      <w:bookmarkStart w:id="825" w:name="_Toc21384"/>
      <w:r>
        <w:rPr>
          <w:rFonts w:hint="eastAsia"/>
          <w:color w:val="000000" w:themeColor="text1"/>
          <w:highlight w:val="none"/>
          <w14:textFill>
            <w14:solidFill>
              <w14:schemeClr w14:val="tx1"/>
            </w14:solidFill>
          </w14:textFill>
        </w:rPr>
        <w:t>6.2.2.1生活污水处置措施</w:t>
      </w:r>
    </w:p>
    <w:p w14:paraId="085E1B6C">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（1）生活污水处置措施</w:t>
      </w:r>
    </w:p>
    <w:p w14:paraId="076BB223">
      <w:pPr>
        <w:overflowPunct w:val="0"/>
        <w:topLinePunct/>
        <w:ind w:firstLine="480"/>
        <w:rPr>
          <w:bCs/>
          <w:color w:val="000000" w:themeColor="text1"/>
          <w:kern w:val="0"/>
          <w:highlight w:val="none"/>
          <w14:textFill>
            <w14:solidFill>
              <w14:schemeClr w14:val="tx1"/>
            </w14:solidFill>
          </w14:textFill>
        </w:rPr>
      </w:pPr>
      <w:r>
        <w:rPr>
          <w:rFonts w:hint="eastAsia"/>
          <w:color w:val="000000" w:themeColor="text1"/>
          <w:highlight w:val="none"/>
          <w14:textFill>
            <w14:solidFill>
              <w14:schemeClr w14:val="tx1"/>
            </w14:solidFill>
          </w14:textFill>
        </w:rPr>
        <w:t>本项目生活污水排入地埋式一体化污水处理设施处理。鉴于当地蒸发量较大，为节约用水，项目餐饮废水经隔油池预处理后与盥洗废水等一同排入地埋式一体化污水处理设施（处理规模1m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/h）处理达到《农村生活污水处理排放标准》（DB65 4275-2019）表2规定的A级排放限值以及《城市污水再生利用 城市杂用水水质》（GB/T18920-2020）中的城市绿化、道路清扫、消防、建筑施工限值后</w:t>
      </w:r>
      <w:r>
        <w:rPr>
          <w:rFonts w:hint="eastAsia" w:ascii="宋体" w:hAnsi="宋体" w:cs="宋体"/>
          <w:color w:val="000000" w:themeColor="text1"/>
          <w:spacing w:val="-1"/>
          <w:highlight w:val="none"/>
          <w14:textFill>
            <w14:solidFill>
              <w14:schemeClr w14:val="tx1"/>
            </w14:solidFill>
          </w14:textFill>
        </w:rPr>
        <w:t>用于选矿生产工序循环利用及绿化</w:t>
      </w:r>
      <w:r>
        <w:rPr>
          <w:rFonts w:hint="eastAsia"/>
          <w:color w:val="000000" w:themeColor="text1"/>
          <w:highlight w:val="none"/>
          <w14:textFill>
            <w14:solidFill>
              <w14:schemeClr w14:val="tx1"/>
            </w14:solidFill>
          </w14:textFill>
        </w:rPr>
        <w:t>，不外排。</w:t>
      </w:r>
    </w:p>
    <w:p w14:paraId="468C744A">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kern w:val="0"/>
          <w:highlight w:val="none"/>
          <w14:textFill>
            <w14:solidFill>
              <w14:schemeClr w14:val="tx1"/>
            </w14:solidFill>
          </w14:textFill>
        </w:rPr>
        <w:t>地埋式一体化污水处理设施可行性分析</w:t>
      </w:r>
    </w:p>
    <w:p w14:paraId="7A146469">
      <w:pPr>
        <w:overflowPunct w:val="0"/>
        <w:topLinePunct/>
        <w:ind w:firstLine="480"/>
        <w:rPr>
          <w:color w:val="000000" w:themeColor="text1"/>
          <w:highlight w:val="none"/>
          <w14:textFill>
            <w14:solidFill>
              <w14:schemeClr w14:val="tx1"/>
            </w14:solidFill>
          </w14:textFill>
        </w:rPr>
      </w:pPr>
      <w:r>
        <w:rPr>
          <w:bCs/>
          <w:color w:val="000000" w:themeColor="text1"/>
          <w:kern w:val="0"/>
          <w:highlight w:val="none"/>
          <w14:textFill>
            <w14:solidFill>
              <w14:schemeClr w14:val="tx1"/>
            </w14:solidFill>
          </w14:textFill>
        </w:rPr>
        <w:t>生活污水产生量为</w:t>
      </w:r>
      <w:r>
        <w:rPr>
          <w:rFonts w:hint="eastAsia"/>
          <w:color w:val="000000" w:themeColor="text1"/>
          <w:highlight w:val="none"/>
          <w:lang w:val="en-US" w:eastAsia="zh-CN"/>
          <w14:textFill>
            <w14:solidFill>
              <w14:schemeClr w14:val="tx1"/>
            </w14:solidFill>
          </w14:textFill>
        </w:rPr>
        <w:t>4.25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1275</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bCs/>
          <w:color w:val="000000" w:themeColor="text1"/>
          <w:kern w:val="0"/>
          <w:highlight w:val="none"/>
          <w14:textFill>
            <w14:solidFill>
              <w14:schemeClr w14:val="tx1"/>
            </w14:solidFill>
          </w14:textFill>
        </w:rPr>
        <w:t>，</w:t>
      </w:r>
      <w:r>
        <w:rPr>
          <w:color w:val="000000" w:themeColor="text1"/>
          <w:highlight w:val="none"/>
          <w14:textFill>
            <w14:solidFill>
              <w14:schemeClr w14:val="tx1"/>
            </w14:solidFill>
          </w14:textFill>
        </w:rPr>
        <w:t>地埋式一体化处理设施规模</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h</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生活污水污染物浓度及产生量为</w:t>
      </w:r>
      <w:r>
        <w:rPr>
          <w:color w:val="000000" w:themeColor="text1"/>
          <w:highlight w:val="none"/>
          <w14:textFill>
            <w14:solidFill>
              <w14:schemeClr w14:val="tx1"/>
            </w14:solidFill>
          </w14:textFill>
        </w:rPr>
        <w:t>SS</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220mg/L</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28</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COD</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300mg/L</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0.38</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200mg/L</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25</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）、氨氮：</w:t>
      </w:r>
      <w:r>
        <w:rPr>
          <w:color w:val="000000" w:themeColor="text1"/>
          <w:highlight w:val="none"/>
          <w14:textFill>
            <w14:solidFill>
              <w14:schemeClr w14:val="tx1"/>
            </w14:solidFill>
          </w14:textFill>
        </w:rPr>
        <w:t>30mg/L</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038</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）、动植物油</w:t>
      </w:r>
      <w:r>
        <w:rPr>
          <w:color w:val="000000" w:themeColor="text1"/>
          <w:highlight w:val="none"/>
          <w14:textFill>
            <w14:solidFill>
              <w14:schemeClr w14:val="tx1"/>
            </w14:solidFill>
          </w14:textFill>
        </w:rPr>
        <w:t>100mg/L</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12</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地埋式一体化处理设施主要工艺为格栅→调节池→初沉池→水解酸化池→曝气池→接触氧化池→二沉池→</w:t>
      </w:r>
      <w:r>
        <w:rPr>
          <w:rFonts w:hint="eastAsia"/>
          <w:color w:val="000000" w:themeColor="text1"/>
          <w:highlight w:val="none"/>
          <w:lang w:val="en-US" w:eastAsia="zh-CN"/>
          <w14:textFill>
            <w14:solidFill>
              <w14:schemeClr w14:val="tx1"/>
            </w14:solidFill>
          </w14:textFill>
        </w:rPr>
        <w:t>生物滤膜，具</w:t>
      </w:r>
      <w:r>
        <w:rPr>
          <w:color w:val="000000" w:themeColor="text1"/>
          <w:highlight w:val="none"/>
          <w14:textFill>
            <w14:solidFill>
              <w14:schemeClr w14:val="tx1"/>
            </w14:solidFill>
          </w14:textFill>
        </w:rPr>
        <w:t>有自由组合、适用广泛、不占用土地、运行经济等特点。接触氧化池以及水解酸化池可充分分解含油废水中的油类等有机污染物。</w:t>
      </w:r>
    </w:p>
    <w:p w14:paraId="760705A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其基本工作原理：生活污水经粗、细格栅后和经过预处理后的生产废水进入调节池，在其中达到均质、均量；然后进入初沉池以去除水中悬浮物等，进入初沉池后较大比重的悬浮物及颗粒物下沉到底部；而后进入水解酸化池，水解酸化工艺可将废水中难生物降解的有机物转变为易生物降解的有机物，提高废水的可生化性，以利于后续的好氧处理。经沉淀和水解酸化处理的废水进入接触氧化池，在池内设置填料，池底曝气对污水进行充氧，并使池体内污水处于流动状态，以保证污水与污水中的填料充分接触，避免生物接触氧化池中存在污水与填料接触不均的缺陷。接触氧化池下方分布曝气头以提升氧料，上方串挂气体弹性填料，有机物在水中利用好氧菌的作用得以去除。废水最后进入二沉池，经沉淀后外排，部分污泥回流到接触氧化池。拟建项目采用此项技术，是较为理想的方法，工艺简单，效果良好，出水水质能够达到</w:t>
      </w:r>
      <w:r>
        <w:rPr>
          <w:rFonts w:hint="eastAsia"/>
          <w:color w:val="000000" w:themeColor="text1"/>
          <w:highlight w:val="none"/>
          <w14:textFill>
            <w14:solidFill>
              <w14:schemeClr w14:val="tx1"/>
            </w14:solidFill>
          </w14:textFill>
        </w:rPr>
        <w:t>《农村生活污水处理排放标准》（DB65 4275-2019）表2规定的A级排放限值以及《城市污水再生利用 城市杂用水水质》（GB/T18920-2020）中的城市绿化、道路清扫、消防、建筑施工限值</w:t>
      </w:r>
      <w:r>
        <w:rPr>
          <w:color w:val="000000" w:themeColor="text1"/>
          <w:highlight w:val="none"/>
          <w14:textFill>
            <w14:solidFill>
              <w14:schemeClr w14:val="tx1"/>
            </w14:solidFill>
          </w14:textFill>
        </w:rPr>
        <w:t>。</w:t>
      </w:r>
    </w:p>
    <w:bookmarkEnd w:id="825"/>
    <w:p w14:paraId="2F87465C">
      <w:pPr>
        <w:pStyle w:val="5"/>
        <w:ind w:firstLine="482" w:firstLineChars="200"/>
        <w:rPr>
          <w:color w:val="000000" w:themeColor="text1"/>
          <w:highlight w:val="none"/>
          <w14:textFill>
            <w14:solidFill>
              <w14:schemeClr w14:val="tx1"/>
            </w14:solidFill>
          </w14:textFill>
        </w:rPr>
      </w:pPr>
      <w:bookmarkStart w:id="826" w:name="_Toc14156"/>
      <w:r>
        <w:rPr>
          <w:color w:val="000000" w:themeColor="text1"/>
          <w:highlight w:val="none"/>
          <w14:textFill>
            <w14:solidFill>
              <w14:schemeClr w14:val="tx1"/>
            </w14:solidFill>
          </w14:textFill>
        </w:rPr>
        <w:t>6.2.2.</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生产废水</w:t>
      </w:r>
      <w:r>
        <w:rPr>
          <w:rFonts w:hint="eastAsia"/>
          <w:color w:val="000000" w:themeColor="text1"/>
          <w:highlight w:val="none"/>
          <w14:textFill>
            <w14:solidFill>
              <w14:schemeClr w14:val="tx1"/>
            </w14:solidFill>
          </w14:textFill>
        </w:rPr>
        <w:t>处置措施</w:t>
      </w:r>
    </w:p>
    <w:p w14:paraId="724DE951">
      <w:pPr>
        <w:overflowPunct w:val="0"/>
        <w:topLinePunct/>
        <w:ind w:firstLine="480"/>
        <w:rPr>
          <w:color w:val="000000" w:themeColor="text1"/>
          <w:kern w:val="0"/>
          <w:highlight w:val="none"/>
          <w:lang w:val="zh-CN"/>
          <w14:textFill>
            <w14:solidFill>
              <w14:schemeClr w14:val="tx1"/>
            </w14:solidFill>
          </w14:textFill>
        </w:rPr>
      </w:pPr>
      <w:r>
        <w:rPr>
          <w:rFonts w:hint="eastAsia"/>
          <w:color w:val="000000" w:themeColor="text1"/>
          <w:kern w:val="0"/>
          <w:highlight w:val="none"/>
          <w14:textFill>
            <w14:solidFill>
              <w14:schemeClr w14:val="tx1"/>
            </w14:solidFill>
          </w14:textFill>
        </w:rPr>
        <w:t>（1）</w:t>
      </w:r>
      <w:r>
        <w:rPr>
          <w:rFonts w:hint="eastAsia"/>
          <w:color w:val="000000" w:themeColor="text1"/>
          <w:highlight w:val="none"/>
          <w14:textFill>
            <w14:solidFill>
              <w14:schemeClr w14:val="tx1"/>
            </w14:solidFill>
          </w14:textFill>
        </w:rPr>
        <w:t>选矿废水部分被铁精粉带走，精矿过滤水、尾矿浓缩压滤溢流水返回生产工序循环利用，尾矿库设有回水系统，使用水泵将库内澄清水通过管道泵送至选矿厂生产回水池，供选矿循环使用，实现生产废水“闭路循环”，不外排。</w:t>
      </w:r>
    </w:p>
    <w:p w14:paraId="53189173">
      <w:pPr>
        <w:overflowPunct w:val="0"/>
        <w:topLinePunct/>
        <w:ind w:firstLine="480"/>
        <w:rPr>
          <w:color w:val="000000" w:themeColor="text1"/>
          <w:kern w:val="0"/>
          <w:highlight w:val="none"/>
          <w:lang w:val="zh-CN"/>
          <w14:textFill>
            <w14:solidFill>
              <w14:schemeClr w14:val="tx1"/>
            </w14:solidFill>
          </w14:textFill>
        </w:rPr>
      </w:pPr>
      <w:r>
        <w:rPr>
          <w:rFonts w:hint="eastAsia"/>
          <w:color w:val="000000" w:themeColor="text1"/>
          <w:kern w:val="0"/>
          <w:highlight w:val="none"/>
          <w:lang w:val="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2</w:t>
      </w:r>
      <w:r>
        <w:rPr>
          <w:rFonts w:hint="eastAsia"/>
          <w:color w:val="000000" w:themeColor="text1"/>
          <w:kern w:val="0"/>
          <w:highlight w:val="none"/>
          <w:lang w:val="zh-CN"/>
          <w14:textFill>
            <w14:solidFill>
              <w14:schemeClr w14:val="tx1"/>
            </w14:solidFill>
          </w14:textFill>
        </w:rPr>
        <w:t>）</w:t>
      </w:r>
      <w:r>
        <w:rPr>
          <w:color w:val="000000" w:themeColor="text1"/>
          <w:kern w:val="0"/>
          <w:highlight w:val="none"/>
          <w:lang w:val="zh-CN"/>
          <w14:textFill>
            <w14:solidFill>
              <w14:schemeClr w14:val="tx1"/>
            </w14:solidFill>
          </w14:textFill>
        </w:rPr>
        <w:t>为防止生产废水外排对当地水环境产生影响，企业应从设计、施工到投产全过程加强生产废水的循环利用以及处理措施。</w:t>
      </w:r>
    </w:p>
    <w:p w14:paraId="7663401F">
      <w:pPr>
        <w:overflowPunct w:val="0"/>
        <w:topLinePunct/>
        <w:ind w:firstLine="480"/>
        <w:rPr>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3</w:t>
      </w:r>
      <w:r>
        <w:rPr>
          <w:color w:val="000000" w:themeColor="text1"/>
          <w:kern w:val="0"/>
          <w:highlight w:val="none"/>
          <w:lang w:val="zh-CN"/>
          <w14:textFill>
            <w14:solidFill>
              <w14:schemeClr w14:val="tx1"/>
            </w14:solidFill>
          </w14:textFill>
        </w:rPr>
        <w:t>）本项目选矿工序配备有相应防渗循环水池，生产用水全部循环使用不外排。</w:t>
      </w:r>
    </w:p>
    <w:p w14:paraId="026EC191">
      <w:pPr>
        <w:overflowPunct w:val="0"/>
        <w:topLinePunct/>
        <w:ind w:firstLine="480"/>
        <w:rPr>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4</w:t>
      </w:r>
      <w:r>
        <w:rPr>
          <w:color w:val="000000" w:themeColor="text1"/>
          <w:kern w:val="0"/>
          <w:highlight w:val="none"/>
          <w:lang w:val="zh-CN"/>
          <w14:textFill>
            <w14:solidFill>
              <w14:schemeClr w14:val="tx1"/>
            </w14:solidFill>
          </w14:textFill>
        </w:rPr>
        <w:t>）加强生产管理，防止生产过程中跑、冒、滴、漏、废水四处</w:t>
      </w:r>
      <w:r>
        <w:rPr>
          <w:rFonts w:hint="eastAsia"/>
          <w:color w:val="000000" w:themeColor="text1"/>
          <w:kern w:val="0"/>
          <w:highlight w:val="none"/>
          <w:lang w:val="zh-CN"/>
          <w14:textFill>
            <w14:solidFill>
              <w14:schemeClr w14:val="tx1"/>
            </w14:solidFill>
          </w14:textFill>
        </w:rPr>
        <w:t>蔓延</w:t>
      </w:r>
      <w:r>
        <w:rPr>
          <w:color w:val="000000" w:themeColor="text1"/>
          <w:kern w:val="0"/>
          <w:highlight w:val="none"/>
          <w:lang w:val="zh-CN"/>
          <w14:textFill>
            <w14:solidFill>
              <w14:schemeClr w14:val="tx1"/>
            </w14:solidFill>
          </w14:textFill>
        </w:rPr>
        <w:t>地下，对企业污水处理应加强监管及相应的维护措施，严防事故性废水外排。</w:t>
      </w:r>
      <w:bookmarkEnd w:id="826"/>
    </w:p>
    <w:p w14:paraId="04782816">
      <w:pPr>
        <w:pStyle w:val="4"/>
        <w:rPr>
          <w:color w:val="000000" w:themeColor="text1"/>
          <w:highlight w:val="none"/>
          <w14:textFill>
            <w14:solidFill>
              <w14:schemeClr w14:val="tx1"/>
            </w14:solidFill>
          </w14:textFill>
        </w:rPr>
      </w:pPr>
      <w:bookmarkStart w:id="827" w:name="_Toc29274"/>
      <w:bookmarkStart w:id="828" w:name="_Toc12575"/>
      <w:bookmarkStart w:id="829" w:name="_Toc26495"/>
      <w:bookmarkStart w:id="830" w:name="_Toc8527"/>
      <w:bookmarkStart w:id="831" w:name="_Toc12561"/>
      <w:bookmarkStart w:id="832" w:name="_Toc20657"/>
      <w:bookmarkStart w:id="833" w:name="_Toc7935"/>
      <w:bookmarkStart w:id="834" w:name="_Toc6265"/>
      <w:bookmarkStart w:id="835" w:name="_Toc4947"/>
      <w:bookmarkStart w:id="836" w:name="_Toc30695"/>
      <w:bookmarkStart w:id="837" w:name="_Toc30777"/>
      <w:bookmarkStart w:id="838" w:name="_Toc23681"/>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2.3地下水污染防治措施</w:t>
      </w:r>
      <w:bookmarkEnd w:id="827"/>
      <w:bookmarkEnd w:id="828"/>
      <w:bookmarkEnd w:id="829"/>
    </w:p>
    <w:p w14:paraId="4DF48AE5">
      <w:pPr>
        <w:pStyle w:val="5"/>
        <w:ind w:firstLine="482" w:firstLineChars="200"/>
        <w:rPr>
          <w:color w:val="000000" w:themeColor="text1"/>
          <w:highlight w:val="none"/>
          <w14:textFill>
            <w14:solidFill>
              <w14:schemeClr w14:val="tx1"/>
            </w14:solidFill>
          </w14:textFill>
        </w:rPr>
      </w:pPr>
      <w:bookmarkStart w:id="839" w:name="_Toc1278_WPSOffice_Level3"/>
      <w:r>
        <w:rPr>
          <w:color w:val="000000" w:themeColor="text1"/>
          <w:highlight w:val="none"/>
          <w14:textFill>
            <w14:solidFill>
              <w14:schemeClr w14:val="tx1"/>
            </w14:solidFill>
          </w14:textFill>
        </w:rPr>
        <w:t>6.2.</w:t>
      </w:r>
      <w:r>
        <w:rPr>
          <w:rFonts w:hint="eastAsia"/>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t>地下水水质监控措施</w:t>
      </w:r>
    </w:p>
    <w:p w14:paraId="76A7A9F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监测井</w:t>
      </w:r>
      <w:r>
        <w:rPr>
          <w:color w:val="000000" w:themeColor="text1"/>
          <w:highlight w:val="none"/>
          <w14:textFill>
            <w14:solidFill>
              <w14:schemeClr w14:val="tx1"/>
            </w14:solidFill>
          </w14:textFill>
        </w:rPr>
        <w:t>设置：建立地下水</w:t>
      </w:r>
      <w:r>
        <w:rPr>
          <w:rFonts w:hint="eastAsia"/>
          <w:color w:val="000000" w:themeColor="text1"/>
          <w:highlight w:val="none"/>
          <w:lang w:eastAsia="zh-CN"/>
          <w14:textFill>
            <w14:solidFill>
              <w14:schemeClr w14:val="tx1"/>
            </w14:solidFill>
          </w14:textFill>
        </w:rPr>
        <w:t>环境</w:t>
      </w:r>
      <w:r>
        <w:rPr>
          <w:color w:val="000000" w:themeColor="text1"/>
          <w:highlight w:val="none"/>
          <w14:textFill>
            <w14:solidFill>
              <w14:schemeClr w14:val="tx1"/>
            </w14:solidFill>
          </w14:textFill>
        </w:rPr>
        <w:t>监测管理体系，配置必要的地下水监控井，以便及时准确地反馈地下水水质状况，为防止对地下水的污染采取相应的措施提供重要依据。根据《地下水环境监测技术规范》（HJ164-2020）的要求，根据本项目类型、地下水评价等级及前述地下水预测结果，本次共布设</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眼监控井，监控井</w:t>
      </w:r>
      <w:r>
        <w:rPr>
          <w:rFonts w:hint="eastAsia"/>
          <w:color w:val="000000" w:themeColor="text1"/>
          <w:highlight w:val="none"/>
          <w14:textFill>
            <w14:solidFill>
              <w14:schemeClr w14:val="tx1"/>
            </w14:solidFill>
          </w14:textFill>
        </w:rPr>
        <w:t>分别</w:t>
      </w:r>
      <w:r>
        <w:rPr>
          <w:rFonts w:hint="eastAsia"/>
          <w:color w:val="000000" w:themeColor="text1"/>
          <w:highlight w:val="none"/>
          <w:lang w:eastAsia="zh-CN"/>
          <w14:textFill>
            <w14:solidFill>
              <w14:schemeClr w14:val="tx1"/>
            </w14:solidFill>
          </w14:textFill>
        </w:rPr>
        <w:t>在上游和下游设置</w:t>
      </w:r>
      <w:r>
        <w:rPr>
          <w:color w:val="000000" w:themeColor="text1"/>
          <w:highlight w:val="none"/>
          <w14:textFill>
            <w14:solidFill>
              <w14:schemeClr w14:val="tx1"/>
            </w14:solidFill>
          </w14:textFill>
        </w:rPr>
        <w:t>。</w:t>
      </w:r>
    </w:p>
    <w:p w14:paraId="5C78F65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（2）监测计划：地下水跟踪监测项目为地下水水位、水</w:t>
      </w:r>
      <w:r>
        <w:rPr>
          <w:rFonts w:hint="eastAsia"/>
          <w:color w:val="000000" w:themeColor="text1"/>
          <w:highlight w:val="none"/>
          <w:lang w:eastAsia="zh-CN"/>
          <w14:textFill>
            <w14:solidFill>
              <w14:schemeClr w14:val="tx1"/>
            </w14:solidFill>
          </w14:textFill>
        </w:rPr>
        <w:t>质</w:t>
      </w:r>
      <w:r>
        <w:rPr>
          <w:color w:val="000000" w:themeColor="text1"/>
          <w:highlight w:val="none"/>
          <w14:textFill>
            <w14:solidFill>
              <w14:schemeClr w14:val="tx1"/>
            </w14:solidFill>
          </w14:textFill>
        </w:rPr>
        <w:t>水温，同时还应测定气温，描述天气情况和降水情况。</w:t>
      </w:r>
    </w:p>
    <w:p w14:paraId="27776FF8">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水质监测因子包括八大离子、基本水质因子和特征因子。本项目包括基本水质因子以pH、硝酸盐、亚硝酸盐、挥发性酚类、氰化物、砷、汞、铬（六价）、总硬度、铅、氯、镉、铁、锰、溶解性总固体、高锰酸盐指数、硫酸盐、氯化物、石油类等及背景值超标的水质因子为基础，跟踪检测因子包括环境监测的超标因子。</w:t>
      </w:r>
    </w:p>
    <w:p w14:paraId="5D71D999">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项目区布设监控井，</w:t>
      </w:r>
      <w:r>
        <w:rPr>
          <w:rFonts w:hint="eastAsia"/>
          <w:color w:val="000000" w:themeColor="text1"/>
          <w:highlight w:val="none"/>
          <w:lang w:val="en-US" w:eastAsia="zh-CN"/>
          <w14:textFill>
            <w14:solidFill>
              <w14:schemeClr w14:val="tx1"/>
            </w14:solidFill>
          </w14:textFill>
        </w:rPr>
        <w:t>依据《工业企业土壤和地下水自行监测技术指南》（HJ1209-2021），</w:t>
      </w:r>
      <w:r>
        <w:rPr>
          <w:color w:val="000000" w:themeColor="text1"/>
          <w:highlight w:val="none"/>
          <w14:textFill>
            <w14:solidFill>
              <w14:schemeClr w14:val="tx1"/>
            </w14:solidFill>
          </w14:textFill>
        </w:rPr>
        <w:t>监测频率宜为</w:t>
      </w:r>
      <w:r>
        <w:rPr>
          <w:rFonts w:hint="eastAsia"/>
          <w:color w:val="000000" w:themeColor="text1"/>
          <w:highlight w:val="none"/>
          <w:lang w:val="en-US" w:eastAsia="zh-CN"/>
          <w14:textFill>
            <w14:solidFill>
              <w14:schemeClr w14:val="tx1"/>
            </w14:solidFill>
          </w14:textFill>
        </w:rPr>
        <w:t>每半年一次</w:t>
      </w:r>
      <w:r>
        <w:rPr>
          <w:color w:val="000000" w:themeColor="text1"/>
          <w:highlight w:val="none"/>
          <w14:textFill>
            <w14:solidFill>
              <w14:schemeClr w14:val="tx1"/>
            </w14:solidFill>
          </w14:textFill>
        </w:rPr>
        <w:t>，监测一旦发现水质发生异常，应及时通知有关管理部门，做好应急防范工作，同时应立即查找</w:t>
      </w:r>
      <w:r>
        <w:rPr>
          <w:rFonts w:hint="eastAsia"/>
          <w:color w:val="000000" w:themeColor="text1"/>
          <w:highlight w:val="none"/>
          <w:lang w:eastAsia="zh-CN"/>
          <w14:textFill>
            <w14:solidFill>
              <w14:schemeClr w14:val="tx1"/>
            </w14:solidFill>
          </w14:textFill>
        </w:rPr>
        <w:t>渗</w:t>
      </w:r>
      <w:r>
        <w:rPr>
          <w:color w:val="000000" w:themeColor="text1"/>
          <w:highlight w:val="none"/>
          <w14:textFill>
            <w14:solidFill>
              <w14:schemeClr w14:val="tx1"/>
            </w14:solidFill>
          </w14:textFill>
        </w:rPr>
        <w:t>漏点，进行修补。</w:t>
      </w:r>
    </w:p>
    <w:p w14:paraId="15381895">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（3）管理要求：</w:t>
      </w:r>
    </w:p>
    <w:p w14:paraId="2B33E32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①项目区</w:t>
      </w:r>
      <w:r>
        <w:rPr>
          <w:rFonts w:hint="eastAsia"/>
          <w:color w:val="000000" w:themeColor="text1"/>
          <w:highlight w:val="none"/>
          <w:lang w:val="en-US" w:eastAsia="zh-CN"/>
          <w14:textFill>
            <w14:solidFill>
              <w14:schemeClr w14:val="tx1"/>
            </w14:solidFill>
          </w14:textFill>
        </w:rPr>
        <w:t>安环部</w:t>
      </w:r>
      <w:r>
        <w:rPr>
          <w:color w:val="000000" w:themeColor="text1"/>
          <w:highlight w:val="none"/>
          <w14:textFill>
            <w14:solidFill>
              <w14:schemeClr w14:val="tx1"/>
            </w14:solidFill>
          </w14:textFill>
        </w:rPr>
        <w:t>指派专人负责防治地下水污染管理工作。</w:t>
      </w:r>
    </w:p>
    <w:p w14:paraId="177A6C72">
      <w:pPr>
        <w:overflowPunct w:val="0"/>
        <w:topLinePunct/>
        <w:ind w:firstLine="48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②企业应指派专人负责地下水环境跟踪监测工作，按上述监控措施委托具有监测资质的单位负责地下水监控工作，并按要求及时分析整理原始资料和负责监测报告的编写工作</w:t>
      </w:r>
      <w:r>
        <w:rPr>
          <w:rFonts w:hint="eastAsia"/>
          <w:color w:val="000000" w:themeColor="text1"/>
          <w:highlight w:val="none"/>
          <w:lang w:eastAsia="zh-CN"/>
          <w14:textFill>
            <w14:solidFill>
              <w14:schemeClr w14:val="tx1"/>
            </w14:solidFill>
          </w14:textFill>
        </w:rPr>
        <w:t>。</w:t>
      </w:r>
    </w:p>
    <w:p w14:paraId="3149221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③企业应按时（宜每年2次）向</w:t>
      </w:r>
      <w:r>
        <w:rPr>
          <w:rFonts w:hint="eastAsia"/>
          <w:color w:val="000000" w:themeColor="text1"/>
          <w:highlight w:val="none"/>
          <w:lang w:val="en-US" w:eastAsia="zh-CN"/>
          <w14:textFill>
            <w14:solidFill>
              <w14:schemeClr w14:val="tx1"/>
            </w14:solidFill>
          </w14:textFill>
        </w:rPr>
        <w:t>生态环境主管部门</w:t>
      </w:r>
      <w:r>
        <w:rPr>
          <w:color w:val="000000" w:themeColor="text1"/>
          <w:highlight w:val="none"/>
          <w14:textFill>
            <w14:solidFill>
              <w14:schemeClr w14:val="tx1"/>
            </w14:solidFill>
          </w14:textFill>
        </w:rPr>
        <w:t>上报生产运行记录，内容应包括地下水监测报告，排放污染物的种类、数量、浓度，生产设备、管道与管沟、原料及成品贮存与运输装置、污染物贮存与处理装置、事故应急装置等设施的运行状况、跑冒滴漏记录、维护记录等。由项目区</w:t>
      </w:r>
      <w:r>
        <w:rPr>
          <w:rFonts w:hint="eastAsia"/>
          <w:color w:val="000000" w:themeColor="text1"/>
          <w:highlight w:val="none"/>
          <w:lang w:val="en-US" w:eastAsia="zh-CN"/>
          <w14:textFill>
            <w14:solidFill>
              <w14:schemeClr w14:val="tx1"/>
            </w14:solidFill>
          </w14:textFill>
        </w:rPr>
        <w:t>生态环境主管部门</w:t>
      </w:r>
      <w:r>
        <w:rPr>
          <w:color w:val="000000" w:themeColor="text1"/>
          <w:highlight w:val="none"/>
          <w14:textFill>
            <w14:solidFill>
              <w14:schemeClr w14:val="tx1"/>
            </w14:solidFill>
          </w14:textFill>
        </w:rPr>
        <w:t>建立地下水环境跟踪监测数据信息管理系统，编制地下水环境跟踪监测报告并在网站上公示信息，公开内容至少应包括该建设项目的特征因子及其相应的背景监测值和现状监测值。</w:t>
      </w:r>
    </w:p>
    <w:p w14:paraId="4E126934">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（4）技术措施：</w:t>
      </w:r>
    </w:p>
    <w:p w14:paraId="790A3904">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①按照《地下水环境监测技术规范》</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HJ164-2020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要求，及时上报监测数据和有关表格。</w:t>
      </w:r>
    </w:p>
    <w:p w14:paraId="3C4FB3FA">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②在日常例行监测中，</w:t>
      </w:r>
      <w:r>
        <w:rPr>
          <w:rFonts w:hint="eastAsia"/>
          <w:color w:val="000000" w:themeColor="text1"/>
          <w:highlight w:val="none"/>
          <w14:textFill>
            <w14:solidFill>
              <w14:schemeClr w14:val="tx1"/>
            </w14:solidFill>
          </w14:textFill>
        </w:rPr>
        <w:t>一旦</w:t>
      </w:r>
      <w:r>
        <w:rPr>
          <w:color w:val="000000" w:themeColor="text1"/>
          <w:highlight w:val="none"/>
          <w14:textFill>
            <w14:solidFill>
              <w14:schemeClr w14:val="tx1"/>
            </w14:solidFill>
          </w14:textFill>
        </w:rPr>
        <w:t>发现地下水水质监测数据异常，应尽快核查数据，查找异常原因，确保数据的正确性。并将核查过的监测数据通告</w:t>
      </w:r>
      <w:r>
        <w:rPr>
          <w:rFonts w:hint="eastAsia"/>
          <w:color w:val="000000" w:themeColor="text1"/>
          <w:szCs w:val="21"/>
          <w:highlight w:val="none"/>
          <w14:textFill>
            <w14:solidFill>
              <w14:schemeClr w14:val="tx1"/>
            </w14:solidFill>
          </w14:textFill>
        </w:rPr>
        <w:t>生态环境主管部门</w:t>
      </w:r>
      <w:r>
        <w:rPr>
          <w:color w:val="000000" w:themeColor="text1"/>
          <w:highlight w:val="none"/>
          <w14:textFill>
            <w14:solidFill>
              <w14:schemeClr w14:val="tx1"/>
            </w14:solidFill>
          </w14:textFill>
        </w:rPr>
        <w:t>，由专人负责对数据进行分析、核实，并密切关注生产设施的运行情况，为防止地下污染采取措施提供正确可靠的依据、应采取的措施有：</w:t>
      </w:r>
    </w:p>
    <w:p w14:paraId="3AB9FF0F">
      <w:pPr>
        <w:numPr>
          <w:ilvl w:val="0"/>
          <w:numId w:val="5"/>
        </w:num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了解全区生产是否出现异常情况，出现异常情况的装置、原因。加大随测密度，如监测</w:t>
      </w:r>
      <w:r>
        <w:rPr>
          <w:rFonts w:hint="eastAsia"/>
          <w:color w:val="000000" w:themeColor="text1"/>
          <w:highlight w:val="none"/>
          <w:lang w:eastAsia="zh-CN"/>
          <w14:textFill>
            <w14:solidFill>
              <w14:schemeClr w14:val="tx1"/>
            </w14:solidFill>
          </w14:textFill>
        </w:rPr>
        <w:t>频率</w:t>
      </w:r>
      <w:r>
        <w:rPr>
          <w:color w:val="000000" w:themeColor="text1"/>
          <w:highlight w:val="none"/>
          <w14:textFill>
            <w14:solidFill>
              <w14:schemeClr w14:val="tx1"/>
            </w14:solidFill>
          </w14:textFill>
        </w:rPr>
        <w:t>由每季一次临时加密为每大一次成更多，连续多大，分析变化动向</w:t>
      </w:r>
      <w:r>
        <w:rPr>
          <w:rFonts w:hint="eastAsia"/>
          <w:color w:val="000000" w:themeColor="text1"/>
          <w:highlight w:val="none"/>
          <w14:textFill>
            <w14:solidFill>
              <w14:schemeClr w14:val="tx1"/>
            </w14:solidFill>
          </w14:textFill>
        </w:rPr>
        <w:t>；</w:t>
      </w:r>
    </w:p>
    <w:p w14:paraId="0B567F6E">
      <w:pPr>
        <w:numPr>
          <w:ilvl w:val="0"/>
          <w:numId w:val="5"/>
        </w:num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定期对污染区的装置等进行检查。</w:t>
      </w:r>
    </w:p>
    <w:p w14:paraId="4E25896E">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6.2.</w:t>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t>地下水污染事故应急预案和应急处置</w:t>
      </w:r>
      <w:bookmarkEnd w:id="839"/>
    </w:p>
    <w:p w14:paraId="51A4AE7D">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在制定</w:t>
      </w:r>
      <w:r>
        <w:rPr>
          <w:rFonts w:hint="eastAsia"/>
          <w:color w:val="000000" w:themeColor="text1"/>
          <w:highlight w:val="none"/>
          <w14:textFill>
            <w14:solidFill>
              <w14:schemeClr w14:val="tx1"/>
            </w14:solidFill>
          </w14:textFill>
        </w:rPr>
        <w:t>选厂</w:t>
      </w:r>
      <w:r>
        <w:rPr>
          <w:color w:val="000000" w:themeColor="text1"/>
          <w:highlight w:val="none"/>
          <w14:textFill>
            <w14:solidFill>
              <w14:schemeClr w14:val="tx1"/>
            </w14:solidFill>
          </w14:textFill>
        </w:rPr>
        <w:t>环境管理体制的基础上，制订专门的地下水污染事故的应急措施，并应与其它应急预案相协调。地下水应急预案应包括以下内容：</w:t>
      </w:r>
    </w:p>
    <w:p w14:paraId="7A8886C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①应急预案的日常协调和指挥机构；</w:t>
      </w:r>
    </w:p>
    <w:p w14:paraId="5D7FB8B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②相关部门在应急预案中的职责和分工；</w:t>
      </w:r>
    </w:p>
    <w:p w14:paraId="51350017">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③地下水环境保护目标的确定，采取的紧急处置措施和潜在污染源评估；</w:t>
      </w:r>
    </w:p>
    <w:p w14:paraId="66CD7AF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④特大事故应急救援组织状况和人员、装备情况，平常的训练和演习；</w:t>
      </w:r>
    </w:p>
    <w:p w14:paraId="00AE601A">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⑤特大事故的社会支持和援助，应急救援的经费保障。</w:t>
      </w:r>
    </w:p>
    <w:p w14:paraId="65A1D153">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一旦发现地下水发生异常情况，必须按照应急预案马上采取紧急措施：</w:t>
      </w:r>
    </w:p>
    <w:p w14:paraId="3DDF1334">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①当确定发生地下水异常情况时，按照制订的地下水应急预案，</w:t>
      </w:r>
      <w:r>
        <w:rPr>
          <w:rFonts w:hint="eastAsia"/>
          <w:color w:val="000000" w:themeColor="text1"/>
          <w:highlight w:val="none"/>
          <w:lang w:eastAsia="zh-CN"/>
          <w14:textFill>
            <w14:solidFill>
              <w14:schemeClr w14:val="tx1"/>
            </w14:solidFill>
          </w14:textFill>
        </w:rPr>
        <w:t>在第一时间</w:t>
      </w:r>
      <w:r>
        <w:rPr>
          <w:color w:val="000000" w:themeColor="text1"/>
          <w:highlight w:val="none"/>
          <w14:textFill>
            <w14:solidFill>
              <w14:schemeClr w14:val="tx1"/>
            </w14:solidFill>
          </w14:textFill>
        </w:rPr>
        <w:t>尽快上报公司主管领导，并及时向有关政府部门报告，密切关注地下水水质变化情况。</w:t>
      </w:r>
    </w:p>
    <w:p w14:paraId="08ED9913">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组织专业队伍对事故现场进行调查、监测，查找环境事故发生点、分析事故原因，尽量将紧急事件局部化，如可能应予以消除，采取包括切断生产装置或设施等措施，防止事故的扩散、蔓延及连锁反应，尽量缩小地下水污染事故对人员和财产的影响。</w:t>
      </w:r>
    </w:p>
    <w:p w14:paraId="56D9CE9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③对事故后果进行评估，并制定防止类似事件发生的措施。</w:t>
      </w:r>
    </w:p>
    <w:p w14:paraId="5015502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④必要时应请求社会应急力量协助处理。</w:t>
      </w:r>
    </w:p>
    <w:p w14:paraId="5BFF805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地下水污染具有不易被发现和一旦发生污染事故很难治理的特点，因此，</w:t>
      </w:r>
      <w:r>
        <w:rPr>
          <w:rFonts w:hint="eastAsia"/>
          <w:color w:val="000000" w:themeColor="text1"/>
          <w:highlight w:val="none"/>
          <w:lang w:eastAsia="zh-CN"/>
          <w14:textFill>
            <w14:solidFill>
              <w14:schemeClr w14:val="tx1"/>
            </w14:solidFill>
          </w14:textFill>
        </w:rPr>
        <w:t>防治</w:t>
      </w:r>
      <w:r>
        <w:rPr>
          <w:color w:val="000000" w:themeColor="text1"/>
          <w:highlight w:val="none"/>
          <w14:textFill>
            <w14:solidFill>
              <w14:schemeClr w14:val="tx1"/>
            </w14:solidFill>
          </w14:textFill>
        </w:rPr>
        <w:t>地下水污染应遵循源头控制、分区防治、污染监测及事故应急处理的主动及被动相结合的原则。</w:t>
      </w:r>
    </w:p>
    <w:p w14:paraId="7972233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地下水污染调查及污染修复是一项专业性较强的工作，一旦发生污染事故，应委托具有地下水及土壤污染治理能力及污染事故处理经验的单位查明并修复污染地区地下水及土壤修复。</w:t>
      </w:r>
    </w:p>
    <w:p w14:paraId="67019ABD">
      <w:pPr>
        <w:pStyle w:val="41"/>
        <w:overflowPunct w:val="0"/>
        <w:topLinePunct/>
        <w:spacing w:line="480" w:lineRule="exact"/>
        <w:ind w:firstLine="480"/>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由以上预测分析可知，在采取</w:t>
      </w:r>
      <w:r>
        <w:rPr>
          <w:rFonts w:hint="eastAsia" w:cs="Times New Roman"/>
          <w:color w:val="000000" w:themeColor="text1"/>
          <w:highlight w:val="none"/>
          <w:lang w:eastAsia="zh-CN"/>
          <w14:textFill>
            <w14:solidFill>
              <w14:schemeClr w14:val="tx1"/>
            </w14:solidFill>
          </w14:textFill>
        </w:rPr>
        <w:t>以上</w:t>
      </w:r>
      <w:r>
        <w:rPr>
          <w:rFonts w:cs="Times New Roman"/>
          <w:color w:val="000000" w:themeColor="text1"/>
          <w:highlight w:val="none"/>
          <w14:textFill>
            <w14:solidFill>
              <w14:schemeClr w14:val="tx1"/>
            </w14:solidFill>
          </w14:textFill>
        </w:rPr>
        <w:t>环境保护措施的情况下，该项目不会对当地地下水产生影响</w:t>
      </w:r>
      <w:r>
        <w:rPr>
          <w:rFonts w:hint="eastAsia" w:cs="Times New Roman"/>
          <w:color w:val="000000" w:themeColor="text1"/>
          <w:highlight w:val="none"/>
          <w14:textFill>
            <w14:solidFill>
              <w14:schemeClr w14:val="tx1"/>
            </w14:solidFill>
          </w14:textFill>
        </w:rPr>
        <w:t>。</w:t>
      </w:r>
    </w:p>
    <w:p w14:paraId="74B1CF99">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6.2.3.</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全厂分区防渗措施</w:t>
      </w:r>
    </w:p>
    <w:p w14:paraId="1314C699">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地面防渗工程设计原则</w:t>
      </w:r>
      <w:r>
        <w:rPr>
          <w:rFonts w:hint="eastAsia"/>
          <w:color w:val="000000" w:themeColor="text1"/>
          <w:highlight w:val="none"/>
          <w14:textFill>
            <w14:solidFill>
              <w14:schemeClr w14:val="tx1"/>
            </w14:solidFill>
          </w14:textFill>
        </w:rPr>
        <w:t>：</w:t>
      </w:r>
    </w:p>
    <w:p w14:paraId="090784F7">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（1）采用国际国内先进的防渗材料、技术和实施手段，确保工程建设对区域内地下水影响最小，确保地下水现有水体功能。</w:t>
      </w:r>
    </w:p>
    <w:p w14:paraId="5768E89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（2）坚持分区管理和控制原则，根据场址所在地的工程地质、水文地质条件和全厂可能发生泄漏的物料性质、排放量，参照相应标准要求有针对性</w:t>
      </w:r>
      <w:r>
        <w:rPr>
          <w:rFonts w:hint="eastAsia"/>
          <w:color w:val="000000" w:themeColor="text1"/>
          <w:highlight w:val="none"/>
          <w:lang w:eastAsia="zh-CN"/>
          <w14:textFill>
            <w14:solidFill>
              <w14:schemeClr w14:val="tx1"/>
            </w14:solidFill>
          </w14:textFill>
        </w:rPr>
        <w:t>地</w:t>
      </w:r>
      <w:r>
        <w:rPr>
          <w:color w:val="000000" w:themeColor="text1"/>
          <w:highlight w:val="none"/>
          <w14:textFill>
            <w14:solidFill>
              <w14:schemeClr w14:val="tx1"/>
            </w14:solidFill>
          </w14:textFill>
        </w:rPr>
        <w:t>分区，并分别设计地面防渗层结构。</w:t>
      </w:r>
    </w:p>
    <w:p w14:paraId="1EEECCC4">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（3）坚持</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可视化</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原则，在满足工程和防渗层结构标准要求的前提下，尽量在地表面实施防渗措施，便于泄漏物质的收集和及时发现破损的防渗层。</w:t>
      </w:r>
    </w:p>
    <w:p w14:paraId="07807543">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lang w:eastAsia="zh-CN"/>
          <w14:textFill>
            <w14:solidFill>
              <w14:schemeClr w14:val="tx1"/>
            </w14:solidFill>
          </w14:textFill>
        </w:rPr>
        <w:t>）在</w:t>
      </w:r>
      <w:r>
        <w:rPr>
          <w:color w:val="000000" w:themeColor="text1"/>
          <w:highlight w:val="none"/>
          <w14:textFill>
            <w14:solidFill>
              <w14:schemeClr w14:val="tx1"/>
            </w14:solidFill>
          </w14:textFill>
        </w:rPr>
        <w:t>可能泄漏危险废物的重点污染防治区设置检漏设施。</w:t>
      </w:r>
    </w:p>
    <w:p w14:paraId="6DF8D5B8">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（5）防渗层上渗漏污染物和防渗层内渗漏污染物收集系统与全厂</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三废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处理措施统筹考虑，统一处理。</w:t>
      </w:r>
    </w:p>
    <w:p w14:paraId="27067CB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本项目区应划分为非污染区和污染区，污染区分为简单防渗区、一般防渗区和重点防渗区。非污染区可不进行防渗处理，污染区则应按照不同分区要求，采取不同等级的防渗措施，并确保其可靠性和有效性。</w:t>
      </w:r>
    </w:p>
    <w:p w14:paraId="6A0763D9">
      <w:pPr>
        <w:pStyle w:val="97"/>
        <w:overflowPunct w:val="0"/>
        <w:topLinePunct/>
        <w:spacing w:line="480" w:lineRule="exact"/>
        <w:ind w:firstLine="480"/>
        <w:rPr>
          <w:rFonts w:eastAsia="宋体"/>
          <w:color w:val="000000" w:themeColor="text1"/>
          <w:sz w:val="24"/>
          <w:highlight w:val="none"/>
          <w14:textFill>
            <w14:solidFill>
              <w14:schemeClr w14:val="tx1"/>
            </w14:solidFill>
          </w14:textFill>
        </w:rPr>
      </w:pPr>
      <w:r>
        <w:rPr>
          <w:rFonts w:eastAsia="宋体"/>
          <w:color w:val="000000" w:themeColor="text1"/>
          <w:sz w:val="24"/>
          <w:highlight w:val="none"/>
          <w14:textFill>
            <w14:solidFill>
              <w14:schemeClr w14:val="tx1"/>
            </w14:solidFill>
          </w14:textFill>
        </w:rPr>
        <w:t>重点防渗区：</w:t>
      </w:r>
    </w:p>
    <w:p w14:paraId="17C832C6">
      <w:pPr>
        <w:pStyle w:val="97"/>
        <w:overflowPunct w:val="0"/>
        <w:topLinePunct/>
        <w:spacing w:line="480" w:lineRule="exact"/>
        <w:ind w:firstLine="480"/>
        <w:rPr>
          <w:rFonts w:hint="default" w:eastAsia="宋体"/>
          <w:color w:val="000000" w:themeColor="text1"/>
          <w:sz w:val="24"/>
          <w:highlight w:val="none"/>
          <w:lang w:val="en-US" w:eastAsia="zh-CN"/>
          <w14:textFill>
            <w14:solidFill>
              <w14:schemeClr w14:val="tx1"/>
            </w14:solidFill>
          </w14:textFill>
        </w:rPr>
      </w:pPr>
      <w:r>
        <w:rPr>
          <w:rFonts w:eastAsia="宋体"/>
          <w:color w:val="000000" w:themeColor="text1"/>
          <w:sz w:val="24"/>
          <w:highlight w:val="none"/>
          <w14:textFill>
            <w14:solidFill>
              <w14:schemeClr w14:val="tx1"/>
            </w14:solidFill>
          </w14:textFill>
        </w:rPr>
        <w:t>重点防渗区</w:t>
      </w:r>
      <w:r>
        <w:rPr>
          <w:rFonts w:hint="eastAsia" w:eastAsia="宋体"/>
          <w:color w:val="000000" w:themeColor="text1"/>
          <w:sz w:val="24"/>
          <w:highlight w:val="none"/>
          <w:lang w:val="en-US" w:eastAsia="zh-CN"/>
          <w14:textFill>
            <w14:solidFill>
              <w14:schemeClr w14:val="tx1"/>
            </w14:solidFill>
          </w14:textFill>
        </w:rPr>
        <w:t>防渗层</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由下至上为压实平整地基、0.3m厚砂砾料保护层、400g/m</w:t>
      </w:r>
      <w:r>
        <w:rPr>
          <w:rFonts w:hint="default" w:ascii="Times New Roman" w:hAnsi="Times New Roman" w:eastAsia="宋体" w:cs="Times New Roman"/>
          <w:color w:val="000000" w:themeColor="text1"/>
          <w:spacing w:val="0"/>
          <w:w w:val="100"/>
          <w:position w:val="0"/>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土工布、1.5mm厚HDPE土工膜</w:t>
      </w:r>
      <w:r>
        <w:rPr>
          <w:rFonts w:hint="eastAsia" w:ascii="Times New Roman" w:hAnsi="Times New Roman" w:cs="Times New Roman"/>
          <w:color w:val="000000" w:themeColor="text1"/>
          <w:spacing w:val="0"/>
          <w:w w:val="100"/>
          <w:position w:val="0"/>
          <w:sz w:val="24"/>
          <w:szCs w:val="24"/>
          <w:highlight w:val="none"/>
          <w:lang w:eastAsia="zh-CN"/>
          <w14:textFill>
            <w14:solidFill>
              <w14:schemeClr w14:val="tx1"/>
            </w14:solidFill>
          </w14:textFill>
        </w:rPr>
        <w:t>。</w:t>
      </w:r>
      <w:r>
        <w:rPr>
          <w:rFonts w:eastAsia="宋体"/>
          <w:color w:val="000000" w:themeColor="text1"/>
          <w:sz w:val="24"/>
          <w:highlight w:val="none"/>
          <w14:textFill>
            <w14:solidFill>
              <w14:schemeClr w14:val="tx1"/>
            </w14:solidFill>
          </w14:textFill>
        </w:rPr>
        <w:t>周围须设置具有强防渗性的围堰和导流</w:t>
      </w:r>
      <w:r>
        <w:rPr>
          <w:rFonts w:hint="eastAsia" w:eastAsia="宋体"/>
          <w:color w:val="000000" w:themeColor="text1"/>
          <w:sz w:val="24"/>
          <w:highlight w:val="none"/>
          <w:lang w:val="en-US" w:eastAsia="zh-CN"/>
          <w14:textFill>
            <w14:solidFill>
              <w14:schemeClr w14:val="tx1"/>
            </w14:solidFill>
          </w14:textFill>
        </w:rPr>
        <w:t>槽</w:t>
      </w:r>
      <w:r>
        <w:rPr>
          <w:rFonts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14:textFill>
            <w14:solidFill>
              <w14:schemeClr w14:val="tx1"/>
            </w14:solidFill>
          </w14:textFill>
        </w:rPr>
        <w:t>防渗要求需保证防渗性能不低于6米厚、渗透系数不大于10</w:t>
      </w:r>
      <w:r>
        <w:rPr>
          <w:rFonts w:hint="eastAsia" w:eastAsia="宋体"/>
          <w:color w:val="000000" w:themeColor="text1"/>
          <w:sz w:val="24"/>
          <w:highlight w:val="none"/>
          <w:vertAlign w:val="superscript"/>
          <w14:textFill>
            <w14:solidFill>
              <w14:schemeClr w14:val="tx1"/>
            </w14:solidFill>
          </w14:textFill>
        </w:rPr>
        <w:t>-7</w:t>
      </w:r>
      <w:r>
        <w:rPr>
          <w:rFonts w:hint="eastAsia" w:eastAsia="宋体"/>
          <w:color w:val="000000" w:themeColor="text1"/>
          <w:sz w:val="24"/>
          <w:highlight w:val="none"/>
          <w14:textFill>
            <w14:solidFill>
              <w14:schemeClr w14:val="tx1"/>
            </w14:solidFill>
          </w14:textFill>
        </w:rPr>
        <w:t>cm/s的黏土层防渗性能。</w:t>
      </w:r>
      <w:r>
        <w:rPr>
          <w:rFonts w:hint="eastAsia" w:eastAsia="宋体"/>
          <w:color w:val="000000" w:themeColor="text1"/>
          <w:sz w:val="24"/>
          <w:highlight w:val="none"/>
          <w:lang w:val="en-US" w:eastAsia="zh-CN"/>
          <w14:textFill>
            <w14:solidFill>
              <w14:schemeClr w14:val="tx1"/>
            </w14:solidFill>
          </w14:textFill>
        </w:rPr>
        <w:t>本项目不设置危废贮存点，危险废物依托采矿区危废贮存点贮存，无重点防渗区。</w:t>
      </w:r>
    </w:p>
    <w:p w14:paraId="0426BCCA">
      <w:pPr>
        <w:pStyle w:val="97"/>
        <w:overflowPunct w:val="0"/>
        <w:topLinePunct/>
        <w:spacing w:line="480" w:lineRule="exact"/>
        <w:ind w:firstLine="480"/>
        <w:rPr>
          <w:rFonts w:eastAsia="宋体"/>
          <w:color w:val="000000" w:themeColor="text1"/>
          <w:sz w:val="24"/>
          <w:highlight w:val="none"/>
          <w14:textFill>
            <w14:solidFill>
              <w14:schemeClr w14:val="tx1"/>
            </w14:solidFill>
          </w14:textFill>
        </w:rPr>
      </w:pPr>
      <w:r>
        <w:rPr>
          <w:rFonts w:eastAsia="宋体"/>
          <w:color w:val="000000" w:themeColor="text1"/>
          <w:sz w:val="24"/>
          <w:highlight w:val="none"/>
          <w14:textFill>
            <w14:solidFill>
              <w14:schemeClr w14:val="tx1"/>
            </w14:solidFill>
          </w14:textFill>
        </w:rPr>
        <w:t>一般防渗区：</w:t>
      </w:r>
    </w:p>
    <w:p w14:paraId="6B361B3E">
      <w:pPr>
        <w:pStyle w:val="97"/>
        <w:overflowPunct w:val="0"/>
        <w:topLinePunct/>
        <w:spacing w:line="480" w:lineRule="exact"/>
        <w:ind w:firstLine="480"/>
        <w:rPr>
          <w:rFonts w:eastAsia="宋体"/>
          <w:color w:val="000000" w:themeColor="text1"/>
          <w:sz w:val="24"/>
          <w:highlight w:val="none"/>
          <w14:textFill>
            <w14:solidFill>
              <w14:schemeClr w14:val="tx1"/>
            </w14:solidFill>
          </w14:textFill>
        </w:rPr>
      </w:pPr>
      <w:r>
        <w:rPr>
          <w:rFonts w:eastAsia="宋体"/>
          <w:color w:val="000000" w:themeColor="text1"/>
          <w:sz w:val="24"/>
          <w:highlight w:val="none"/>
          <w14:textFill>
            <w14:solidFill>
              <w14:schemeClr w14:val="tx1"/>
            </w14:solidFill>
          </w14:textFill>
        </w:rPr>
        <w:t>除重点防渗区外的</w:t>
      </w:r>
      <w:r>
        <w:rPr>
          <w:rFonts w:hint="eastAsia" w:eastAsia="宋体"/>
          <w:color w:val="000000" w:themeColor="text1"/>
          <w:sz w:val="24"/>
          <w:highlight w:val="none"/>
          <w:lang w:eastAsia="zh-CN"/>
          <w14:textFill>
            <w14:solidFill>
              <w14:schemeClr w14:val="tx1"/>
            </w14:solidFill>
          </w14:textFill>
        </w:rPr>
        <w:t>其他</w:t>
      </w:r>
      <w:r>
        <w:rPr>
          <w:rFonts w:eastAsia="宋体"/>
          <w:color w:val="000000" w:themeColor="text1"/>
          <w:sz w:val="24"/>
          <w:highlight w:val="none"/>
          <w14:textFill>
            <w14:solidFill>
              <w14:schemeClr w14:val="tx1"/>
            </w14:solidFill>
          </w14:textFill>
        </w:rPr>
        <w:t>区域等非污染防治区</w:t>
      </w:r>
      <w:r>
        <w:rPr>
          <w:rFonts w:hint="eastAsia" w:eastAsia="宋体"/>
          <w:color w:val="000000" w:themeColor="text1"/>
          <w:sz w:val="24"/>
          <w:highlight w:val="none"/>
          <w14:textFill>
            <w14:solidFill>
              <w14:schemeClr w14:val="tx1"/>
            </w14:solidFill>
          </w14:textFill>
        </w:rPr>
        <w:t>，防渗要求需保证防渗性能不低于1.5米厚、渗透系数不大于10</w:t>
      </w:r>
      <w:r>
        <w:rPr>
          <w:rFonts w:hint="eastAsia" w:eastAsia="宋体"/>
          <w:color w:val="000000" w:themeColor="text1"/>
          <w:sz w:val="24"/>
          <w:highlight w:val="none"/>
          <w:vertAlign w:val="superscript"/>
          <w14:textFill>
            <w14:solidFill>
              <w14:schemeClr w14:val="tx1"/>
            </w14:solidFill>
          </w14:textFill>
        </w:rPr>
        <w:t>-7</w:t>
      </w:r>
      <w:r>
        <w:rPr>
          <w:rFonts w:hint="eastAsia" w:eastAsia="宋体"/>
          <w:color w:val="000000" w:themeColor="text1"/>
          <w:sz w:val="24"/>
          <w:highlight w:val="none"/>
          <w14:textFill>
            <w14:solidFill>
              <w14:schemeClr w14:val="tx1"/>
            </w14:solidFill>
          </w14:textFill>
        </w:rPr>
        <w:t>cm/s的黏土层防渗性能。</w:t>
      </w:r>
    </w:p>
    <w:p w14:paraId="11EA6836">
      <w:pPr>
        <w:pStyle w:val="97"/>
        <w:overflowPunct w:val="0"/>
        <w:topLinePunct/>
        <w:spacing w:line="480" w:lineRule="exact"/>
        <w:ind w:firstLine="480"/>
        <w:rPr>
          <w:rFonts w:eastAsia="宋体"/>
          <w:color w:val="000000" w:themeColor="text1"/>
          <w:sz w:val="24"/>
          <w:highlight w:val="none"/>
          <w14:textFill>
            <w14:solidFill>
              <w14:schemeClr w14:val="tx1"/>
            </w14:solidFill>
          </w14:textFill>
        </w:rPr>
      </w:pPr>
      <w:r>
        <w:rPr>
          <w:rFonts w:eastAsia="宋体"/>
          <w:color w:val="000000" w:themeColor="text1"/>
          <w:sz w:val="24"/>
          <w:highlight w:val="none"/>
          <w14:textFill>
            <w14:solidFill>
              <w14:schemeClr w14:val="tx1"/>
            </w14:solidFill>
          </w14:textFill>
        </w:rPr>
        <w:t>本项目将</w:t>
      </w:r>
      <w:r>
        <w:rPr>
          <w:rFonts w:hint="eastAsia" w:eastAsia="宋体"/>
          <w:color w:val="000000" w:themeColor="text1"/>
          <w:sz w:val="24"/>
          <w:highlight w:val="none"/>
          <w14:textFill>
            <w14:solidFill>
              <w14:schemeClr w14:val="tx1"/>
            </w14:solidFill>
          </w14:textFill>
        </w:rPr>
        <w:t>尾矿库、选矿厂房、精矿</w:t>
      </w:r>
      <w:r>
        <w:rPr>
          <w:rFonts w:hint="eastAsia" w:eastAsia="宋体"/>
          <w:color w:val="000000" w:themeColor="text1"/>
          <w:sz w:val="24"/>
          <w:highlight w:val="none"/>
          <w:lang w:eastAsia="zh-CN"/>
          <w14:textFill>
            <w14:solidFill>
              <w14:schemeClr w14:val="tx1"/>
            </w14:solidFill>
          </w14:textFill>
        </w:rPr>
        <w:t>库设为</w:t>
      </w:r>
      <w:r>
        <w:rPr>
          <w:rFonts w:eastAsia="宋体"/>
          <w:color w:val="000000" w:themeColor="text1"/>
          <w:sz w:val="24"/>
          <w:highlight w:val="none"/>
          <w14:textFill>
            <w14:solidFill>
              <w14:schemeClr w14:val="tx1"/>
            </w14:solidFill>
          </w14:textFill>
        </w:rPr>
        <w:t>一般防渗区</w:t>
      </w:r>
      <w:r>
        <w:rPr>
          <w:rFonts w:hint="eastAsia" w:eastAsia="宋体"/>
          <w:color w:val="000000" w:themeColor="text1"/>
          <w:sz w:val="24"/>
          <w:highlight w:val="none"/>
          <w14:textFill>
            <w14:solidFill>
              <w14:schemeClr w14:val="tx1"/>
            </w14:solidFill>
          </w14:textFill>
        </w:rPr>
        <w:t>，办公生活区为简单防渗区</w:t>
      </w:r>
      <w:r>
        <w:rPr>
          <w:rFonts w:eastAsia="宋体"/>
          <w:color w:val="000000" w:themeColor="text1"/>
          <w:sz w:val="24"/>
          <w:highlight w:val="none"/>
          <w14:textFill>
            <w14:solidFill>
              <w14:schemeClr w14:val="tx1"/>
            </w14:solidFill>
          </w14:textFill>
        </w:rPr>
        <w:t>。</w:t>
      </w:r>
    </w:p>
    <w:p w14:paraId="725FE23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本项目防渗分区划分、防渗措施及等级见表6.2-2、分区防渗图见图6.2-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w:t>
      </w:r>
    </w:p>
    <w:p w14:paraId="6BA8B14A">
      <w:pPr>
        <w:ind w:firstLine="0" w:firstLineChars="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表6.2-2    本项目污染区划分及防渗</w:t>
      </w:r>
      <w:r>
        <w:rPr>
          <w:rFonts w:hint="eastAsia"/>
          <w:b/>
          <w:bCs/>
          <w:color w:val="000000" w:themeColor="text1"/>
          <w:highlight w:val="none"/>
          <w14:textFill>
            <w14:solidFill>
              <w14:schemeClr w14:val="tx1"/>
            </w14:solidFill>
          </w14:textFill>
        </w:rPr>
        <w:t>要求</w:t>
      </w:r>
      <w:r>
        <w:rPr>
          <w:b/>
          <w:bCs/>
          <w:color w:val="000000" w:themeColor="text1"/>
          <w:highlight w:val="none"/>
          <w14:textFill>
            <w14:solidFill>
              <w14:schemeClr w14:val="tx1"/>
            </w14:solidFill>
          </w14:textFill>
        </w:rPr>
        <w:t>一览表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883"/>
        <w:gridCol w:w="2074"/>
        <w:gridCol w:w="3279"/>
      </w:tblGrid>
      <w:tr w14:paraId="0F0B4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blHeader/>
          <w:jc w:val="center"/>
        </w:trPr>
        <w:tc>
          <w:tcPr>
            <w:tcW w:w="753" w:type="pct"/>
            <w:vAlign w:val="center"/>
          </w:tcPr>
          <w:p w14:paraId="713F60AB">
            <w:pPr>
              <w:spacing w:line="360" w:lineRule="exact"/>
              <w:ind w:firstLine="0" w:firstLineChars="0"/>
              <w:jc w:val="center"/>
              <w:textAlignment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防渗分区</w:t>
            </w:r>
          </w:p>
        </w:tc>
        <w:tc>
          <w:tcPr>
            <w:tcW w:w="1105" w:type="pct"/>
            <w:vAlign w:val="center"/>
          </w:tcPr>
          <w:p w14:paraId="40D12FCA">
            <w:pPr>
              <w:spacing w:line="360" w:lineRule="exact"/>
              <w:ind w:firstLine="0" w:firstLineChars="0"/>
              <w:jc w:val="center"/>
              <w:textAlignment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定义</w:t>
            </w:r>
          </w:p>
        </w:tc>
        <w:tc>
          <w:tcPr>
            <w:tcW w:w="1217" w:type="pct"/>
            <w:vAlign w:val="center"/>
          </w:tcPr>
          <w:p w14:paraId="39B628ED">
            <w:pPr>
              <w:spacing w:line="360" w:lineRule="exact"/>
              <w:ind w:firstLine="0" w:firstLineChars="0"/>
              <w:jc w:val="center"/>
              <w:textAlignment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厂内分区</w:t>
            </w:r>
          </w:p>
        </w:tc>
        <w:tc>
          <w:tcPr>
            <w:tcW w:w="1924" w:type="pct"/>
            <w:vAlign w:val="center"/>
          </w:tcPr>
          <w:p w14:paraId="4319E1A2">
            <w:pPr>
              <w:spacing w:line="360" w:lineRule="exact"/>
              <w:ind w:firstLine="422"/>
              <w:jc w:val="center"/>
              <w:textAlignment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防渗</w:t>
            </w:r>
            <w:r>
              <w:rPr>
                <w:rFonts w:hint="eastAsia"/>
                <w:b/>
                <w:bCs/>
                <w:color w:val="000000" w:themeColor="text1"/>
                <w:sz w:val="21"/>
                <w:szCs w:val="21"/>
                <w:highlight w:val="none"/>
                <w14:textFill>
                  <w14:solidFill>
                    <w14:schemeClr w14:val="tx1"/>
                  </w14:solidFill>
                </w14:textFill>
              </w:rPr>
              <w:t>要求</w:t>
            </w:r>
          </w:p>
        </w:tc>
      </w:tr>
      <w:tr w14:paraId="23235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3" w:type="pct"/>
            <w:vAlign w:val="center"/>
          </w:tcPr>
          <w:p w14:paraId="430E65C6">
            <w:pPr>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重点防渗区</w:t>
            </w:r>
          </w:p>
        </w:tc>
        <w:tc>
          <w:tcPr>
            <w:tcW w:w="1105" w:type="pct"/>
            <w:vAlign w:val="center"/>
          </w:tcPr>
          <w:p w14:paraId="7C0EFA1A">
            <w:pPr>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危害性大、毒性较大的生产装置区、物料储罐区、危险废物暂存区等</w:t>
            </w:r>
          </w:p>
        </w:tc>
        <w:tc>
          <w:tcPr>
            <w:tcW w:w="1217" w:type="pct"/>
            <w:vAlign w:val="center"/>
          </w:tcPr>
          <w:p w14:paraId="41E0F577">
            <w:pPr>
              <w:spacing w:line="360" w:lineRule="exact"/>
              <w:ind w:firstLine="0" w:firstLineChars="0"/>
              <w:jc w:val="center"/>
              <w:textAlignment w:val="center"/>
              <w:rPr>
                <w:rFonts w:hint="eastAsia" w:eastAsia="宋体"/>
                <w:color w:val="000000" w:themeColor="text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924" w:type="pct"/>
            <w:vAlign w:val="center"/>
          </w:tcPr>
          <w:p w14:paraId="1D0AC1DE">
            <w:pPr>
              <w:spacing w:line="360" w:lineRule="exact"/>
              <w:ind w:firstLine="0" w:firstLineChars="0"/>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保证防渗性能不低于6米厚、渗透系数不大于10</w:t>
            </w:r>
            <w:r>
              <w:rPr>
                <w:rFonts w:hint="eastAsia"/>
                <w:color w:val="000000" w:themeColor="text1"/>
                <w:sz w:val="21"/>
                <w:szCs w:val="21"/>
                <w:highlight w:val="none"/>
                <w:vertAlign w:val="superscript"/>
                <w14:textFill>
                  <w14:solidFill>
                    <w14:schemeClr w14:val="tx1"/>
                  </w14:solidFill>
                </w14:textFill>
              </w:rPr>
              <w:t>-7</w:t>
            </w:r>
            <w:r>
              <w:rPr>
                <w:rFonts w:hint="eastAsia"/>
                <w:color w:val="000000" w:themeColor="text1"/>
                <w:sz w:val="21"/>
                <w:szCs w:val="21"/>
                <w:highlight w:val="none"/>
                <w14:textFill>
                  <w14:solidFill>
                    <w14:schemeClr w14:val="tx1"/>
                  </w14:solidFill>
                </w14:textFill>
              </w:rPr>
              <w:t>cm/s的黏土层防渗性能。</w:t>
            </w:r>
          </w:p>
        </w:tc>
      </w:tr>
      <w:tr w14:paraId="0D443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3" w:type="pct"/>
            <w:vAlign w:val="center"/>
          </w:tcPr>
          <w:p w14:paraId="43055C42">
            <w:pPr>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一般防渗区</w:t>
            </w:r>
          </w:p>
        </w:tc>
        <w:tc>
          <w:tcPr>
            <w:tcW w:w="1105" w:type="pct"/>
            <w:vAlign w:val="center"/>
          </w:tcPr>
          <w:p w14:paraId="7B2A11DB">
            <w:pPr>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无毒性或毒性小的生产装置区、装置区外管廊区</w:t>
            </w:r>
          </w:p>
        </w:tc>
        <w:tc>
          <w:tcPr>
            <w:tcW w:w="1217" w:type="pct"/>
            <w:vAlign w:val="center"/>
          </w:tcPr>
          <w:p w14:paraId="740EEFFC">
            <w:pPr>
              <w:spacing w:line="360" w:lineRule="exact"/>
              <w:ind w:firstLine="0" w:firstLineChars="0"/>
              <w:jc w:val="center"/>
              <w:textAlignment w:val="center"/>
              <w:rPr>
                <w:rFonts w:hint="default" w:eastAsia="宋体"/>
                <w:color w:val="000000" w:themeColor="text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尾矿库、选矿厂房、精矿</w:t>
            </w:r>
            <w:r>
              <w:rPr>
                <w:rFonts w:hint="eastAsia"/>
                <w:color w:val="000000" w:themeColor="text1"/>
                <w:sz w:val="21"/>
                <w:szCs w:val="21"/>
                <w:highlight w:val="none"/>
                <w:lang w:eastAsia="zh-CN"/>
                <w14:textFill>
                  <w14:solidFill>
                    <w14:schemeClr w14:val="tx1"/>
                  </w14:solidFill>
                </w14:textFill>
              </w:rPr>
              <w:t>库、</w:t>
            </w:r>
            <w:r>
              <w:rPr>
                <w:rFonts w:hint="eastAsia"/>
                <w:color w:val="000000" w:themeColor="text1"/>
                <w:sz w:val="21"/>
                <w:szCs w:val="21"/>
                <w:highlight w:val="none"/>
                <w:lang w:val="en-US" w:eastAsia="zh-CN"/>
                <w14:textFill>
                  <w14:solidFill>
                    <w14:schemeClr w14:val="tx1"/>
                  </w14:solidFill>
                </w14:textFill>
              </w:rPr>
              <w:t>原矿仓</w:t>
            </w:r>
          </w:p>
        </w:tc>
        <w:tc>
          <w:tcPr>
            <w:tcW w:w="1924" w:type="pct"/>
            <w:vAlign w:val="center"/>
          </w:tcPr>
          <w:p w14:paraId="130B0138">
            <w:pPr>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保证防渗性能不低于</w:t>
            </w:r>
            <w:r>
              <w:rPr>
                <w:color w:val="000000" w:themeColor="text1"/>
                <w:sz w:val="21"/>
                <w:szCs w:val="21"/>
                <w:highlight w:val="none"/>
                <w14:textFill>
                  <w14:solidFill>
                    <w14:schemeClr w14:val="tx1"/>
                  </w14:solidFill>
                </w14:textFill>
              </w:rPr>
              <w:t>1.5</w:t>
            </w:r>
            <w:r>
              <w:rPr>
                <w:rFonts w:hint="eastAsia"/>
                <w:color w:val="000000" w:themeColor="text1"/>
                <w:sz w:val="21"/>
                <w:szCs w:val="21"/>
                <w:highlight w:val="none"/>
                <w14:textFill>
                  <w14:solidFill>
                    <w14:schemeClr w14:val="tx1"/>
                  </w14:solidFill>
                </w14:textFill>
              </w:rPr>
              <w:t>米厚、渗透系数不大于10</w:t>
            </w:r>
            <w:r>
              <w:rPr>
                <w:rFonts w:hint="eastAsia"/>
                <w:color w:val="000000" w:themeColor="text1"/>
                <w:sz w:val="21"/>
                <w:szCs w:val="21"/>
                <w:highlight w:val="none"/>
                <w:vertAlign w:val="superscript"/>
                <w14:textFill>
                  <w14:solidFill>
                    <w14:schemeClr w14:val="tx1"/>
                  </w14:solidFill>
                </w14:textFill>
              </w:rPr>
              <w:t>-7</w:t>
            </w:r>
            <w:r>
              <w:rPr>
                <w:rFonts w:hint="eastAsia"/>
                <w:color w:val="000000" w:themeColor="text1"/>
                <w:sz w:val="21"/>
                <w:szCs w:val="21"/>
                <w:highlight w:val="none"/>
                <w14:textFill>
                  <w14:solidFill>
                    <w14:schemeClr w14:val="tx1"/>
                  </w14:solidFill>
                </w14:textFill>
              </w:rPr>
              <w:t>cm/s的黏土层防渗性能。</w:t>
            </w:r>
          </w:p>
        </w:tc>
      </w:tr>
      <w:tr w14:paraId="01C09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3" w:type="pct"/>
            <w:vAlign w:val="center"/>
          </w:tcPr>
          <w:p w14:paraId="575C2FC7">
            <w:pPr>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简单防渗区</w:t>
            </w:r>
          </w:p>
        </w:tc>
        <w:tc>
          <w:tcPr>
            <w:tcW w:w="1105" w:type="pct"/>
            <w:vAlign w:val="center"/>
          </w:tcPr>
          <w:p w14:paraId="6ACA555B">
            <w:pPr>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除污染区的其余区域</w:t>
            </w:r>
          </w:p>
        </w:tc>
        <w:tc>
          <w:tcPr>
            <w:tcW w:w="1217" w:type="pct"/>
            <w:vAlign w:val="center"/>
          </w:tcPr>
          <w:p w14:paraId="3CD1B511">
            <w:pPr>
              <w:spacing w:line="360" w:lineRule="exact"/>
              <w:ind w:firstLine="0" w:firstLineChars="0"/>
              <w:jc w:val="center"/>
              <w:textAlignment w:val="center"/>
              <w:rPr>
                <w:color w:val="000000" w:themeColor="text1"/>
                <w:highlight w:val="none"/>
                <w14:textFill>
                  <w14:solidFill>
                    <w14:schemeClr w14:val="tx1"/>
                  </w14:solidFill>
                </w14:textFill>
              </w:rPr>
            </w:pPr>
            <w:r>
              <w:rPr>
                <w:color w:val="000000" w:themeColor="text1"/>
                <w:sz w:val="21"/>
                <w:szCs w:val="21"/>
                <w:highlight w:val="none"/>
                <w14:textFill>
                  <w14:solidFill>
                    <w14:schemeClr w14:val="tx1"/>
                  </w14:solidFill>
                </w14:textFill>
              </w:rPr>
              <w:t>办公生活区</w:t>
            </w:r>
          </w:p>
        </w:tc>
        <w:tc>
          <w:tcPr>
            <w:tcW w:w="1924" w:type="pct"/>
            <w:vAlign w:val="center"/>
          </w:tcPr>
          <w:p w14:paraId="1A6A19DC">
            <w:pPr>
              <w:spacing w:line="360" w:lineRule="exact"/>
              <w:ind w:firstLine="0" w:firstLineChars="0"/>
              <w:jc w:val="center"/>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进行地面硬化</w:t>
            </w:r>
          </w:p>
        </w:tc>
      </w:tr>
    </w:tbl>
    <w:p w14:paraId="1EA29F4E">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6.2.4噪声污染防治措施</w:t>
      </w:r>
      <w:bookmarkEnd w:id="830"/>
      <w:bookmarkEnd w:id="831"/>
      <w:bookmarkEnd w:id="832"/>
    </w:p>
    <w:p w14:paraId="6AE00921">
      <w:pPr>
        <w:overflowPunct w:val="0"/>
        <w:topLinePunct/>
        <w:ind w:firstLine="480"/>
        <w:rPr>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为进一步防止高噪声设备对职工及周围环境的影响，针对本项目噪声源噪声强度大，连续生产等特点，评价提出本项目的噪声防治措施主要注意以下几项内容：</w:t>
      </w:r>
    </w:p>
    <w:p w14:paraId="6C02AD28">
      <w:pPr>
        <w:overflowPunct w:val="0"/>
        <w:topLinePunct/>
        <w:ind w:firstLine="480"/>
        <w:rPr>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w:t>
      </w:r>
      <w:r>
        <w:rPr>
          <w:color w:val="000000" w:themeColor="text1"/>
          <w:kern w:val="0"/>
          <w:highlight w:val="none"/>
          <w14:textFill>
            <w14:solidFill>
              <w14:schemeClr w14:val="tx1"/>
            </w14:solidFill>
          </w14:textFill>
        </w:rPr>
        <w:t>1</w:t>
      </w:r>
      <w:r>
        <w:rPr>
          <w:color w:val="000000" w:themeColor="text1"/>
          <w:kern w:val="0"/>
          <w:highlight w:val="none"/>
          <w:lang w:val="zh-CN"/>
          <w14:textFill>
            <w14:solidFill>
              <w14:schemeClr w14:val="tx1"/>
            </w14:solidFill>
          </w14:textFill>
        </w:rPr>
        <w:t>）隔声措施：球磨机、磁选机</w:t>
      </w:r>
      <w:r>
        <w:rPr>
          <w:rFonts w:hint="eastAsia"/>
          <w:color w:val="000000" w:themeColor="text1"/>
          <w:kern w:val="0"/>
          <w:highlight w:val="none"/>
          <w:lang w:val="zh-CN"/>
          <w14:textFill>
            <w14:solidFill>
              <w14:schemeClr w14:val="tx1"/>
            </w14:solidFill>
          </w14:textFill>
        </w:rPr>
        <w:t>、高压辊磨机和各类泵</w:t>
      </w:r>
      <w:r>
        <w:rPr>
          <w:color w:val="000000" w:themeColor="text1"/>
          <w:kern w:val="0"/>
          <w:highlight w:val="none"/>
          <w:lang w:val="zh-CN"/>
          <w14:textFill>
            <w14:solidFill>
              <w14:schemeClr w14:val="tx1"/>
            </w14:solidFill>
          </w14:textFill>
        </w:rPr>
        <w:t>等主要噪声设备需要安装在隔音厂房内。</w:t>
      </w:r>
    </w:p>
    <w:p w14:paraId="7F123FB0">
      <w:pPr>
        <w:overflowPunct w:val="0"/>
        <w:topLinePunct/>
        <w:ind w:firstLine="480"/>
        <w:rPr>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w:t>
      </w:r>
      <w:r>
        <w:rPr>
          <w:color w:val="000000" w:themeColor="text1"/>
          <w:kern w:val="0"/>
          <w:highlight w:val="none"/>
          <w14:textFill>
            <w14:solidFill>
              <w14:schemeClr w14:val="tx1"/>
            </w14:solidFill>
          </w14:textFill>
        </w:rPr>
        <w:t>2</w:t>
      </w:r>
      <w:r>
        <w:rPr>
          <w:color w:val="000000" w:themeColor="text1"/>
          <w:kern w:val="0"/>
          <w:highlight w:val="none"/>
          <w:lang w:val="zh-CN"/>
          <w14:textFill>
            <w14:solidFill>
              <w14:schemeClr w14:val="tx1"/>
            </w14:solidFill>
          </w14:textFill>
        </w:rPr>
        <w:t>）减振措施：主要以多孔介质做减振垫，可使声源振动强度减弱，频率降低。</w:t>
      </w:r>
    </w:p>
    <w:p w14:paraId="57492C4C">
      <w:pPr>
        <w:overflowPunct w:val="0"/>
        <w:topLinePunct/>
        <w:ind w:firstLine="480"/>
        <w:rPr>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w:t>
      </w:r>
      <w:r>
        <w:rPr>
          <w:color w:val="000000" w:themeColor="text1"/>
          <w:kern w:val="0"/>
          <w:highlight w:val="none"/>
          <w14:textFill>
            <w14:solidFill>
              <w14:schemeClr w14:val="tx1"/>
            </w14:solidFill>
          </w14:textFill>
        </w:rPr>
        <w:t>3</w:t>
      </w:r>
      <w:r>
        <w:rPr>
          <w:color w:val="000000" w:themeColor="text1"/>
          <w:kern w:val="0"/>
          <w:highlight w:val="none"/>
          <w:lang w:val="zh-CN"/>
          <w14:textFill>
            <w14:solidFill>
              <w14:schemeClr w14:val="tx1"/>
            </w14:solidFill>
          </w14:textFill>
        </w:rPr>
        <w:t>）加强操作人员的劳动保护，为其发放特制耳塞、耳罩，并设置操作人员值班室，避免操作人员长期处于高噪声环境中，从噪声受体保护方面减轻污染。</w:t>
      </w:r>
    </w:p>
    <w:p w14:paraId="4D6C815F">
      <w:pPr>
        <w:overflowPunct w:val="0"/>
        <w:topLinePunct/>
        <w:ind w:firstLine="480"/>
        <w:rPr>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w:t>
      </w:r>
      <w:r>
        <w:rPr>
          <w:color w:val="000000" w:themeColor="text1"/>
          <w:kern w:val="0"/>
          <w:highlight w:val="none"/>
          <w14:textFill>
            <w14:solidFill>
              <w14:schemeClr w14:val="tx1"/>
            </w14:solidFill>
          </w14:textFill>
        </w:rPr>
        <w:t>4</w:t>
      </w:r>
      <w:r>
        <w:rPr>
          <w:color w:val="000000" w:themeColor="text1"/>
          <w:kern w:val="0"/>
          <w:highlight w:val="none"/>
          <w:lang w:val="zh-CN"/>
          <w14:textFill>
            <w14:solidFill>
              <w14:schemeClr w14:val="tx1"/>
            </w14:solidFill>
          </w14:textFill>
        </w:rPr>
        <w:t>）重视绿化工作也是噪声防治的一项积极措施。绿化不仅可以美化环境。而且还可以</w:t>
      </w:r>
      <w:r>
        <w:rPr>
          <w:rFonts w:hint="eastAsia"/>
          <w:color w:val="000000" w:themeColor="text1"/>
          <w:kern w:val="0"/>
          <w:highlight w:val="none"/>
          <w:lang w:val="zh-CN"/>
          <w14:textFill>
            <w14:solidFill>
              <w14:schemeClr w14:val="tx1"/>
            </w14:solidFill>
          </w14:textFill>
        </w:rPr>
        <w:t>阻止</w:t>
      </w:r>
      <w:r>
        <w:rPr>
          <w:color w:val="000000" w:themeColor="text1"/>
          <w:kern w:val="0"/>
          <w:highlight w:val="none"/>
          <w:lang w:val="zh-CN"/>
          <w14:textFill>
            <w14:solidFill>
              <w14:schemeClr w14:val="tx1"/>
            </w14:solidFill>
          </w14:textFill>
        </w:rPr>
        <w:t>噪声传播。本项目绿化的重点是厂内重点产噪工段及厂界四周的绿化隔离带。</w:t>
      </w:r>
    </w:p>
    <w:p w14:paraId="308D3C0A">
      <w:pPr>
        <w:overflowPunct w:val="0"/>
        <w:topLinePunct/>
        <w:ind w:firstLine="480"/>
        <w:rPr>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w:t>
      </w:r>
      <w:r>
        <w:rPr>
          <w:color w:val="000000" w:themeColor="text1"/>
          <w:kern w:val="0"/>
          <w:highlight w:val="none"/>
          <w14:textFill>
            <w14:solidFill>
              <w14:schemeClr w14:val="tx1"/>
            </w14:solidFill>
          </w14:textFill>
        </w:rPr>
        <w:t>5</w:t>
      </w:r>
      <w:r>
        <w:rPr>
          <w:color w:val="000000" w:themeColor="text1"/>
          <w:kern w:val="0"/>
          <w:highlight w:val="none"/>
          <w:lang w:val="zh-CN"/>
          <w14:textFill>
            <w14:solidFill>
              <w14:schemeClr w14:val="tx1"/>
            </w14:solidFill>
          </w14:textFill>
        </w:rPr>
        <w:t>）合理的平面布置</w:t>
      </w:r>
    </w:p>
    <w:p w14:paraId="3D2A2F44">
      <w:pPr>
        <w:overflowPunct w:val="0"/>
        <w:topLinePunct/>
        <w:ind w:firstLine="480"/>
        <w:rPr>
          <w:color w:val="000000" w:themeColor="text1"/>
          <w:kern w:val="0"/>
          <w:highlight w:val="none"/>
          <w:lang w:val="zh-CN"/>
          <w14:textFill>
            <w14:solidFill>
              <w14:schemeClr w14:val="tx1"/>
            </w14:solidFill>
          </w14:textFill>
        </w:rPr>
      </w:pPr>
      <w:r>
        <w:rPr>
          <w:color w:val="000000" w:themeColor="text1"/>
          <w:kern w:val="0"/>
          <w:highlight w:val="none"/>
          <w14:textFill>
            <w14:solidFill>
              <w14:schemeClr w14:val="tx1"/>
            </w14:solidFill>
          </w14:textFill>
        </w:rPr>
        <w:t>办公生活区</w:t>
      </w:r>
      <w:r>
        <w:rPr>
          <w:color w:val="000000" w:themeColor="text1"/>
          <w:kern w:val="0"/>
          <w:highlight w:val="none"/>
          <w:lang w:val="zh-CN"/>
          <w14:textFill>
            <w14:solidFill>
              <w14:schemeClr w14:val="tx1"/>
            </w14:solidFill>
          </w14:textFill>
        </w:rPr>
        <w:t>远离生产厂房及外运道路，并处于最小风频风向的下风向。</w:t>
      </w:r>
    </w:p>
    <w:p w14:paraId="5D969BC9">
      <w:pPr>
        <w:overflowPunct w:val="0"/>
        <w:topLinePunct/>
        <w:ind w:firstLine="480"/>
        <w:rPr>
          <w:color w:val="000000" w:themeColor="text1"/>
          <w:kern w:val="0"/>
          <w:highlight w:val="none"/>
          <w:lang w:val="zh-CN"/>
          <w14:textFill>
            <w14:solidFill>
              <w14:schemeClr w14:val="tx1"/>
            </w14:solidFill>
          </w14:textFill>
        </w:rPr>
      </w:pPr>
      <w:r>
        <w:rPr>
          <w:color w:val="000000" w:themeColor="text1"/>
          <w:kern w:val="0"/>
          <w:highlight w:val="none"/>
          <w:lang w:val="zh-CN"/>
          <w14:textFill>
            <w14:solidFill>
              <w14:schemeClr w14:val="tx1"/>
            </w14:solidFill>
          </w14:textFill>
        </w:rPr>
        <w:t>通过以上防护措施的落实，可使项目生产运行期厂界噪声进一步下降，达到环境噪声标准的要求。</w:t>
      </w:r>
    </w:p>
    <w:p w14:paraId="2F564562">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2.5固体废物处理措施</w:t>
      </w:r>
      <w:bookmarkEnd w:id="833"/>
      <w:bookmarkEnd w:id="834"/>
      <w:bookmarkEnd w:id="835"/>
    </w:p>
    <w:p w14:paraId="7DC3050F">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6.2.5.1固体废物处置措施</w:t>
      </w:r>
    </w:p>
    <w:p w14:paraId="3B126F3B">
      <w:pPr>
        <w:overflowPunct w:val="0"/>
        <w:topLinePunct/>
        <w:ind w:firstLine="480"/>
        <w:rPr>
          <w:rFonts w:hint="eastAsia" w:eastAsia="宋体"/>
          <w:color w:val="000000" w:themeColor="text1"/>
          <w:kern w:val="0"/>
          <w:highlight w:val="none"/>
          <w:lang w:eastAsia="zh-CN"/>
          <w14:textFill>
            <w14:solidFill>
              <w14:schemeClr w14:val="tx1"/>
            </w14:solidFill>
          </w14:textFill>
        </w:rPr>
      </w:pPr>
      <w:r>
        <w:rPr>
          <w:rFonts w:hint="eastAsia"/>
          <w:color w:val="000000" w:themeColor="text1"/>
          <w:kern w:val="0"/>
          <w:highlight w:val="none"/>
          <w14:textFill>
            <w14:solidFill>
              <w14:schemeClr w14:val="tx1"/>
            </w14:solidFill>
          </w14:textFill>
        </w:rPr>
        <w:t>本项目运营期固体废物主要来源于选矿工序产生的尾矿砂、</w:t>
      </w:r>
      <w:r>
        <w:rPr>
          <w:rFonts w:hint="eastAsia"/>
          <w:color w:val="000000" w:themeColor="text1"/>
          <w:kern w:val="0"/>
          <w:highlight w:val="none"/>
          <w:lang w:eastAsia="zh-CN"/>
          <w14:textFill>
            <w14:solidFill>
              <w14:schemeClr w14:val="tx1"/>
            </w14:solidFill>
          </w14:textFill>
        </w:rPr>
        <w:t>干选废石</w:t>
      </w:r>
      <w:r>
        <w:rPr>
          <w:rFonts w:hint="eastAsia"/>
          <w:color w:val="000000" w:themeColor="text1"/>
          <w:kern w:val="0"/>
          <w:highlight w:val="none"/>
          <w14:textFill>
            <w14:solidFill>
              <w14:schemeClr w14:val="tx1"/>
            </w14:solidFill>
          </w14:textFill>
        </w:rPr>
        <w:t>、除尘灰（除尘器收集的粉尘）、生活</w:t>
      </w:r>
      <w:r>
        <w:rPr>
          <w:rFonts w:hint="eastAsia"/>
          <w:color w:val="000000" w:themeColor="text1"/>
          <w:highlight w:val="none"/>
          <w14:textFill>
            <w14:solidFill>
              <w14:schemeClr w14:val="tx1"/>
            </w14:solidFill>
          </w14:textFill>
        </w:rPr>
        <w:t>污水处理设施底泥、</w:t>
      </w:r>
      <w:r>
        <w:rPr>
          <w:rFonts w:hint="eastAsia"/>
          <w:color w:val="000000" w:themeColor="text1"/>
          <w:kern w:val="0"/>
          <w:highlight w:val="none"/>
          <w14:textFill>
            <w14:solidFill>
              <w14:schemeClr w14:val="tx1"/>
            </w14:solidFill>
          </w14:textFill>
        </w:rPr>
        <w:t>废布袋、循环水池底泥、生活垃圾及少量废机油、废油桶</w:t>
      </w:r>
      <w:r>
        <w:rPr>
          <w:rFonts w:hint="eastAsia"/>
          <w:color w:val="000000" w:themeColor="text1"/>
          <w:kern w:val="0"/>
          <w:highlight w:val="none"/>
          <w:lang w:val="en-US" w:eastAsia="zh-CN"/>
          <w14:textFill>
            <w14:solidFill>
              <w14:schemeClr w14:val="tx1"/>
            </w14:solidFill>
          </w14:textFill>
        </w:rPr>
        <w:t>等。</w:t>
      </w:r>
    </w:p>
    <w:p w14:paraId="59150585">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（1）尾矿砂</w:t>
      </w:r>
    </w:p>
    <w:p w14:paraId="4515BF27">
      <w:pPr>
        <w:pStyle w:val="41"/>
        <w:overflowPunct w:val="0"/>
        <w:topLinePunct/>
        <w:spacing w:line="480" w:lineRule="exact"/>
        <w:ind w:firstLine="480"/>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14:textFill>
            <w14:solidFill>
              <w14:schemeClr w14:val="tx1"/>
            </w14:solidFill>
          </w14:textFill>
        </w:rPr>
        <w:t>本次评价要求企业将尾矿综合利用</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与当地建筑材料生产企业合作，将</w:t>
      </w:r>
      <w:r>
        <w:rPr>
          <w:rFonts w:hint="eastAsia"/>
          <w:color w:val="000000" w:themeColor="text1"/>
          <w:kern w:val="0"/>
          <w:highlight w:val="none"/>
          <w14:textFill>
            <w14:solidFill>
              <w14:schemeClr w14:val="tx1"/>
            </w14:solidFill>
          </w14:textFill>
        </w:rPr>
        <w:t>约</w:t>
      </w:r>
      <w:r>
        <w:rPr>
          <w:rFonts w:hint="eastAsia"/>
          <w:color w:val="000000" w:themeColor="text1"/>
          <w:kern w:val="0"/>
          <w:highlight w:val="none"/>
          <w:lang w:val="en-US" w:eastAsia="zh-CN"/>
          <w14:textFill>
            <w14:solidFill>
              <w14:schemeClr w14:val="tx1"/>
            </w14:solidFill>
          </w14:textFill>
        </w:rPr>
        <w:t>9.1</w:t>
      </w:r>
      <w:r>
        <w:rPr>
          <w:rFonts w:hint="eastAsia"/>
          <w:color w:val="000000" w:themeColor="text1"/>
          <w:kern w:val="0"/>
          <w:highlight w:val="none"/>
          <w14:textFill>
            <w14:solidFill>
              <w14:schemeClr w14:val="tx1"/>
            </w14:solidFill>
          </w14:textFill>
        </w:rPr>
        <w:t>万t</w:t>
      </w:r>
      <w:r>
        <w:rPr>
          <w:color w:val="000000" w:themeColor="text1"/>
          <w:kern w:val="0"/>
          <w:highlight w:val="none"/>
          <w14:textFill>
            <w14:solidFill>
              <w14:schemeClr w14:val="tx1"/>
            </w14:solidFill>
          </w14:textFill>
        </w:rPr>
        <w:t>/a</w:t>
      </w:r>
      <w:r>
        <w:rPr>
          <w:rFonts w:hint="eastAsia"/>
          <w:color w:val="000000" w:themeColor="text1"/>
          <w:kern w:val="0"/>
          <w:highlight w:val="none"/>
          <w14:textFill>
            <w14:solidFill>
              <w14:schemeClr w14:val="tx1"/>
            </w14:solidFill>
          </w14:textFill>
        </w:rPr>
        <w:t>用于</w:t>
      </w:r>
      <w:r>
        <w:rPr>
          <w:rFonts w:hint="eastAsia"/>
          <w:color w:val="000000" w:themeColor="text1"/>
          <w:kern w:val="0"/>
          <w:highlight w:val="none"/>
          <w:lang w:val="en-US" w:eastAsia="zh-CN"/>
          <w14:textFill>
            <w14:solidFill>
              <w14:schemeClr w14:val="tx1"/>
            </w14:solidFill>
          </w14:textFill>
        </w:rPr>
        <w:t>建筑材料生产，</w:t>
      </w:r>
      <w:r>
        <w:rPr>
          <w:rFonts w:hint="eastAsia"/>
          <w:color w:val="000000" w:themeColor="text1"/>
          <w:kern w:val="0"/>
          <w:highlight w:val="none"/>
          <w14:textFill>
            <w14:solidFill>
              <w14:schemeClr w14:val="tx1"/>
            </w14:solidFill>
          </w14:textFill>
        </w:rPr>
        <w:t>提高尾矿综合利用率达</w:t>
      </w:r>
      <w:r>
        <w:rPr>
          <w:color w:val="000000" w:themeColor="text1"/>
          <w:kern w:val="0"/>
          <w:highlight w:val="none"/>
          <w14:textFill>
            <w14:solidFill>
              <w14:schemeClr w14:val="tx1"/>
            </w14:solidFill>
          </w14:textFill>
        </w:rPr>
        <w:t>20</w:t>
      </w: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其余尾砂堆存至新建尾矿库。</w:t>
      </w:r>
    </w:p>
    <w:p w14:paraId="5A75C432">
      <w:pPr>
        <w:pStyle w:val="41"/>
        <w:overflowPunct w:val="0"/>
        <w:topLinePunct/>
        <w:spacing w:line="480" w:lineRule="exa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本项目的尾砂利用措施合理可行，符合《一般工业固体废物贮存和填埋污染控制标准》（GB18599-2020）的要求。</w:t>
      </w:r>
    </w:p>
    <w:p w14:paraId="5F44D7C2">
      <w:pPr>
        <w:pStyle w:val="41"/>
        <w:overflowPunct w:val="0"/>
        <w:topLinePunct/>
        <w:spacing w:line="480" w:lineRule="exact"/>
        <w:ind w:firstLine="480"/>
        <w:rPr>
          <w:rFonts w:hint="eastAsia"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（2）</w:t>
      </w:r>
      <w:r>
        <w:rPr>
          <w:rFonts w:hint="eastAsia"/>
          <w:color w:val="000000" w:themeColor="text1"/>
          <w:kern w:val="0"/>
          <w:highlight w:val="none"/>
          <w:lang w:eastAsia="zh-CN"/>
          <w14:textFill>
            <w14:solidFill>
              <w14:schemeClr w14:val="tx1"/>
            </w14:solidFill>
          </w14:textFill>
        </w:rPr>
        <w:t>干选废石</w:t>
      </w:r>
    </w:p>
    <w:p w14:paraId="52E29F84">
      <w:pPr>
        <w:pStyle w:val="41"/>
        <w:overflowPunct w:val="0"/>
        <w:topLinePunct/>
        <w:spacing w:line="480" w:lineRule="exact"/>
        <w:ind w:firstLine="480"/>
        <w:rPr>
          <w:rFonts w:hint="default" w:eastAsia="宋体" w:cs="Times New Roman"/>
          <w:color w:val="000000" w:themeColor="text1"/>
          <w:szCs w:val="24"/>
          <w:highlight w:val="none"/>
          <w:lang w:val="en-US" w:eastAsia="zh-CN"/>
          <w14:textFill>
            <w14:solidFill>
              <w14:schemeClr w14:val="tx1"/>
            </w14:solidFill>
          </w14:textFill>
        </w:rPr>
      </w:pPr>
      <w:r>
        <w:rPr>
          <w:rFonts w:hint="eastAsia" w:cs="Times New Roman"/>
          <w:color w:val="000000" w:themeColor="text1"/>
          <w:szCs w:val="24"/>
          <w:highlight w:val="none"/>
          <w:lang w:eastAsia="zh-CN"/>
          <w14:textFill>
            <w14:solidFill>
              <w14:schemeClr w14:val="tx1"/>
            </w14:solidFill>
          </w14:textFill>
        </w:rPr>
        <w:t>本项目干选工序会产生废石，废石</w:t>
      </w:r>
      <w:r>
        <w:rPr>
          <w:color w:val="000000" w:themeColor="text1"/>
          <w:kern w:val="0"/>
          <w:highlight w:val="none"/>
          <w:lang w:val="zh-CN"/>
          <w14:textFill>
            <w14:solidFill>
              <w14:schemeClr w14:val="tx1"/>
            </w14:solidFill>
          </w14:textFill>
        </w:rPr>
        <w:t>为一般固体废物</w:t>
      </w:r>
      <w:r>
        <w:rPr>
          <w:rFonts w:hint="eastAsia" w:cs="Times New Roman"/>
          <w:color w:val="000000" w:themeColor="text1"/>
          <w:szCs w:val="24"/>
          <w:highlight w:val="none"/>
          <w:lang w:val="en-US" w:eastAsia="zh-CN"/>
          <w14:textFill>
            <w14:solidFill>
              <w14:schemeClr w14:val="tx1"/>
            </w14:solidFill>
          </w14:textFill>
        </w:rPr>
        <w:t>，运至采矿区废石堆场堆放。</w:t>
      </w:r>
    </w:p>
    <w:p w14:paraId="3C115D3D">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3</w:t>
      </w:r>
      <w:r>
        <w:rPr>
          <w:rFonts w:hint="eastAsia"/>
          <w:color w:val="000000" w:themeColor="text1"/>
          <w:kern w:val="0"/>
          <w:highlight w:val="none"/>
          <w14:textFill>
            <w14:solidFill>
              <w14:schemeClr w14:val="tx1"/>
            </w14:solidFill>
          </w14:textFill>
        </w:rPr>
        <w:t>）除尘灰</w:t>
      </w:r>
    </w:p>
    <w:p w14:paraId="56986F8B">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破碎筛分、</w:t>
      </w:r>
      <w:r>
        <w:rPr>
          <w:rFonts w:hint="eastAsia"/>
          <w:color w:val="000000" w:themeColor="text1"/>
          <w:kern w:val="0"/>
          <w:highlight w:val="none"/>
          <w14:textFill>
            <w14:solidFill>
              <w14:schemeClr w14:val="tx1"/>
            </w14:solidFill>
          </w14:textFill>
        </w:rPr>
        <w:t>辊磨、</w:t>
      </w:r>
      <w:r>
        <w:rPr>
          <w:rFonts w:hint="eastAsia"/>
          <w:color w:val="000000" w:themeColor="text1"/>
          <w:kern w:val="0"/>
          <w:highlight w:val="none"/>
          <w:lang w:val="en-US" w:eastAsia="zh-CN"/>
          <w14:textFill>
            <w14:solidFill>
              <w14:schemeClr w14:val="tx1"/>
            </w14:solidFill>
          </w14:textFill>
        </w:rPr>
        <w:t>磁选</w:t>
      </w:r>
      <w:r>
        <w:rPr>
          <w:rFonts w:hint="eastAsia"/>
          <w:color w:val="000000" w:themeColor="text1"/>
          <w:kern w:val="0"/>
          <w:highlight w:val="none"/>
          <w14:textFill>
            <w14:solidFill>
              <w14:schemeClr w14:val="tx1"/>
            </w14:solidFill>
          </w14:textFill>
        </w:rPr>
        <w:t>收集的粉尘灰含较高的磁铁矿物，</w:t>
      </w:r>
      <w:r>
        <w:rPr>
          <w:color w:val="000000" w:themeColor="text1"/>
          <w:highlight w:val="none"/>
          <w14:textFill>
            <w14:solidFill>
              <w14:schemeClr w14:val="tx1"/>
            </w14:solidFill>
          </w14:textFill>
        </w:rPr>
        <w:t>通过除尘器灰斗</w:t>
      </w:r>
      <w:r>
        <w:rPr>
          <w:rFonts w:hint="eastAsia"/>
          <w:color w:val="000000" w:themeColor="text1"/>
          <w:highlight w:val="none"/>
          <w14:textFill>
            <w14:solidFill>
              <w14:schemeClr w14:val="tx1"/>
            </w14:solidFill>
          </w14:textFill>
        </w:rPr>
        <w:t>收集后</w:t>
      </w:r>
      <w:r>
        <w:rPr>
          <w:rFonts w:hint="eastAsia"/>
          <w:color w:val="000000" w:themeColor="text1"/>
          <w:kern w:val="0"/>
          <w:highlight w:val="none"/>
          <w14:textFill>
            <w14:solidFill>
              <w14:schemeClr w14:val="tx1"/>
            </w14:solidFill>
          </w14:textFill>
        </w:rPr>
        <w:t>回用于选矿生产</w:t>
      </w:r>
      <w:r>
        <w:rPr>
          <w:rFonts w:hint="eastAsia"/>
          <w:color w:val="000000" w:themeColor="text1"/>
          <w:highlight w:val="none"/>
          <w14:textFill>
            <w14:solidFill>
              <w14:schemeClr w14:val="tx1"/>
            </w14:solidFill>
          </w14:textFill>
        </w:rPr>
        <w:t>。</w:t>
      </w:r>
    </w:p>
    <w:p w14:paraId="7D1E9838">
      <w:pPr>
        <w:overflowPunct w:val="0"/>
        <w:topLinePunct/>
        <w:ind w:firstLine="480"/>
        <w:rPr>
          <w:color w:val="000000" w:themeColor="text1"/>
          <w:kern w:val="0"/>
          <w:highlight w:val="none"/>
          <w14:textFill>
            <w14:solidFill>
              <w14:schemeClr w14:val="tx1"/>
            </w14:solidFill>
          </w14:textFill>
        </w:rPr>
      </w:pPr>
      <w:r>
        <w:rPr>
          <w:rFonts w:hint="eastAsia" w:cs="Times New Roman"/>
          <w:bCs/>
          <w:color w:val="000000" w:themeColor="text1"/>
          <w:szCs w:val="24"/>
          <w:highlight w:val="none"/>
          <w:lang w:eastAsia="zh-CN"/>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4</w:t>
      </w:r>
      <w:r>
        <w:rPr>
          <w:rFonts w:hint="eastAsia" w:cs="Times New Roman"/>
          <w:bCs/>
          <w:color w:val="000000" w:themeColor="text1"/>
          <w:szCs w:val="24"/>
          <w:highlight w:val="none"/>
          <w:lang w:eastAsia="zh-CN"/>
          <w14:textFill>
            <w14:solidFill>
              <w14:schemeClr w14:val="tx1"/>
            </w14:solidFill>
          </w14:textFill>
        </w:rPr>
        <w:t>）</w:t>
      </w:r>
      <w:r>
        <w:rPr>
          <w:rFonts w:hint="eastAsia"/>
          <w:color w:val="000000" w:themeColor="text1"/>
          <w:kern w:val="0"/>
          <w:highlight w:val="none"/>
          <w14:textFill>
            <w14:solidFill>
              <w14:schemeClr w14:val="tx1"/>
            </w14:solidFill>
          </w14:textFill>
        </w:rPr>
        <w:t>生活</w:t>
      </w:r>
      <w:r>
        <w:rPr>
          <w:rFonts w:hint="eastAsia"/>
          <w:color w:val="000000" w:themeColor="text1"/>
          <w:highlight w:val="none"/>
          <w14:textFill>
            <w14:solidFill>
              <w14:schemeClr w14:val="tx1"/>
            </w14:solidFill>
          </w14:textFill>
        </w:rPr>
        <w:t>污水处理设施底泥</w:t>
      </w:r>
    </w:p>
    <w:p w14:paraId="32372BB6">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本项目运营期间，用于处理生活污水的地埋式一体化污水处理设施底部会沉积部分污泥，</w:t>
      </w:r>
      <w:r>
        <w:rPr>
          <w:color w:val="000000" w:themeColor="text1"/>
          <w:highlight w:val="none"/>
          <w14:textFill>
            <w14:solidFill>
              <w14:schemeClr w14:val="tx1"/>
            </w14:solidFill>
          </w14:textFill>
        </w:rPr>
        <w:t>生活污水处理设施底泥</w:t>
      </w:r>
      <w:r>
        <w:rPr>
          <w:rFonts w:hint="eastAsia"/>
          <w:color w:val="000000" w:themeColor="text1"/>
          <w:highlight w:val="none"/>
          <w14:textFill>
            <w14:solidFill>
              <w14:schemeClr w14:val="tx1"/>
            </w14:solidFill>
          </w14:textFill>
        </w:rPr>
        <w:t>定期拉运至</w:t>
      </w:r>
      <w:r>
        <w:rPr>
          <w:rFonts w:hint="eastAsia"/>
          <w:color w:val="000000" w:themeColor="text1"/>
          <w:highlight w:val="none"/>
          <w:lang w:eastAsia="zh-CN"/>
          <w14:textFill>
            <w14:solidFill>
              <w14:schemeClr w14:val="tx1"/>
            </w14:solidFill>
          </w14:textFill>
        </w:rPr>
        <w:t>周边</w:t>
      </w:r>
      <w:r>
        <w:rPr>
          <w:rFonts w:hint="eastAsia"/>
          <w:color w:val="000000" w:themeColor="text1"/>
          <w:highlight w:val="none"/>
          <w14:textFill>
            <w14:solidFill>
              <w14:schemeClr w14:val="tx1"/>
            </w14:solidFill>
          </w14:textFill>
        </w:rPr>
        <w:t>一般工业固体废物填埋场填埋处置。</w:t>
      </w:r>
    </w:p>
    <w:p w14:paraId="2E7FAE74">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5</w:t>
      </w:r>
      <w:r>
        <w:rPr>
          <w:rFonts w:hint="eastAsia"/>
          <w:color w:val="000000" w:themeColor="text1"/>
          <w:kern w:val="0"/>
          <w:highlight w:val="none"/>
          <w14:textFill>
            <w14:solidFill>
              <w14:schemeClr w14:val="tx1"/>
            </w14:solidFill>
          </w14:textFill>
        </w:rPr>
        <w:t>）废布袋</w:t>
      </w:r>
    </w:p>
    <w:p w14:paraId="2235B8E1">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根据项目需要采取布袋除尘器作为环保处理措施手段，运行过程中破损或遇水后糊袋</w:t>
      </w:r>
      <w:r>
        <w:rPr>
          <w:rFonts w:hint="eastAsia"/>
          <w:color w:val="000000" w:themeColor="text1"/>
          <w:kern w:val="0"/>
          <w:highlight w:val="none"/>
          <w:lang w:val="en-US" w:eastAsia="zh-CN"/>
          <w14:textFill>
            <w14:solidFill>
              <w14:schemeClr w14:val="tx1"/>
            </w14:solidFill>
          </w14:textFill>
        </w:rPr>
        <w:t>时</w:t>
      </w:r>
      <w:r>
        <w:rPr>
          <w:rFonts w:hint="eastAsia"/>
          <w:color w:val="000000" w:themeColor="text1"/>
          <w:kern w:val="0"/>
          <w:highlight w:val="none"/>
          <w14:textFill>
            <w14:solidFill>
              <w14:schemeClr w14:val="tx1"/>
            </w14:solidFill>
          </w14:textFill>
        </w:rPr>
        <w:t>需要更换布袋。</w:t>
      </w:r>
      <w:r>
        <w:rPr>
          <w:rFonts w:hint="eastAsia"/>
          <w:color w:val="000000" w:themeColor="text1"/>
          <w:kern w:val="0"/>
          <w:highlight w:val="none"/>
          <w:lang w:val="en-US" w:eastAsia="zh-CN"/>
          <w14:textFill>
            <w14:solidFill>
              <w14:schemeClr w14:val="tx1"/>
            </w14:solidFill>
          </w14:textFill>
        </w:rPr>
        <w:t>废布袋</w:t>
      </w:r>
      <w:r>
        <w:rPr>
          <w:rFonts w:hint="eastAsia"/>
          <w:color w:val="000000" w:themeColor="text1"/>
          <w:kern w:val="0"/>
          <w:highlight w:val="none"/>
          <w14:textFill>
            <w14:solidFill>
              <w14:schemeClr w14:val="tx1"/>
            </w14:solidFill>
          </w14:textFill>
        </w:rPr>
        <w:t>属于一般固体废物，集中收集后定期拉运至一般工业固体废物填埋场进行处置。</w:t>
      </w:r>
    </w:p>
    <w:p w14:paraId="129E27D9">
      <w:pPr>
        <w:pStyle w:val="41"/>
        <w:overflowPunct w:val="0"/>
        <w:topLinePunct/>
        <w:spacing w:line="480" w:lineRule="exact"/>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6</w:t>
      </w:r>
      <w:r>
        <w:rPr>
          <w:rFonts w:hint="eastAsia" w:cs="Times New Roman"/>
          <w:bCs/>
          <w:color w:val="000000" w:themeColor="text1"/>
          <w:szCs w:val="24"/>
          <w:highlight w:val="none"/>
          <w14:textFill>
            <w14:solidFill>
              <w14:schemeClr w14:val="tx1"/>
            </w14:solidFill>
          </w14:textFill>
        </w:rPr>
        <w:t>）循环水池底泥</w:t>
      </w:r>
    </w:p>
    <w:p w14:paraId="581961D2">
      <w:pPr>
        <w:pStyle w:val="41"/>
        <w:overflowPunct w:val="0"/>
        <w:topLinePunct/>
        <w:spacing w:line="480" w:lineRule="exact"/>
        <w:ind w:firstLine="480"/>
        <w:rPr>
          <w:rFonts w:cs="Times New Roman"/>
          <w:bCs/>
          <w:color w:val="000000" w:themeColor="text1"/>
          <w:szCs w:val="24"/>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w:t>
      </w:r>
      <w:r>
        <w:rPr>
          <w:rFonts w:cs="Times New Roman"/>
          <w:color w:val="000000" w:themeColor="text1"/>
          <w:highlight w:val="none"/>
          <w14:textFill>
            <w14:solidFill>
              <w14:schemeClr w14:val="tx1"/>
            </w14:solidFill>
          </w14:textFill>
        </w:rPr>
        <w:t>运营期</w:t>
      </w:r>
      <w:r>
        <w:rPr>
          <w:rFonts w:hint="eastAsia" w:cs="Times New Roman"/>
          <w:bCs/>
          <w:color w:val="000000" w:themeColor="text1"/>
          <w:szCs w:val="24"/>
          <w:highlight w:val="none"/>
          <w14:textFill>
            <w14:solidFill>
              <w14:schemeClr w14:val="tx1"/>
            </w14:solidFill>
          </w14:textFill>
        </w:rPr>
        <w:t>循环水池底泥产生量约</w:t>
      </w:r>
      <w:r>
        <w:rPr>
          <w:rFonts w:hint="eastAsia" w:cs="Times New Roman"/>
          <w:bCs/>
          <w:color w:val="000000" w:themeColor="text1"/>
          <w:szCs w:val="24"/>
          <w:highlight w:val="none"/>
          <w:lang w:val="en-US" w:eastAsia="zh-CN"/>
          <w14:textFill>
            <w14:solidFill>
              <w14:schemeClr w14:val="tx1"/>
            </w14:solidFill>
          </w14:textFill>
        </w:rPr>
        <w:t>92</w:t>
      </w:r>
      <w:r>
        <w:rPr>
          <w:rFonts w:hint="eastAsia" w:cs="Times New Roman"/>
          <w:bCs/>
          <w:color w:val="000000" w:themeColor="text1"/>
          <w:szCs w:val="24"/>
          <w:highlight w:val="none"/>
          <w14:textFill>
            <w14:solidFill>
              <w14:schemeClr w14:val="tx1"/>
            </w14:solidFill>
          </w14:textFill>
        </w:rPr>
        <w:t>t/a。循环水池定期清理，底泥可返回生产工序回用于选矿，不外排。</w:t>
      </w:r>
    </w:p>
    <w:p w14:paraId="0CD8FE0A">
      <w:pPr>
        <w:pStyle w:val="41"/>
        <w:overflowPunct w:val="0"/>
        <w:topLinePunct/>
        <w:spacing w:line="480" w:lineRule="exact"/>
        <w:ind w:firstLine="480"/>
        <w:rPr>
          <w:rFonts w:cs="Times New Roman"/>
          <w:bCs/>
          <w:color w:val="000000" w:themeColor="text1"/>
          <w:szCs w:val="24"/>
          <w:highlight w:val="none"/>
          <w14:textFill>
            <w14:solidFill>
              <w14:schemeClr w14:val="tx1"/>
            </w14:solidFill>
          </w14:textFill>
        </w:rPr>
      </w:pP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7</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14:textFill>
            <w14:solidFill>
              <w14:schemeClr w14:val="tx1"/>
            </w14:solidFill>
          </w14:textFill>
        </w:rPr>
        <w:t>生活垃圾</w:t>
      </w:r>
    </w:p>
    <w:p w14:paraId="4620BD65">
      <w:pPr>
        <w:pStyle w:val="41"/>
        <w:overflowPunct w:val="0"/>
        <w:topLinePunct/>
        <w:spacing w:line="480" w:lineRule="exact"/>
        <w:ind w:firstLine="480"/>
        <w:rPr>
          <w:rFonts w:cs="Times New Roman"/>
          <w:bCs/>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kern w:val="0"/>
          <w:highlight w:val="none"/>
          <w14:textFill>
            <w14:solidFill>
              <w14:schemeClr w14:val="tx1"/>
            </w14:solidFill>
          </w14:textFill>
        </w:rPr>
        <w:t>生活</w:t>
      </w:r>
      <w:r>
        <w:rPr>
          <w:rFonts w:hint="eastAsia"/>
          <w:color w:val="000000" w:themeColor="text1"/>
          <w:kern w:val="0"/>
          <w:highlight w:val="none"/>
          <w:lang w:eastAsia="zh-CN"/>
          <w14:textFill>
            <w14:solidFill>
              <w14:schemeClr w14:val="tx1"/>
            </w14:solidFill>
          </w14:textFill>
        </w:rPr>
        <w:t>垃圾</w:t>
      </w:r>
      <w:r>
        <w:rPr>
          <w:rFonts w:hint="eastAsia"/>
          <w:color w:val="000000" w:themeColor="text1"/>
          <w:kern w:val="0"/>
          <w:highlight w:val="none"/>
          <w14:textFill>
            <w14:solidFill>
              <w14:schemeClr w14:val="tx1"/>
            </w14:solidFill>
          </w14:textFill>
        </w:rPr>
        <w:t>集中收集后，</w:t>
      </w:r>
      <w:r>
        <w:rPr>
          <w:rFonts w:hint="eastAsia"/>
          <w:color w:val="000000" w:themeColor="text1"/>
          <w:kern w:val="0"/>
          <w:highlight w:val="none"/>
          <w:lang w:val="en-US" w:eastAsia="zh-CN"/>
          <w14:textFill>
            <w14:solidFill>
              <w14:schemeClr w14:val="tx1"/>
            </w14:solidFill>
          </w14:textFill>
        </w:rPr>
        <w:t>定期清运至哈密市伊州区雅满苏镇生活垃圾转运站处理</w:t>
      </w:r>
      <w:r>
        <w:rPr>
          <w:rFonts w:hint="eastAsia"/>
          <w:color w:val="000000" w:themeColor="text1"/>
          <w:kern w:val="0"/>
          <w:highlight w:val="none"/>
          <w14:textFill>
            <w14:solidFill>
              <w14:schemeClr w14:val="tx1"/>
            </w14:solidFill>
          </w14:textFill>
        </w:rPr>
        <w:t>。</w:t>
      </w:r>
    </w:p>
    <w:p w14:paraId="3E867197">
      <w:pPr>
        <w:pStyle w:val="41"/>
        <w:overflowPunct w:val="0"/>
        <w:topLinePunct/>
        <w:spacing w:line="480" w:lineRule="exact"/>
        <w:ind w:firstLine="480"/>
        <w:rPr>
          <w:rFonts w:cs="Times New Roman"/>
          <w:bCs/>
          <w:color w:val="000000" w:themeColor="text1"/>
          <w:szCs w:val="24"/>
          <w:highlight w:val="none"/>
          <w14:textFill>
            <w14:solidFill>
              <w14:schemeClr w14:val="tx1"/>
            </w14:solidFill>
          </w14:textFill>
        </w:rPr>
      </w:pPr>
      <w:r>
        <w:rPr>
          <w:rFonts w:hint="eastAsia" w:cs="Times New Roman"/>
          <w:bCs/>
          <w:color w:val="000000" w:themeColor="text1"/>
          <w:szCs w:val="24"/>
          <w:highlight w:val="none"/>
          <w14:textFill>
            <w14:solidFill>
              <w14:schemeClr w14:val="tx1"/>
            </w14:solidFill>
          </w14:textFill>
        </w:rPr>
        <w:t>（</w:t>
      </w:r>
      <w:r>
        <w:rPr>
          <w:rFonts w:hint="eastAsia" w:cs="Times New Roman"/>
          <w:bCs/>
          <w:color w:val="000000" w:themeColor="text1"/>
          <w:szCs w:val="24"/>
          <w:highlight w:val="none"/>
          <w:lang w:val="en-US" w:eastAsia="zh-CN"/>
          <w14:textFill>
            <w14:solidFill>
              <w14:schemeClr w14:val="tx1"/>
            </w14:solidFill>
          </w14:textFill>
        </w:rPr>
        <w:t>8</w:t>
      </w:r>
      <w:r>
        <w:rPr>
          <w:rFonts w:hint="eastAsia" w:cs="Times New Roman"/>
          <w:bCs/>
          <w:color w:val="000000" w:themeColor="text1"/>
          <w:szCs w:val="24"/>
          <w:highlight w:val="none"/>
          <w14:textFill>
            <w14:solidFill>
              <w14:schemeClr w14:val="tx1"/>
            </w14:solidFill>
          </w14:textFill>
        </w:rPr>
        <w:t>）</w:t>
      </w:r>
      <w:r>
        <w:rPr>
          <w:rFonts w:hint="eastAsia"/>
          <w:color w:val="000000" w:themeColor="text1"/>
          <w:kern w:val="0"/>
          <w:highlight w:val="none"/>
          <w14:textFill>
            <w14:solidFill>
              <w14:schemeClr w14:val="tx1"/>
            </w14:solidFill>
          </w14:textFill>
        </w:rPr>
        <w:t>废机油及废油桶</w:t>
      </w:r>
    </w:p>
    <w:p w14:paraId="450CA699">
      <w:pPr>
        <w:pStyle w:val="41"/>
        <w:overflowPunct w:val="0"/>
        <w:topLinePunct/>
        <w:spacing w:line="480" w:lineRule="exact"/>
        <w:ind w:firstLine="480"/>
        <w:rPr>
          <w:rFonts w:hint="eastAsia"/>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项目运营过程中会产生少量废机油及废油桶，属于危险废物（</w:t>
      </w:r>
      <w:r>
        <w:rPr>
          <w:color w:val="000000" w:themeColor="text1"/>
          <w:kern w:val="0"/>
          <w:highlight w:val="none"/>
          <w14:textFill>
            <w14:solidFill>
              <w14:schemeClr w14:val="tx1"/>
            </w14:solidFill>
          </w14:textFill>
        </w:rPr>
        <w:t>HW08</w:t>
      </w:r>
      <w:r>
        <w:rPr>
          <w:rFonts w:hint="eastAsia"/>
          <w:color w:val="000000" w:themeColor="text1"/>
          <w:kern w:val="0"/>
          <w:highlight w:val="none"/>
          <w14:textFill>
            <w14:solidFill>
              <w14:schemeClr w14:val="tx1"/>
            </w14:solidFill>
          </w14:textFill>
        </w:rPr>
        <w:t xml:space="preserve"> </w:t>
      </w:r>
      <w:r>
        <w:rPr>
          <w:color w:val="000000" w:themeColor="text1"/>
          <w:kern w:val="0"/>
          <w:highlight w:val="none"/>
          <w14:textFill>
            <w14:solidFill>
              <w14:schemeClr w14:val="tx1"/>
            </w14:solidFill>
          </w14:textFill>
        </w:rPr>
        <w:t>900-2</w:t>
      </w:r>
      <w:r>
        <w:rPr>
          <w:rFonts w:hint="eastAsia"/>
          <w:color w:val="000000" w:themeColor="text1"/>
          <w:kern w:val="0"/>
          <w:highlight w:val="none"/>
          <w14:textFill>
            <w14:solidFill>
              <w14:schemeClr w14:val="tx1"/>
            </w14:solidFill>
          </w14:textFill>
        </w:rPr>
        <w:t>1</w:t>
      </w:r>
      <w:r>
        <w:rPr>
          <w:color w:val="000000" w:themeColor="text1"/>
          <w:kern w:val="0"/>
          <w:highlight w:val="none"/>
          <w14:textFill>
            <w14:solidFill>
              <w14:schemeClr w14:val="tx1"/>
            </w14:solidFill>
          </w14:textFill>
        </w:rPr>
        <w:t>7-08</w:t>
      </w:r>
      <w:r>
        <w:rPr>
          <w:rFonts w:hint="eastAsia"/>
          <w:color w:val="000000" w:themeColor="text1"/>
          <w:kern w:val="0"/>
          <w:highlight w:val="none"/>
          <w14:textFill>
            <w14:solidFill>
              <w14:schemeClr w14:val="tx1"/>
            </w14:solidFill>
          </w14:textFill>
        </w:rPr>
        <w:t>）。废机油及废油桶</w:t>
      </w:r>
      <w:r>
        <w:rPr>
          <w:rFonts w:hint="eastAsia" w:ascii="Times New Roman" w:hAnsi="Times New Roman" w:cs="Times New Roman"/>
          <w:color w:val="000000" w:themeColor="text1"/>
          <w:highlight w:val="none"/>
          <w:lang w:eastAsia="zh-CN"/>
          <w14:textFill>
            <w14:solidFill>
              <w14:schemeClr w14:val="tx1"/>
            </w14:solidFill>
          </w14:textFill>
        </w:rPr>
        <w:t>依托矿区</w:t>
      </w:r>
      <w:r>
        <w:rPr>
          <w:rFonts w:hint="eastAsia" w:ascii="Times New Roman" w:hAnsi="Times New Roman" w:cs="Times New Roman"/>
          <w:color w:val="000000" w:themeColor="text1"/>
          <w:highlight w:val="none"/>
          <w:lang w:val="en-US" w:eastAsia="zh-CN"/>
          <w14:textFill>
            <w14:solidFill>
              <w14:schemeClr w14:val="tx1"/>
            </w14:solidFill>
          </w14:textFill>
        </w:rPr>
        <w:t>现有的</w:t>
      </w:r>
      <w:r>
        <w:rPr>
          <w:rFonts w:hint="eastAsia" w:cs="Times New Roman"/>
          <w:color w:val="000000" w:themeColor="text1"/>
          <w:highlight w:val="none"/>
          <w:lang w:eastAsia="zh-CN"/>
          <w14:textFill>
            <w14:solidFill>
              <w14:schemeClr w14:val="tx1"/>
            </w14:solidFill>
          </w14:textFill>
        </w:rPr>
        <w:t>危废贮存点</w:t>
      </w:r>
      <w:r>
        <w:rPr>
          <w:rFonts w:hint="eastAsia" w:ascii="Times New Roman" w:hAnsi="Times New Roman" w:cs="Times New Roman"/>
          <w:color w:val="000000" w:themeColor="text1"/>
          <w:highlight w:val="none"/>
          <w:lang w:eastAsia="zh-CN"/>
          <w14:textFill>
            <w14:solidFill>
              <w14:schemeClr w14:val="tx1"/>
            </w14:solidFill>
          </w14:textFill>
        </w:rPr>
        <w:t>贮</w:t>
      </w:r>
      <w:r>
        <w:rPr>
          <w:rFonts w:hint="eastAsia" w:ascii="Times New Roman" w:hAnsi="Times New Roman" w:cs="Times New Roman"/>
          <w:color w:val="000000" w:themeColor="text1"/>
          <w:highlight w:val="none"/>
          <w14:textFill>
            <w14:solidFill>
              <w14:schemeClr w14:val="tx1"/>
            </w14:solidFill>
          </w14:textFill>
        </w:rPr>
        <w:t>存</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委托有资质单位处置。</w:t>
      </w:r>
    </w:p>
    <w:p w14:paraId="04B61A00">
      <w:pPr>
        <w:overflowPunct w:val="0"/>
        <w:topLinePunct/>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综上，本项目各项固体废物均得到妥善处置，在满足以上要求的前提下，本项目各项固体废物对项目区及周边环境影响较小。</w:t>
      </w:r>
    </w:p>
    <w:p w14:paraId="656456FF">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6.2.5.2</w:t>
      </w:r>
      <w:r>
        <w:rPr>
          <w:rFonts w:hint="eastAsia"/>
          <w:color w:val="000000" w:themeColor="text1"/>
          <w:highlight w:val="none"/>
          <w14:textFill>
            <w14:solidFill>
              <w14:schemeClr w14:val="tx1"/>
            </w14:solidFill>
          </w14:textFill>
        </w:rPr>
        <w:t>危险废物相关要求</w:t>
      </w:r>
    </w:p>
    <w:p w14:paraId="21703D6B">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）暂存要求</w:t>
      </w:r>
    </w:p>
    <w:p w14:paraId="41297DE8">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根据《危险废物贮存污染控制标准》（</w:t>
      </w:r>
      <w:r>
        <w:rPr>
          <w:color w:val="000000" w:themeColor="text1"/>
          <w:highlight w:val="none"/>
          <w14:textFill>
            <w14:solidFill>
              <w14:schemeClr w14:val="tx1"/>
            </w14:solidFill>
          </w14:textFill>
        </w:rPr>
        <w:t>GB18957-20</w:t>
      </w:r>
      <w:r>
        <w:rPr>
          <w:rFonts w:hint="eastAsia"/>
          <w:color w:val="000000" w:themeColor="text1"/>
          <w:highlight w:val="none"/>
          <w:lang w:val="en-US" w:eastAsia="zh-CN"/>
          <w14:textFill>
            <w14:solidFill>
              <w14:schemeClr w14:val="tx1"/>
            </w14:solidFill>
          </w14:textFill>
        </w:rPr>
        <w:t>23</w:t>
      </w:r>
      <w:r>
        <w:rPr>
          <w:rFonts w:hint="eastAsia"/>
          <w:color w:val="000000" w:themeColor="text1"/>
          <w:highlight w:val="none"/>
          <w14:textFill>
            <w14:solidFill>
              <w14:schemeClr w14:val="tx1"/>
            </w14:solidFill>
          </w14:textFill>
        </w:rPr>
        <w:t>）中有关规定，危险废物在</w:t>
      </w:r>
      <w:r>
        <w:rPr>
          <w:rFonts w:hint="eastAsia"/>
          <w:color w:val="000000" w:themeColor="text1"/>
          <w:highlight w:val="none"/>
          <w:lang w:eastAsia="zh-CN"/>
          <w14:textFill>
            <w14:solidFill>
              <w14:schemeClr w14:val="tx1"/>
            </w14:solidFill>
          </w14:textFill>
        </w:rPr>
        <w:t>危废贮存点</w:t>
      </w:r>
      <w:r>
        <w:rPr>
          <w:rFonts w:hint="eastAsia"/>
          <w:color w:val="000000" w:themeColor="text1"/>
          <w:highlight w:val="none"/>
          <w14:textFill>
            <w14:solidFill>
              <w14:schemeClr w14:val="tx1"/>
            </w14:solidFill>
          </w14:textFill>
        </w:rPr>
        <w:t>内存放期间，使用完好无损容器盛装；用以存放装置危险废物容器的地方，必须有耐腐蚀的硬化地面，且表面无裂痕。储存容器上必须粘贴该标准中规定的危险废物标签；容器材质与危险废物本身相容</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不相互反应）；厂内设置临时安全存放场所，基础做了防渗。</w:t>
      </w:r>
    </w:p>
    <w:p w14:paraId="424499E4">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危险废物贮存容器应满足：</w:t>
      </w:r>
    </w:p>
    <w:p w14:paraId="6495A27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①使用符合标准的容器盛装危险废物；应定期对暂时贮存危险废物包装及设施进行检查，发现破损，及时采取措施清理更换；</w:t>
      </w:r>
    </w:p>
    <w:p w14:paraId="45ECFCDD">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②装载危险废物的容器及材质要满足相应的强度要求；</w:t>
      </w:r>
    </w:p>
    <w:p w14:paraId="7C2C2FE2">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③装载危险废物的容器必须完好无损；</w:t>
      </w:r>
    </w:p>
    <w:p w14:paraId="596495DA">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④盛装危险废物的容器材质和衬里要与危险废物相容，不相互反应。危险废物堆放场所选址、平面布置、设计原则及危险废物的堆放要求等，必须满足（</w:t>
      </w:r>
      <w:r>
        <w:rPr>
          <w:color w:val="000000" w:themeColor="text1"/>
          <w:highlight w:val="none"/>
          <w14:textFill>
            <w14:solidFill>
              <w14:schemeClr w14:val="tx1"/>
            </w14:solidFill>
          </w14:textFill>
        </w:rPr>
        <w:t>GB18597-20</w:t>
      </w:r>
      <w:r>
        <w:rPr>
          <w:rFonts w:hint="eastAsia"/>
          <w:color w:val="000000" w:themeColor="text1"/>
          <w:highlight w:val="none"/>
          <w:lang w:val="en-US" w:eastAsia="zh-CN"/>
          <w14:textFill>
            <w14:solidFill>
              <w14:schemeClr w14:val="tx1"/>
            </w14:solidFill>
          </w14:textFill>
        </w:rPr>
        <w:t>23</w:t>
      </w:r>
      <w:r>
        <w:rPr>
          <w:rFonts w:hint="eastAsia"/>
          <w:color w:val="000000" w:themeColor="text1"/>
          <w:highlight w:val="none"/>
          <w14:textFill>
            <w14:solidFill>
              <w14:schemeClr w14:val="tx1"/>
            </w14:solidFill>
          </w14:textFill>
        </w:rPr>
        <w:t>）的要求。危险暂存间必须按《环境保护图形标志—固体废物贮存（处置）场》（GB15562.2-1995）</w:t>
      </w:r>
      <w:r>
        <w:rPr>
          <w:rFonts w:hint="eastAsia"/>
          <w:color w:val="000000" w:themeColor="text1"/>
          <w:highlight w:val="none"/>
          <w:lang w:val="en-US" w:eastAsia="zh-CN"/>
          <w14:textFill>
            <w14:solidFill>
              <w14:schemeClr w14:val="tx1"/>
            </w14:solidFill>
          </w14:textFill>
        </w:rPr>
        <w:t>及其修改单</w:t>
      </w:r>
      <w:r>
        <w:rPr>
          <w:rFonts w:hint="eastAsia"/>
          <w:color w:val="000000" w:themeColor="text1"/>
          <w:highlight w:val="none"/>
          <w14:textFill>
            <w14:solidFill>
              <w14:schemeClr w14:val="tx1"/>
            </w14:solidFill>
          </w14:textFill>
        </w:rPr>
        <w:t>的规定设置警示标志，周围应设置围墙或</w:t>
      </w:r>
      <w:r>
        <w:rPr>
          <w:rFonts w:hint="eastAsia"/>
          <w:color w:val="000000" w:themeColor="text1"/>
          <w:highlight w:val="none"/>
          <w:lang w:eastAsia="zh-CN"/>
          <w14:textFill>
            <w14:solidFill>
              <w14:schemeClr w14:val="tx1"/>
            </w14:solidFill>
          </w14:textFill>
        </w:rPr>
        <w:t>其他</w:t>
      </w:r>
      <w:r>
        <w:rPr>
          <w:rFonts w:hint="eastAsia"/>
          <w:color w:val="000000" w:themeColor="text1"/>
          <w:highlight w:val="none"/>
          <w14:textFill>
            <w14:solidFill>
              <w14:schemeClr w14:val="tx1"/>
            </w14:solidFill>
          </w14:textFill>
        </w:rPr>
        <w:t>防护栅栏，配备通讯设备、照明设施、安全防护服装及工具，并设有应急防护设施。</w:t>
      </w:r>
    </w:p>
    <w:p w14:paraId="7B728991">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）运输和转移</w:t>
      </w:r>
    </w:p>
    <w:p w14:paraId="7E469262">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对于危险废物的运输和转移，应根据《危险废物收集、贮存、运输技术规范》以及《危险废物转移管理办法》（生态环境部令第23号）等。</w:t>
      </w:r>
    </w:p>
    <w:p w14:paraId="6F5C83E6">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企业应按国家有关规定办理危险废物申报转移联单手续，并在贮运过程中严格执行危险化学品贮存、运输和监管的有关规定。产废单位在转移危险废物前，应当向</w:t>
      </w:r>
      <w:r>
        <w:rPr>
          <w:rFonts w:hint="eastAsia"/>
          <w:color w:val="000000" w:themeColor="text1"/>
          <w:highlight w:val="none"/>
          <w:lang w:eastAsia="zh-CN"/>
          <w14:textFill>
            <w14:solidFill>
              <w14:schemeClr w14:val="tx1"/>
            </w14:solidFill>
          </w14:textFill>
        </w:rPr>
        <w:t>哈密市</w:t>
      </w:r>
      <w:r>
        <w:rPr>
          <w:rFonts w:hint="eastAsia"/>
          <w:color w:val="000000" w:themeColor="text1"/>
          <w:highlight w:val="none"/>
          <w14:textFill>
            <w14:solidFill>
              <w14:schemeClr w14:val="tx1"/>
            </w14:solidFill>
          </w14:textFill>
        </w:rPr>
        <w:t>生态环境局及自治区生态环境厅报送危险废物转移计划；经批准后，领取并填写危险废物转移联单。产废单位应当在危险废物转移前</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日内报告移出地生态环境主管部门，并同时将预期到达时间报告接受地生态环境主管部门；</w:t>
      </w:r>
    </w:p>
    <w:p w14:paraId="2AF26C9A">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②从事收集、利用处置危险废物经营活动的单位应当具备与其经营活动相应的资格，禁止产废单位将危险废物提供或者委托给无经营许可证的单位；</w:t>
      </w:r>
    </w:p>
    <w:p w14:paraId="14C18A93">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③所有危险废物均应按类在专用密闭容器中储存，并按规定贴标签。不得混装，废物收集和封装容器应得到接收企业及当生态环境主管部门的认可。收集的危废应详细列出数量和成分，并填写有关材料；</w:t>
      </w:r>
    </w:p>
    <w:p w14:paraId="3A3AC9CC">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④应指定专人负责危废的收集、贮运管理工作，运输车辆的司机和押运人员应经专业培训。</w:t>
      </w:r>
    </w:p>
    <w:bookmarkEnd w:id="836"/>
    <w:bookmarkEnd w:id="837"/>
    <w:bookmarkEnd w:id="838"/>
    <w:p w14:paraId="3FC1F9EF">
      <w:pPr>
        <w:pStyle w:val="4"/>
        <w:rPr>
          <w:color w:val="000000" w:themeColor="text1"/>
          <w:highlight w:val="none"/>
          <w14:textFill>
            <w14:solidFill>
              <w14:schemeClr w14:val="tx1"/>
            </w14:solidFill>
          </w14:textFill>
        </w:rPr>
      </w:pPr>
      <w:bookmarkStart w:id="840" w:name="_Toc26073"/>
      <w:bookmarkStart w:id="841" w:name="_Toc15022"/>
      <w:bookmarkStart w:id="842" w:name="_Toc22459"/>
      <w:bookmarkStart w:id="843" w:name="_Toc5354"/>
      <w:bookmarkStart w:id="844" w:name="_Toc107414671"/>
      <w:bookmarkStart w:id="845" w:name="_Toc107413904"/>
      <w:bookmarkStart w:id="846" w:name="_Toc11356"/>
      <w:bookmarkStart w:id="847" w:name="_Toc27674"/>
      <w:bookmarkStart w:id="848" w:name="_Toc28922"/>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2.6土壤环境保护措施</w:t>
      </w:r>
    </w:p>
    <w:p w14:paraId="553DC535">
      <w:pPr>
        <w:pStyle w:val="5"/>
        <w:ind w:firstLine="482"/>
        <w:rPr>
          <w:color w:val="000000" w:themeColor="text1"/>
          <w:highlight w:val="none"/>
          <w14:textFill>
            <w14:solidFill>
              <w14:schemeClr w14:val="tx1"/>
            </w14:solidFill>
          </w14:textFill>
        </w:rPr>
      </w:pPr>
      <w:bookmarkStart w:id="849" w:name="_Toc21547"/>
      <w:r>
        <w:rPr>
          <w:rFonts w:hint="eastAsia"/>
          <w:color w:val="000000" w:themeColor="text1"/>
          <w:highlight w:val="none"/>
          <w14:textFill>
            <w14:solidFill>
              <w14:schemeClr w14:val="tx1"/>
            </w14:solidFill>
          </w14:textFill>
        </w:rPr>
        <w:t>6.2.</w:t>
      </w:r>
      <w:r>
        <w:rPr>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.1选矿厂土壤环境保护措施</w:t>
      </w:r>
    </w:p>
    <w:p w14:paraId="5A4B7F70">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项目占地范围内的土壤环境质量无超标点位。重点污染防治区均按相应标准设计、施工并做好防渗措施，能有效降低对土壤的污染影响。</w:t>
      </w:r>
    </w:p>
    <w:p w14:paraId="26654172">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此外，建设单位在项目运行期还应充分重视其自身环保行为，将从源头控制、过程防控和跟踪监</w:t>
      </w:r>
      <w:r>
        <w:rPr>
          <w:rFonts w:hint="eastAsia"/>
          <w:color w:val="000000" w:themeColor="text1"/>
          <w:sz w:val="24"/>
          <w:highlight w:val="none"/>
          <w:lang w:eastAsia="zh-CN"/>
          <w14:textFill>
            <w14:solidFill>
              <w14:schemeClr w14:val="tx1"/>
            </w14:solidFill>
          </w14:textFill>
        </w:rPr>
        <w:t>测等</w:t>
      </w:r>
      <w:r>
        <w:rPr>
          <w:color w:val="000000" w:themeColor="text1"/>
          <w:sz w:val="24"/>
          <w:highlight w:val="none"/>
          <w14:textFill>
            <w14:solidFill>
              <w14:schemeClr w14:val="tx1"/>
            </w14:solidFill>
          </w14:textFill>
        </w:rPr>
        <w:t>方面进一步加强对土壤环境的保护措施。</w:t>
      </w:r>
    </w:p>
    <w:p w14:paraId="3628C0F0">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源头控制：在废水输送过程中，加强跑冒滴漏管理，降低物质泄漏和污染土壤环境的隐患。</w:t>
      </w:r>
    </w:p>
    <w:p w14:paraId="2DDD5150">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过程防控：做好</w:t>
      </w:r>
      <w:r>
        <w:rPr>
          <w:rFonts w:hint="eastAsia"/>
          <w:color w:val="000000" w:themeColor="text1"/>
          <w:sz w:val="24"/>
          <w:highlight w:val="none"/>
          <w:lang w:eastAsia="zh-CN"/>
          <w14:textFill>
            <w14:solidFill>
              <w14:schemeClr w14:val="tx1"/>
            </w14:solidFill>
          </w14:textFill>
        </w:rPr>
        <w:t>本项目</w:t>
      </w:r>
      <w:r>
        <w:rPr>
          <w:color w:val="000000" w:themeColor="text1"/>
          <w:sz w:val="24"/>
          <w:highlight w:val="none"/>
          <w14:textFill>
            <w14:solidFill>
              <w14:schemeClr w14:val="tx1"/>
            </w14:solidFill>
          </w14:textFill>
        </w:rPr>
        <w:t>的防渗工作，防渗措施满足《环境影响评价技术导则 地下水环境》（HJ610-2016）和《危险废物贮存污染控制标准》（GB18597-20</w:t>
      </w:r>
      <w:r>
        <w:rPr>
          <w:rFonts w:hint="eastAsia"/>
          <w:color w:val="000000" w:themeColor="text1"/>
          <w:sz w:val="24"/>
          <w:highlight w:val="none"/>
          <w:lang w:val="en-US" w:eastAsia="zh-CN"/>
          <w14:textFill>
            <w14:solidFill>
              <w14:schemeClr w14:val="tx1"/>
            </w14:solidFill>
          </w14:textFill>
        </w:rPr>
        <w:t>23</w:t>
      </w:r>
      <w:r>
        <w:rPr>
          <w:color w:val="000000" w:themeColor="text1"/>
          <w:sz w:val="24"/>
          <w:highlight w:val="none"/>
          <w14:textFill>
            <w14:solidFill>
              <w14:schemeClr w14:val="tx1"/>
            </w14:solidFill>
          </w14:textFill>
        </w:rPr>
        <w:t>）规定的防渗要求</w:t>
      </w:r>
      <w:r>
        <w:rPr>
          <w:rFonts w:hint="eastAsia"/>
          <w:color w:val="000000" w:themeColor="text1"/>
          <w:sz w:val="24"/>
          <w:highlight w:val="none"/>
          <w14:textFill>
            <w14:solidFill>
              <w14:schemeClr w14:val="tx1"/>
            </w14:solidFill>
          </w14:textFill>
        </w:rPr>
        <w:t>。</w:t>
      </w:r>
    </w:p>
    <w:p w14:paraId="4AD958F6">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跟踪监测：企业应定期进行选矿厂下游动态监测</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保证项目建设不对土壤和地下水造成污染。</w:t>
      </w:r>
    </w:p>
    <w:p w14:paraId="1611753E">
      <w:pPr>
        <w:pStyle w:val="5"/>
        <w:ind w:firstLine="48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6.2.6.2尾矿库污染防治措施</w:t>
      </w:r>
      <w:bookmarkEnd w:id="849"/>
    </w:p>
    <w:p w14:paraId="06286A72">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针对尾矿库可能发生的事故污染，本次环评提出以下防治措施：</w:t>
      </w:r>
    </w:p>
    <w:p w14:paraId="1EAEADC2">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w:t>
      </w:r>
      <w:r>
        <w:rPr>
          <w:color w:val="000000" w:themeColor="text1"/>
          <w:sz w:val="24"/>
          <w:highlight w:val="none"/>
          <w14:textFill>
            <w14:solidFill>
              <w14:schemeClr w14:val="tx1"/>
            </w14:solidFill>
          </w14:textFill>
        </w:rPr>
        <w:t>尾矿输送系统的维护管理</w:t>
      </w:r>
    </w:p>
    <w:p w14:paraId="47B4158E">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回水泵必须处于良好状态，易磨损的备件按计划进行更换和检修；必须经常注意水量、电流表、电压表的变化，并及时操作调节，做到正常排送。</w:t>
      </w:r>
    </w:p>
    <w:p w14:paraId="725EC976">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w:t>
      </w:r>
      <w:r>
        <w:rPr>
          <w:color w:val="000000" w:themeColor="text1"/>
          <w:sz w:val="24"/>
          <w:highlight w:val="none"/>
          <w14:textFill>
            <w14:solidFill>
              <w14:schemeClr w14:val="tx1"/>
            </w14:solidFill>
          </w14:textFill>
        </w:rPr>
        <w:t>尾矿库的维护管理</w:t>
      </w:r>
    </w:p>
    <w:p w14:paraId="4B8F8651">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尾矿库日常运行应注意坝坡上下游的安全状况，在汛期前要组织工程技术人员和安检人员进行尾矿库的全面检查，发现变形、塌陷、裂缝、管涌等安全隐患，停止使用，迅速查明原因进行加固处理。遇有暴雨天气，要求运行人员坚持巡视，注意库坝内水情，以确保库坝的安全。</w:t>
      </w:r>
    </w:p>
    <w:p w14:paraId="6564BEE6">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当尾矿库达到设计堆放高度时应及时闭库，避免超量堆放。应经常对库周围地下环境进行监测，发现指标超标现象，尽快处理。</w:t>
      </w:r>
    </w:p>
    <w:p w14:paraId="3AD08BFD">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尾矿堆坝应保证筑坝质量，尾矿堆填过程中应分层填筑，分层碾压。</w:t>
      </w:r>
    </w:p>
    <w:p w14:paraId="305324AE">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尾矿库周围应设铁丝网围栏，以防</w:t>
      </w:r>
      <w:r>
        <w:rPr>
          <w:rFonts w:hint="eastAsia"/>
          <w:color w:val="000000" w:themeColor="text1"/>
          <w:sz w:val="24"/>
          <w:highlight w:val="none"/>
          <w14:textFill>
            <w14:solidFill>
              <w14:schemeClr w14:val="tx1"/>
            </w14:solidFill>
          </w14:textFill>
        </w:rPr>
        <w:t>牲</w:t>
      </w:r>
      <w:r>
        <w:rPr>
          <w:color w:val="000000" w:themeColor="text1"/>
          <w:sz w:val="24"/>
          <w:highlight w:val="none"/>
          <w14:textFill>
            <w14:solidFill>
              <w14:schemeClr w14:val="tx1"/>
            </w14:solidFill>
          </w14:textFill>
        </w:rPr>
        <w:t>畜以及非工作人员进入，并按要求</w:t>
      </w:r>
      <w:r>
        <w:rPr>
          <w:rFonts w:hint="eastAsia"/>
          <w:color w:val="000000" w:themeColor="text1"/>
          <w:sz w:val="24"/>
          <w:highlight w:val="none"/>
          <w:lang w:eastAsia="zh-CN"/>
          <w14:textFill>
            <w14:solidFill>
              <w14:schemeClr w14:val="tx1"/>
            </w14:solidFill>
          </w14:textFill>
        </w:rPr>
        <w:t>设置</w:t>
      </w:r>
      <w:r>
        <w:rPr>
          <w:color w:val="000000" w:themeColor="text1"/>
          <w:sz w:val="24"/>
          <w:highlight w:val="none"/>
          <w14:textFill>
            <w14:solidFill>
              <w14:schemeClr w14:val="tx1"/>
            </w14:solidFill>
          </w14:textFill>
        </w:rPr>
        <w:t>警示牌。</w:t>
      </w:r>
    </w:p>
    <w:p w14:paraId="240A372F">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w:t>
      </w:r>
      <w:r>
        <w:rPr>
          <w:color w:val="000000" w:themeColor="text1"/>
          <w:sz w:val="24"/>
          <w:highlight w:val="none"/>
          <w14:textFill>
            <w14:solidFill>
              <w14:schemeClr w14:val="tx1"/>
            </w14:solidFill>
          </w14:textFill>
        </w:rPr>
        <w:t>尾矿库的监测</w:t>
      </w:r>
    </w:p>
    <w:p w14:paraId="57EE6B74">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建设单位应建立健全巡坝护坝制度。</w:t>
      </w:r>
    </w:p>
    <w:p w14:paraId="305A7924">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坝体竣工</w:t>
      </w:r>
      <w:r>
        <w:rPr>
          <w:rFonts w:hint="eastAsia"/>
          <w:color w:val="000000" w:themeColor="text1"/>
          <w:sz w:val="24"/>
          <w:highlight w:val="none"/>
          <w:lang w:eastAsia="zh-CN"/>
          <w14:textFill>
            <w14:solidFill>
              <w14:schemeClr w14:val="tx1"/>
            </w14:solidFill>
          </w14:textFill>
        </w:rPr>
        <w:t>两三年</w:t>
      </w:r>
      <w:r>
        <w:rPr>
          <w:color w:val="000000" w:themeColor="text1"/>
          <w:sz w:val="24"/>
          <w:highlight w:val="none"/>
          <w14:textFill>
            <w14:solidFill>
              <w14:schemeClr w14:val="tx1"/>
            </w14:solidFill>
          </w14:textFill>
        </w:rPr>
        <w:t>内，垂直位移和水平位移观测应每月进行一次。汛期应根据水位上升情况，增加测次。位移已基本稳定或已基本掌握其变化规律后，测次可适当减少，但每年不得少于两次。</w:t>
      </w:r>
    </w:p>
    <w:p w14:paraId="7B9304A4">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经常检查下游坝面有无渗透水、渗漏现象或湿片，一经发现应立即报告，并加强监视。如果发现坝体产生裂缝或有滑坡预兆，应立即报告，并进行处理。监视坝下排水棱体渗透水量与水质，发现水量突然增大或渗透水浑浊时应立即报告，并加强监测。如发现坝坡局部塌方或雨水集中汇流冲刷坝坡，应立即处理。</w:t>
      </w:r>
    </w:p>
    <w:p w14:paraId="30623CBB">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（4）尾矿库的闭库</w:t>
      </w:r>
    </w:p>
    <w:p w14:paraId="526CA841">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w:t>
      </w:r>
      <w:r>
        <w:rPr>
          <w:color w:val="000000" w:themeColor="text1"/>
          <w:sz w:val="24"/>
          <w:highlight w:val="none"/>
          <w14:textFill>
            <w14:solidFill>
              <w14:schemeClr w14:val="tx1"/>
            </w14:solidFill>
          </w14:textFill>
        </w:rPr>
        <w:t>拆除地面废弃建筑物，对项目区进行平整。</w:t>
      </w:r>
    </w:p>
    <w:p w14:paraId="1C876D77">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②</w:t>
      </w:r>
      <w:r>
        <w:rPr>
          <w:color w:val="000000" w:themeColor="text1"/>
          <w:sz w:val="24"/>
          <w:highlight w:val="none"/>
          <w14:textFill>
            <w14:solidFill>
              <w14:schemeClr w14:val="tx1"/>
            </w14:solidFill>
          </w14:textFill>
        </w:rPr>
        <w:t>尾矿库闭库应符合国家有关</w:t>
      </w:r>
      <w:r>
        <w:rPr>
          <w:rFonts w:hint="eastAsia"/>
          <w:color w:val="000000" w:themeColor="text1"/>
          <w:sz w:val="24"/>
          <w:highlight w:val="none"/>
          <w:lang w:eastAsia="zh-CN"/>
          <w14:textFill>
            <w14:solidFill>
              <w14:schemeClr w14:val="tx1"/>
            </w14:solidFill>
          </w14:textFill>
        </w:rPr>
        <w:t>法律法规</w:t>
      </w:r>
      <w:r>
        <w:rPr>
          <w:color w:val="000000" w:themeColor="text1"/>
          <w:sz w:val="24"/>
          <w:highlight w:val="none"/>
          <w14:textFill>
            <w14:solidFill>
              <w14:schemeClr w14:val="tx1"/>
            </w14:solidFill>
          </w14:textFill>
        </w:rPr>
        <w:t>、标准和技术规范。</w:t>
      </w:r>
    </w:p>
    <w:p w14:paraId="497510F6">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③</w:t>
      </w:r>
      <w:r>
        <w:rPr>
          <w:color w:val="000000" w:themeColor="text1"/>
          <w:sz w:val="24"/>
          <w:highlight w:val="none"/>
          <w14:textFill>
            <w14:solidFill>
              <w14:schemeClr w14:val="tx1"/>
            </w14:solidFill>
          </w14:textFill>
        </w:rPr>
        <w:t>闭库前应进行闭库前的安全评价、闭库设计与施工、闭库安全验收。</w:t>
      </w:r>
    </w:p>
    <w:p w14:paraId="50F32052">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④</w:t>
      </w:r>
      <w:r>
        <w:rPr>
          <w:color w:val="000000" w:themeColor="text1"/>
          <w:sz w:val="24"/>
          <w:highlight w:val="none"/>
          <w14:textFill>
            <w14:solidFill>
              <w14:schemeClr w14:val="tx1"/>
            </w14:solidFill>
          </w14:textFill>
        </w:rPr>
        <w:t>对项目区内平整后、覆盖碎石，使生态环境自然演替。</w:t>
      </w:r>
    </w:p>
    <w:p w14:paraId="19101B2E">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⑤</w:t>
      </w:r>
      <w:r>
        <w:rPr>
          <w:color w:val="000000" w:themeColor="text1"/>
          <w:sz w:val="24"/>
          <w:highlight w:val="none"/>
          <w14:textFill>
            <w14:solidFill>
              <w14:schemeClr w14:val="tx1"/>
            </w14:solidFill>
          </w14:textFill>
        </w:rPr>
        <w:t>建设单位应留足够的资金，保证项目闭场时拆除地面建筑物、生态恢复、生态管理需要。</w:t>
      </w:r>
    </w:p>
    <w:p w14:paraId="6997DED5">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⑥</w:t>
      </w:r>
      <w:r>
        <w:rPr>
          <w:color w:val="000000" w:themeColor="text1"/>
          <w:sz w:val="24"/>
          <w:highlight w:val="none"/>
          <w14:textFill>
            <w14:solidFill>
              <w14:schemeClr w14:val="tx1"/>
            </w14:solidFill>
          </w14:textFill>
        </w:rPr>
        <w:t>当尾矿库服务期满后应予以闭库封场。闭库封场前，必须编制闭库封场计划，报请</w:t>
      </w:r>
      <w:r>
        <w:rPr>
          <w:rFonts w:hint="eastAsia"/>
          <w:color w:val="000000" w:themeColor="text1"/>
          <w:sz w:val="24"/>
          <w:highlight w:val="none"/>
          <w:lang w:val="en-US" w:eastAsia="zh-CN"/>
          <w14:textFill>
            <w14:solidFill>
              <w14:schemeClr w14:val="tx1"/>
            </w14:solidFill>
          </w14:textFill>
        </w:rPr>
        <w:t>哈密市</w:t>
      </w:r>
      <w:r>
        <w:rPr>
          <w:rFonts w:hint="eastAsia"/>
          <w:color w:val="000000" w:themeColor="text1"/>
          <w:sz w:val="24"/>
          <w:highlight w:val="none"/>
          <w14:textFill>
            <w14:solidFill>
              <w14:schemeClr w14:val="tx1"/>
            </w14:solidFill>
          </w14:textFill>
        </w:rPr>
        <w:t>生态环境</w:t>
      </w:r>
      <w:r>
        <w:rPr>
          <w:color w:val="000000" w:themeColor="text1"/>
          <w:sz w:val="24"/>
          <w:highlight w:val="none"/>
          <w14:textFill>
            <w14:solidFill>
              <w14:schemeClr w14:val="tx1"/>
            </w14:solidFill>
          </w14:textFill>
        </w:rPr>
        <w:t>局核准，并采取污染防治措施。</w:t>
      </w:r>
    </w:p>
    <w:p w14:paraId="54D528CA">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⑦</w:t>
      </w:r>
      <w:r>
        <w:rPr>
          <w:color w:val="000000" w:themeColor="text1"/>
          <w:sz w:val="24"/>
          <w:highlight w:val="none"/>
          <w14:textFill>
            <w14:solidFill>
              <w14:schemeClr w14:val="tx1"/>
            </w14:solidFill>
          </w14:textFill>
        </w:rPr>
        <w:t>尾矿库闭库设计和施工方案必须符合国家有关</w:t>
      </w:r>
      <w:r>
        <w:rPr>
          <w:rFonts w:hint="eastAsia"/>
          <w:color w:val="000000" w:themeColor="text1"/>
          <w:sz w:val="24"/>
          <w:highlight w:val="none"/>
          <w:lang w:eastAsia="zh-CN"/>
          <w14:textFill>
            <w14:solidFill>
              <w14:schemeClr w14:val="tx1"/>
            </w14:solidFill>
          </w14:textFill>
        </w:rPr>
        <w:t>法律法规</w:t>
      </w:r>
      <w:r>
        <w:rPr>
          <w:color w:val="000000" w:themeColor="text1"/>
          <w:sz w:val="24"/>
          <w:highlight w:val="none"/>
          <w14:textFill>
            <w14:solidFill>
              <w14:schemeClr w14:val="tx1"/>
            </w14:solidFill>
          </w14:textFill>
        </w:rPr>
        <w:t>和技术规范，确保尾矿库稳定性，尾矿库防洪能力满足</w:t>
      </w:r>
      <w:r>
        <w:rPr>
          <w:rFonts w:hint="eastAsia"/>
          <w:color w:val="000000" w:themeColor="text1"/>
          <w:sz w:val="24"/>
          <w:highlight w:val="none"/>
          <w14:textFill>
            <w14:solidFill>
              <w14:schemeClr w14:val="tx1"/>
            </w14:solidFill>
          </w14:textFill>
        </w:rPr>
        <w:t>《尾矿库安全规程》（</w:t>
      </w:r>
      <w:r>
        <w:rPr>
          <w:color w:val="000000" w:themeColor="text1"/>
          <w:sz w:val="24"/>
          <w:highlight w:val="none"/>
          <w14:textFill>
            <w14:solidFill>
              <w14:schemeClr w14:val="tx1"/>
            </w14:solidFill>
          </w14:textFill>
        </w:rPr>
        <w:t>GB39496-2020</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要求，保证尾矿库闭库后长期安全稳定。</w:t>
      </w:r>
    </w:p>
    <w:p w14:paraId="7DCFEF84">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⑧</w:t>
      </w:r>
      <w:r>
        <w:rPr>
          <w:color w:val="000000" w:themeColor="text1"/>
          <w:sz w:val="24"/>
          <w:highlight w:val="none"/>
          <w14:textFill>
            <w14:solidFill>
              <w14:schemeClr w14:val="tx1"/>
            </w14:solidFill>
          </w14:textFill>
        </w:rPr>
        <w:t>闭库后的尾矿库必须做好坝体等设施的维护，严禁在尾矿库区域附近直接取土。</w:t>
      </w:r>
    </w:p>
    <w:p w14:paraId="16C223AC">
      <w:pPr>
        <w:pStyle w:val="5"/>
        <w:ind w:firstLine="482"/>
        <w:rPr>
          <w:color w:val="000000" w:themeColor="text1"/>
          <w:highlight w:val="none"/>
          <w14:textFill>
            <w14:solidFill>
              <w14:schemeClr w14:val="tx1"/>
            </w14:solidFill>
          </w14:textFill>
        </w:rPr>
      </w:pPr>
      <w:bookmarkStart w:id="850" w:name="_Toc421722146"/>
      <w:bookmarkStart w:id="851" w:name="_Toc282074099"/>
      <w:bookmarkStart w:id="852" w:name="_Toc318298639"/>
      <w:bookmarkStart w:id="853" w:name="_Toc14747"/>
      <w:bookmarkStart w:id="854" w:name="_Toc482784697"/>
      <w:r>
        <w:rPr>
          <w:color w:val="000000" w:themeColor="text1"/>
          <w:highlight w:val="none"/>
          <w14:textFill>
            <w14:solidFill>
              <w14:schemeClr w14:val="tx1"/>
            </w14:solidFill>
          </w14:textFill>
        </w:rPr>
        <w:t>6.2.6.3选矿厂回水系统防治措施</w:t>
      </w:r>
      <w:bookmarkEnd w:id="850"/>
      <w:bookmarkEnd w:id="851"/>
      <w:bookmarkEnd w:id="852"/>
      <w:bookmarkEnd w:id="853"/>
      <w:bookmarkEnd w:id="854"/>
    </w:p>
    <w:p w14:paraId="4274B53B">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尾矿回水系统必须做好正常和定期的维护、检修和管理工作，使设备保持良好状态，一旦发生事故，为防止事故状态下尾矿水四处漫流，造成环境污染，本环评要求设置</w:t>
      </w:r>
      <w:r>
        <w:rPr>
          <w:rFonts w:hint="eastAsia"/>
          <w:color w:val="000000" w:themeColor="text1"/>
          <w:sz w:val="24"/>
          <w:highlight w:val="none"/>
          <w14:textFill>
            <w14:solidFill>
              <w14:schemeClr w14:val="tx1"/>
            </w14:solidFill>
          </w14:textFill>
        </w:rPr>
        <w:t>8</w:t>
      </w:r>
      <w:r>
        <w:rPr>
          <w:color w:val="000000" w:themeColor="text1"/>
          <w:sz w:val="24"/>
          <w:highlight w:val="none"/>
          <w14:textFill>
            <w14:solidFill>
              <w14:schemeClr w14:val="tx1"/>
            </w14:solidFill>
          </w14:textFill>
        </w:rPr>
        <w:t>00m</w:t>
      </w:r>
      <w:r>
        <w:rPr>
          <w:color w:val="000000" w:themeColor="text1"/>
          <w:sz w:val="24"/>
          <w:highlight w:val="none"/>
          <w:vertAlign w:val="superscript"/>
          <w14:textFill>
            <w14:solidFill>
              <w14:schemeClr w14:val="tx1"/>
            </w14:solidFill>
          </w14:textFill>
        </w:rPr>
        <w:t>3</w:t>
      </w:r>
      <w:r>
        <w:rPr>
          <w:rFonts w:hint="eastAsia"/>
          <w:color w:val="000000" w:themeColor="text1"/>
          <w:sz w:val="24"/>
          <w:highlight w:val="none"/>
          <w:vertAlign w:val="baseline"/>
          <w:lang w:val="en-US" w:eastAsia="zh-CN"/>
          <w14:textFill>
            <w14:solidFill>
              <w14:schemeClr w14:val="tx1"/>
            </w14:solidFill>
          </w14:textFill>
        </w:rPr>
        <w:t>应急</w:t>
      </w:r>
      <w:r>
        <w:rPr>
          <w:color w:val="000000" w:themeColor="text1"/>
          <w:sz w:val="24"/>
          <w:highlight w:val="none"/>
          <w14:textFill>
            <w14:solidFill>
              <w14:schemeClr w14:val="tx1"/>
            </w14:solidFill>
          </w14:textFill>
        </w:rPr>
        <w:t>事故池以容纳事故尾矿。事故池要求如下：</w:t>
      </w:r>
    </w:p>
    <w:p w14:paraId="0FE4B8F6">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（1）按</w:t>
      </w:r>
      <w:r>
        <w:rPr>
          <w:rFonts w:hint="eastAsia"/>
          <w:color w:val="000000" w:themeColor="text1"/>
          <w:sz w:val="24"/>
          <w:highlight w:val="none"/>
          <w:lang w:val="en-US" w:eastAsia="zh-CN"/>
          <w14:textFill>
            <w14:solidFill>
              <w14:schemeClr w14:val="tx1"/>
            </w14:solidFill>
          </w14:textFill>
        </w:rPr>
        <w:t>2</w:t>
      </w:r>
      <w:r>
        <w:rPr>
          <w:color w:val="000000" w:themeColor="text1"/>
          <w:sz w:val="24"/>
          <w:highlight w:val="none"/>
          <w14:textFill>
            <w14:solidFill>
              <w14:schemeClr w14:val="tx1"/>
            </w14:solidFill>
          </w14:textFill>
        </w:rPr>
        <w:t>00年一遇24小时暴雨强度设计截水沟，防止洪水进入尾矿库。</w:t>
      </w:r>
    </w:p>
    <w:p w14:paraId="5F0558E0">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2</w:t>
      </w:r>
      <w:r>
        <w:rPr>
          <w:color w:val="000000" w:themeColor="text1"/>
          <w:sz w:val="24"/>
          <w:highlight w:val="none"/>
          <w14:textFill>
            <w14:solidFill>
              <w14:schemeClr w14:val="tx1"/>
            </w14:solidFill>
          </w14:textFill>
        </w:rPr>
        <w:t>）事故池应定期清理，经常保持足够的储存容积。</w:t>
      </w:r>
    </w:p>
    <w:p w14:paraId="7F2454B1">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3</w:t>
      </w:r>
      <w:r>
        <w:rPr>
          <w:color w:val="000000" w:themeColor="text1"/>
          <w:sz w:val="24"/>
          <w:highlight w:val="none"/>
          <w14:textFill>
            <w14:solidFill>
              <w14:schemeClr w14:val="tx1"/>
            </w14:solidFill>
          </w14:textFill>
        </w:rPr>
        <w:t>）尾矿库服务期满后，应及时进行封存。</w:t>
      </w:r>
    </w:p>
    <w:p w14:paraId="39AE4C05">
      <w:pPr>
        <w:pStyle w:val="31"/>
        <w:widowControl/>
        <w:overflowPunct w:val="0"/>
        <w:topLinePunct/>
        <w:spacing w:after="0"/>
        <w:ind w:left="0" w:leftChars="0"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事故池容积合理性分析：本项目选矿厂正常工况下日</w:t>
      </w:r>
      <w:r>
        <w:rPr>
          <w:rFonts w:hint="eastAsia"/>
          <w:color w:val="000000" w:themeColor="text1"/>
          <w:sz w:val="24"/>
          <w:highlight w:val="none"/>
          <w:lang w:val="en-US" w:eastAsia="zh-CN"/>
          <w14:textFill>
            <w14:solidFill>
              <w14:schemeClr w14:val="tx1"/>
            </w14:solidFill>
          </w14:textFill>
        </w:rPr>
        <w:t>选矿废水</w:t>
      </w:r>
      <w:r>
        <w:rPr>
          <w:rFonts w:hint="eastAsia"/>
          <w:color w:val="000000" w:themeColor="text1"/>
          <w:sz w:val="24"/>
          <w:highlight w:val="none"/>
          <w14:textFill>
            <w14:solidFill>
              <w14:schemeClr w14:val="tx1"/>
            </w14:solidFill>
          </w14:textFill>
        </w:rPr>
        <w:t>约4371.4m</w:t>
      </w:r>
      <w:r>
        <w:rPr>
          <w:rFonts w:hint="eastAsia"/>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d</w:t>
      </w:r>
      <w:r>
        <w:rPr>
          <w:rFonts w:hint="eastAsia"/>
          <w:color w:val="000000" w:themeColor="text1"/>
          <w:sz w:val="24"/>
          <w:highlight w:val="none"/>
          <w14:textFill>
            <w14:solidFill>
              <w14:schemeClr w14:val="tx1"/>
            </w14:solidFill>
          </w14:textFill>
        </w:rPr>
        <w:t>，若尾矿输送管道</w:t>
      </w:r>
      <w:r>
        <w:rPr>
          <w:rFonts w:hint="eastAsia"/>
          <w:color w:val="000000" w:themeColor="text1"/>
          <w:sz w:val="24"/>
          <w:highlight w:val="none"/>
          <w:lang w:eastAsia="zh-CN"/>
          <w14:textFill>
            <w14:solidFill>
              <w14:schemeClr w14:val="tx1"/>
            </w14:solidFill>
          </w14:textFill>
        </w:rPr>
        <w:t>泄漏</w:t>
      </w:r>
      <w:r>
        <w:rPr>
          <w:rFonts w:hint="eastAsia"/>
          <w:color w:val="000000" w:themeColor="text1"/>
          <w:sz w:val="24"/>
          <w:highlight w:val="none"/>
          <w14:textFill>
            <w14:solidFill>
              <w14:schemeClr w14:val="tx1"/>
            </w14:solidFill>
          </w14:textFill>
        </w:rPr>
        <w:t>时间按20min计，则20min的尾矿排放量为</w:t>
      </w:r>
      <w:r>
        <w:rPr>
          <w:rFonts w:hint="eastAsia"/>
          <w:color w:val="000000" w:themeColor="text1"/>
          <w:sz w:val="24"/>
          <w:highlight w:val="none"/>
          <w:lang w:val="en-US" w:eastAsia="zh-CN"/>
          <w14:textFill>
            <w14:solidFill>
              <w14:schemeClr w14:val="tx1"/>
            </w14:solidFill>
          </w14:textFill>
        </w:rPr>
        <w:t>60.71</w:t>
      </w:r>
      <w:r>
        <w:rPr>
          <w:rFonts w:hint="eastAsia"/>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，本项目</w:t>
      </w:r>
      <w:r>
        <w:rPr>
          <w:rFonts w:hint="eastAsia"/>
          <w:color w:val="000000" w:themeColor="text1"/>
          <w:sz w:val="24"/>
          <w:highlight w:val="none"/>
          <w:lang w:val="en-GB"/>
          <w14:textFill>
            <w14:solidFill>
              <w14:schemeClr w14:val="tx1"/>
            </w14:solidFill>
          </w14:textFill>
        </w:rPr>
        <w:t>在选矿车间外</w:t>
      </w:r>
      <w:r>
        <w:rPr>
          <w:color w:val="000000" w:themeColor="text1"/>
          <w:sz w:val="24"/>
          <w:highlight w:val="none"/>
          <w:lang w:val="en-GB"/>
          <w14:textFill>
            <w14:solidFill>
              <w14:schemeClr w14:val="tx1"/>
            </w14:solidFill>
          </w14:textFill>
        </w:rPr>
        <w:t>设置1座</w:t>
      </w:r>
      <w:r>
        <w:rPr>
          <w:rFonts w:hint="eastAsia"/>
          <w:color w:val="000000" w:themeColor="text1"/>
          <w:sz w:val="24"/>
          <w:highlight w:val="none"/>
          <w14:textFill>
            <w14:solidFill>
              <w14:schemeClr w14:val="tx1"/>
            </w14:solidFill>
          </w14:textFill>
        </w:rPr>
        <w:t>800</w:t>
      </w:r>
      <w:r>
        <w:rPr>
          <w:color w:val="000000" w:themeColor="text1"/>
          <w:sz w:val="24"/>
          <w:highlight w:val="none"/>
          <w:lang w:val="en-GB"/>
          <w14:textFill>
            <w14:solidFill>
              <w14:schemeClr w14:val="tx1"/>
            </w14:solidFill>
          </w14:textFill>
        </w:rPr>
        <w:t>m</w:t>
      </w:r>
      <w:r>
        <w:rPr>
          <w:color w:val="000000" w:themeColor="text1"/>
          <w:sz w:val="24"/>
          <w:highlight w:val="none"/>
          <w:vertAlign w:val="superscript"/>
          <w:lang w:val="en-GB"/>
          <w14:textFill>
            <w14:solidFill>
              <w14:schemeClr w14:val="tx1"/>
            </w14:solidFill>
          </w14:textFill>
        </w:rPr>
        <w:t>3</w:t>
      </w:r>
      <w:r>
        <w:rPr>
          <w:color w:val="000000" w:themeColor="text1"/>
          <w:sz w:val="24"/>
          <w:highlight w:val="none"/>
          <w:lang w:val="en-GB"/>
          <w14:textFill>
            <w14:solidFill>
              <w14:schemeClr w14:val="tx1"/>
            </w14:solidFill>
          </w14:textFill>
        </w:rPr>
        <w:t>的事故池</w:t>
      </w:r>
      <w:r>
        <w:rPr>
          <w:rFonts w:hint="eastAsia"/>
          <w:color w:val="000000" w:themeColor="text1"/>
          <w:sz w:val="24"/>
          <w:highlight w:val="none"/>
          <w14:textFill>
            <w14:solidFill>
              <w14:schemeClr w14:val="tx1"/>
            </w14:solidFill>
          </w14:textFill>
        </w:rPr>
        <w:t>，事故池容积足以承纳规范要求的10~20min的正常矿浆量，</w:t>
      </w:r>
      <w:r>
        <w:rPr>
          <w:color w:val="000000" w:themeColor="text1"/>
          <w:sz w:val="24"/>
          <w:highlight w:val="none"/>
          <w14:textFill>
            <w14:solidFill>
              <w14:schemeClr w14:val="tx1"/>
            </w14:solidFill>
          </w14:textFill>
        </w:rPr>
        <w:t>防止事故状态下尾矿浆外排，该事故池容积设计合理。一旦发生尾矿水的跑冒事故，立即通知选矿厂启动应急预案，停止尾矿输送</w:t>
      </w:r>
      <w:r>
        <w:rPr>
          <w:rFonts w:hint="eastAsia"/>
          <w:color w:val="000000" w:themeColor="text1"/>
          <w:sz w:val="24"/>
          <w:highlight w:val="none"/>
          <w:lang w:eastAsia="zh-CN"/>
          <w14:textFill>
            <w14:solidFill>
              <w14:schemeClr w14:val="tx1"/>
            </w14:solidFill>
          </w14:textFill>
        </w:rPr>
        <w:t>，事</w:t>
      </w:r>
      <w:r>
        <w:rPr>
          <w:color w:val="000000" w:themeColor="text1"/>
          <w:sz w:val="24"/>
          <w:highlight w:val="none"/>
          <w14:textFill>
            <w14:solidFill>
              <w14:schemeClr w14:val="tx1"/>
            </w14:solidFill>
          </w14:textFill>
        </w:rPr>
        <w:t>故溢出的尾矿量很少，企业及时组织清理转运，溢流尾矿对事故区域的环境影响可控。待故障排除后，再将尾矿浆送至尾矿输送系统排入尾矿库。</w:t>
      </w:r>
    </w:p>
    <w:p w14:paraId="13ABB572">
      <w:pPr>
        <w:pStyle w:val="60"/>
        <w:overflowPunct w:val="0"/>
        <w:topLinePunct/>
        <w:autoSpaceDE/>
        <w:autoSpaceDN/>
        <w:spacing w:line="480" w:lineRule="exact"/>
        <w:ind w:firstLine="480" w:firstLineChars="200"/>
        <w:jc w:val="both"/>
        <w:rPr>
          <w:rFonts w:ascii="Times New Roman" w:cs="Times New Roman"/>
          <w:color w:val="000000" w:themeColor="text1"/>
          <w:highlight w:val="none"/>
          <w:lang w:val="zh-CN"/>
          <w14:textFill>
            <w14:solidFill>
              <w14:schemeClr w14:val="tx1"/>
            </w14:solidFill>
          </w14:textFill>
        </w:rPr>
      </w:pPr>
      <w:r>
        <w:rPr>
          <w:rFonts w:ascii="Times New Roman" w:cs="Times New Roman"/>
          <w:color w:val="000000" w:themeColor="text1"/>
          <w:kern w:val="2"/>
          <w:highlight w:val="none"/>
          <w14:textFill>
            <w14:solidFill>
              <w14:schemeClr w14:val="tx1"/>
            </w14:solidFill>
          </w14:textFill>
        </w:rPr>
        <w:t>综上，本</w:t>
      </w:r>
      <w:r>
        <w:rPr>
          <w:rFonts w:hint="eastAsia" w:ascii="Times New Roman" w:cs="Times New Roman"/>
          <w:color w:val="000000" w:themeColor="text1"/>
          <w:kern w:val="2"/>
          <w:highlight w:val="none"/>
          <w:lang w:eastAsia="zh-CN"/>
          <w14:textFill>
            <w14:solidFill>
              <w14:schemeClr w14:val="tx1"/>
            </w14:solidFill>
          </w14:textFill>
        </w:rPr>
        <w:t>项目区</w:t>
      </w:r>
      <w:r>
        <w:rPr>
          <w:rFonts w:ascii="Times New Roman" w:cs="Times New Roman"/>
          <w:color w:val="000000" w:themeColor="text1"/>
          <w:kern w:val="2"/>
          <w:highlight w:val="none"/>
          <w14:textFill>
            <w14:solidFill>
              <w14:schemeClr w14:val="tx1"/>
            </w14:solidFill>
          </w14:textFill>
        </w:rPr>
        <w:t>各监测点土壤监测指标均不超标，低于GB36600-2018第二类建设用地筛选值。本项目设置有完善的废水回用系统，重点区域均采取有效的防渗措施，能有效降低对土壤的污染影响。此外，本项目评价范围及周边区域均为工业用地，无土壤环境敏感目标，区域总体土壤污染敏感度较低。本项目在落实土壤保护措施的前提下，项目建设对</w:t>
      </w:r>
      <w:r>
        <w:rPr>
          <w:rFonts w:hint="eastAsia" w:ascii="Times New Roman" w:cs="Times New Roman"/>
          <w:color w:val="000000" w:themeColor="text1"/>
          <w:kern w:val="2"/>
          <w:highlight w:val="none"/>
          <w14:textFill>
            <w14:solidFill>
              <w14:schemeClr w14:val="tx1"/>
            </w14:solidFill>
          </w14:textFill>
        </w:rPr>
        <w:t>项目区</w:t>
      </w:r>
      <w:r>
        <w:rPr>
          <w:rFonts w:ascii="Times New Roman" w:cs="Times New Roman"/>
          <w:color w:val="000000" w:themeColor="text1"/>
          <w:kern w:val="2"/>
          <w:highlight w:val="none"/>
          <w14:textFill>
            <w14:solidFill>
              <w14:schemeClr w14:val="tx1"/>
            </w14:solidFill>
          </w14:textFill>
        </w:rPr>
        <w:t>及周围土壤环境的影响可接受。</w:t>
      </w:r>
    </w:p>
    <w:p w14:paraId="6A9DF988">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2.7生态环境保护措施</w:t>
      </w:r>
      <w:bookmarkEnd w:id="840"/>
      <w:bookmarkEnd w:id="841"/>
      <w:bookmarkEnd w:id="842"/>
    </w:p>
    <w:p w14:paraId="7827FC5A">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运营期选矿厂生产时，禁止随意排弃，必须堆存在指定地方，避免在项目区增加新的地表扰动和水土流失。选矿厂、尾矿库、生活区等应严格采取以下生态环境保护措施。</w:t>
      </w:r>
    </w:p>
    <w:p w14:paraId="282E52A6">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6.2.7.1</w:t>
      </w:r>
      <w:r>
        <w:rPr>
          <w:color w:val="000000" w:themeColor="text1"/>
          <w:highlight w:val="none"/>
          <w14:textFill>
            <w14:solidFill>
              <w14:schemeClr w14:val="tx1"/>
            </w14:solidFill>
          </w14:textFill>
        </w:rPr>
        <w:t>尾矿库生态环境保护措施</w:t>
      </w:r>
    </w:p>
    <w:p w14:paraId="2521F7AB">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运行期生态环境保护措施主要为场地整治、表土覆盖及植被措施。依据尾矿库所在区域的地形环境条件，及时整治平台和边坡；在边坡形成期间和形成之后，应定期监测边坡的位移变形情况，当发现某一部位变形异常，立即进行修整边坡，使达到安全状态。尾矿库堆积坝边坡形成后，及时对尾矿库堆积坝边坡进行复垦，复垦为草地。尾矿库闭库后复垦还地，恢复植被。</w:t>
      </w:r>
    </w:p>
    <w:p w14:paraId="2B4E58B8">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尾矿库沉积滩风蚀是其最普遍、最重要的水土流失形式。并且随着尾矿堆积面积不断升高，风蚀程度会愈加严重。在尾矿库运行过程中应加强尾矿库的管理和放矿管理，特别是汛期加强尾矿库的巡检和在线监测，保持排洪设施畅通。</w:t>
      </w:r>
    </w:p>
    <w:p w14:paraId="5D50E3EB">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6.2.7.2</w:t>
      </w:r>
      <w:r>
        <w:rPr>
          <w:color w:val="000000" w:themeColor="text1"/>
          <w:highlight w:val="none"/>
          <w14:textFill>
            <w14:solidFill>
              <w14:schemeClr w14:val="tx1"/>
            </w14:solidFill>
          </w14:textFill>
        </w:rPr>
        <w:t>选矿厂、生活区生态环境保护措施</w:t>
      </w:r>
    </w:p>
    <w:p w14:paraId="5CC55A4F">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绿化是项目区绿化的一个重要组成部分，工业场地是项目区的主要办公区，其良好绿化的实现，不仅可以提高项目区周围的环境质量，还可以为职工休闲提供一个良好的环境。工业场地在建设过程中应进行平整土地，排水设施、硬化等水土保持措施以及绿化措施。</w:t>
      </w:r>
    </w:p>
    <w:p w14:paraId="22E4E93E">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工业场地自然土壤的剥离，一般对表土层进行单独剥离。如果表土层厚度小于20cm，则将表土层及其下面紧挨的心土层一起构成的至少20cm厚的土层进行单独剥离。土壤剥离应尽量和生态恢复工作相衔接，将剥离下来的土壤运往平整好的场地上铺覆，用于后续的绿化用土。</w:t>
      </w:r>
    </w:p>
    <w:p w14:paraId="2B7775EC">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选矿厂、生活区绿化以</w:t>
      </w:r>
      <w:r>
        <w:rPr>
          <w:rFonts w:hint="eastAsia"/>
          <w:color w:val="000000" w:themeColor="text1"/>
          <w:highlight w:val="none"/>
          <w:lang w:eastAsia="zh-CN"/>
          <w14:textFill>
            <w14:solidFill>
              <w14:schemeClr w14:val="tx1"/>
            </w14:solidFill>
          </w14:textFill>
        </w:rPr>
        <w:t>骆驼刺</w:t>
      </w:r>
      <w:r>
        <w:rPr>
          <w:rFonts w:hint="eastAsia"/>
          <w:color w:val="000000" w:themeColor="text1"/>
          <w:highlight w:val="none"/>
          <w14:textFill>
            <w14:solidFill>
              <w14:schemeClr w14:val="tx1"/>
            </w14:solidFill>
          </w14:textFill>
        </w:rPr>
        <w:t>及</w:t>
      </w:r>
      <w:r>
        <w:rPr>
          <w:rFonts w:hint="eastAsia"/>
          <w:color w:val="000000" w:themeColor="text1"/>
          <w:highlight w:val="none"/>
          <w:lang w:eastAsia="zh-CN"/>
          <w14:textFill>
            <w14:solidFill>
              <w14:schemeClr w14:val="tx1"/>
            </w14:solidFill>
          </w14:textFill>
        </w:rPr>
        <w:t>梭梭</w:t>
      </w:r>
      <w:r>
        <w:rPr>
          <w:rFonts w:hint="eastAsia"/>
          <w:color w:val="000000" w:themeColor="text1"/>
          <w:highlight w:val="none"/>
          <w14:textFill>
            <w14:solidFill>
              <w14:schemeClr w14:val="tx1"/>
            </w14:solidFill>
          </w14:textFill>
        </w:rPr>
        <w:t>等植物</w:t>
      </w:r>
      <w:r>
        <w:rPr>
          <w:color w:val="000000" w:themeColor="text1"/>
          <w:highlight w:val="none"/>
          <w14:textFill>
            <w14:solidFill>
              <w14:schemeClr w14:val="tx1"/>
            </w14:solidFill>
          </w14:textFill>
        </w:rPr>
        <w:t>为主进行绿化</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这部分植被为本土优势种群，</w:t>
      </w:r>
      <w:r>
        <w:rPr>
          <w:color w:val="000000" w:themeColor="text1"/>
          <w:highlight w:val="none"/>
          <w14:textFill>
            <w14:solidFill>
              <w14:schemeClr w14:val="tx1"/>
            </w14:solidFill>
          </w14:textFill>
        </w:rPr>
        <w:t>具有广泛的适应性</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耐寒能力和耐热、耐旱及耐潮湿能力。</w:t>
      </w:r>
    </w:p>
    <w:p w14:paraId="16A96CE5">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调查，现有选矿厂周边部分临时占地碾压后尚未完成生态恢复，因此本次环评要求严格按照《新疆哈密市西成矿业有限责任公司M1033铁矿矿产资源开发利用与生态保护修复方案》的复垦要求，尽快完成临时占地部分的土地平整及植被恢复工作，并且纳入本项目的竣工环保验收工作中。</w:t>
      </w:r>
    </w:p>
    <w:p w14:paraId="041200E6">
      <w:pPr>
        <w:pStyle w:val="5"/>
        <w:keepLines w:val="0"/>
        <w:pageBreakBefore w:val="0"/>
        <w:widowControl w:val="0"/>
        <w:kinsoku/>
        <w:wordWrap/>
        <w:overflowPunct w:val="0"/>
        <w:topLinePunct/>
        <w:autoSpaceDE/>
        <w:autoSpaceDN/>
        <w:bidi w:val="0"/>
        <w:adjustRightInd/>
        <w:snapToGrid/>
        <w:ind w:firstLine="482"/>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6.2.7.3</w:t>
      </w:r>
      <w:r>
        <w:rPr>
          <w:color w:val="000000" w:themeColor="text1"/>
          <w:highlight w:val="none"/>
          <w14:textFill>
            <w14:solidFill>
              <w14:schemeClr w14:val="tx1"/>
            </w14:solidFill>
          </w14:textFill>
        </w:rPr>
        <w:t>生态功能区保护措施</w:t>
      </w:r>
    </w:p>
    <w:p w14:paraId="113EA9DA">
      <w:pPr>
        <w:keepLines w:val="0"/>
        <w:pageBreakBefore w:val="0"/>
        <w:widowControl w:val="0"/>
        <w:kinsoku/>
        <w:wordWrap/>
        <w:overflowPunct w:val="0"/>
        <w:topLinePunct/>
        <w:autoSpaceDE/>
        <w:autoSpaceDN/>
        <w:bidi w:val="0"/>
        <w:adjustRightInd/>
        <w:snapToGrid/>
        <w:ind w:firstLine="48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在《新疆生态功能区划》中，该区域为</w:t>
      </w:r>
      <w:r>
        <w:rPr>
          <w:rFonts w:hint="eastAsia"/>
          <w:color w:val="000000" w:themeColor="text1"/>
          <w:highlight w:val="none"/>
          <w14:textFill>
            <w14:solidFill>
              <w14:schemeClr w14:val="tx1"/>
            </w14:solidFill>
          </w14:textFill>
        </w:rPr>
        <w:t>嘎顺—南湖戈壁荒漠风蚀敏感生态功能区</w:t>
      </w:r>
      <w:r>
        <w:rPr>
          <w:color w:val="000000" w:themeColor="text1"/>
          <w:highlight w:val="none"/>
          <w14:textFill>
            <w14:solidFill>
              <w14:schemeClr w14:val="tx1"/>
            </w14:solidFill>
          </w14:textFill>
        </w:rPr>
        <w:t>。</w:t>
      </w:r>
      <w:r>
        <w:rPr>
          <w:color w:val="000000" w:themeColor="text1"/>
          <w:kern w:val="0"/>
          <w:highlight w:val="none"/>
          <w14:textFill>
            <w14:solidFill>
              <w14:schemeClr w14:val="tx1"/>
            </w14:solidFill>
          </w14:textFill>
        </w:rPr>
        <w:t>该区域主要保护目标为</w:t>
      </w:r>
      <w:r>
        <w:rPr>
          <w:rFonts w:hint="eastAsia"/>
          <w:color w:val="000000" w:themeColor="text1"/>
          <w:kern w:val="0"/>
          <w:highlight w:val="none"/>
          <w14:textFill>
            <w14:solidFill>
              <w14:schemeClr w14:val="tx1"/>
            </w14:solidFill>
          </w14:textFill>
        </w:rPr>
        <w:t>保护砾幕、保护野生动植物、保护铁路公路、保护戈壁泉眼，为保护区域生态功能不受到影响，</w:t>
      </w:r>
      <w:r>
        <w:rPr>
          <w:color w:val="000000" w:themeColor="text1"/>
          <w:highlight w:val="none"/>
          <w14:textFill>
            <w14:solidFill>
              <w14:schemeClr w14:val="tx1"/>
            </w14:solidFill>
          </w14:textFill>
        </w:rPr>
        <w:t>项目建设</w:t>
      </w:r>
      <w:r>
        <w:rPr>
          <w:rFonts w:hint="eastAsia"/>
          <w:color w:val="000000" w:themeColor="text1"/>
          <w:highlight w:val="none"/>
          <w14:textFill>
            <w14:solidFill>
              <w14:schemeClr w14:val="tx1"/>
            </w14:solidFill>
          </w14:textFill>
        </w:rPr>
        <w:t>期应严格按照施工范围施工，</w:t>
      </w:r>
      <w:r>
        <w:rPr>
          <w:color w:val="000000" w:themeColor="text1"/>
          <w:highlight w:val="none"/>
          <w14:textFill>
            <w14:solidFill>
              <w14:schemeClr w14:val="tx1"/>
            </w14:solidFill>
          </w14:textFill>
        </w:rPr>
        <w:t>规范施工作业，尽量少占</w:t>
      </w:r>
      <w:r>
        <w:rPr>
          <w:rFonts w:hint="eastAsia"/>
          <w:color w:val="000000" w:themeColor="text1"/>
          <w:highlight w:val="none"/>
          <w:lang w:eastAsia="zh-CN"/>
          <w14:textFill>
            <w14:solidFill>
              <w14:schemeClr w14:val="tx1"/>
            </w14:solidFill>
          </w14:textFill>
        </w:rPr>
        <w:t>植被</w:t>
      </w:r>
      <w:r>
        <w:rPr>
          <w:color w:val="000000" w:themeColor="text1"/>
          <w:highlight w:val="none"/>
          <w14:textFill>
            <w14:solidFill>
              <w14:schemeClr w14:val="tx1"/>
            </w14:solidFill>
          </w14:textFill>
        </w:rPr>
        <w:t>，避免损坏</w:t>
      </w:r>
      <w:r>
        <w:rPr>
          <w:rFonts w:hint="eastAsia"/>
          <w:color w:val="000000" w:themeColor="text1"/>
          <w:highlight w:val="none"/>
          <w:lang w:eastAsia="zh-CN"/>
          <w14:textFill>
            <w14:solidFill>
              <w14:schemeClr w14:val="tx1"/>
            </w14:solidFill>
          </w14:textFill>
        </w:rPr>
        <w:t>植物</w:t>
      </w:r>
      <w:r>
        <w:rPr>
          <w:color w:val="000000" w:themeColor="text1"/>
          <w:highlight w:val="none"/>
          <w14:textFill>
            <w14:solidFill>
              <w14:schemeClr w14:val="tx1"/>
            </w14:solidFill>
          </w14:textFill>
        </w:rPr>
        <w:t>的行为发生。各</w:t>
      </w:r>
      <w:r>
        <w:rPr>
          <w:rFonts w:hint="eastAsia"/>
          <w:color w:val="000000" w:themeColor="text1"/>
          <w:highlight w:val="none"/>
          <w14:textFill>
            <w14:solidFill>
              <w14:schemeClr w14:val="tx1"/>
            </w14:solidFill>
          </w14:textFill>
        </w:rPr>
        <w:t>道路及管线等</w:t>
      </w:r>
      <w:r>
        <w:rPr>
          <w:color w:val="000000" w:themeColor="text1"/>
          <w:highlight w:val="none"/>
          <w14:textFill>
            <w14:solidFill>
              <w14:schemeClr w14:val="tx1"/>
            </w14:solidFill>
          </w14:textFill>
        </w:rPr>
        <w:t>施工完毕后及时洒水封育恢复植被。</w:t>
      </w:r>
    </w:p>
    <w:p w14:paraId="2859FD6F">
      <w:pPr>
        <w:pStyle w:val="14"/>
        <w:keepLines w:val="0"/>
        <w:pageBreakBefore w:val="0"/>
        <w:widowControl w:val="0"/>
        <w:kinsoku/>
        <w:wordWrap/>
        <w:overflowPunct w:val="0"/>
        <w:topLinePunct/>
        <w:autoSpaceDE/>
        <w:autoSpaceDN/>
        <w:bidi w:val="0"/>
        <w:adjustRightInd/>
        <w:snapToGrid/>
        <w:ind w:firstLine="480"/>
        <w:textAlignment w:val="auto"/>
        <w:rPr>
          <w:rFonts w:ascii="Times New Roman" w:hAnsi="Times New Roman" w:cs="Times New Roman"/>
          <w:color w:val="000000" w:themeColor="text1"/>
          <w:szCs w:val="24"/>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重视景观生态的保护，尽量避免露天作业、地面生产应尽量密闭作业避免扬尘逸散，优化项目区建筑及道路，从设计、施工、运营等各个环节充分考虑对景观的保护。</w:t>
      </w:r>
      <w:r>
        <w:rPr>
          <w:rFonts w:hint="eastAsia" w:ascii="Times New Roman" w:hAnsi="Times New Roman" w:cs="Times New Roman"/>
          <w:color w:val="000000" w:themeColor="text1"/>
          <w:szCs w:val="24"/>
          <w:highlight w:val="none"/>
          <w14:textFill>
            <w14:solidFill>
              <w14:schemeClr w14:val="tx1"/>
            </w14:solidFill>
          </w14:textFill>
        </w:rPr>
        <w:t>运行期应</w:t>
      </w:r>
      <w:r>
        <w:rPr>
          <w:rFonts w:ascii="Times New Roman" w:hAnsi="Times New Roman" w:cs="Times New Roman"/>
          <w:color w:val="000000" w:themeColor="text1"/>
          <w:szCs w:val="24"/>
          <w:highlight w:val="none"/>
          <w14:textFill>
            <w14:solidFill>
              <w14:schemeClr w14:val="tx1"/>
            </w14:solidFill>
          </w14:textFill>
        </w:rPr>
        <w:t>大力进行项目区人工绿化，在不影响运输、消防的前提下，绿化区域主要放在生活区、未被建（构）筑物覆盖的地表及厂区道路两侧，同时包括项目区周围的场地。</w:t>
      </w:r>
    </w:p>
    <w:p w14:paraId="457DA772">
      <w:pPr>
        <w:pStyle w:val="5"/>
        <w:keepLines w:val="0"/>
        <w:pageBreakBefore w:val="0"/>
        <w:widowControl w:val="0"/>
        <w:kinsoku/>
        <w:wordWrap/>
        <w:overflowPunct w:val="0"/>
        <w:topLinePunct/>
        <w:autoSpaceDE/>
        <w:autoSpaceDN/>
        <w:bidi w:val="0"/>
        <w:adjustRightInd/>
        <w:snapToGrid/>
        <w:ind w:firstLine="482"/>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6.2.7.4土地复垦及生态恢复措施</w:t>
      </w:r>
    </w:p>
    <w:p w14:paraId="742C8130">
      <w:pPr>
        <w:pStyle w:val="14"/>
        <w:keepLines w:val="0"/>
        <w:pageBreakBefore w:val="0"/>
        <w:widowControl w:val="0"/>
        <w:kinsoku/>
        <w:wordWrap/>
        <w:overflowPunct w:val="0"/>
        <w:topLinePunct/>
        <w:autoSpaceDE/>
        <w:autoSpaceDN/>
        <w:bidi w:val="0"/>
        <w:adjustRightInd/>
        <w:snapToGrid/>
        <w:ind w:firstLine="480"/>
        <w:textAlignment w:val="auto"/>
        <w:rPr>
          <w:rFonts w:ascii="Times New Roman" w:hAnsi="Times New Roman" w:cs="Times New Roman"/>
          <w:color w:val="000000" w:themeColor="text1"/>
          <w:szCs w:val="24"/>
          <w:highlight w:val="none"/>
          <w14:textFill>
            <w14:solidFill>
              <w14:schemeClr w14:val="tx1"/>
            </w14:solidFill>
          </w14:textFill>
        </w:rPr>
      </w:pPr>
      <w:r>
        <w:rPr>
          <w:rFonts w:hint="eastAsia" w:ascii="Times New Roman" w:hAnsi="Times New Roman" w:cs="Times New Roman"/>
          <w:color w:val="000000" w:themeColor="text1"/>
          <w:szCs w:val="24"/>
          <w:highlight w:val="none"/>
          <w:lang w:eastAsia="zh-CN"/>
          <w14:textFill>
            <w14:solidFill>
              <w14:schemeClr w14:val="tx1"/>
            </w14:solidFill>
          </w14:textFill>
        </w:rPr>
        <w:t>哈密市西成矿业有限责任公司</w:t>
      </w:r>
      <w:r>
        <w:rPr>
          <w:rFonts w:hint="eastAsia" w:ascii="Times New Roman" w:hAnsi="Times New Roman" w:cs="Times New Roman"/>
          <w:color w:val="000000" w:themeColor="text1"/>
          <w:szCs w:val="24"/>
          <w:highlight w:val="none"/>
          <w14:textFill>
            <w14:solidFill>
              <w14:schemeClr w14:val="tx1"/>
            </w14:solidFill>
          </w14:textFill>
        </w:rPr>
        <w:t>已于2022年</w:t>
      </w:r>
      <w:r>
        <w:rPr>
          <w:rFonts w:hint="eastAsia" w:ascii="Times New Roman" w:hAnsi="Times New Roman" w:cs="Times New Roman"/>
          <w:color w:val="000000" w:themeColor="text1"/>
          <w:szCs w:val="24"/>
          <w:highlight w:val="none"/>
          <w:lang w:val="en-US" w:eastAsia="zh-CN"/>
          <w14:textFill>
            <w14:solidFill>
              <w14:schemeClr w14:val="tx1"/>
            </w14:solidFill>
          </w14:textFill>
        </w:rPr>
        <w:t>12</w:t>
      </w:r>
      <w:r>
        <w:rPr>
          <w:rFonts w:hint="eastAsia" w:ascii="Times New Roman" w:hAnsi="Times New Roman" w:cs="Times New Roman"/>
          <w:color w:val="000000" w:themeColor="text1"/>
          <w:szCs w:val="24"/>
          <w:highlight w:val="none"/>
          <w14:textFill>
            <w14:solidFill>
              <w14:schemeClr w14:val="tx1"/>
            </w14:solidFill>
          </w14:textFill>
        </w:rPr>
        <w:t>月针对本项目编制了《新疆哈密市西成矿业有限责任公司M1033铁矿矿产资源开发利用与生态保护修复方案》，本次依照该方案提出本项目土地复垦及生态恢复措施。</w:t>
      </w:r>
    </w:p>
    <w:p w14:paraId="5A41468F">
      <w:pPr>
        <w:keepLines w:val="0"/>
        <w:pageBreakBefore w:val="0"/>
        <w:widowControl w:val="0"/>
        <w:kinsoku/>
        <w:wordWrap/>
        <w:overflowPunct w:val="0"/>
        <w:topLinePunct/>
        <w:autoSpaceDE/>
        <w:autoSpaceDN/>
        <w:bidi w:val="0"/>
        <w:adjustRightInd/>
        <w:snapToGrid/>
        <w:ind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针对项目区的防治分区，方案中提出如下土地复垦及生态恢复计划。</w:t>
      </w:r>
    </w:p>
    <w:p w14:paraId="337AA877">
      <w:pPr>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（1）尾矿库土地复垦质量要求</w:t>
      </w:r>
    </w:p>
    <w:p w14:paraId="367E745E">
      <w:pPr>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①有控制污染措施，保证复垦安全；</w:t>
      </w:r>
    </w:p>
    <w:p w14:paraId="2E7F6A44">
      <w:pPr>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②闭库后表层全部敷设一层1.5毫米厚HDPE膜，然后在尾矿库表层覆盖0.3米厚废石，并进行平整，防止大气降水渗入尾矿库体对周边水土环境造成影响。</w:t>
      </w:r>
    </w:p>
    <w:p w14:paraId="42715A5D">
      <w:pPr>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w:t>
      </w:r>
      <w:r>
        <w:rPr>
          <w:rFonts w:hint="default" w:ascii="Times New Roman" w:hAnsi="Times New Roman" w:cs="Times New Roman"/>
          <w:color w:val="000000" w:themeColor="text1"/>
          <w:highlight w:val="none"/>
          <w:lang w:eastAsia="zh-CN"/>
          <w14:textFill>
            <w14:solidFill>
              <w14:schemeClr w14:val="tx1"/>
            </w14:solidFill>
          </w14:textFill>
        </w:rPr>
        <w:t>复垦后尾矿库</w:t>
      </w:r>
      <w:r>
        <w:rPr>
          <w:rFonts w:hint="default" w:ascii="Times New Roman" w:hAnsi="Times New Roman" w:cs="Times New Roman"/>
          <w:color w:val="000000" w:themeColor="text1"/>
          <w:highlight w:val="none"/>
          <w14:textFill>
            <w14:solidFill>
              <w14:schemeClr w14:val="tx1"/>
            </w14:solidFill>
          </w14:textFill>
        </w:rPr>
        <w:t>三面筑坝</w:t>
      </w:r>
      <w:r>
        <w:rPr>
          <w:rFonts w:hint="default" w:ascii="Times New Roman" w:hAnsi="Times New Roman" w:cs="Times New Roman"/>
          <w:color w:val="000000" w:themeColor="text1"/>
          <w:highlight w:val="none"/>
          <w:lang w:eastAsia="zh-CN"/>
          <w14:textFill>
            <w14:solidFill>
              <w14:schemeClr w14:val="tx1"/>
            </w14:solidFill>
          </w14:textFill>
        </w:rPr>
        <w:t>，坝高</w:t>
      </w:r>
      <w:r>
        <w:rPr>
          <w:rFonts w:hint="default" w:ascii="Times New Roman" w:hAnsi="Times New Roman" w:cs="Times New Roman"/>
          <w:color w:val="000000" w:themeColor="text1"/>
          <w:highlight w:val="none"/>
          <w:lang w:val="en-US" w:eastAsia="zh-CN"/>
          <w14:textFill>
            <w14:solidFill>
              <w14:schemeClr w14:val="tx1"/>
            </w14:solidFill>
          </w14:textFill>
        </w:rPr>
        <w:t>25米，</w:t>
      </w:r>
      <w:r>
        <w:rPr>
          <w:rFonts w:hint="default" w:ascii="Times New Roman" w:hAnsi="Times New Roman" w:cs="Times New Roman"/>
          <w:color w:val="000000" w:themeColor="text1"/>
          <w:highlight w:val="none"/>
          <w14:textFill>
            <w14:solidFill>
              <w14:schemeClr w14:val="tx1"/>
            </w14:solidFill>
          </w14:textFill>
        </w:rPr>
        <w:t>尾矿坝</w:t>
      </w:r>
      <w:r>
        <w:rPr>
          <w:rFonts w:hint="default" w:ascii="Times New Roman" w:hAnsi="Times New Roman" w:cs="Times New Roman"/>
          <w:color w:val="000000" w:themeColor="text1"/>
          <w:highlight w:val="none"/>
          <w:lang w:eastAsia="zh-CN"/>
          <w14:textFill>
            <w14:solidFill>
              <w14:schemeClr w14:val="tx1"/>
            </w14:solidFill>
          </w14:textFill>
        </w:rPr>
        <w:t>面</w:t>
      </w:r>
      <w:r>
        <w:rPr>
          <w:rFonts w:hint="default" w:ascii="Times New Roman" w:hAnsi="Times New Roman" w:cs="Times New Roman"/>
          <w:color w:val="000000" w:themeColor="text1"/>
          <w:highlight w:val="none"/>
          <w14:textFill>
            <w14:solidFill>
              <w14:schemeClr w14:val="tx1"/>
            </w14:solidFill>
          </w14:textFill>
        </w:rPr>
        <w:t>上游坡比为1:2.5；下游坡比为1:2.50，</w:t>
      </w:r>
      <w:r>
        <w:rPr>
          <w:rFonts w:hint="default" w:ascii="Times New Roman" w:hAnsi="Times New Roman" w:cs="Times New Roman"/>
          <w:color w:val="000000" w:themeColor="text1"/>
          <w:highlight w:val="none"/>
          <w:lang w:eastAsia="zh-CN"/>
          <w14:textFill>
            <w14:solidFill>
              <w14:schemeClr w14:val="tx1"/>
            </w14:solidFill>
          </w14:textFill>
        </w:rPr>
        <w:t>库顶</w:t>
      </w:r>
      <w:r>
        <w:rPr>
          <w:rFonts w:hint="default" w:ascii="Times New Roman" w:hAnsi="Times New Roman" w:cs="Times New Roman"/>
          <w:color w:val="000000" w:themeColor="text1"/>
          <w:highlight w:val="none"/>
          <w14:textFill>
            <w14:solidFill>
              <w14:schemeClr w14:val="tx1"/>
            </w14:solidFill>
          </w14:textFill>
        </w:rPr>
        <w:t>表层覆盖0.3米厚废石</w:t>
      </w:r>
      <w:r>
        <w:rPr>
          <w:rFonts w:hint="default" w:ascii="Times New Roman" w:hAnsi="Times New Roman" w:cs="Times New Roman"/>
          <w:color w:val="000000" w:themeColor="text1"/>
          <w:highlight w:val="none"/>
          <w:lang w:eastAsia="zh-CN"/>
          <w14:textFill>
            <w14:solidFill>
              <w14:schemeClr w14:val="tx1"/>
            </w14:solidFill>
          </w14:textFill>
        </w:rPr>
        <w:t>后进行土地平整，</w:t>
      </w:r>
      <w:r>
        <w:rPr>
          <w:rFonts w:hint="default" w:ascii="Times New Roman" w:hAnsi="Times New Roman" w:cs="Times New Roman"/>
          <w:color w:val="000000" w:themeColor="text1"/>
          <w:highlight w:val="none"/>
          <w14:textFill>
            <w14:solidFill>
              <w14:schemeClr w14:val="tx1"/>
            </w14:solidFill>
          </w14:textFill>
        </w:rPr>
        <w:t>禁止形成局部凸起或凹陷；</w:t>
      </w:r>
    </w:p>
    <w:p w14:paraId="26E880FC">
      <w:pPr>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④复垦方向为裸岩石砾地，无土壤质地和有效土层厚度要求，复垦后应与当地地形、地貌及周边环境相协调。</w:t>
      </w:r>
    </w:p>
    <w:p w14:paraId="484D0650">
      <w:pPr>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）道路土地复垦质量要求</w:t>
      </w:r>
    </w:p>
    <w:p w14:paraId="0C395F53">
      <w:pPr>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①有控制污染措施，保证复垦安全；</w:t>
      </w:r>
    </w:p>
    <w:p w14:paraId="270C377D">
      <w:pPr>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②进行土地平整，整治后恢复原始地形坡度2-5°，禁止形成局部凸起或凹陷，有效控制水土流失，与周边地形地貌相协调；</w:t>
      </w:r>
    </w:p>
    <w:p w14:paraId="7D7C0E75">
      <w:pPr>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③复垦方向为裸岩石砾地，无土壤质地和有效土层厚度要求，复垦后应与当地地形、地貌及周边环境相协调。</w:t>
      </w:r>
    </w:p>
    <w:p w14:paraId="17E411FE">
      <w:pPr>
        <w:keepLines w:val="0"/>
        <w:pageBreakBefore w:val="0"/>
        <w:widowControl w:val="0"/>
        <w:kinsoku/>
        <w:wordWrap/>
        <w:overflowPunct w:val="0"/>
        <w:topLinePunct/>
        <w:autoSpaceDE/>
        <w:autoSpaceDN/>
        <w:bidi w:val="0"/>
        <w:adjustRightInd/>
        <w:snapToGrid/>
        <w:ind w:firstLine="480"/>
        <w:textAlignment w:val="auto"/>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eastAsia="zh-CN"/>
          <w14:textFill>
            <w14:solidFill>
              <w14:schemeClr w14:val="tx1"/>
            </w14:solidFill>
          </w14:textFill>
        </w:rPr>
        <w:t>）选矿厂、生活区</w:t>
      </w:r>
      <w:r>
        <w:rPr>
          <w:rFonts w:hint="default" w:ascii="Times New Roman" w:hAnsi="Times New Roman" w:cs="Times New Roman"/>
          <w:color w:val="000000" w:themeColor="text1"/>
          <w:highlight w:val="none"/>
          <w14:textFill>
            <w14:solidFill>
              <w14:schemeClr w14:val="tx1"/>
            </w14:solidFill>
          </w14:textFill>
        </w:rPr>
        <w:t>土地复垦质量要求</w:t>
      </w:r>
    </w:p>
    <w:p w14:paraId="09593CCA">
      <w:pPr>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①有效控制污染措施，保证复垦安全。</w:t>
      </w:r>
    </w:p>
    <w:p w14:paraId="27DE146C">
      <w:pPr>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②拆除地表设施和建筑物，可利用材料外运，废弃物拉运至哈密市伊州区建筑垃圾填埋场填埋；</w:t>
      </w:r>
    </w:p>
    <w:p w14:paraId="7DF2842C">
      <w:pPr>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③进行土地平整，整治后恢复原始地形坡度2-5°，禁止形成局部凸起或凹陷，有效控制水土流失；</w:t>
      </w:r>
    </w:p>
    <w:p w14:paraId="74471923">
      <w:pPr>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④复垦方向为裸岩石砾地，无土壤质地和有效土层厚度要求，复垦后应与当地地形、地貌及周边环境相协调。</w:t>
      </w:r>
    </w:p>
    <w:p w14:paraId="1E605D69">
      <w:pPr>
        <w:keepLines w:val="0"/>
        <w:pageBreakBefore w:val="0"/>
        <w:widowControl w:val="0"/>
        <w:kinsoku/>
        <w:wordWrap/>
        <w:overflowPunct w:val="0"/>
        <w:topLinePunct/>
        <w:autoSpaceDE/>
        <w:autoSpaceDN/>
        <w:bidi w:val="0"/>
        <w:adjustRightInd/>
        <w:snapToGrid/>
        <w:ind w:firstLine="48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）尾矿库土地复垦区工程设计</w:t>
      </w:r>
    </w:p>
    <w:p w14:paraId="5289D517">
      <w:pPr>
        <w:keepLines w:val="0"/>
        <w:pageBreakBefore w:val="0"/>
        <w:widowControl w:val="0"/>
        <w:kinsoku/>
        <w:wordWrap/>
        <w:overflowPunct w:val="0"/>
        <w:topLinePunct/>
        <w:autoSpaceDE/>
        <w:autoSpaceDN/>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老</w:t>
      </w:r>
      <w:r>
        <w:rPr>
          <w:rFonts w:hint="eastAsia"/>
          <w:color w:val="000000" w:themeColor="text1"/>
          <w:highlight w:val="none"/>
          <w14:textFill>
            <w14:solidFill>
              <w14:schemeClr w14:val="tx1"/>
            </w14:solidFill>
          </w14:textFill>
        </w:rPr>
        <w:t>尾矿库占地面积26.07</w:t>
      </w:r>
      <w:r>
        <w:rPr>
          <w:rFonts w:hint="eastAsia"/>
          <w:color w:val="000000" w:themeColor="text1"/>
          <w:highlight w:val="none"/>
          <w:lang w:val="en-US" w:eastAsia="zh-CN"/>
          <w14:textFill>
            <w14:solidFill>
              <w14:schemeClr w14:val="tx1"/>
            </w14:solidFill>
          </w14:textFill>
        </w:rPr>
        <w:t>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采用现有尾矿作为新尾矿库建设材料，</w:t>
      </w:r>
      <w:r>
        <w:rPr>
          <w:rFonts w:hint="eastAsia"/>
          <w:color w:val="000000" w:themeColor="text1"/>
          <w:highlight w:val="none"/>
          <w14:textFill>
            <w14:solidFill>
              <w14:schemeClr w14:val="tx1"/>
            </w14:solidFill>
          </w14:textFill>
        </w:rPr>
        <w:t>对尾矿库进行封场防渗处理，并在表层覆盖一层0.3</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14:textFill>
            <w14:solidFill>
              <w14:schemeClr w14:val="tx1"/>
            </w14:solidFill>
          </w14:textFill>
        </w:rPr>
        <w:t>厚的废石，然后对表层进行平整压实，防止大气降水渗入尾矿库体。</w:t>
      </w:r>
    </w:p>
    <w:p w14:paraId="76B4A410">
      <w:pPr>
        <w:keepLines w:val="0"/>
        <w:pageBreakBefore w:val="0"/>
        <w:widowControl w:val="0"/>
        <w:kinsoku/>
        <w:wordWrap/>
        <w:overflowPunct w:val="0"/>
        <w:topLinePunct/>
        <w:autoSpaceDE/>
        <w:autoSpaceDN/>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1）封场防渗</w:t>
      </w:r>
    </w:p>
    <w:p w14:paraId="2641D24B">
      <w:pPr>
        <w:keepLines w:val="0"/>
        <w:pageBreakBefore w:val="0"/>
        <w:widowControl w:val="0"/>
        <w:kinsoku/>
        <w:wordWrap/>
        <w:overflowPunct w:val="0"/>
        <w:topLinePunct/>
        <w:autoSpaceDE/>
        <w:autoSpaceDN/>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在库体表层全部敷设一层1.5</w:t>
      </w:r>
      <w:r>
        <w:rPr>
          <w:rFonts w:hint="eastAsia"/>
          <w:color w:val="000000" w:themeColor="text1"/>
          <w:highlight w:val="none"/>
          <w:lang w:val="en-US" w:eastAsia="zh-CN"/>
          <w14:textFill>
            <w14:solidFill>
              <w14:schemeClr w14:val="tx1"/>
            </w14:solidFill>
          </w14:textFill>
        </w:rPr>
        <w:t>mm</w:t>
      </w:r>
      <w:r>
        <w:rPr>
          <w:rFonts w:hint="eastAsia"/>
          <w:color w:val="000000" w:themeColor="text1"/>
          <w:highlight w:val="none"/>
          <w14:textFill>
            <w14:solidFill>
              <w14:schemeClr w14:val="tx1"/>
            </w14:solidFill>
          </w14:textFill>
        </w:rPr>
        <w:t>厚HDPE膜，防止大气降水渗入尾矿库体，敷膜26.07</w:t>
      </w:r>
      <w:r>
        <w:rPr>
          <w:rFonts w:hint="eastAsia"/>
          <w:color w:val="000000" w:themeColor="text1"/>
          <w:highlight w:val="none"/>
          <w:lang w:val="en-US" w:eastAsia="zh-CN"/>
          <w14:textFill>
            <w14:solidFill>
              <w14:schemeClr w14:val="tx1"/>
            </w14:solidFill>
          </w14:textFill>
        </w:rPr>
        <w:t>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w:t>
      </w:r>
    </w:p>
    <w:p w14:paraId="56E8A3E8">
      <w:pPr>
        <w:keepLines w:val="0"/>
        <w:pageBreakBefore w:val="0"/>
        <w:widowControl w:val="0"/>
        <w:kinsoku/>
        <w:wordWrap/>
        <w:overflowPunct w:val="0"/>
        <w:topLinePunct/>
        <w:autoSpaceDE/>
        <w:autoSpaceDN/>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2）表层回填压覆工程</w:t>
      </w:r>
    </w:p>
    <w:p w14:paraId="2099CABB">
      <w:pPr>
        <w:keepLines w:val="0"/>
        <w:pageBreakBefore w:val="0"/>
        <w:widowControl w:val="0"/>
        <w:kinsoku/>
        <w:wordWrap/>
        <w:overflowPunct w:val="0"/>
        <w:topLinePunct/>
        <w:autoSpaceDE/>
        <w:autoSpaceDN/>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为防止闭库后尾矿形成扬尘，铺设防渗膜后，在表层覆盖一层0.3</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14:textFill>
            <w14:solidFill>
              <w14:schemeClr w14:val="tx1"/>
            </w14:solidFill>
          </w14:textFill>
        </w:rPr>
        <w:t>厚的废石，</w:t>
      </w:r>
      <w:r>
        <w:rPr>
          <w:rFonts w:hint="eastAsia"/>
          <w:color w:val="000000" w:themeColor="text1"/>
          <w:highlight w:val="none"/>
          <w:lang w:eastAsia="zh-CN"/>
          <w14:textFill>
            <w14:solidFill>
              <w14:schemeClr w14:val="tx1"/>
            </w14:solidFill>
          </w14:textFill>
        </w:rPr>
        <w:t>老</w:t>
      </w:r>
      <w:r>
        <w:rPr>
          <w:rFonts w:hint="eastAsia"/>
          <w:color w:val="000000" w:themeColor="text1"/>
          <w:highlight w:val="none"/>
          <w14:textFill>
            <w14:solidFill>
              <w14:schemeClr w14:val="tx1"/>
            </w14:solidFill>
          </w14:textFill>
        </w:rPr>
        <w:t>尾矿库占地面积26.07</w:t>
      </w:r>
      <w:r>
        <w:rPr>
          <w:rFonts w:hint="eastAsia"/>
          <w:color w:val="000000" w:themeColor="text1"/>
          <w:highlight w:val="none"/>
          <w:lang w:val="en-US" w:eastAsia="zh-CN"/>
          <w14:textFill>
            <w14:solidFill>
              <w14:schemeClr w14:val="tx1"/>
            </w14:solidFill>
          </w14:textFill>
        </w:rPr>
        <w:t>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，需废石量7821</w:t>
      </w:r>
      <w:r>
        <w:rPr>
          <w:rFonts w:hint="eastAsia"/>
          <w:color w:val="000000" w:themeColor="text1"/>
          <w:highlight w:val="none"/>
          <w:lang w:val="en-US" w:eastAsia="zh-CN"/>
          <w14:textFill>
            <w14:solidFill>
              <w14:schemeClr w14:val="tx1"/>
            </w14:solidFill>
          </w14:textFill>
        </w:rPr>
        <w:t>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；所需废石由规划废石堆放场拉运，平均运距约0.9</w:t>
      </w:r>
      <w:r>
        <w:rPr>
          <w:rFonts w:hint="eastAsia"/>
          <w:color w:val="000000" w:themeColor="text1"/>
          <w:highlight w:val="none"/>
          <w:lang w:val="en-US" w:eastAsia="zh-CN"/>
          <w14:textFill>
            <w14:solidFill>
              <w14:schemeClr w14:val="tx1"/>
            </w14:solidFill>
          </w14:textFill>
        </w:rPr>
        <w:t>km</w:t>
      </w:r>
      <w:r>
        <w:rPr>
          <w:rFonts w:hint="eastAsia"/>
          <w:color w:val="000000" w:themeColor="text1"/>
          <w:highlight w:val="none"/>
          <w14:textFill>
            <w14:solidFill>
              <w14:schemeClr w14:val="tx1"/>
            </w14:solidFill>
          </w14:textFill>
        </w:rPr>
        <w:t>。</w:t>
      </w:r>
    </w:p>
    <w:p w14:paraId="16A20DF0">
      <w:pPr>
        <w:keepLines w:val="0"/>
        <w:pageBreakBefore w:val="0"/>
        <w:widowControl w:val="0"/>
        <w:kinsoku/>
        <w:wordWrap/>
        <w:overflowPunct w:val="0"/>
        <w:topLinePunct/>
        <w:autoSpaceDE/>
        <w:autoSpaceDN/>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3）土地平整工程</w:t>
      </w:r>
    </w:p>
    <w:p w14:paraId="05B7C986">
      <w:pPr>
        <w:keepLines w:val="0"/>
        <w:pageBreakBefore w:val="0"/>
        <w:widowControl w:val="0"/>
        <w:kinsoku/>
        <w:wordWrap/>
        <w:overflowPunct w:val="0"/>
        <w:topLinePunct/>
        <w:autoSpaceDE/>
        <w:autoSpaceDN/>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最后对尾矿库场地进行平整，平整方式主要借助挖掘机、推土机进行削高填低，根据周边地形地貌特征，将平整场地划分成若干个小方格，采用方格网法计算，根据每个方格的填挖情况，平均平整厚度取0.</w:t>
      </w:r>
      <w:r>
        <w:rPr>
          <w:rFonts w:hint="eastAsia"/>
          <w:color w:val="000000" w:themeColor="text1"/>
          <w:highlight w:val="none"/>
          <w:lang w:val="en-US" w:eastAsia="zh-CN"/>
          <w14:textFill>
            <w14:solidFill>
              <w14:schemeClr w14:val="tx1"/>
            </w14:solidFill>
          </w14:textFill>
        </w:rPr>
        <w:t>3m</w:t>
      </w:r>
      <w:r>
        <w:rPr>
          <w:rFonts w:hint="eastAsia"/>
          <w:color w:val="000000" w:themeColor="text1"/>
          <w:highlight w:val="none"/>
          <w14:textFill>
            <w14:solidFill>
              <w14:schemeClr w14:val="tx1"/>
            </w14:solidFill>
          </w14:textFill>
        </w:rPr>
        <w:t>，规划尾矿库平整总面积26.07</w:t>
      </w:r>
      <w:r>
        <w:rPr>
          <w:rFonts w:hint="eastAsia"/>
          <w:color w:val="000000" w:themeColor="text1"/>
          <w:highlight w:val="none"/>
          <w:lang w:val="en-US" w:eastAsia="zh-CN"/>
          <w14:textFill>
            <w14:solidFill>
              <w14:schemeClr w14:val="tx1"/>
            </w14:solidFill>
          </w14:textFill>
        </w:rPr>
        <w:t>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，预计平整土地的工程量约</w:t>
      </w:r>
      <w:r>
        <w:rPr>
          <w:rFonts w:hint="eastAsia"/>
          <w:color w:val="000000" w:themeColor="text1"/>
          <w:highlight w:val="none"/>
          <w:lang w:val="en-US" w:eastAsia="zh-CN"/>
          <w14:textFill>
            <w14:solidFill>
              <w14:schemeClr w14:val="tx1"/>
            </w14:solidFill>
          </w14:textFill>
        </w:rPr>
        <w:t>78210m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p>
    <w:p w14:paraId="19A568BB">
      <w:pPr>
        <w:keepLines w:val="0"/>
        <w:pageBreakBefore w:val="0"/>
        <w:widowControl w:val="0"/>
        <w:kinsoku/>
        <w:wordWrap/>
        <w:overflowPunct w:val="0"/>
        <w:topLinePunct/>
        <w:autoSpaceDE/>
        <w:autoSpaceDN/>
        <w:bidi w:val="0"/>
        <w:adjustRightInd/>
        <w:snapToGrid/>
        <w:ind w:firstLine="48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）办公生活区土地复垦区工程设计</w:t>
      </w:r>
    </w:p>
    <w:p w14:paraId="3604EF84">
      <w:pPr>
        <w:keepLines w:val="0"/>
        <w:pageBreakBefore w:val="0"/>
        <w:widowControl w:val="0"/>
        <w:kinsoku/>
        <w:wordWrap/>
        <w:overflowPunct w:val="0"/>
        <w:topLinePunct/>
        <w:autoSpaceDE/>
        <w:autoSpaceDN/>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办公生活区压占损毁土地资源1.16</w:t>
      </w:r>
      <w:r>
        <w:rPr>
          <w:rFonts w:hint="eastAsia"/>
          <w:color w:val="000000" w:themeColor="text1"/>
          <w:highlight w:val="none"/>
          <w:lang w:val="en-US" w:eastAsia="zh-CN"/>
          <w14:textFill>
            <w14:solidFill>
              <w14:schemeClr w14:val="tx1"/>
            </w14:solidFill>
          </w14:textFill>
        </w:rPr>
        <w:t>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。矿山闭坑沉稳期后拆除区内地面建筑物和设备，可利用材料和设备外运，废弃物清运至哈密市伊州区建筑垃圾填埋场填埋。清理完毕后对场内土地进行平整，使其与地形地貌相协调。</w:t>
      </w:r>
    </w:p>
    <w:p w14:paraId="39169F5A">
      <w:pPr>
        <w:keepLines w:val="0"/>
        <w:pageBreakBefore w:val="0"/>
        <w:widowControl w:val="0"/>
        <w:kinsoku/>
        <w:wordWrap/>
        <w:overflowPunct w:val="0"/>
        <w:topLinePunct/>
        <w:autoSpaceDE/>
        <w:autoSpaceDN/>
        <w:bidi w:val="0"/>
        <w:adjustRightInd/>
        <w:snapToGrid/>
        <w:ind w:firstLine="48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1）砌体拆除清运工程</w:t>
      </w:r>
    </w:p>
    <w:p w14:paraId="65990E84">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办公生活区采用砖混和彩钢结构，地基基础为水泥硬化结构，使用机械拆除，总建筑面积1700</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，拆除建筑废料按照0.5</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计算，预计拆除量为3400</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，使用机械拆除，废弃物清运至哈密市伊州区建筑垃圾填埋场填埋，运距约270</w:t>
      </w:r>
      <w:r>
        <w:rPr>
          <w:rFonts w:hint="eastAsia"/>
          <w:color w:val="000000" w:themeColor="text1"/>
          <w:highlight w:val="none"/>
          <w:lang w:val="en-US" w:eastAsia="zh-CN"/>
          <w14:textFill>
            <w14:solidFill>
              <w14:schemeClr w14:val="tx1"/>
            </w14:solidFill>
          </w14:textFill>
        </w:rPr>
        <w:t>km</w:t>
      </w:r>
      <w:r>
        <w:rPr>
          <w:rFonts w:hint="eastAsia"/>
          <w:color w:val="000000" w:themeColor="text1"/>
          <w:highlight w:val="none"/>
          <w14:textFill>
            <w14:solidFill>
              <w14:schemeClr w14:val="tx1"/>
            </w14:solidFill>
          </w14:textFill>
        </w:rPr>
        <w:t>。</w:t>
      </w:r>
    </w:p>
    <w:p w14:paraId="379F2B2A">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2）场地平整工程</w:t>
      </w:r>
    </w:p>
    <w:p w14:paraId="133781B0">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清理完毕后对场地进行平整，平整方式主要借助挖掘机、推土机进行削高填低，根据周边地形地貌特征，将平整场地划分成若干个小方格，采用方格网法计算，根据每个方格的填挖情况，平均平整厚度取0.2</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14:textFill>
            <w14:solidFill>
              <w14:schemeClr w14:val="tx1"/>
            </w14:solidFill>
          </w14:textFill>
        </w:rPr>
        <w:t>，平整总面积1.16</w:t>
      </w:r>
      <w:r>
        <w:rPr>
          <w:rFonts w:hint="eastAsia"/>
          <w:color w:val="000000" w:themeColor="text1"/>
          <w:highlight w:val="none"/>
          <w:lang w:val="en-US" w:eastAsia="zh-CN"/>
          <w14:textFill>
            <w14:solidFill>
              <w14:schemeClr w14:val="tx1"/>
            </w14:solidFill>
          </w14:textFill>
        </w:rPr>
        <w:t>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，预计平整土地的工程量约2320</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p>
    <w:p w14:paraId="2D8F55FD">
      <w:pPr>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eastAsia="zh-CN"/>
          <w14:textFill>
            <w14:solidFill>
              <w14:schemeClr w14:val="tx1"/>
            </w14:solidFill>
          </w14:textFill>
        </w:rPr>
        <w:t>）选矿厂土地复垦区工程设计</w:t>
      </w:r>
    </w:p>
    <w:p w14:paraId="2B7132F6">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选矿厂压占损毁土地资源7.66公顷。矿山闭坑沉稳期后拆除区内地面建筑物和设备，可利用材料和设备外运，废弃物清运至哈密市伊州区建筑垃圾填埋场填埋。清理完毕后对场内土地进行平整，使其与地形地貌相协调。</w:t>
      </w:r>
    </w:p>
    <w:p w14:paraId="06B57989">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1）砌体拆除清运工程</w:t>
      </w:r>
    </w:p>
    <w:p w14:paraId="2F9F927A">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选矿厂采用砖混和彩钢结构，地基基础为水泥硬化结构，使用机械拆除，总建筑面积5202</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，拆除建筑废料按照0.5</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计算，预计拆除量为10404</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，使用机械拆除，废弃物清运至哈密市伊州区建筑垃圾填埋场填埋，运距约270</w:t>
      </w:r>
      <w:r>
        <w:rPr>
          <w:rFonts w:hint="eastAsia"/>
          <w:color w:val="000000" w:themeColor="text1"/>
          <w:highlight w:val="none"/>
          <w:lang w:val="en-US" w:eastAsia="zh-CN"/>
          <w14:textFill>
            <w14:solidFill>
              <w14:schemeClr w14:val="tx1"/>
            </w14:solidFill>
          </w14:textFill>
        </w:rPr>
        <w:t>km</w:t>
      </w:r>
      <w:r>
        <w:rPr>
          <w:rFonts w:hint="eastAsia"/>
          <w:color w:val="000000" w:themeColor="text1"/>
          <w:highlight w:val="none"/>
          <w14:textFill>
            <w14:solidFill>
              <w14:schemeClr w14:val="tx1"/>
            </w14:solidFill>
          </w14:textFill>
        </w:rPr>
        <w:t>。</w:t>
      </w:r>
    </w:p>
    <w:p w14:paraId="64EC603D">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2）场地平整工程</w:t>
      </w:r>
    </w:p>
    <w:p w14:paraId="30CB2A36">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清理完毕后对场地进行平整，平整方式主要借助挖掘机、推土机进行削高填低，根据周边地形地貌特征，将平整场地划分成若干个小方格，采用方格网法计算，根据每个方格的填挖情况，平均平整厚度取0.2</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14:textFill>
            <w14:solidFill>
              <w14:schemeClr w14:val="tx1"/>
            </w14:solidFill>
          </w14:textFill>
        </w:rPr>
        <w:t>，平整总面积7.66</w:t>
      </w:r>
      <w:r>
        <w:rPr>
          <w:rFonts w:hint="eastAsia"/>
          <w:color w:val="000000" w:themeColor="text1"/>
          <w:highlight w:val="none"/>
          <w:lang w:val="en-US" w:eastAsia="zh-CN"/>
          <w14:textFill>
            <w14:solidFill>
              <w14:schemeClr w14:val="tx1"/>
            </w14:solidFill>
          </w14:textFill>
        </w:rPr>
        <w:t>hm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，预计平整土地的工程量约15320</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p>
    <w:p w14:paraId="23AFF1C5">
      <w:pPr>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lang w:eastAsia="zh-CN"/>
          <w14:textFill>
            <w14:solidFill>
              <w14:schemeClr w14:val="tx1"/>
            </w14:solidFill>
          </w14:textFill>
        </w:rPr>
        <w:t>）技术措施</w:t>
      </w:r>
    </w:p>
    <w:p w14:paraId="12BB91B6">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程技术措施是指工程复垦中，按照所在地区自然环境条件和复垦土地利用方向要求，对受影响的土地采取各种工程手段，恢复受损土地的生态系统。本方案根据项目所在区域的自然生态环境特征和复垦目标，结合项目各复垦单元，参照周边类似复垦项目生态重建技术的工作原理、复垦工艺、适用条件等，采取适用于本项目的复垦工程技术措施，主要有以下几种：</w:t>
      </w:r>
    </w:p>
    <w:p w14:paraId="27B6CB88">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1）设施拆除清运工程</w:t>
      </w:r>
    </w:p>
    <w:p w14:paraId="69546BFA">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办公生活区、选矿厂、辅助生产区内的各类设施需要拆除清理。采用机械拆除后对废弃物进行清运至哈密市伊州区建筑垃圾填埋场填埋。其中废弃物主要为混凝土、砖等建筑垃圾。</w:t>
      </w:r>
    </w:p>
    <w:p w14:paraId="2BF6776D">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2）废石回填工程</w:t>
      </w:r>
    </w:p>
    <w:p w14:paraId="724D5C57">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利用装载机或挖掘机铲装废渣石，自卸汽车拉运至预测地面塌陷区和井筒进行回填；在尾矿库表层覆盖一层0.3</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14:textFill>
            <w14:solidFill>
              <w14:schemeClr w14:val="tx1"/>
            </w14:solidFill>
          </w14:textFill>
        </w:rPr>
        <w:t>厚的废石，然后对表层进行平整压实，可</w:t>
      </w:r>
      <w:r>
        <w:rPr>
          <w:rFonts w:hint="eastAsia"/>
          <w:color w:val="000000" w:themeColor="text1"/>
          <w:highlight w:val="none"/>
          <w:lang w:eastAsia="zh-CN"/>
          <w14:textFill>
            <w14:solidFill>
              <w14:schemeClr w14:val="tx1"/>
            </w14:solidFill>
          </w14:textFill>
        </w:rPr>
        <w:t>防止</w:t>
      </w:r>
      <w:r>
        <w:rPr>
          <w:rFonts w:hint="eastAsia"/>
          <w:color w:val="000000" w:themeColor="text1"/>
          <w:highlight w:val="none"/>
          <w14:textFill>
            <w14:solidFill>
              <w14:schemeClr w14:val="tx1"/>
            </w14:solidFill>
          </w14:textFill>
        </w:rPr>
        <w:t>铺设的防渗膜损坏，同时可防止大气降水渗入尾矿库体。</w:t>
      </w:r>
    </w:p>
    <w:p w14:paraId="4362F66E">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3）土地平整工程</w:t>
      </w:r>
    </w:p>
    <w:p w14:paraId="1C466B10">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对地表进行平整，其目的是通过机械进行平整，恢复原地形地貌。土地平整是土地复垦工程建设的重要组成部分，是把损毁土地变为可利用地的</w:t>
      </w:r>
      <w:r>
        <w:rPr>
          <w:rFonts w:hint="eastAsia"/>
          <w:color w:val="000000" w:themeColor="text1"/>
          <w:highlight w:val="none"/>
          <w:lang w:eastAsia="zh-CN"/>
          <w14:textFill>
            <w14:solidFill>
              <w14:schemeClr w14:val="tx1"/>
            </w14:solidFill>
          </w14:textFill>
        </w:rPr>
        <w:t>重要</w:t>
      </w:r>
      <w:r>
        <w:rPr>
          <w:rFonts w:hint="eastAsia"/>
          <w:color w:val="000000" w:themeColor="text1"/>
          <w:highlight w:val="none"/>
          <w14:textFill>
            <w14:solidFill>
              <w14:schemeClr w14:val="tx1"/>
            </w14:solidFill>
          </w14:textFill>
        </w:rPr>
        <w:t>前期工程。土地平整之前要确定好平整后的标高及坡度等，平整方式主要为机械平整。</w:t>
      </w:r>
    </w:p>
    <w:p w14:paraId="2EF48B9C">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6.2.7.</w:t>
      </w:r>
      <w:r>
        <w:rPr>
          <w:rFonts w:hint="eastAsia"/>
          <w:color w:val="000000" w:themeColor="text1"/>
          <w:highlight w:val="none"/>
          <w:lang w:val="en-US" w:eastAsia="zh-CN"/>
          <w14:textFill>
            <w14:solidFill>
              <w14:schemeClr w14:val="tx1"/>
            </w14:solidFill>
          </w14:textFill>
        </w:rPr>
        <w:t>5</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防沙治沙</w:t>
      </w:r>
      <w:r>
        <w:rPr>
          <w:rFonts w:hint="eastAsia"/>
          <w:color w:val="000000" w:themeColor="text1"/>
          <w:lang w:val="en-US" w:eastAsia="zh-CN"/>
          <w14:textFill>
            <w14:solidFill>
              <w14:schemeClr w14:val="tx1"/>
            </w14:solidFill>
          </w14:textFill>
        </w:rPr>
        <w:t>环境保护措施</w:t>
      </w:r>
    </w:p>
    <w:p w14:paraId="64275F9C">
      <w:pPr>
        <w:pStyle w:val="10"/>
        <w:keepNext w:val="0"/>
        <w:keepLines w:val="0"/>
        <w:pageBreakBefore w:val="0"/>
        <w:widowControl/>
        <w:kinsoku/>
        <w:wordWrap w:val="0"/>
        <w:overflowPunct w:val="0"/>
        <w:topLinePunct w:val="0"/>
        <w:autoSpaceDE/>
        <w:autoSpaceDN/>
        <w:bidi w:val="0"/>
        <w:adjustRightInd w:val="0"/>
        <w:snapToGrid/>
        <w:spacing w:before="0" w:after="0" w:line="480" w:lineRule="exact"/>
        <w:ind w:righ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根据《关于加强沙区建设项目环境影响评价工作的通知》，本次评价提出以下防沙治沙措施：</w:t>
      </w:r>
    </w:p>
    <w:p w14:paraId="334E9382">
      <w:pPr>
        <w:pStyle w:val="10"/>
        <w:keepNext w:val="0"/>
        <w:keepLines w:val="0"/>
        <w:pageBreakBefore w:val="0"/>
        <w:widowControl/>
        <w:kinsoku/>
        <w:wordWrap w:val="0"/>
        <w:overflowPunct w:val="0"/>
        <w:topLinePunct w:val="0"/>
        <w:autoSpaceDE/>
        <w:autoSpaceDN/>
        <w:bidi w:val="0"/>
        <w:adjustRightInd w:val="0"/>
        <w:snapToGrid/>
        <w:spacing w:before="0" w:after="0" w:line="480" w:lineRule="exact"/>
        <w:ind w:right="0"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制定</w:t>
      </w:r>
      <w:r>
        <w:rPr>
          <w:rFonts w:hint="default" w:ascii="Times New Roman" w:hAnsi="Times New Roman" w:eastAsia="宋体" w:cs="Times New Roman"/>
          <w:color w:val="000000" w:themeColor="text1"/>
          <w:sz w:val="24"/>
          <w:szCs w:val="24"/>
          <w:highlight w:val="none"/>
          <w14:textFill>
            <w14:solidFill>
              <w14:schemeClr w14:val="tx1"/>
            </w14:solidFill>
          </w14:textFill>
        </w:rPr>
        <w:t>防沙治沙治理方案</w:t>
      </w:r>
    </w:p>
    <w:p w14:paraId="7EA070CE">
      <w:pPr>
        <w:pStyle w:val="10"/>
        <w:keepNext w:val="0"/>
        <w:keepLines w:val="0"/>
        <w:pageBreakBefore w:val="0"/>
        <w:widowControl/>
        <w:kinsoku/>
        <w:wordWrap w:val="0"/>
        <w:overflowPunct w:val="0"/>
        <w:topLinePunct w:val="0"/>
        <w:autoSpaceDE/>
        <w:autoSpaceDN/>
        <w:bidi w:val="0"/>
        <w:adjustRightInd w:val="0"/>
        <w:snapToGrid/>
        <w:spacing w:before="0" w:after="0" w:line="480" w:lineRule="exact"/>
        <w:ind w:righ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运营</w:t>
      </w:r>
      <w:r>
        <w:rPr>
          <w:rFonts w:hint="default" w:ascii="Times New Roman" w:hAnsi="Times New Roman" w:eastAsia="宋体" w:cs="Times New Roman"/>
          <w:color w:val="000000" w:themeColor="text1"/>
          <w:sz w:val="24"/>
          <w:szCs w:val="24"/>
          <w:highlight w:val="none"/>
          <w14:textFill>
            <w14:solidFill>
              <w14:schemeClr w14:val="tx1"/>
            </w14:solidFill>
          </w14:textFill>
        </w:rPr>
        <w:t>过程中应根据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运营</w:t>
      </w:r>
      <w:r>
        <w:rPr>
          <w:rFonts w:hint="default" w:ascii="Times New Roman" w:hAnsi="Times New Roman" w:eastAsia="宋体" w:cs="Times New Roman"/>
          <w:color w:val="000000" w:themeColor="text1"/>
          <w:sz w:val="24"/>
          <w:szCs w:val="24"/>
          <w:highlight w:val="none"/>
          <w14:textFill>
            <w14:solidFill>
              <w14:schemeClr w14:val="tx1"/>
            </w14:solidFill>
          </w14:textFill>
        </w:rPr>
        <w:t>实际情况制定符合相关防沙治沙治理方案</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治理范围主要为选矿厂、尾矿库及周边范围内，</w:t>
      </w:r>
      <w:r>
        <w:rPr>
          <w:rFonts w:hint="default" w:ascii="Times New Roman" w:hAnsi="Times New Roman" w:eastAsia="宋体" w:cs="Times New Roman"/>
          <w:color w:val="000000" w:themeColor="text1"/>
          <w:sz w:val="24"/>
          <w:szCs w:val="24"/>
          <w:highlight w:val="none"/>
          <w14:textFill>
            <w14:solidFill>
              <w14:schemeClr w14:val="tx1"/>
            </w14:solidFill>
          </w14:textFill>
        </w:rPr>
        <w:t>通过工程建设，维持现有区域植被覆盖度，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防止植被破坏产生</w:t>
      </w:r>
      <w:r>
        <w:rPr>
          <w:rFonts w:hint="default" w:ascii="Times New Roman" w:hAnsi="Times New Roman" w:eastAsia="宋体" w:cs="Times New Roman"/>
          <w:color w:val="000000" w:themeColor="text1"/>
          <w:sz w:val="24"/>
          <w:szCs w:val="24"/>
          <w:highlight w:val="none"/>
          <w14:textFill>
            <w14:solidFill>
              <w14:schemeClr w14:val="tx1"/>
            </w14:solidFill>
          </w14:textFill>
        </w:rPr>
        <w:t>沙化趋势，区域生态环境显著改善，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周边</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环境</w:t>
      </w:r>
      <w:r>
        <w:rPr>
          <w:rFonts w:hint="default" w:ascii="Times New Roman" w:hAnsi="Times New Roman" w:eastAsia="宋体" w:cs="Times New Roman"/>
          <w:color w:val="000000" w:themeColor="text1"/>
          <w:sz w:val="24"/>
          <w:szCs w:val="24"/>
          <w:highlight w:val="none"/>
          <w14:textFill>
            <w14:solidFill>
              <w14:schemeClr w14:val="tx1"/>
            </w14:solidFill>
          </w14:textFill>
        </w:rPr>
        <w:t>得到有效保护。</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根据工程类别，开展分阶段治理，治理期限以竣工投产前生态迹地恢复为止。</w:t>
      </w:r>
    </w:p>
    <w:p w14:paraId="7663635B">
      <w:pPr>
        <w:pStyle w:val="10"/>
        <w:keepNext w:val="0"/>
        <w:keepLines w:val="0"/>
        <w:pageBreakBefore w:val="0"/>
        <w:widowControl/>
        <w:kinsoku/>
        <w:wordWrap w:val="0"/>
        <w:overflowPunct w:val="0"/>
        <w:topLinePunct w:val="0"/>
        <w:autoSpaceDE/>
        <w:autoSpaceDN/>
        <w:bidi w:val="0"/>
        <w:adjustRightInd w:val="0"/>
        <w:snapToGrid/>
        <w:spacing w:before="0" w:after="0" w:line="480" w:lineRule="exact"/>
        <w:ind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）主要治理措施</w:t>
      </w:r>
    </w:p>
    <w:p w14:paraId="360DB1BA">
      <w:pPr>
        <w:pStyle w:val="10"/>
        <w:keepNext w:val="0"/>
        <w:keepLines w:val="0"/>
        <w:pageBreakBefore w:val="0"/>
        <w:widowControl/>
        <w:kinsoku/>
        <w:wordWrap w:val="0"/>
        <w:overflowPunct w:val="0"/>
        <w:topLinePunct w:val="0"/>
        <w:autoSpaceDE/>
        <w:autoSpaceDN/>
        <w:bidi w:val="0"/>
        <w:adjustRightInd w:val="0"/>
        <w:snapToGrid/>
        <w:spacing w:before="0" w:after="0" w:line="480" w:lineRule="exact"/>
        <w:ind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防沙治沙主要</w:t>
      </w:r>
      <w:r>
        <w:rPr>
          <w:rFonts w:hint="default" w:ascii="Times New Roman" w:hAnsi="Times New Roman" w:eastAsia="宋体" w:cs="Times New Roman"/>
          <w:color w:val="000000" w:themeColor="text1"/>
          <w:sz w:val="24"/>
          <w:szCs w:val="24"/>
          <w:highlight w:val="none"/>
          <w14:textFill>
            <w14:solidFill>
              <w14:schemeClr w14:val="tx1"/>
            </w14:solidFill>
          </w14:textFill>
        </w:rPr>
        <w:t>工程措施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w:t>
      </w:r>
      <w:r>
        <w:rPr>
          <w:rFonts w:hint="default" w:ascii="Times New Roman" w:hAnsi="Times New Roman" w:eastAsia="宋体" w:cs="Times New Roman"/>
          <w:color w:val="000000" w:themeColor="text1"/>
          <w:sz w:val="24"/>
          <w:szCs w:val="24"/>
          <w:highlight w:val="none"/>
          <w14:textFill>
            <w14:solidFill>
              <w14:schemeClr w14:val="tx1"/>
            </w14:solidFill>
          </w14:textFill>
        </w:rPr>
        <w:t>物理、化学固沙及其他机械固沙措施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项目在施工期间，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采用围栏阻挡，严格控制区域范围，可有效防止周边</w:t>
      </w:r>
      <w:r>
        <w:rPr>
          <w:rFonts w:hint="default" w:ascii="Times New Roman" w:hAnsi="Times New Roman" w:eastAsia="宋体" w:cs="Times New Roman"/>
          <w:color w:val="000000" w:themeColor="text1"/>
          <w:sz w:val="24"/>
          <w:szCs w:val="24"/>
          <w:highlight w:val="none"/>
          <w14:textFill>
            <w14:solidFill>
              <w14:schemeClr w14:val="tx1"/>
            </w14:solidFill>
          </w14:textFill>
        </w:rPr>
        <w:t>植被</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遭到破坏</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4D0AEC2">
      <w:pPr>
        <w:pStyle w:val="10"/>
        <w:keepNext w:val="0"/>
        <w:keepLines w:val="0"/>
        <w:pageBreakBefore w:val="0"/>
        <w:widowControl/>
        <w:kinsoku/>
        <w:wordWrap w:val="0"/>
        <w:overflowPunct w:val="0"/>
        <w:topLinePunct w:val="0"/>
        <w:autoSpaceDE/>
        <w:autoSpaceDN/>
        <w:bidi w:val="0"/>
        <w:adjustRightInd w:val="0"/>
        <w:snapToGrid/>
        <w:spacing w:before="0" w:after="0" w:line="480" w:lineRule="exact"/>
        <w:ind w:righ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施工结束后，对临时用地进行土地平整，采用沙土覆盖，并</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洒水结皮，恢复戈壁地貌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DE7A91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）治理后的土地用途</w:t>
      </w:r>
    </w:p>
    <w:p w14:paraId="030DFB9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防沙治理的土地以现有土地利用为主，</w:t>
      </w:r>
      <w:r>
        <w:rPr>
          <w:rFonts w:hint="eastAsia" w:cs="Times New Roman"/>
          <w:b w:val="0"/>
          <w:bCs/>
          <w:color w:val="000000" w:themeColor="text1"/>
          <w:sz w:val="24"/>
          <w:szCs w:val="24"/>
          <w:highlight w:val="none"/>
          <w:lang w:val="en-US" w:eastAsia="zh-CN"/>
          <w14:textFill>
            <w14:solidFill>
              <w14:schemeClr w14:val="tx1"/>
            </w14:solidFill>
          </w14:textFill>
        </w:rPr>
        <w:t>不应</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造成沙化趋势，同时尽量做到绿化增加，确保防风固沙能力</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p>
    <w:p w14:paraId="16A1E85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技术保障措施</w:t>
      </w:r>
    </w:p>
    <w:p w14:paraId="2FEF95E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防沙治沙是维护生态安全，促进经济发展和人与自然和谐相处的重要举措。</w:t>
      </w:r>
      <w:r>
        <w:rPr>
          <w:rFonts w:hint="eastAsia" w:cs="Times New Roman"/>
          <w:b w:val="0"/>
          <w:bCs/>
          <w:color w:val="000000" w:themeColor="text1"/>
          <w:sz w:val="24"/>
          <w:szCs w:val="24"/>
          <w:highlight w:val="none"/>
          <w:lang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防沙治沙工程中</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企业</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为第一责任人，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在</w:t>
      </w:r>
      <w:r>
        <w:rPr>
          <w:rFonts w:hint="eastAsia" w:cs="Times New Roman"/>
          <w:b w:val="0"/>
          <w:bCs/>
          <w:color w:val="000000" w:themeColor="text1"/>
          <w:sz w:val="24"/>
          <w:szCs w:val="24"/>
          <w:highlight w:val="none"/>
          <w:lang w:val="en-US" w:eastAsia="zh-CN"/>
          <w14:textFill>
            <w14:solidFill>
              <w14:schemeClr w14:val="tx1"/>
            </w14:solidFill>
          </w14:textFill>
        </w:rPr>
        <w:t>运行期</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间，责任人应对企业管理</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过程中提出具体的目标及要求，并落实到具体人员。</w:t>
      </w:r>
    </w:p>
    <w:p w14:paraId="0E0E33E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有条件的前提下，</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邀请林业部门组织开展多层次、多形式的技术培训，加强参与防沙治沙工程的人员的培训工作，使其掌握防沙治沙工程建设、管理的基本技术要求，增强人员主动参与防沙治沙能力和积极性。</w:t>
      </w:r>
    </w:p>
    <w:p w14:paraId="19DFE251">
      <w:pPr>
        <w:ind w:firstLine="480"/>
        <w:rPr>
          <w:rFonts w:hint="default"/>
          <w:color w:val="000000" w:themeColor="text1"/>
          <w:highlight w:val="none"/>
          <w:lang w:val="en-US"/>
          <w14:textFill>
            <w14:solidFill>
              <w14:schemeClr w14:val="tx1"/>
            </w14:solidFill>
          </w14:textFill>
        </w:rPr>
      </w:pPr>
      <w:r>
        <w:rPr>
          <w:rFonts w:hint="eastAsia" w:cs="Times New Roman"/>
          <w:b w:val="0"/>
          <w:bCs/>
          <w:color w:val="000000" w:themeColor="text1"/>
          <w:sz w:val="24"/>
          <w:szCs w:val="24"/>
          <w:highlight w:val="none"/>
          <w:lang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防沙治沙措施实施后，预计区域</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防沙能力</w:t>
      </w:r>
      <w:r>
        <w:rPr>
          <w:rFonts w:hint="eastAsia" w:cs="Times New Roman"/>
          <w:b w:val="0"/>
          <w:bCs/>
          <w:color w:val="000000" w:themeColor="text1"/>
          <w:sz w:val="24"/>
          <w:szCs w:val="24"/>
          <w:highlight w:val="none"/>
          <w:lang w:val="en-US" w:eastAsia="zh-CN"/>
          <w14:textFill>
            <w14:solidFill>
              <w14:schemeClr w14:val="tx1"/>
            </w14:solidFill>
          </w14:textFill>
        </w:rPr>
        <w:t>不会下降</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，不会造成土地沙化现象的发生。</w:t>
      </w:r>
    </w:p>
    <w:p w14:paraId="12DCFFDA">
      <w:pPr>
        <w:pStyle w:val="5"/>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6.2.7.</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服务期满生态环境保护措施</w:t>
      </w:r>
    </w:p>
    <w:p w14:paraId="01DC96B0">
      <w:pPr>
        <w:numPr>
          <w:ilvl w:val="0"/>
          <w:numId w:val="0"/>
        </w:num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新老尾矿库衔接生态保护措施</w:t>
      </w:r>
    </w:p>
    <w:p w14:paraId="6F6312DF">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新</w:t>
      </w:r>
      <w:r>
        <w:rPr>
          <w:rFonts w:hint="eastAsia"/>
          <w:color w:val="000000" w:themeColor="text1"/>
          <w:highlight w:val="none"/>
          <w14:textFill>
            <w14:solidFill>
              <w14:schemeClr w14:val="tx1"/>
            </w14:solidFill>
          </w14:textFill>
        </w:rPr>
        <w:t>尾矿库应按照有关规定报相关部门批准，依法依规办理用地手续后，可同步进行</w:t>
      </w:r>
      <w:r>
        <w:rPr>
          <w:rFonts w:hint="eastAsia"/>
          <w:color w:val="000000" w:themeColor="text1"/>
          <w:highlight w:val="none"/>
          <w:lang w:eastAsia="zh-CN"/>
          <w14:textFill>
            <w14:solidFill>
              <w14:schemeClr w14:val="tx1"/>
            </w14:solidFill>
          </w14:textFill>
        </w:rPr>
        <w:t>新</w:t>
      </w:r>
      <w:r>
        <w:rPr>
          <w:rFonts w:hint="eastAsia"/>
          <w:color w:val="000000" w:themeColor="text1"/>
          <w:highlight w:val="none"/>
          <w14:textFill>
            <w14:solidFill>
              <w14:schemeClr w14:val="tx1"/>
            </w14:solidFill>
          </w14:textFill>
        </w:rPr>
        <w:t>尾矿库的建设工作。</w:t>
      </w:r>
      <w:r>
        <w:rPr>
          <w:rFonts w:hint="eastAsia"/>
          <w:color w:val="000000" w:themeColor="text1"/>
          <w:highlight w:val="none"/>
          <w:lang w:eastAsia="zh-CN"/>
          <w14:textFill>
            <w14:solidFill>
              <w14:schemeClr w14:val="tx1"/>
            </w14:solidFill>
          </w14:textFill>
        </w:rPr>
        <w:t>新</w:t>
      </w:r>
      <w:r>
        <w:rPr>
          <w:rFonts w:hint="eastAsia"/>
          <w:color w:val="000000" w:themeColor="text1"/>
          <w:highlight w:val="none"/>
          <w14:textFill>
            <w14:solidFill>
              <w14:schemeClr w14:val="tx1"/>
            </w14:solidFill>
          </w14:textFill>
        </w:rPr>
        <w:t>尾矿库预计于202</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年建成，本次</w:t>
      </w:r>
      <w:r>
        <w:rPr>
          <w:rFonts w:hint="eastAsia"/>
          <w:color w:val="000000" w:themeColor="text1"/>
          <w:highlight w:val="none"/>
          <w:lang w:eastAsia="zh-CN"/>
          <w14:textFill>
            <w14:solidFill>
              <w14:schemeClr w14:val="tx1"/>
            </w14:solidFill>
          </w14:textFill>
        </w:rPr>
        <w:t>新</w:t>
      </w:r>
      <w:r>
        <w:rPr>
          <w:rFonts w:hint="eastAsia"/>
          <w:color w:val="000000" w:themeColor="text1"/>
          <w:highlight w:val="none"/>
          <w14:textFill>
            <w14:solidFill>
              <w14:schemeClr w14:val="tx1"/>
            </w14:solidFill>
          </w14:textFill>
        </w:rPr>
        <w:t>尾矿库投运时，</w:t>
      </w:r>
      <w:r>
        <w:rPr>
          <w:rFonts w:hint="eastAsia"/>
          <w:color w:val="000000" w:themeColor="text1"/>
          <w:highlight w:val="none"/>
          <w:lang w:eastAsia="zh-CN"/>
          <w14:textFill>
            <w14:solidFill>
              <w14:schemeClr w14:val="tx1"/>
            </w14:solidFill>
          </w14:textFill>
        </w:rPr>
        <w:t>老</w:t>
      </w:r>
      <w:r>
        <w:rPr>
          <w:rFonts w:hint="eastAsia"/>
          <w:color w:val="000000" w:themeColor="text1"/>
          <w:highlight w:val="none"/>
          <w14:textFill>
            <w14:solidFill>
              <w14:schemeClr w14:val="tx1"/>
            </w14:solidFill>
          </w14:textFill>
        </w:rPr>
        <w:t>尾矿库必须完成闭库及生态恢复治理工作。因此后续将</w:t>
      </w:r>
      <w:r>
        <w:rPr>
          <w:rFonts w:hint="eastAsia"/>
          <w:color w:val="000000" w:themeColor="text1"/>
          <w:highlight w:val="none"/>
          <w:lang w:eastAsia="zh-CN"/>
          <w14:textFill>
            <w14:solidFill>
              <w14:schemeClr w14:val="tx1"/>
            </w14:solidFill>
          </w14:textFill>
        </w:rPr>
        <w:t>老</w:t>
      </w:r>
      <w:r>
        <w:rPr>
          <w:rFonts w:hint="eastAsia"/>
          <w:color w:val="000000" w:themeColor="text1"/>
          <w:highlight w:val="none"/>
          <w14:textFill>
            <w14:solidFill>
              <w14:schemeClr w14:val="tx1"/>
            </w14:solidFill>
          </w14:textFill>
        </w:rPr>
        <w:t>尾矿库的闭库</w:t>
      </w:r>
      <w:r>
        <w:rPr>
          <w:rFonts w:hint="eastAsia"/>
          <w:color w:val="000000" w:themeColor="text1"/>
          <w:highlight w:val="none"/>
          <w:lang w:eastAsia="zh-CN"/>
          <w14:textFill>
            <w14:solidFill>
              <w14:schemeClr w14:val="tx1"/>
            </w14:solidFill>
          </w14:textFill>
        </w:rPr>
        <w:t>、尾矿利用</w:t>
      </w:r>
      <w:r>
        <w:rPr>
          <w:rFonts w:hint="eastAsia"/>
          <w:color w:val="000000" w:themeColor="text1"/>
          <w:highlight w:val="none"/>
          <w14:textFill>
            <w14:solidFill>
              <w14:schemeClr w14:val="tx1"/>
            </w14:solidFill>
          </w14:textFill>
        </w:rPr>
        <w:t>和生态恢复治理措施</w:t>
      </w:r>
      <w:r>
        <w:rPr>
          <w:rFonts w:hint="eastAsia"/>
          <w:color w:val="000000" w:themeColor="text1"/>
          <w:highlight w:val="none"/>
          <w:lang w:eastAsia="zh-CN"/>
          <w14:textFill>
            <w14:solidFill>
              <w14:schemeClr w14:val="tx1"/>
            </w14:solidFill>
          </w14:textFill>
        </w:rPr>
        <w:t>纳入新</w:t>
      </w:r>
      <w:r>
        <w:rPr>
          <w:rFonts w:hint="eastAsia"/>
          <w:color w:val="000000" w:themeColor="text1"/>
          <w:highlight w:val="none"/>
          <w14:textFill>
            <w14:solidFill>
              <w14:schemeClr w14:val="tx1"/>
            </w14:solidFill>
          </w14:textFill>
        </w:rPr>
        <w:t>尾矿库的竣工环境保护验收事项清单中。</w:t>
      </w:r>
    </w:p>
    <w:p w14:paraId="57A74D58">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（2）其他措施</w:t>
      </w:r>
    </w:p>
    <w:p w14:paraId="13EC9F07">
      <w:pPr>
        <w:pStyle w:val="14"/>
        <w:widowControl/>
        <w:overflowPunct w:val="0"/>
        <w:topLinePunct/>
        <w:ind w:firstLine="480"/>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项目区选矿厂停止使用及尾矿库闭库后，应开展污染场地调查、风险评估与生态修复治理措施。项目区周边设置排水系统，</w:t>
      </w:r>
      <w:r>
        <w:rPr>
          <w:rFonts w:hint="eastAsia"/>
          <w:color w:val="000000" w:themeColor="text1"/>
          <w:highlight w:val="none"/>
          <w:lang w:val="en-US" w:eastAsia="zh-CN"/>
          <w14:textFill>
            <w14:solidFill>
              <w14:schemeClr w14:val="tx1"/>
            </w14:solidFill>
          </w14:textFill>
        </w:rPr>
        <w:t>并</w:t>
      </w:r>
      <w:r>
        <w:rPr>
          <w:rFonts w:hint="eastAsia"/>
          <w:color w:val="000000" w:themeColor="text1"/>
          <w:highlight w:val="none"/>
          <w14:textFill>
            <w14:solidFill>
              <w14:schemeClr w14:val="tx1"/>
            </w14:solidFill>
          </w14:textFill>
        </w:rPr>
        <w:t>进行覆土回填、平整等工程技术措施，</w:t>
      </w:r>
      <w:r>
        <w:rPr>
          <w:rFonts w:hint="eastAsia"/>
          <w:color w:val="000000" w:themeColor="text1"/>
          <w:highlight w:val="none"/>
          <w:lang w:val="en-US" w:eastAsia="zh-CN"/>
          <w14:textFill>
            <w14:solidFill>
              <w14:schemeClr w14:val="tx1"/>
            </w14:solidFill>
          </w14:textFill>
        </w:rPr>
        <w:t>恢复为戈壁地貌。</w:t>
      </w:r>
    </w:p>
    <w:p w14:paraId="6822766F">
      <w:pPr>
        <w:pStyle w:val="4"/>
        <w:rPr>
          <w:color w:val="000000" w:themeColor="text1"/>
          <w:highlight w:val="none"/>
          <w14:textFill>
            <w14:solidFill>
              <w14:schemeClr w14:val="tx1"/>
            </w14:solidFill>
          </w14:textFill>
        </w:rPr>
      </w:pPr>
      <w:bookmarkStart w:id="855" w:name="_Toc17083"/>
      <w:bookmarkStart w:id="856" w:name="_Toc8684"/>
      <w:bookmarkStart w:id="857" w:name="_Toc3586"/>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2.8水土保持措施</w:t>
      </w:r>
      <w:bookmarkEnd w:id="855"/>
      <w:bookmarkEnd w:id="856"/>
      <w:bookmarkEnd w:id="857"/>
    </w:p>
    <w:p w14:paraId="5C6B4712">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根据</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谁开发，谁保护；谁破坏，谁治理</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的原则，依据</w:t>
      </w:r>
      <w:r>
        <w:rPr>
          <w:rFonts w:hint="eastAsia" w:cs="Times New Roman"/>
          <w:color w:val="000000" w:themeColor="text1"/>
          <w:szCs w:val="24"/>
          <w:highlight w:val="none"/>
          <w:lang w:eastAsia="zh-CN"/>
          <w14:textFill>
            <w14:solidFill>
              <w14:schemeClr w14:val="tx1"/>
            </w14:solidFill>
          </w14:textFill>
        </w:rPr>
        <w:t>本项目</w:t>
      </w:r>
      <w:r>
        <w:rPr>
          <w:rFonts w:cs="Times New Roman"/>
          <w:color w:val="000000" w:themeColor="text1"/>
          <w:szCs w:val="24"/>
          <w:highlight w:val="none"/>
          <w14:textFill>
            <w14:solidFill>
              <w14:schemeClr w14:val="tx1"/>
            </w14:solidFill>
          </w14:textFill>
        </w:rPr>
        <w:t>所处区域的自然、社会环境条件和工程</w:t>
      </w:r>
      <w:r>
        <w:rPr>
          <w:rFonts w:hint="eastAsia" w:cs="Times New Roman"/>
          <w:color w:val="000000" w:themeColor="text1"/>
          <w:szCs w:val="24"/>
          <w:highlight w:val="none"/>
          <w:lang w:eastAsia="zh-CN"/>
          <w14:textFill>
            <w14:solidFill>
              <w14:schemeClr w14:val="tx1"/>
            </w14:solidFill>
          </w14:textFill>
        </w:rPr>
        <w:t>对</w:t>
      </w:r>
      <w:r>
        <w:rPr>
          <w:rFonts w:cs="Times New Roman"/>
          <w:color w:val="000000" w:themeColor="text1"/>
          <w:szCs w:val="24"/>
          <w:highlight w:val="none"/>
          <w14:textFill>
            <w14:solidFill>
              <w14:schemeClr w14:val="tx1"/>
            </w14:solidFill>
          </w14:textFill>
        </w:rPr>
        <w:t>水土流失的实际影响，提出如下水土保持的方案。</w:t>
      </w:r>
    </w:p>
    <w:p w14:paraId="6EA1552D">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1、做好施工规划及施工组织设计</w:t>
      </w:r>
    </w:p>
    <w:p w14:paraId="17295AFD">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在项目开工前，重视做好施工规划工作，合理布设施工场地，减少占用土地，建筑物按天然地势布置，减少挖填方量。在尽量减轻生态不利影响的前提下进行有序开采。在选矿厂的厂区完善排洪工程。</w:t>
      </w:r>
    </w:p>
    <w:p w14:paraId="78882966">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施工过程要加强施工监理，防止施工人员及施工机械超范围的活动，</w:t>
      </w:r>
      <w:r>
        <w:rPr>
          <w:rFonts w:hint="eastAsia" w:cs="Times New Roman"/>
          <w:color w:val="000000" w:themeColor="text1"/>
          <w:szCs w:val="24"/>
          <w:highlight w:val="none"/>
          <w:lang w:eastAsia="zh-CN"/>
          <w14:textFill>
            <w14:solidFill>
              <w14:schemeClr w14:val="tx1"/>
            </w14:solidFill>
          </w14:textFill>
        </w:rPr>
        <w:t>防止</w:t>
      </w:r>
      <w:r>
        <w:rPr>
          <w:rFonts w:hint="eastAsia" w:cs="Times New Roman"/>
          <w:color w:val="000000" w:themeColor="text1"/>
          <w:szCs w:val="24"/>
          <w:highlight w:val="none"/>
          <w14:textFill>
            <w14:solidFill>
              <w14:schemeClr w14:val="tx1"/>
            </w14:solidFill>
          </w14:textFill>
        </w:rPr>
        <w:t>超范围设置临时设施和堆放施工材料。对产生的弃土应合理及时进行填埋。</w:t>
      </w:r>
    </w:p>
    <w:p w14:paraId="2B820581">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施工结束后要对施工迹地进行清理平整与植被恢复工作。对无用的临时建筑应予以拆除，然后根据实施情况实施人工绿化或植被自然恢复工作。</w:t>
      </w:r>
    </w:p>
    <w:p w14:paraId="5B7547A4">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2、场地道路应沿天然地形及原有便道进行修筑，以减少挖填方量。要做好护坡及挡土墙，完善排水系统。</w:t>
      </w:r>
    </w:p>
    <w:p w14:paraId="502C471C">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3、做好选矿厂及场内道路两侧的绿化工作。选择适宜</w:t>
      </w:r>
      <w:r>
        <w:rPr>
          <w:rFonts w:hint="eastAsia" w:cs="Times New Roman"/>
          <w:color w:val="000000" w:themeColor="text1"/>
          <w:szCs w:val="24"/>
          <w:highlight w:val="none"/>
          <w:lang w:eastAsia="zh-CN"/>
          <w14:textFill>
            <w14:solidFill>
              <w14:schemeClr w14:val="tx1"/>
            </w14:solidFill>
          </w14:textFill>
        </w:rPr>
        <w:t>当地</w:t>
      </w:r>
      <w:r>
        <w:rPr>
          <w:rFonts w:hint="eastAsia" w:cs="Times New Roman"/>
          <w:color w:val="000000" w:themeColor="text1"/>
          <w:szCs w:val="24"/>
          <w:highlight w:val="none"/>
          <w14:textFill>
            <w14:solidFill>
              <w14:schemeClr w14:val="tx1"/>
            </w14:solidFill>
          </w14:textFill>
        </w:rPr>
        <w:t>生长的草本或灌木植被为种植对象。</w:t>
      </w:r>
    </w:p>
    <w:p w14:paraId="0CED22BC">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4、闭库后要拆除一切无用设施，平整场地。</w:t>
      </w:r>
    </w:p>
    <w:p w14:paraId="62D9FB22">
      <w:pPr>
        <w:pStyle w:val="41"/>
        <w:overflowPunct w:val="0"/>
        <w:topLinePunct/>
        <w:spacing w:line="480" w:lineRule="exact"/>
        <w:ind w:firstLine="480"/>
        <w:rPr>
          <w:rFonts w:cs="Times New Roman"/>
          <w:color w:val="000000" w:themeColor="text1"/>
          <w:szCs w:val="24"/>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5、根据《中华人民共和国水土保持法》《中华人民共和国水土保持法实施条例》《开发建设项目水土保持方案管理办法》等有关法律法规要求，尽早委托有资质相关单位编制本项目的水土保持方案。</w:t>
      </w:r>
    </w:p>
    <w:p w14:paraId="6875C484">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6.2.9退役期环境保护措施</w:t>
      </w:r>
    </w:p>
    <w:p w14:paraId="21426422">
      <w:pPr>
        <w:keepNext/>
        <w:keepLines/>
        <w:ind w:firstLine="482"/>
        <w:jc w:val="left"/>
        <w:outlineLvl w:val="3"/>
        <w:rPr>
          <w:b/>
          <w:color w:val="000000" w:themeColor="text1"/>
          <w:kern w:val="0"/>
          <w:szCs w:val="22"/>
          <w:highlight w:val="none"/>
          <w14:textFill>
            <w14:solidFill>
              <w14:schemeClr w14:val="tx1"/>
            </w14:solidFill>
          </w14:textFill>
        </w:rPr>
      </w:pPr>
      <w:r>
        <w:rPr>
          <w:rFonts w:hint="eastAsia"/>
          <w:b/>
          <w:color w:val="000000" w:themeColor="text1"/>
          <w:kern w:val="0"/>
          <w:szCs w:val="22"/>
          <w:highlight w:val="none"/>
          <w14:textFill>
            <w14:solidFill>
              <w14:schemeClr w14:val="tx1"/>
            </w14:solidFill>
          </w14:textFill>
        </w:rPr>
        <w:t>6.2.9.1</w:t>
      </w:r>
      <w:r>
        <w:rPr>
          <w:b/>
          <w:color w:val="000000" w:themeColor="text1"/>
          <w:kern w:val="0"/>
          <w:szCs w:val="22"/>
          <w:highlight w:val="none"/>
          <w14:textFill>
            <w14:solidFill>
              <w14:schemeClr w14:val="tx1"/>
            </w14:solidFill>
          </w14:textFill>
        </w:rPr>
        <w:t>生活区与选矿厂恢复措施</w:t>
      </w:r>
    </w:p>
    <w:p w14:paraId="3B0C5D13">
      <w:pPr>
        <w:widowControl/>
        <w:ind w:firstLine="480"/>
        <w:rPr>
          <w:rFonts w:eastAsiaTheme="minorEastAsia"/>
          <w:color w:val="000000" w:themeColor="text1"/>
          <w:highlight w:val="none"/>
          <w14:textFill>
            <w14:solidFill>
              <w14:schemeClr w14:val="tx1"/>
            </w14:solidFill>
          </w14:textFill>
        </w:rPr>
      </w:pPr>
      <w:r>
        <w:rPr>
          <w:rFonts w:eastAsiaTheme="minorEastAsia"/>
          <w:color w:val="000000" w:themeColor="text1"/>
          <w:highlight w:val="none"/>
          <w14:textFill>
            <w14:solidFill>
              <w14:schemeClr w14:val="tx1"/>
            </w14:solidFill>
          </w14:textFill>
        </w:rPr>
        <w:t>生活区与选矿厂拆除各建筑物、清理平整场地，可利用建筑材料全部回收利用，少量建筑垃圾送垃圾填埋场填埋。</w:t>
      </w:r>
    </w:p>
    <w:p w14:paraId="19620F5D">
      <w:pPr>
        <w:keepNext/>
        <w:keepLines/>
        <w:ind w:firstLine="482"/>
        <w:jc w:val="left"/>
        <w:outlineLvl w:val="3"/>
        <w:rPr>
          <w:b/>
          <w:color w:val="000000" w:themeColor="text1"/>
          <w:kern w:val="0"/>
          <w:szCs w:val="22"/>
          <w:highlight w:val="none"/>
          <w14:textFill>
            <w14:solidFill>
              <w14:schemeClr w14:val="tx1"/>
            </w14:solidFill>
          </w14:textFill>
        </w:rPr>
      </w:pPr>
      <w:r>
        <w:rPr>
          <w:rFonts w:hint="eastAsia"/>
          <w:b/>
          <w:color w:val="000000" w:themeColor="text1"/>
          <w:kern w:val="0"/>
          <w:szCs w:val="22"/>
          <w:highlight w:val="none"/>
          <w14:textFill>
            <w14:solidFill>
              <w14:schemeClr w14:val="tx1"/>
            </w14:solidFill>
          </w14:textFill>
        </w:rPr>
        <w:t>6.2.9.</w:t>
      </w:r>
      <w:r>
        <w:rPr>
          <w:b/>
          <w:color w:val="000000" w:themeColor="text1"/>
          <w:kern w:val="0"/>
          <w:szCs w:val="22"/>
          <w:highlight w:val="none"/>
          <w14:textFill>
            <w14:solidFill>
              <w14:schemeClr w14:val="tx1"/>
            </w14:solidFill>
          </w14:textFill>
        </w:rPr>
        <w:t>2</w:t>
      </w:r>
      <w:r>
        <w:rPr>
          <w:rFonts w:hint="eastAsia"/>
          <w:b/>
          <w:color w:val="000000" w:themeColor="text1"/>
          <w:kern w:val="0"/>
          <w:szCs w:val="22"/>
          <w:highlight w:val="none"/>
          <w14:textFill>
            <w14:solidFill>
              <w14:schemeClr w14:val="tx1"/>
            </w14:solidFill>
          </w14:textFill>
        </w:rPr>
        <w:t>尾矿库环境保护措施</w:t>
      </w:r>
    </w:p>
    <w:p w14:paraId="0ED7BD4A">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（1）闭库环境管理</w:t>
      </w:r>
    </w:p>
    <w:p w14:paraId="0728B439">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在尾矿库停止使用后必须进行处置，保证坝体安全，不污染环境，消除污染事故隐患。尾矿库运行到设计最终标高或者不再进行排尾作业时，应当在一年内完成闭库。尾矿库经安全监管部门闭库验收合格后，方可对尾矿库的环境污染防治设施、生态保护工程进行闭库验收，验收时应对尾矿库中的尾砂进行环境达标监测。关闭尾矿设施必须经企业主管部门报当地</w:t>
      </w:r>
      <w:r>
        <w:rPr>
          <w:rFonts w:hint="eastAsia" w:ascii="Times New Roman" w:hAnsi="Times New Roman"/>
          <w:color w:val="000000" w:themeColor="text1"/>
          <w:highlight w:val="none"/>
          <w:lang w:eastAsia="zh-CN"/>
          <w14:textFill>
            <w14:solidFill>
              <w14:schemeClr w14:val="tx1"/>
            </w14:solidFill>
          </w14:textFill>
        </w:rPr>
        <w:t>自治区生态</w:t>
      </w:r>
      <w:r>
        <w:rPr>
          <w:rFonts w:ascii="Times New Roman" w:hAnsi="Times New Roman"/>
          <w:color w:val="000000" w:themeColor="text1"/>
          <w:highlight w:val="none"/>
          <w14:textFill>
            <w14:solidFill>
              <w14:schemeClr w14:val="tx1"/>
            </w14:solidFill>
          </w14:textFill>
        </w:rPr>
        <w:t>环境保护行政部门验收、批准。经验收移交后的尾矿设施其污染防治由接收单位负责。利用处置过的尾矿或其设施，需经环境保护行政部门批准，并报环境保护行政部门备案。闭库后的尾矿库，必须做好坝体及排洪设施的维护。未经论证和批准，不得蓄水、严禁在尾矿坝和库内进行乱采、滥挖、违章建筑和违章作业；未经设计论证和批准，不得重新启用或改作他用。</w:t>
      </w:r>
    </w:p>
    <w:p w14:paraId="7EAFE61F">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保留库内排水系统，闭库后尾矿库汇水面积内降水通过该系统排出库区。</w:t>
      </w:r>
    </w:p>
    <w:p w14:paraId="16C1463C">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（2）闭库后的生态恢复措施</w:t>
      </w:r>
    </w:p>
    <w:p w14:paraId="743E4A20">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闭库后的尾矿库，应加强监督检查与管理。观测设施应继续维持正常运转；坝体稳定性不足的，应采取削坡、压坡等措施，使坝体稳定性满足标准要求；完善坝面排水沟、覆土及植被绿化、坝肩截水沟等。闭库后尾矿库占用区域应分期绿化，宜尽量恢复至利用前土地使用功能。经批准闭库的尾矿库重新启用或改作他用时，必须按照规定进行技术论证、工程设计、环境评价及安全评价。</w:t>
      </w:r>
    </w:p>
    <w:p w14:paraId="2FCFF948">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尾矿库封库后采取的生态恢复措施具体如下：</w:t>
      </w:r>
    </w:p>
    <w:p w14:paraId="50090D62">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1）对尾矿库库面进行平整，</w:t>
      </w:r>
      <w:r>
        <w:rPr>
          <w:rFonts w:hint="eastAsia" w:ascii="Times New Roman" w:hAnsi="Times New Roman" w:cs="Times New Roman"/>
          <w:color w:val="000000" w:themeColor="text1"/>
          <w:highlight w:val="none"/>
          <w14:textFill>
            <w14:solidFill>
              <w14:schemeClr w14:val="tx1"/>
            </w14:solidFill>
          </w14:textFill>
        </w:rPr>
        <w:t>使平整后的地面坡度不超过5°</w:t>
      </w:r>
      <w:r>
        <w:rPr>
          <w:rFonts w:ascii="Times New Roman" w:hAnsi="Times New Roman"/>
          <w:color w:val="000000" w:themeColor="text1"/>
          <w:highlight w:val="none"/>
          <w14:textFill>
            <w14:solidFill>
              <w14:schemeClr w14:val="tx1"/>
            </w14:solidFill>
          </w14:textFill>
        </w:rPr>
        <w:t>。</w:t>
      </w:r>
    </w:p>
    <w:p w14:paraId="60636F1B">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2）采用人工和机械相结合的方式对平整后的表土进行必要的碾压，使其达到天然土壤的干密度。</w:t>
      </w:r>
    </w:p>
    <w:p w14:paraId="33180F78">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3）尾矿库生态恢复后应与周边环境相协调，尽量达到原土地使用功能。</w:t>
      </w:r>
    </w:p>
    <w:p w14:paraId="1C32D9EA">
      <w:pPr>
        <w:keepNext/>
        <w:keepLines/>
        <w:ind w:firstLine="482"/>
        <w:jc w:val="left"/>
        <w:outlineLvl w:val="3"/>
        <w:rPr>
          <w:b/>
          <w:color w:val="000000" w:themeColor="text1"/>
          <w:kern w:val="0"/>
          <w:szCs w:val="22"/>
          <w:highlight w:val="none"/>
          <w14:textFill>
            <w14:solidFill>
              <w14:schemeClr w14:val="tx1"/>
            </w14:solidFill>
          </w14:textFill>
        </w:rPr>
      </w:pPr>
      <w:r>
        <w:rPr>
          <w:rFonts w:hint="eastAsia"/>
          <w:b/>
          <w:color w:val="000000" w:themeColor="text1"/>
          <w:kern w:val="0"/>
          <w:szCs w:val="22"/>
          <w:highlight w:val="none"/>
          <w14:textFill>
            <w14:solidFill>
              <w14:schemeClr w14:val="tx1"/>
            </w14:solidFill>
          </w14:textFill>
        </w:rPr>
        <w:t>6.2.9.3尾矿再利用及尾矿闭库后再利用</w:t>
      </w:r>
    </w:p>
    <w:p w14:paraId="06D47FB6">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（1）在用尾矿库进行回采再利用或经批准闭库的尾矿库重新启用或改作他用时，必须按照</w:t>
      </w:r>
      <w:r>
        <w:rPr>
          <w:rFonts w:hint="eastAsia" w:ascii="Times New Roman" w:hAnsi="Times New Roman"/>
          <w:color w:val="000000" w:themeColor="text1"/>
          <w:highlight w:val="none"/>
          <w14:textFill>
            <w14:solidFill>
              <w14:schemeClr w14:val="tx1"/>
            </w14:solidFill>
          </w14:textFill>
        </w:rPr>
        <w:t>《尾矿库安全规程》（GB39496-2020）</w:t>
      </w:r>
      <w:r>
        <w:rPr>
          <w:rFonts w:ascii="Times New Roman" w:hAnsi="Times New Roman"/>
          <w:color w:val="000000" w:themeColor="text1"/>
          <w:highlight w:val="none"/>
          <w14:textFill>
            <w14:solidFill>
              <w14:schemeClr w14:val="tx1"/>
            </w14:solidFill>
          </w14:textFill>
        </w:rPr>
        <w:t>中尾矿库建设的规定进行技术论证、工程设计、安全评价。</w:t>
      </w:r>
    </w:p>
    <w:p w14:paraId="04490993">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（2）在尾矿库再利用生产运行过程中必须按照</w:t>
      </w:r>
      <w:r>
        <w:rPr>
          <w:rFonts w:hint="eastAsia" w:ascii="Times New Roman" w:hAnsi="Times New Roman"/>
          <w:color w:val="000000" w:themeColor="text1"/>
          <w:highlight w:val="none"/>
          <w14:textFill>
            <w14:solidFill>
              <w14:schemeClr w14:val="tx1"/>
            </w14:solidFill>
          </w14:textFill>
        </w:rPr>
        <w:t>《尾矿库安全规程》（GB39496-2020）</w:t>
      </w:r>
      <w:r>
        <w:rPr>
          <w:rFonts w:ascii="Times New Roman" w:hAnsi="Times New Roman"/>
          <w:color w:val="000000" w:themeColor="text1"/>
          <w:highlight w:val="none"/>
          <w14:textFill>
            <w14:solidFill>
              <w14:schemeClr w14:val="tx1"/>
            </w14:solidFill>
          </w14:textFill>
        </w:rPr>
        <w:t>要求尾矿库安全生产运行的规定确保尾矿库安全。</w:t>
      </w:r>
    </w:p>
    <w:p w14:paraId="3FB90DD0">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（3）对在用尾矿库或已闭库尾矿库进行回采再利用的，不得影响尾矿坝和原排洪设施的安全。</w:t>
      </w:r>
    </w:p>
    <w:p w14:paraId="2E8752E3">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（4）尾矿库再利用生产完成后，应按照</w:t>
      </w:r>
      <w:r>
        <w:rPr>
          <w:rFonts w:hint="eastAsia" w:ascii="Times New Roman" w:hAnsi="Times New Roman"/>
          <w:color w:val="000000" w:themeColor="text1"/>
          <w:highlight w:val="none"/>
          <w14:textFill>
            <w14:solidFill>
              <w14:schemeClr w14:val="tx1"/>
            </w14:solidFill>
          </w14:textFill>
        </w:rPr>
        <w:t>《尾矿库安全规程》（GB39496-2020）</w:t>
      </w:r>
      <w:r>
        <w:rPr>
          <w:rFonts w:ascii="Times New Roman" w:hAnsi="Times New Roman"/>
          <w:color w:val="000000" w:themeColor="text1"/>
          <w:highlight w:val="none"/>
          <w14:textFill>
            <w14:solidFill>
              <w14:schemeClr w14:val="tx1"/>
            </w14:solidFill>
          </w14:textFill>
        </w:rPr>
        <w:t>尾矿库闭库的规定，进行闭库。尾矿库达到正常库标准，进行闭库整治设计，确保尾矿库防洪能力和尾矿坝稳定性满足规程要求，完善坝面排水沟和土石覆盖或植被绿化、坝肩截水沟、观测设施等。</w:t>
      </w:r>
    </w:p>
    <w:p w14:paraId="00F881A0">
      <w:pPr>
        <w:pStyle w:val="10"/>
        <w:spacing w:after="0"/>
        <w:ind w:firstLine="480"/>
        <w:jc w:val="both"/>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（5）本</w:t>
      </w:r>
      <w:r>
        <w:rPr>
          <w:rFonts w:hint="eastAsia" w:ascii="Times New Roman" w:hAnsi="Times New Roman"/>
          <w:color w:val="000000" w:themeColor="text1"/>
          <w:highlight w:val="none"/>
          <w14:textFill>
            <w14:solidFill>
              <w14:schemeClr w14:val="tx1"/>
            </w14:solidFill>
          </w14:textFill>
        </w:rPr>
        <w:t>项目涉及两个尾矿库，</w:t>
      </w:r>
      <w:r>
        <w:rPr>
          <w:rFonts w:hint="eastAsia" w:ascii="Times New Roman" w:hAnsi="Times New Roman"/>
          <w:color w:val="000000" w:themeColor="text1"/>
          <w:highlight w:val="none"/>
          <w:lang w:eastAsia="zh-CN"/>
          <w14:textFill>
            <w14:solidFill>
              <w14:schemeClr w14:val="tx1"/>
            </w14:solidFill>
          </w14:textFill>
        </w:rPr>
        <w:t>老</w:t>
      </w:r>
      <w:r>
        <w:rPr>
          <w:rFonts w:hint="eastAsia" w:ascii="Times New Roman" w:hAnsi="Times New Roman"/>
          <w:color w:val="000000" w:themeColor="text1"/>
          <w:highlight w:val="none"/>
          <w14:textFill>
            <w14:solidFill>
              <w14:schemeClr w14:val="tx1"/>
            </w14:solidFill>
          </w14:textFill>
        </w:rPr>
        <w:t>尾矿库</w:t>
      </w:r>
      <w:r>
        <w:rPr>
          <w:rFonts w:hint="eastAsia" w:ascii="Times New Roman" w:hAnsi="Times New Roman"/>
          <w:color w:val="000000" w:themeColor="text1"/>
          <w:highlight w:val="none"/>
          <w:lang w:eastAsia="zh-CN"/>
          <w14:textFill>
            <w14:solidFill>
              <w14:schemeClr w14:val="tx1"/>
            </w14:solidFill>
          </w14:textFill>
        </w:rPr>
        <w:t>需闭库</w:t>
      </w:r>
      <w:r>
        <w:rPr>
          <w:rFonts w:hint="eastAsia"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lang w:eastAsia="zh-CN"/>
          <w14:textFill>
            <w14:solidFill>
              <w14:schemeClr w14:val="tx1"/>
            </w14:solidFill>
          </w14:textFill>
        </w:rPr>
        <w:t>新</w:t>
      </w:r>
      <w:r>
        <w:rPr>
          <w:rFonts w:ascii="Times New Roman" w:hAnsi="Times New Roman"/>
          <w:color w:val="000000" w:themeColor="text1"/>
          <w:highlight w:val="none"/>
          <w14:textFill>
            <w14:solidFill>
              <w14:schemeClr w14:val="tx1"/>
            </w14:solidFill>
          </w14:textFill>
        </w:rPr>
        <w:t>尾矿库服务年限为</w:t>
      </w:r>
      <w:r>
        <w:rPr>
          <w:rFonts w:hint="eastAsia" w:ascii="Times New Roman" w:hAnsi="Times New Roman"/>
          <w:color w:val="000000" w:themeColor="text1"/>
          <w:highlight w:val="none"/>
          <w:lang w:val="en-US" w:eastAsia="zh-CN"/>
          <w14:textFill>
            <w14:solidFill>
              <w14:schemeClr w14:val="tx1"/>
            </w14:solidFill>
          </w14:textFill>
        </w:rPr>
        <w:t>19</w:t>
      </w:r>
      <w:r>
        <w:rPr>
          <w:rFonts w:ascii="Times New Roman" w:hAnsi="Times New Roman"/>
          <w:color w:val="000000" w:themeColor="text1"/>
          <w:highlight w:val="none"/>
          <w14:textFill>
            <w14:solidFill>
              <w14:schemeClr w14:val="tx1"/>
            </w14:solidFill>
          </w14:textFill>
        </w:rPr>
        <w:t>年，</w:t>
      </w:r>
      <w:r>
        <w:rPr>
          <w:rFonts w:hint="eastAsia" w:ascii="Times New Roman" w:hAnsi="Times New Roman"/>
          <w:color w:val="000000" w:themeColor="text1"/>
          <w:highlight w:val="none"/>
          <w14:textFill>
            <w14:solidFill>
              <w14:schemeClr w14:val="tx1"/>
            </w14:solidFill>
          </w14:textFill>
        </w:rPr>
        <w:t>库容可</w:t>
      </w:r>
      <w:r>
        <w:rPr>
          <w:rFonts w:ascii="Times New Roman" w:hAnsi="Times New Roman"/>
          <w:color w:val="000000" w:themeColor="text1"/>
          <w:highlight w:val="none"/>
          <w14:textFill>
            <w14:solidFill>
              <w14:schemeClr w14:val="tx1"/>
            </w14:solidFill>
          </w14:textFill>
        </w:rPr>
        <w:t>满足排尾需要。建议企业开展尾砂综合利用研究，</w:t>
      </w:r>
      <w:r>
        <w:rPr>
          <w:rFonts w:hint="eastAsia" w:ascii="Times New Roman" w:hAnsi="Times New Roman"/>
          <w:color w:val="000000" w:themeColor="text1"/>
          <w:highlight w:val="none"/>
          <w:lang w:val="en-US" w:eastAsia="zh-CN"/>
          <w14:textFill>
            <w14:solidFill>
              <w14:schemeClr w14:val="tx1"/>
            </w14:solidFill>
          </w14:textFill>
        </w:rPr>
        <w:t>可与当地建筑企业合作，</w:t>
      </w:r>
      <w:r>
        <w:rPr>
          <w:rFonts w:ascii="Times New Roman" w:hAnsi="Times New Roman"/>
          <w:color w:val="000000" w:themeColor="text1"/>
          <w:highlight w:val="none"/>
          <w14:textFill>
            <w14:solidFill>
              <w14:schemeClr w14:val="tx1"/>
            </w14:solidFill>
          </w14:textFill>
        </w:rPr>
        <w:t>利用尾砂</w:t>
      </w:r>
      <w:r>
        <w:rPr>
          <w:rFonts w:hint="eastAsia" w:ascii="Times New Roman" w:hAnsi="Times New Roman"/>
          <w:color w:val="000000" w:themeColor="text1"/>
          <w:highlight w:val="none"/>
          <w:lang w:eastAsia="zh-CN"/>
          <w14:textFill>
            <w14:solidFill>
              <w14:schemeClr w14:val="tx1"/>
            </w14:solidFill>
          </w14:textFill>
        </w:rPr>
        <w:t>作为</w:t>
      </w:r>
      <w:r>
        <w:rPr>
          <w:rFonts w:hint="eastAsia" w:ascii="Times New Roman" w:hAnsi="Times New Roman"/>
          <w:color w:val="000000" w:themeColor="text1"/>
          <w:highlight w:val="none"/>
          <w:lang w:val="en-US" w:eastAsia="zh-CN"/>
          <w14:textFill>
            <w14:solidFill>
              <w14:schemeClr w14:val="tx1"/>
            </w14:solidFill>
          </w14:textFill>
        </w:rPr>
        <w:t>建筑材料的生产原料</w:t>
      </w:r>
      <w:r>
        <w:rPr>
          <w:rFonts w:ascii="Times New Roman" w:hAnsi="Times New Roman"/>
          <w:color w:val="000000" w:themeColor="text1"/>
          <w:highlight w:val="none"/>
          <w14:textFill>
            <w14:solidFill>
              <w14:schemeClr w14:val="tx1"/>
            </w14:solidFill>
          </w14:textFill>
        </w:rPr>
        <w:t>。</w:t>
      </w:r>
    </w:p>
    <w:p w14:paraId="20C51257">
      <w:pPr>
        <w:pStyle w:val="10"/>
        <w:spacing w:after="0"/>
        <w:ind w:firstLine="480"/>
        <w:jc w:val="both"/>
        <w:rPr>
          <w:rFonts w:hint="eastAsia"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本项目各阶段生态恢复措施详见表</w:t>
      </w:r>
      <w:r>
        <w:rPr>
          <w:rFonts w:hint="eastAsia" w:ascii="Times New Roman" w:hAnsi="Times New Roman"/>
          <w:color w:val="000000" w:themeColor="text1"/>
          <w:highlight w:val="none"/>
          <w14:textFill>
            <w14:solidFill>
              <w14:schemeClr w14:val="tx1"/>
            </w14:solidFill>
          </w14:textFill>
        </w:rPr>
        <w:t>6.2-</w:t>
      </w:r>
      <w:r>
        <w:rPr>
          <w:rFonts w:ascii="Times New Roman" w:hAnsi="Times New Roman"/>
          <w:color w:val="000000" w:themeColor="text1"/>
          <w:highlight w:val="none"/>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w:t>
      </w:r>
    </w:p>
    <w:p w14:paraId="011F45F2">
      <w:pPr>
        <w:pStyle w:val="10"/>
        <w:tabs>
          <w:tab w:val="left" w:pos="4683"/>
        </w:tabs>
        <w:spacing w:after="0"/>
        <w:ind w:firstLine="0" w:firstLineChars="0"/>
        <w:jc w:val="center"/>
        <w:rPr>
          <w:rFonts w:ascii="Times New Roman" w:hAnsi="Times New Roman"/>
          <w:b/>
          <w:bCs/>
          <w:color w:val="000000" w:themeColor="text1"/>
          <w:highlight w:val="none"/>
          <w14:textFill>
            <w14:solidFill>
              <w14:schemeClr w14:val="tx1"/>
            </w14:solidFill>
          </w14:textFill>
        </w:rPr>
      </w:pPr>
      <w:r>
        <w:rPr>
          <w:rFonts w:ascii="Times New Roman" w:hAnsi="Times New Roman"/>
          <w:b/>
          <w:bCs/>
          <w:color w:val="000000" w:themeColor="text1"/>
          <w:highlight w:val="none"/>
          <w14:textFill>
            <w14:solidFill>
              <w14:schemeClr w14:val="tx1"/>
            </w14:solidFill>
          </w14:textFill>
        </w:rPr>
        <w:t>表6.2-3    生态恢复措施一览表</w:t>
      </w:r>
    </w:p>
    <w:tbl>
      <w:tblPr>
        <w:tblStyle w:val="32"/>
        <w:tblW w:w="0" w:type="auto"/>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39"/>
        <w:gridCol w:w="5987"/>
        <w:gridCol w:w="1010"/>
      </w:tblGrid>
      <w:tr w14:paraId="0912D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339" w:type="dxa"/>
            <w:vAlign w:val="center"/>
          </w:tcPr>
          <w:p w14:paraId="0FF57E69">
            <w:pPr>
              <w:pStyle w:val="45"/>
              <w:snapToGrid w:val="0"/>
              <w:spacing w:before="0" w:beforeAutospacing="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环境问题</w:t>
            </w:r>
          </w:p>
        </w:tc>
        <w:tc>
          <w:tcPr>
            <w:tcW w:w="5987" w:type="dxa"/>
            <w:vAlign w:val="center"/>
          </w:tcPr>
          <w:p w14:paraId="14BBAA2C">
            <w:pPr>
              <w:pStyle w:val="45"/>
              <w:snapToGrid w:val="0"/>
              <w:spacing w:before="0" w:beforeAutospacing="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pacing w:val="-1"/>
                <w:sz w:val="21"/>
                <w:szCs w:val="21"/>
                <w:highlight w:val="none"/>
                <w14:textFill>
                  <w14:solidFill>
                    <w14:schemeClr w14:val="tx1"/>
                  </w14:solidFill>
                </w14:textFill>
              </w:rPr>
              <w:t>措施概要</w:t>
            </w:r>
          </w:p>
        </w:tc>
        <w:tc>
          <w:tcPr>
            <w:tcW w:w="1010" w:type="dxa"/>
            <w:vAlign w:val="center"/>
          </w:tcPr>
          <w:p w14:paraId="2BEA2197">
            <w:pPr>
              <w:pStyle w:val="45"/>
              <w:snapToGrid w:val="0"/>
              <w:spacing w:before="0" w:beforeAutospacing="0"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14:paraId="0DC69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77E76C6C">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1、施工期</w:t>
            </w:r>
          </w:p>
        </w:tc>
        <w:tc>
          <w:tcPr>
            <w:tcW w:w="5987" w:type="dxa"/>
            <w:vAlign w:val="center"/>
          </w:tcPr>
          <w:p w14:paraId="233CCFCF">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环保措施实施阶段</w:t>
            </w:r>
          </w:p>
        </w:tc>
        <w:tc>
          <w:tcPr>
            <w:tcW w:w="1010" w:type="dxa"/>
            <w:vAlign w:val="center"/>
          </w:tcPr>
          <w:p w14:paraId="2DE9BA75">
            <w:pPr>
              <w:snapToGri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pacing w:val="-2"/>
                <w:kern w:val="0"/>
                <w:sz w:val="21"/>
                <w:szCs w:val="21"/>
                <w:highlight w:val="none"/>
                <w14:textFill>
                  <w14:solidFill>
                    <w14:schemeClr w14:val="tx1"/>
                  </w14:solidFill>
                </w14:textFill>
              </w:rPr>
              <w:t>落实单位</w:t>
            </w:r>
          </w:p>
        </w:tc>
      </w:tr>
      <w:tr w14:paraId="67E2F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0DC83563">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生态</w:t>
            </w:r>
          </w:p>
        </w:tc>
        <w:tc>
          <w:tcPr>
            <w:tcW w:w="5987" w:type="dxa"/>
            <w:vAlign w:val="center"/>
          </w:tcPr>
          <w:p w14:paraId="06220319">
            <w:pPr>
              <w:pStyle w:val="45"/>
              <w:snapToGrid w:val="0"/>
              <w:spacing w:before="0" w:beforeAutospacing="0" w:line="360" w:lineRule="exact"/>
              <w:ind w:firstLine="0" w:firstLineChars="0"/>
              <w:rPr>
                <w:color w:val="000000" w:themeColor="text1"/>
                <w:spacing w:val="21"/>
                <w:sz w:val="21"/>
                <w:szCs w:val="21"/>
                <w:highlight w:val="none"/>
                <w14:textFill>
                  <w14:solidFill>
                    <w14:schemeClr w14:val="tx1"/>
                  </w14:solidFill>
                </w14:textFill>
              </w:rPr>
            </w:pPr>
            <w:r>
              <w:rPr>
                <w:rFonts w:hint="eastAsia"/>
                <w:color w:val="000000" w:themeColor="text1"/>
                <w:spacing w:val="-2"/>
                <w:sz w:val="21"/>
                <w:szCs w:val="21"/>
                <w:highlight w:val="none"/>
                <w14:textFill>
                  <w14:solidFill>
                    <w14:schemeClr w14:val="tx1"/>
                  </w14:solidFill>
                </w14:textFill>
              </w:rPr>
              <w:t>1、</w:t>
            </w:r>
            <w:r>
              <w:rPr>
                <w:color w:val="000000" w:themeColor="text1"/>
                <w:spacing w:val="-2"/>
                <w:sz w:val="21"/>
                <w:szCs w:val="21"/>
                <w:highlight w:val="none"/>
                <w14:textFill>
                  <w14:solidFill>
                    <w14:schemeClr w14:val="tx1"/>
                  </w14:solidFill>
                </w14:textFill>
              </w:rPr>
              <w:t>施工机械和运输工具不应在工区内、外的地段随意碾压植被，应遵守“一字型”交通规划，行驶车辆走同一车辙，以减少对地表结构</w:t>
            </w:r>
            <w:r>
              <w:rPr>
                <w:color w:val="000000" w:themeColor="text1"/>
                <w:spacing w:val="-1"/>
                <w:sz w:val="21"/>
                <w:szCs w:val="21"/>
                <w:highlight w:val="none"/>
                <w14:textFill>
                  <w14:solidFill>
                    <w14:schemeClr w14:val="tx1"/>
                  </w14:solidFill>
                </w14:textFill>
              </w:rPr>
              <w:t>的破坏。</w:t>
            </w:r>
          </w:p>
          <w:p w14:paraId="161AEF46">
            <w:pPr>
              <w:pStyle w:val="45"/>
              <w:snapToGrid w:val="0"/>
              <w:spacing w:before="0" w:beforeAutospacing="0" w:line="360" w:lineRule="exact"/>
              <w:ind w:firstLine="0" w:firstLineChars="0"/>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2</w:t>
            </w:r>
            <w:r>
              <w:rPr>
                <w:rFonts w:hint="eastAsia"/>
                <w:color w:val="000000" w:themeColor="text1"/>
                <w:spacing w:val="-2"/>
                <w:sz w:val="21"/>
                <w:szCs w:val="21"/>
                <w:highlight w:val="none"/>
                <w14:textFill>
                  <w14:solidFill>
                    <w14:schemeClr w14:val="tx1"/>
                  </w14:solidFill>
                </w14:textFill>
              </w:rPr>
              <w:t>、</w:t>
            </w:r>
            <w:r>
              <w:rPr>
                <w:color w:val="000000" w:themeColor="text1"/>
                <w:spacing w:val="-2"/>
                <w:sz w:val="21"/>
                <w:szCs w:val="21"/>
                <w:highlight w:val="none"/>
                <w14:textFill>
                  <w14:solidFill>
                    <w14:schemeClr w14:val="tx1"/>
                  </w14:solidFill>
                </w14:textFill>
              </w:rPr>
              <w:t>施工结束后，及时对施工迹地进行清理平整与复原工作，对无用的施工临时建筑应予以拆除，然后根据区域情况，恢复其原貌。</w:t>
            </w:r>
          </w:p>
        </w:tc>
        <w:tc>
          <w:tcPr>
            <w:tcW w:w="1010" w:type="dxa"/>
            <w:vAlign w:val="center"/>
          </w:tcPr>
          <w:p w14:paraId="07313B9A">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施工单位</w:t>
            </w:r>
            <w:r>
              <w:rPr>
                <w:color w:val="000000" w:themeColor="text1"/>
                <w:sz w:val="21"/>
                <w:szCs w:val="21"/>
                <w:highlight w:val="none"/>
                <w14:textFill>
                  <w14:solidFill>
                    <w14:schemeClr w14:val="tx1"/>
                  </w14:solidFill>
                </w14:textFill>
              </w:rPr>
              <w:t>负责</w:t>
            </w:r>
          </w:p>
        </w:tc>
      </w:tr>
      <w:tr w14:paraId="3C8FA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5E096564">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水土保持</w:t>
            </w:r>
          </w:p>
        </w:tc>
        <w:tc>
          <w:tcPr>
            <w:tcW w:w="5987" w:type="dxa"/>
            <w:vAlign w:val="center"/>
          </w:tcPr>
          <w:p w14:paraId="3C9851CC">
            <w:pPr>
              <w:pStyle w:val="45"/>
              <w:snapToGrid w:val="0"/>
              <w:spacing w:before="0" w:beforeAutospacing="0" w:line="360" w:lineRule="exact"/>
              <w:ind w:firstLine="0" w:firstLineChars="0"/>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1</w:t>
            </w:r>
            <w:r>
              <w:rPr>
                <w:rFonts w:hint="eastAsia"/>
                <w:color w:val="000000" w:themeColor="text1"/>
                <w:spacing w:val="-2"/>
                <w:sz w:val="21"/>
                <w:szCs w:val="21"/>
                <w:highlight w:val="none"/>
                <w14:textFill>
                  <w14:solidFill>
                    <w14:schemeClr w14:val="tx1"/>
                  </w14:solidFill>
                </w14:textFill>
              </w:rPr>
              <w:t>、</w:t>
            </w:r>
            <w:r>
              <w:rPr>
                <w:color w:val="000000" w:themeColor="text1"/>
                <w:spacing w:val="-2"/>
                <w:sz w:val="21"/>
                <w:szCs w:val="21"/>
                <w:highlight w:val="none"/>
                <w14:textFill>
                  <w14:solidFill>
                    <w14:schemeClr w14:val="tx1"/>
                  </w14:solidFill>
                </w14:textFill>
              </w:rPr>
              <w:t>对建设中的施工迹地和弃方进行合理平整和清运或再利用，以减少对区域水土流失的增加。</w:t>
            </w:r>
          </w:p>
          <w:p w14:paraId="474C91BF">
            <w:pPr>
              <w:pStyle w:val="45"/>
              <w:snapToGrid w:val="0"/>
              <w:spacing w:before="0" w:beforeAutospacing="0" w:line="360" w:lineRule="exact"/>
              <w:ind w:firstLine="0" w:firstLineChars="0"/>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2</w:t>
            </w:r>
            <w:r>
              <w:rPr>
                <w:rFonts w:hint="eastAsia"/>
                <w:color w:val="000000" w:themeColor="text1"/>
                <w:spacing w:val="-2"/>
                <w:sz w:val="21"/>
                <w:szCs w:val="21"/>
                <w:highlight w:val="none"/>
                <w14:textFill>
                  <w14:solidFill>
                    <w14:schemeClr w14:val="tx1"/>
                  </w14:solidFill>
                </w14:textFill>
              </w:rPr>
              <w:t>、</w:t>
            </w:r>
            <w:r>
              <w:rPr>
                <w:color w:val="000000" w:themeColor="text1"/>
                <w:spacing w:val="-2"/>
                <w:sz w:val="21"/>
                <w:szCs w:val="21"/>
                <w:highlight w:val="none"/>
                <w14:textFill>
                  <w14:solidFill>
                    <w14:schemeClr w14:val="tx1"/>
                  </w14:solidFill>
                </w14:textFill>
              </w:rPr>
              <w:t>施工过程中生产生活固体废弃物及时清运至当地</w:t>
            </w:r>
            <w:r>
              <w:rPr>
                <w:rFonts w:hint="eastAsia"/>
                <w:color w:val="000000" w:themeColor="text1"/>
                <w:spacing w:val="-2"/>
                <w:sz w:val="21"/>
                <w:szCs w:val="21"/>
                <w:highlight w:val="none"/>
                <w:lang w:eastAsia="zh-CN"/>
                <w14:textFill>
                  <w14:solidFill>
                    <w14:schemeClr w14:val="tx1"/>
                  </w14:solidFill>
                </w14:textFill>
              </w:rPr>
              <w:t>生态环境</w:t>
            </w:r>
            <w:r>
              <w:rPr>
                <w:color w:val="000000" w:themeColor="text1"/>
                <w:spacing w:val="-2"/>
                <w:sz w:val="21"/>
                <w:szCs w:val="21"/>
                <w:highlight w:val="none"/>
                <w14:textFill>
                  <w14:solidFill>
                    <w14:schemeClr w14:val="tx1"/>
                  </w14:solidFill>
                </w14:textFill>
              </w:rPr>
              <w:t>部门指定的地点，避免因起风引起的扬尘。</w:t>
            </w:r>
          </w:p>
          <w:p w14:paraId="3831EE0C">
            <w:pPr>
              <w:pStyle w:val="45"/>
              <w:snapToGrid w:val="0"/>
              <w:spacing w:before="0" w:beforeAutospacing="0" w:line="360" w:lineRule="exact"/>
              <w:ind w:firstLine="0" w:firstLineChars="0"/>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3</w:t>
            </w:r>
            <w:r>
              <w:rPr>
                <w:rFonts w:hint="eastAsia"/>
                <w:color w:val="000000" w:themeColor="text1"/>
                <w:spacing w:val="-2"/>
                <w:sz w:val="21"/>
                <w:szCs w:val="21"/>
                <w:highlight w:val="none"/>
                <w14:textFill>
                  <w14:solidFill>
                    <w14:schemeClr w14:val="tx1"/>
                  </w14:solidFill>
                </w14:textFill>
              </w:rPr>
              <w:t>、</w:t>
            </w:r>
            <w:r>
              <w:rPr>
                <w:color w:val="000000" w:themeColor="text1"/>
                <w:spacing w:val="-2"/>
                <w:sz w:val="21"/>
                <w:szCs w:val="21"/>
                <w:highlight w:val="none"/>
                <w14:textFill>
                  <w14:solidFill>
                    <w14:schemeClr w14:val="tx1"/>
                  </w14:solidFill>
                </w14:textFill>
              </w:rPr>
              <w:t>保证工业场地的地面平整。</w:t>
            </w:r>
          </w:p>
        </w:tc>
        <w:tc>
          <w:tcPr>
            <w:tcW w:w="1010" w:type="dxa"/>
            <w:vAlign w:val="center"/>
          </w:tcPr>
          <w:p w14:paraId="34D7B1B9">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建设单位</w:t>
            </w:r>
            <w:r>
              <w:rPr>
                <w:color w:val="000000" w:themeColor="text1"/>
                <w:spacing w:val="-1"/>
                <w:sz w:val="21"/>
                <w:szCs w:val="21"/>
                <w:highlight w:val="none"/>
                <w14:textFill>
                  <w14:solidFill>
                    <w14:schemeClr w14:val="tx1"/>
                  </w14:solidFill>
                </w14:textFill>
              </w:rPr>
              <w:t>和管理部</w:t>
            </w:r>
            <w:r>
              <w:rPr>
                <w:color w:val="000000" w:themeColor="text1"/>
                <w:sz w:val="21"/>
                <w:szCs w:val="21"/>
                <w:highlight w:val="none"/>
                <w14:textFill>
                  <w14:solidFill>
                    <w14:schemeClr w14:val="tx1"/>
                  </w14:solidFill>
                </w14:textFill>
              </w:rPr>
              <w:t>门负责</w:t>
            </w:r>
          </w:p>
        </w:tc>
      </w:tr>
      <w:tr w14:paraId="03EE1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577EF901">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2、运营期</w:t>
            </w:r>
          </w:p>
        </w:tc>
        <w:tc>
          <w:tcPr>
            <w:tcW w:w="5987" w:type="dxa"/>
            <w:vAlign w:val="center"/>
          </w:tcPr>
          <w:p w14:paraId="7AD1F8BF">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环保措施实施阶段</w:t>
            </w:r>
          </w:p>
        </w:tc>
        <w:tc>
          <w:tcPr>
            <w:tcW w:w="1010" w:type="dxa"/>
            <w:vAlign w:val="center"/>
          </w:tcPr>
          <w:p w14:paraId="11AE66E3">
            <w:pPr>
              <w:snapToGrid w:val="0"/>
              <w:spacing w:line="360" w:lineRule="exact"/>
              <w:ind w:firstLine="0" w:firstLineChars="0"/>
              <w:jc w:val="center"/>
              <w:rPr>
                <w:color w:val="000000" w:themeColor="text1"/>
                <w:sz w:val="21"/>
                <w:szCs w:val="21"/>
                <w:highlight w:val="none"/>
                <w14:textFill>
                  <w14:solidFill>
                    <w14:schemeClr w14:val="tx1"/>
                  </w14:solidFill>
                </w14:textFill>
              </w:rPr>
            </w:pPr>
          </w:p>
        </w:tc>
      </w:tr>
      <w:tr w14:paraId="5199D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460DA177">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生态</w:t>
            </w:r>
          </w:p>
        </w:tc>
        <w:tc>
          <w:tcPr>
            <w:tcW w:w="5987" w:type="dxa"/>
            <w:vAlign w:val="center"/>
          </w:tcPr>
          <w:p w14:paraId="52F020FD">
            <w:pPr>
              <w:pStyle w:val="45"/>
              <w:snapToGrid w:val="0"/>
              <w:spacing w:before="0" w:beforeAutospacing="0" w:line="360" w:lineRule="exact"/>
              <w:ind w:firstLine="0" w:firstLineChars="0"/>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1</w:t>
            </w:r>
            <w:r>
              <w:rPr>
                <w:rFonts w:hint="eastAsia"/>
                <w:color w:val="000000" w:themeColor="text1"/>
                <w:spacing w:val="-2"/>
                <w:sz w:val="21"/>
                <w:szCs w:val="21"/>
                <w:highlight w:val="none"/>
                <w14:textFill>
                  <w14:solidFill>
                    <w14:schemeClr w14:val="tx1"/>
                  </w14:solidFill>
                </w14:textFill>
              </w:rPr>
              <w:t>、</w:t>
            </w:r>
            <w:r>
              <w:rPr>
                <w:color w:val="000000" w:themeColor="text1"/>
                <w:spacing w:val="-2"/>
                <w:sz w:val="21"/>
                <w:szCs w:val="21"/>
                <w:highlight w:val="none"/>
                <w14:textFill>
                  <w14:solidFill>
                    <w14:schemeClr w14:val="tx1"/>
                  </w14:solidFill>
                </w14:textFill>
              </w:rPr>
              <w:t>应做好本</w:t>
            </w:r>
            <w:r>
              <w:rPr>
                <w:rFonts w:hint="eastAsia"/>
                <w:color w:val="000000" w:themeColor="text1"/>
                <w:spacing w:val="-2"/>
                <w:sz w:val="21"/>
                <w:szCs w:val="21"/>
                <w:highlight w:val="none"/>
                <w14:textFill>
                  <w14:solidFill>
                    <w14:schemeClr w14:val="tx1"/>
                  </w14:solidFill>
                </w14:textFill>
              </w:rPr>
              <w:t>项目</w:t>
            </w:r>
            <w:r>
              <w:rPr>
                <w:color w:val="000000" w:themeColor="text1"/>
                <w:spacing w:val="-2"/>
                <w:sz w:val="21"/>
                <w:szCs w:val="21"/>
                <w:highlight w:val="none"/>
                <w14:textFill>
                  <w14:solidFill>
                    <w14:schemeClr w14:val="tx1"/>
                  </w14:solidFill>
                </w14:textFill>
              </w:rPr>
              <w:t>的施工组织规划工作，明确工程可能扰动和破坏的范围，要</w:t>
            </w:r>
            <w:r>
              <w:rPr>
                <w:rFonts w:hint="eastAsia"/>
                <w:color w:val="000000" w:themeColor="text1"/>
                <w:spacing w:val="-2"/>
                <w:sz w:val="21"/>
                <w:szCs w:val="21"/>
                <w:highlight w:val="none"/>
                <w:lang w:eastAsia="zh-CN"/>
                <w14:textFill>
                  <w14:solidFill>
                    <w14:schemeClr w14:val="tx1"/>
                  </w14:solidFill>
                </w14:textFill>
              </w:rPr>
              <w:t>做到</w:t>
            </w:r>
            <w:r>
              <w:rPr>
                <w:color w:val="000000" w:themeColor="text1"/>
                <w:spacing w:val="-2"/>
                <w:sz w:val="21"/>
                <w:szCs w:val="21"/>
                <w:highlight w:val="none"/>
                <w14:textFill>
                  <w14:solidFill>
                    <w14:schemeClr w14:val="tx1"/>
                  </w14:solidFill>
                </w14:textFill>
              </w:rPr>
              <w:t>少占地。</w:t>
            </w:r>
          </w:p>
          <w:p w14:paraId="741F4086">
            <w:pPr>
              <w:pStyle w:val="45"/>
              <w:snapToGrid w:val="0"/>
              <w:spacing w:before="0" w:beforeAutospacing="0" w:line="360" w:lineRule="exact"/>
              <w:ind w:firstLine="0" w:firstLineChars="0"/>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2</w:t>
            </w:r>
            <w:r>
              <w:rPr>
                <w:rFonts w:hint="eastAsia"/>
                <w:color w:val="000000" w:themeColor="text1"/>
                <w:spacing w:val="-2"/>
                <w:sz w:val="21"/>
                <w:szCs w:val="21"/>
                <w:highlight w:val="none"/>
                <w14:textFill>
                  <w14:solidFill>
                    <w14:schemeClr w14:val="tx1"/>
                  </w14:solidFill>
                </w14:textFill>
              </w:rPr>
              <w:t>、</w:t>
            </w:r>
            <w:r>
              <w:rPr>
                <w:color w:val="000000" w:themeColor="text1"/>
                <w:spacing w:val="-2"/>
                <w:sz w:val="21"/>
                <w:szCs w:val="21"/>
                <w:highlight w:val="none"/>
                <w14:textFill>
                  <w14:solidFill>
                    <w14:schemeClr w14:val="tx1"/>
                  </w14:solidFill>
                </w14:textFill>
              </w:rPr>
              <w:t>继续进行施工期临时占地生态恢复治理。</w:t>
            </w:r>
          </w:p>
          <w:p w14:paraId="0C2D7FDA">
            <w:pPr>
              <w:pStyle w:val="45"/>
              <w:snapToGrid w:val="0"/>
              <w:spacing w:before="0" w:beforeAutospacing="0" w:line="360" w:lineRule="exact"/>
              <w:ind w:firstLine="0" w:firstLineChars="0"/>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3</w:t>
            </w:r>
            <w:r>
              <w:rPr>
                <w:rFonts w:hint="eastAsia"/>
                <w:color w:val="000000" w:themeColor="text1"/>
                <w:spacing w:val="-2"/>
                <w:sz w:val="21"/>
                <w:szCs w:val="21"/>
                <w:highlight w:val="none"/>
                <w14:textFill>
                  <w14:solidFill>
                    <w14:schemeClr w14:val="tx1"/>
                  </w14:solidFill>
                </w14:textFill>
              </w:rPr>
              <w:t>、</w:t>
            </w:r>
            <w:r>
              <w:rPr>
                <w:color w:val="000000" w:themeColor="text1"/>
                <w:spacing w:val="-2"/>
                <w:sz w:val="21"/>
                <w:szCs w:val="21"/>
                <w:highlight w:val="none"/>
                <w14:textFill>
                  <w14:solidFill>
                    <w14:schemeClr w14:val="tx1"/>
                  </w14:solidFill>
                </w14:textFill>
              </w:rPr>
              <w:t>本建设项目产生的生态影响的防护和恢复应按照“避免→消减→补偿”的顺序最大限度地减少人为开发活动对自然资源和生态环境的破坏，以实现</w:t>
            </w:r>
            <w:r>
              <w:rPr>
                <w:rFonts w:hint="eastAsia"/>
                <w:color w:val="000000" w:themeColor="text1"/>
                <w:spacing w:val="-2"/>
                <w:sz w:val="21"/>
                <w:szCs w:val="21"/>
                <w:highlight w:val="none"/>
                <w:lang w:eastAsia="zh-CN"/>
                <w14:textFill>
                  <w14:solidFill>
                    <w14:schemeClr w14:val="tx1"/>
                  </w14:solidFill>
                </w14:textFill>
              </w:rPr>
              <w:t>“</w:t>
            </w:r>
            <w:r>
              <w:rPr>
                <w:color w:val="000000" w:themeColor="text1"/>
                <w:spacing w:val="-2"/>
                <w:sz w:val="21"/>
                <w:szCs w:val="21"/>
                <w:highlight w:val="none"/>
                <w14:textFill>
                  <w14:solidFill>
                    <w14:schemeClr w14:val="tx1"/>
                  </w14:solidFill>
                </w14:textFill>
              </w:rPr>
              <w:t>开发中保护、保护中开发</w:t>
            </w:r>
            <w:r>
              <w:rPr>
                <w:rFonts w:hint="eastAsia"/>
                <w:color w:val="000000" w:themeColor="text1"/>
                <w:spacing w:val="-2"/>
                <w:sz w:val="21"/>
                <w:szCs w:val="21"/>
                <w:highlight w:val="none"/>
                <w:lang w:eastAsia="zh-CN"/>
                <w14:textFill>
                  <w14:solidFill>
                    <w14:schemeClr w14:val="tx1"/>
                  </w14:solidFill>
                </w14:textFill>
              </w:rPr>
              <w:t>”</w:t>
            </w:r>
            <w:r>
              <w:rPr>
                <w:color w:val="000000" w:themeColor="text1"/>
                <w:spacing w:val="-2"/>
                <w:sz w:val="21"/>
                <w:szCs w:val="21"/>
                <w:highlight w:val="none"/>
                <w14:textFill>
                  <w14:solidFill>
                    <w14:schemeClr w14:val="tx1"/>
                  </w14:solidFill>
                </w14:textFill>
              </w:rPr>
              <w:t>的目标。</w:t>
            </w:r>
          </w:p>
          <w:p w14:paraId="36962D3A">
            <w:pPr>
              <w:pStyle w:val="45"/>
              <w:snapToGrid w:val="0"/>
              <w:spacing w:before="0" w:beforeAutospacing="0" w:line="360" w:lineRule="exact"/>
              <w:ind w:firstLine="0" w:firstLineChars="0"/>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4</w:t>
            </w:r>
            <w:r>
              <w:rPr>
                <w:rFonts w:hint="eastAsia"/>
                <w:color w:val="000000" w:themeColor="text1"/>
                <w:spacing w:val="-2"/>
                <w:sz w:val="21"/>
                <w:szCs w:val="21"/>
                <w:highlight w:val="none"/>
                <w14:textFill>
                  <w14:solidFill>
                    <w14:schemeClr w14:val="tx1"/>
                  </w14:solidFill>
                </w14:textFill>
              </w:rPr>
              <w:t>、</w:t>
            </w:r>
            <w:r>
              <w:rPr>
                <w:color w:val="000000" w:themeColor="text1"/>
                <w:spacing w:val="-2"/>
                <w:sz w:val="21"/>
                <w:szCs w:val="21"/>
                <w:highlight w:val="none"/>
                <w14:textFill>
                  <w14:solidFill>
                    <w14:schemeClr w14:val="tx1"/>
                  </w14:solidFill>
                </w14:textFill>
              </w:rPr>
              <w:t>建设单位应加强复垦意识，做好复垦规划与计划，落实措施。有条件时，即实行复垦，恢复并改善生态环境质量。</w:t>
            </w:r>
          </w:p>
        </w:tc>
        <w:tc>
          <w:tcPr>
            <w:tcW w:w="1010" w:type="dxa"/>
            <w:vAlign w:val="center"/>
          </w:tcPr>
          <w:p w14:paraId="6B6302B6">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建设单位</w:t>
            </w:r>
            <w:r>
              <w:rPr>
                <w:color w:val="000000" w:themeColor="text1"/>
                <w:spacing w:val="-1"/>
                <w:sz w:val="21"/>
                <w:szCs w:val="21"/>
                <w:highlight w:val="none"/>
                <w14:textFill>
                  <w14:solidFill>
                    <w14:schemeClr w14:val="tx1"/>
                  </w14:solidFill>
                </w14:textFill>
              </w:rPr>
              <w:t>和管理部</w:t>
            </w:r>
            <w:r>
              <w:rPr>
                <w:color w:val="000000" w:themeColor="text1"/>
                <w:sz w:val="21"/>
                <w:szCs w:val="21"/>
                <w:highlight w:val="none"/>
                <w14:textFill>
                  <w14:solidFill>
                    <w14:schemeClr w14:val="tx1"/>
                  </w14:solidFill>
                </w14:textFill>
              </w:rPr>
              <w:t>门负责</w:t>
            </w:r>
          </w:p>
        </w:tc>
      </w:tr>
      <w:tr w14:paraId="3CD78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0268C640">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3、服役后期</w:t>
            </w:r>
          </w:p>
        </w:tc>
        <w:tc>
          <w:tcPr>
            <w:tcW w:w="5987" w:type="dxa"/>
            <w:vAlign w:val="center"/>
          </w:tcPr>
          <w:p w14:paraId="579B2A20">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环保措施实施阶段</w:t>
            </w:r>
          </w:p>
        </w:tc>
        <w:tc>
          <w:tcPr>
            <w:tcW w:w="1010" w:type="dxa"/>
            <w:vAlign w:val="center"/>
          </w:tcPr>
          <w:p w14:paraId="5B2CE669">
            <w:pPr>
              <w:snapToGrid w:val="0"/>
              <w:spacing w:line="360" w:lineRule="exact"/>
              <w:ind w:firstLine="0" w:firstLineChars="0"/>
              <w:jc w:val="center"/>
              <w:rPr>
                <w:color w:val="000000" w:themeColor="text1"/>
                <w:sz w:val="21"/>
                <w:szCs w:val="21"/>
                <w:highlight w:val="none"/>
                <w14:textFill>
                  <w14:solidFill>
                    <w14:schemeClr w14:val="tx1"/>
                  </w14:solidFill>
                </w14:textFill>
              </w:rPr>
            </w:pPr>
          </w:p>
        </w:tc>
      </w:tr>
      <w:tr w14:paraId="6FD12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068D3622">
            <w:pPr>
              <w:pStyle w:val="45"/>
              <w:snapToGrid w:val="0"/>
              <w:spacing w:before="0" w:beforeAutospacing="0"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pacing w:val="-1"/>
                <w:sz w:val="21"/>
                <w:szCs w:val="21"/>
                <w:highlight w:val="none"/>
                <w14:textFill>
                  <w14:solidFill>
                    <w14:schemeClr w14:val="tx1"/>
                  </w14:solidFill>
                </w14:textFill>
              </w:rPr>
              <w:t>生态恢复方</w:t>
            </w:r>
          </w:p>
          <w:p w14:paraId="3D62844B">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案</w:t>
            </w:r>
          </w:p>
        </w:tc>
        <w:tc>
          <w:tcPr>
            <w:tcW w:w="5987" w:type="dxa"/>
            <w:vAlign w:val="center"/>
          </w:tcPr>
          <w:p w14:paraId="6B0CEBDC">
            <w:pPr>
              <w:pStyle w:val="45"/>
              <w:snapToGrid w:val="0"/>
              <w:spacing w:before="0" w:beforeAutospacing="0" w:line="360" w:lineRule="exact"/>
              <w:ind w:firstLine="0" w:firstLineChars="0"/>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1.制定</w:t>
            </w:r>
            <w:r>
              <w:rPr>
                <w:rFonts w:hint="eastAsia"/>
                <w:color w:val="000000" w:themeColor="text1"/>
                <w:spacing w:val="-2"/>
                <w:sz w:val="21"/>
                <w:szCs w:val="21"/>
                <w:highlight w:val="none"/>
                <w14:textFill>
                  <w14:solidFill>
                    <w14:schemeClr w14:val="tx1"/>
                  </w14:solidFill>
                </w14:textFill>
              </w:rPr>
              <w:t>选矿厂、生活区及</w:t>
            </w:r>
            <w:r>
              <w:rPr>
                <w:rFonts w:hint="eastAsia"/>
                <w:color w:val="000000" w:themeColor="text1"/>
                <w:spacing w:val="-2"/>
                <w:sz w:val="21"/>
                <w:szCs w:val="21"/>
                <w:highlight w:val="none"/>
                <w:lang w:eastAsia="zh-CN"/>
                <w14:textFill>
                  <w14:solidFill>
                    <w14:schemeClr w14:val="tx1"/>
                  </w14:solidFill>
                </w14:textFill>
              </w:rPr>
              <w:t>尾矿库</w:t>
            </w:r>
            <w:r>
              <w:rPr>
                <w:color w:val="000000" w:themeColor="text1"/>
                <w:spacing w:val="-2"/>
                <w:sz w:val="21"/>
                <w:szCs w:val="21"/>
                <w:highlight w:val="none"/>
                <w14:textFill>
                  <w14:solidFill>
                    <w14:schemeClr w14:val="tx1"/>
                  </w14:solidFill>
                </w14:textFill>
              </w:rPr>
              <w:t>土地复垦计划，其内容包括利用土地的方式、复垦方法，且与生产建设统一规划。</w:t>
            </w:r>
          </w:p>
          <w:p w14:paraId="76E997AA">
            <w:pPr>
              <w:pStyle w:val="45"/>
              <w:snapToGrid w:val="0"/>
              <w:spacing w:before="0" w:beforeAutospacing="0" w:line="360" w:lineRule="exact"/>
              <w:ind w:firstLine="0" w:firstLineChars="0"/>
              <w:rPr>
                <w:color w:val="000000" w:themeColor="text1"/>
                <w:sz w:val="21"/>
                <w:szCs w:val="21"/>
                <w:highlight w:val="none"/>
                <w14:textFill>
                  <w14:solidFill>
                    <w14:schemeClr w14:val="tx1"/>
                  </w14:solidFill>
                </w14:textFill>
              </w:rPr>
            </w:pPr>
            <w:r>
              <w:rPr>
                <w:color w:val="000000" w:themeColor="text1"/>
                <w:spacing w:val="-2"/>
                <w:sz w:val="21"/>
                <w:szCs w:val="21"/>
                <w:highlight w:val="none"/>
                <w14:textFill>
                  <w14:solidFill>
                    <w14:schemeClr w14:val="tx1"/>
                  </w14:solidFill>
                </w14:textFill>
              </w:rPr>
              <w:t>2．尾矿库服务期满后</w:t>
            </w:r>
            <w:r>
              <w:rPr>
                <w:rFonts w:hint="eastAsia"/>
                <w:color w:val="000000" w:themeColor="text1"/>
                <w:spacing w:val="-2"/>
                <w:sz w:val="21"/>
                <w:szCs w:val="21"/>
                <w:highlight w:val="none"/>
                <w14:textFill>
                  <w14:solidFill>
                    <w14:schemeClr w14:val="tx1"/>
                  </w14:solidFill>
                </w14:textFill>
              </w:rPr>
              <w:t>开展闭矿设计</w:t>
            </w:r>
            <w:r>
              <w:rPr>
                <w:color w:val="000000" w:themeColor="text1"/>
                <w:spacing w:val="-2"/>
                <w:sz w:val="21"/>
                <w:szCs w:val="21"/>
                <w:highlight w:val="none"/>
                <w14:textFill>
                  <w14:solidFill>
                    <w14:schemeClr w14:val="tx1"/>
                  </w14:solidFill>
                </w14:textFill>
              </w:rPr>
              <w:t>，</w:t>
            </w:r>
            <w:r>
              <w:rPr>
                <w:rFonts w:hint="eastAsia"/>
                <w:color w:val="000000" w:themeColor="text1"/>
                <w:spacing w:val="-2"/>
                <w:sz w:val="21"/>
                <w:szCs w:val="21"/>
                <w:highlight w:val="none"/>
                <w14:textFill>
                  <w14:solidFill>
                    <w14:schemeClr w14:val="tx1"/>
                  </w14:solidFill>
                </w14:textFill>
              </w:rPr>
              <w:t>闭矿后根据当地原地貌情况，</w:t>
            </w:r>
            <w:r>
              <w:rPr>
                <w:rFonts w:hint="eastAsia"/>
                <w:color w:val="000000" w:themeColor="text1"/>
                <w:spacing w:val="-2"/>
                <w:sz w:val="21"/>
                <w:szCs w:val="21"/>
                <w:highlight w:val="none"/>
                <w:lang w:val="en-US" w:eastAsia="zh-CN"/>
                <w14:textFill>
                  <w14:solidFill>
                    <w14:schemeClr w14:val="tx1"/>
                  </w14:solidFill>
                </w14:textFill>
              </w:rPr>
              <w:t>覆土、平整土地，</w:t>
            </w:r>
            <w:r>
              <w:rPr>
                <w:rFonts w:hint="eastAsia"/>
                <w:color w:val="000000" w:themeColor="text1"/>
                <w:spacing w:val="-2"/>
                <w:sz w:val="21"/>
                <w:szCs w:val="21"/>
                <w:highlight w:val="none"/>
                <w14:textFill>
                  <w14:solidFill>
                    <w14:schemeClr w14:val="tx1"/>
                  </w14:solidFill>
                </w14:textFill>
              </w:rPr>
              <w:t>尽量使尾矿库闭矿后地貌与周边环境相协调</w:t>
            </w:r>
            <w:r>
              <w:rPr>
                <w:color w:val="000000" w:themeColor="text1"/>
                <w:spacing w:val="-2"/>
                <w:sz w:val="21"/>
                <w:szCs w:val="21"/>
                <w:highlight w:val="none"/>
                <w14:textFill>
                  <w14:solidFill>
                    <w14:schemeClr w14:val="tx1"/>
                  </w14:solidFill>
                </w14:textFill>
              </w:rPr>
              <w:t>。</w:t>
            </w:r>
          </w:p>
        </w:tc>
        <w:tc>
          <w:tcPr>
            <w:tcW w:w="1010" w:type="dxa"/>
            <w:vAlign w:val="center"/>
          </w:tcPr>
          <w:p w14:paraId="60D20DFA">
            <w:pPr>
              <w:pStyle w:val="45"/>
              <w:snapToGrid w:val="0"/>
              <w:spacing w:before="0" w:beforeAutospacing="0"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pacing w:val="-1"/>
                <w:sz w:val="21"/>
                <w:szCs w:val="21"/>
                <w:highlight w:val="none"/>
                <w:lang w:val="en-US" w:eastAsia="zh-CN"/>
                <w14:textFill>
                  <w14:solidFill>
                    <w14:schemeClr w14:val="tx1"/>
                  </w14:solidFill>
                </w14:textFill>
              </w:rPr>
              <w:t>建设单位</w:t>
            </w:r>
            <w:r>
              <w:rPr>
                <w:color w:val="000000" w:themeColor="text1"/>
                <w:sz w:val="21"/>
                <w:szCs w:val="21"/>
                <w:highlight w:val="none"/>
                <w14:textFill>
                  <w14:solidFill>
                    <w14:schemeClr w14:val="tx1"/>
                  </w14:solidFill>
                </w14:textFill>
              </w:rPr>
              <w:t>负责</w:t>
            </w:r>
          </w:p>
        </w:tc>
      </w:tr>
    </w:tbl>
    <w:p w14:paraId="34A68016">
      <w:pPr>
        <w:ind w:left="0" w:leftChars="0" w:firstLine="0" w:firstLineChars="0"/>
        <w:rPr>
          <w:color w:val="000000" w:themeColor="text1"/>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B4192CB">
      <w:pPr>
        <w:pStyle w:val="2"/>
        <w:spacing w:line="720" w:lineRule="exact"/>
        <w:rPr>
          <w:color w:val="000000" w:themeColor="text1"/>
          <w:highlight w:val="none"/>
          <w14:textFill>
            <w14:solidFill>
              <w14:schemeClr w14:val="tx1"/>
            </w14:solidFill>
          </w14:textFill>
        </w:rPr>
      </w:pPr>
      <w:bookmarkStart w:id="858" w:name="_Toc3320"/>
      <w:r>
        <w:rPr>
          <w:color w:val="000000" w:themeColor="text1"/>
          <w:highlight w:val="none"/>
          <w14:textFill>
            <w14:solidFill>
              <w14:schemeClr w14:val="tx1"/>
            </w14:solidFill>
          </w14:textFill>
        </w:rPr>
        <w:t>7环境影响经济损益分析</w:t>
      </w:r>
      <w:bookmarkEnd w:id="843"/>
      <w:bookmarkEnd w:id="844"/>
      <w:bookmarkEnd w:id="845"/>
      <w:bookmarkEnd w:id="846"/>
      <w:bookmarkEnd w:id="847"/>
      <w:bookmarkEnd w:id="848"/>
      <w:bookmarkEnd w:id="858"/>
    </w:p>
    <w:p w14:paraId="026C1560">
      <w:pPr>
        <w:overflowPunct w:val="0"/>
        <w:topLinePunct/>
        <w:spacing w:line="480" w:lineRule="atLeast"/>
        <w:ind w:firstLine="480"/>
        <w:rPr>
          <w:color w:val="000000" w:themeColor="text1"/>
          <w:highlight w:val="none"/>
          <w14:textFill>
            <w14:solidFill>
              <w14:schemeClr w14:val="tx1"/>
            </w14:solidFill>
          </w14:textFill>
        </w:rPr>
      </w:pPr>
      <w:bookmarkStart w:id="859" w:name="_Toc446160746"/>
      <w:bookmarkStart w:id="860" w:name="_Toc18124"/>
      <w:bookmarkStart w:id="861" w:name="_Toc447541234"/>
      <w:bookmarkStart w:id="862" w:name="_Toc426642706"/>
      <w:bookmarkStart w:id="863" w:name="_Toc107413909"/>
      <w:bookmarkStart w:id="864" w:name="_Toc25365"/>
      <w:bookmarkStart w:id="865" w:name="_Toc8512"/>
      <w:bookmarkStart w:id="866" w:name="_Toc107414676"/>
      <w:bookmarkStart w:id="867" w:name="_Toc10256"/>
      <w:bookmarkStart w:id="868" w:name="_Toc32202"/>
      <w:r>
        <w:rPr>
          <w:color w:val="000000" w:themeColor="text1"/>
          <w:highlight w:val="none"/>
          <w14:textFill>
            <w14:solidFill>
              <w14:schemeClr w14:val="tx1"/>
            </w14:solidFill>
          </w14:textFill>
        </w:rPr>
        <w:t>环境影响经济损益分析主要是衡量项目的</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"http://www.51ehs.com/anhuanguanli/" </w:instrText>
      </w:r>
      <w:r>
        <w:rPr>
          <w:color w:val="000000" w:themeColor="text1"/>
          <w:highlight w:val="none"/>
          <w14:textFill>
            <w14:solidFill>
              <w14:schemeClr w14:val="tx1"/>
            </w14:solidFill>
          </w14:textFill>
        </w:rPr>
        <w:fldChar w:fldCharType="separate"/>
      </w:r>
      <w:r>
        <w:rPr>
          <w:rStyle w:val="38"/>
          <w:color w:val="000000" w:themeColor="text1"/>
          <w:highlight w:val="none"/>
          <w:u w:val="none"/>
          <w14:textFill>
            <w14:solidFill>
              <w14:schemeClr w14:val="tx1"/>
            </w14:solidFill>
          </w14:textFill>
        </w:rPr>
        <w:t>环保</w:t>
      </w:r>
      <w:r>
        <w:rPr>
          <w:rStyle w:val="38"/>
          <w:color w:val="000000" w:themeColor="text1"/>
          <w:highlight w:val="none"/>
          <w:u w:val="none"/>
          <w14:textFill>
            <w14:solidFill>
              <w14:schemeClr w14:val="tx1"/>
            </w14:solidFill>
          </w14:textFill>
        </w:rPr>
        <w:fldChar w:fldCharType="end"/>
      </w:r>
      <w:r>
        <w:rPr>
          <w:color w:val="000000" w:themeColor="text1"/>
          <w:highlight w:val="none"/>
          <w14:textFill>
            <w14:solidFill>
              <w14:schemeClr w14:val="tx1"/>
            </w14:solidFill>
          </w14:textFill>
        </w:rPr>
        <w:t>投资所能收到的环境效益和经济效益，建设项目应力争达到社会效益、环境效益、经济效益的统一，这样才能符合可持续发展的要求，实现经济的持续发展和环境质量的不断改善。</w:t>
      </w:r>
    </w:p>
    <w:p w14:paraId="7A41EC4B">
      <w:pPr>
        <w:pStyle w:val="3"/>
        <w:rPr>
          <w:rFonts w:hint="eastAsia"/>
          <w:color w:val="000000" w:themeColor="text1"/>
          <w:highlight w:val="none"/>
          <w14:textFill>
            <w14:solidFill>
              <w14:schemeClr w14:val="tx1"/>
            </w14:solidFill>
          </w14:textFill>
        </w:rPr>
      </w:pPr>
      <w:bookmarkStart w:id="869" w:name="_Toc5809"/>
      <w:bookmarkStart w:id="870" w:name="_Toc4868"/>
      <w:bookmarkStart w:id="871" w:name="_Toc107413905"/>
      <w:bookmarkStart w:id="872" w:name="_Toc4693"/>
      <w:bookmarkStart w:id="873" w:name="_Toc107414672"/>
      <w:bookmarkStart w:id="874" w:name="_Toc27495"/>
      <w:bookmarkStart w:id="875" w:name="_Toc13364"/>
      <w:bookmarkStart w:id="876" w:name="_Toc9141"/>
      <w:bookmarkStart w:id="877" w:name="_Toc20588"/>
      <w:r>
        <w:rPr>
          <w:rFonts w:hint="eastAsia"/>
          <w:color w:val="000000" w:themeColor="text1"/>
          <w:highlight w:val="none"/>
          <w14:textFill>
            <w14:solidFill>
              <w14:schemeClr w14:val="tx1"/>
            </w14:solidFill>
          </w14:textFill>
        </w:rPr>
        <w:t>7.1</w:t>
      </w:r>
      <w:bookmarkEnd w:id="859"/>
      <w:bookmarkEnd w:id="860"/>
      <w:bookmarkEnd w:id="861"/>
      <w:bookmarkEnd w:id="862"/>
      <w:r>
        <w:rPr>
          <w:rFonts w:hint="eastAsia"/>
          <w:color w:val="000000" w:themeColor="text1"/>
          <w:highlight w:val="none"/>
          <w14:textFill>
            <w14:solidFill>
              <w14:schemeClr w14:val="tx1"/>
            </w14:solidFill>
          </w14:textFill>
        </w:rPr>
        <w:t>社会效益分析</w:t>
      </w:r>
      <w:bookmarkEnd w:id="869"/>
    </w:p>
    <w:p w14:paraId="1540CE23">
      <w:pPr>
        <w:keepNext w:val="0"/>
        <w:keepLines w:val="0"/>
        <w:pageBreakBefore w:val="0"/>
        <w:widowControl/>
        <w:kinsoku/>
        <w:wordWrap/>
        <w:overflowPunct w:val="0"/>
        <w:topLinePunct/>
        <w:autoSpaceDE/>
        <w:autoSpaceDN/>
        <w:bidi w:val="0"/>
        <w:adjustRightInd/>
        <w:snapToGrid/>
        <w:spacing w:line="480" w:lineRule="atLeast"/>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该项目的建设和实施过程中将投入大量的资金用于建设和生产，将刺激当地的经济需求，带动当地和周边地区的经济发展，促进电力、运输、建材、商业、服务等相关行业和基础设施的发展建设，加速该地区的经济发展。同时，项目建成投产后能促进产业结构的合理调整，提高铁矿开采量，寻找新的经济增长点，增加财政税源，壮大地方经济。</w:t>
      </w:r>
    </w:p>
    <w:p w14:paraId="6E03A550">
      <w:pPr>
        <w:keepNext w:val="0"/>
        <w:keepLines w:val="0"/>
        <w:pageBreakBefore w:val="0"/>
        <w:widowControl/>
        <w:kinsoku/>
        <w:wordWrap/>
        <w:overflowPunct w:val="0"/>
        <w:topLinePunct/>
        <w:autoSpaceDE/>
        <w:autoSpaceDN/>
        <w:bidi w:val="0"/>
        <w:adjustRightInd/>
        <w:snapToGrid/>
        <w:spacing w:line="480" w:lineRule="atLeast"/>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项目建成以后具有如下优点：</w:t>
      </w:r>
    </w:p>
    <w:p w14:paraId="702E7422">
      <w:pPr>
        <w:keepNext w:val="0"/>
        <w:keepLines w:val="0"/>
        <w:pageBreakBefore w:val="0"/>
        <w:widowControl/>
        <w:numPr>
          <w:ilvl w:val="0"/>
          <w:numId w:val="6"/>
        </w:numPr>
        <w:kinsoku/>
        <w:wordWrap/>
        <w:overflowPunct w:val="0"/>
        <w:topLinePunct/>
        <w:autoSpaceDE/>
        <w:autoSpaceDN/>
        <w:bidi w:val="0"/>
        <w:adjustRightInd/>
        <w:snapToGrid/>
        <w:spacing w:line="480" w:lineRule="atLeast"/>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增加地方财政收入，促进地方经济发展。项目可以加快自然资源的合理开发利用，将潜在的资源优势转化为经济优势，增加地方财政收入。</w:t>
      </w:r>
    </w:p>
    <w:p w14:paraId="1A82AED4">
      <w:pPr>
        <w:keepNext w:val="0"/>
        <w:keepLines w:val="0"/>
        <w:pageBreakBefore w:val="0"/>
        <w:widowControl/>
        <w:numPr>
          <w:ilvl w:val="0"/>
          <w:numId w:val="6"/>
        </w:numPr>
        <w:kinsoku/>
        <w:wordWrap/>
        <w:overflowPunct w:val="0"/>
        <w:topLinePunct/>
        <w:autoSpaceDE/>
        <w:autoSpaceDN/>
        <w:bidi w:val="0"/>
        <w:adjustRightInd/>
        <w:snapToGrid/>
        <w:spacing w:line="480" w:lineRule="atLeast"/>
        <w:ind w:left="0" w:leftChars="0"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扩大就业规模，增加农民收入。项目的实施可以扩大农民就业规模，减少外出打工人员，增加农民收入，带动当地农民脱贫致富。</w:t>
      </w:r>
    </w:p>
    <w:p w14:paraId="05CE535A">
      <w:pPr>
        <w:keepNext w:val="0"/>
        <w:keepLines w:val="0"/>
        <w:pageBreakBefore w:val="0"/>
        <w:widowControl/>
        <w:numPr>
          <w:ilvl w:val="0"/>
          <w:numId w:val="6"/>
        </w:numPr>
        <w:kinsoku/>
        <w:wordWrap/>
        <w:overflowPunct w:val="0"/>
        <w:topLinePunct/>
        <w:autoSpaceDE/>
        <w:autoSpaceDN/>
        <w:bidi w:val="0"/>
        <w:adjustRightInd/>
        <w:snapToGrid/>
        <w:spacing w:line="480" w:lineRule="atLeast"/>
        <w:ind w:left="0" w:leftChars="0"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带动交通运输、服务等相关产业发展。本项目实施后，可以带动当地的运输行业发展及项目区周边的服务产业发展。 </w:t>
      </w:r>
    </w:p>
    <w:p w14:paraId="0F95D12E">
      <w:pPr>
        <w:widowControl/>
        <w:overflowPunct w:val="0"/>
        <w:topLinePunct/>
        <w:spacing w:line="480" w:lineRule="atLeast"/>
        <w:ind w:firstLine="480"/>
        <w:rPr>
          <w:rFonts w:eastAsiaTheme="minor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综上所述，本项目具有良好社会效益。</w:t>
      </w:r>
    </w:p>
    <w:p w14:paraId="32FC0F24">
      <w:pPr>
        <w:pStyle w:val="3"/>
        <w:rPr>
          <w:rFonts w:eastAsiaTheme="minorEastAsia"/>
          <w:color w:val="000000" w:themeColor="text1"/>
          <w:highlight w:val="none"/>
          <w14:textFill>
            <w14:solidFill>
              <w14:schemeClr w14:val="tx1"/>
            </w14:solidFill>
          </w14:textFill>
        </w:rPr>
      </w:pPr>
      <w:bookmarkStart w:id="878" w:name="_Toc107414673"/>
      <w:bookmarkStart w:id="879" w:name="_Toc107413906"/>
      <w:bookmarkStart w:id="880" w:name="_Toc29176"/>
      <w:bookmarkStart w:id="881" w:name="_Toc22850"/>
      <w:bookmarkStart w:id="882" w:name="_Toc20385"/>
      <w:bookmarkStart w:id="883" w:name="_Toc30582"/>
      <w:r>
        <w:rPr>
          <w:rFonts w:eastAsiaTheme="minorEastAsia"/>
          <w:color w:val="000000" w:themeColor="text1"/>
          <w:highlight w:val="none"/>
          <w14:textFill>
            <w14:solidFill>
              <w14:schemeClr w14:val="tx1"/>
            </w14:solidFill>
          </w14:textFill>
        </w:rPr>
        <w:t>7.2</w:t>
      </w:r>
      <w:bookmarkEnd w:id="878"/>
      <w:bookmarkEnd w:id="879"/>
      <w:bookmarkEnd w:id="880"/>
      <w:bookmarkEnd w:id="881"/>
      <w:bookmarkEnd w:id="882"/>
      <w:r>
        <w:rPr>
          <w:rFonts w:eastAsiaTheme="minorEastAsia"/>
          <w:color w:val="000000" w:themeColor="text1"/>
          <w:highlight w:val="none"/>
          <w14:textFill>
            <w14:solidFill>
              <w14:schemeClr w14:val="tx1"/>
            </w14:solidFill>
          </w14:textFill>
        </w:rPr>
        <w:t>经济效益分析</w:t>
      </w:r>
      <w:bookmarkEnd w:id="870"/>
      <w:bookmarkEnd w:id="871"/>
      <w:bookmarkEnd w:id="872"/>
      <w:bookmarkEnd w:id="873"/>
      <w:bookmarkEnd w:id="874"/>
      <w:bookmarkEnd w:id="875"/>
      <w:bookmarkEnd w:id="876"/>
      <w:bookmarkEnd w:id="877"/>
      <w:bookmarkEnd w:id="883"/>
    </w:p>
    <w:p w14:paraId="44404C5E">
      <w:pPr>
        <w:pStyle w:val="4"/>
        <w:rPr>
          <w:color w:val="000000" w:themeColor="text1"/>
          <w:highlight w:val="none"/>
          <w14:textFill>
            <w14:solidFill>
              <w14:schemeClr w14:val="tx1"/>
            </w14:solidFill>
          </w14:textFill>
        </w:rPr>
      </w:pPr>
      <w:bookmarkStart w:id="884" w:name="_Toc20201"/>
      <w:bookmarkStart w:id="885" w:name="_Toc23728"/>
      <w:bookmarkStart w:id="886" w:name="_Toc4865"/>
      <w:bookmarkStart w:id="887" w:name="_Toc446160747"/>
      <w:bookmarkStart w:id="888" w:name="_Toc29130"/>
      <w:bookmarkStart w:id="889" w:name="_Toc15786"/>
      <w:bookmarkStart w:id="890" w:name="_Toc365647381"/>
      <w:bookmarkStart w:id="891" w:name="_Toc12953"/>
      <w:bookmarkStart w:id="892" w:name="_Toc426642707"/>
      <w:bookmarkStart w:id="893" w:name="_Toc355784248"/>
      <w:bookmarkStart w:id="894" w:name="_Toc23259"/>
      <w:bookmarkStart w:id="895" w:name="_Toc447541235"/>
      <w:r>
        <w:rPr>
          <w:rFonts w:hint="eastAsia"/>
          <w:color w:val="000000" w:themeColor="text1"/>
          <w:highlight w:val="none"/>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.1损益估算</w:t>
      </w:r>
      <w:bookmarkEnd w:id="884"/>
      <w:bookmarkEnd w:id="885"/>
      <w:bookmarkEnd w:id="886"/>
    </w:p>
    <w:p w14:paraId="4D3DBF40">
      <w:pPr>
        <w:widowControl/>
        <w:overflowPunct w:val="0"/>
        <w:topLinePunct/>
        <w:spacing w:line="48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1、产品方案</w:t>
      </w:r>
    </w:p>
    <w:p w14:paraId="69782B41">
      <w:pPr>
        <w:widowControl/>
        <w:overflowPunct w:val="0"/>
        <w:topLinePunct/>
        <w:spacing w:line="48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项目的最终产品方案为</w:t>
      </w:r>
      <w:r>
        <w:rPr>
          <w:rFonts w:hint="eastAsia"/>
          <w:color w:val="000000" w:themeColor="text1"/>
          <w:highlight w:val="none"/>
          <w:lang w:eastAsia="zh-CN"/>
          <w14:textFill>
            <w14:solidFill>
              <w14:schemeClr w14:val="tx1"/>
            </w14:solidFill>
          </w14:textFill>
        </w:rPr>
        <w:t>铁精粉</w:t>
      </w:r>
      <w:r>
        <w:rPr>
          <w:rFonts w:hint="eastAsia"/>
          <w:color w:val="000000" w:themeColor="text1"/>
          <w:highlight w:val="none"/>
          <w14:textFill>
            <w14:solidFill>
              <w14:schemeClr w14:val="tx1"/>
            </w14:solidFill>
          </w14:textFill>
        </w:rPr>
        <w:t>。</w:t>
      </w:r>
    </w:p>
    <w:p w14:paraId="43A6D13E">
      <w:pPr>
        <w:widowControl/>
        <w:overflowPunct w:val="0"/>
        <w:topLinePunct/>
        <w:spacing w:line="48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2、产品销售</w:t>
      </w:r>
    </w:p>
    <w:p w14:paraId="4429EB9D">
      <w:pPr>
        <w:widowControl/>
        <w:overflowPunct w:val="0"/>
        <w:topLinePunct/>
        <w:spacing w:line="48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项目每年生产铁精粉主要销往八一钢铁等钢铁公司，受内外部环境及供需市场影响，区域内各客户需求量持续猛增，</w:t>
      </w:r>
      <w:r>
        <w:rPr>
          <w:rFonts w:hint="eastAsia"/>
          <w:color w:val="000000" w:themeColor="text1"/>
          <w:highlight w:val="none"/>
          <w:lang w:eastAsia="zh-CN"/>
          <w14:textFill>
            <w14:solidFill>
              <w14:schemeClr w14:val="tx1"/>
            </w14:solidFill>
          </w14:textFill>
        </w:rPr>
        <w:t>铁精粉</w:t>
      </w:r>
      <w:r>
        <w:rPr>
          <w:rFonts w:hint="eastAsia"/>
          <w:color w:val="000000" w:themeColor="text1"/>
          <w:highlight w:val="none"/>
          <w14:textFill>
            <w14:solidFill>
              <w14:schemeClr w14:val="tx1"/>
            </w14:solidFill>
          </w14:textFill>
        </w:rPr>
        <w:t>市场</w:t>
      </w:r>
      <w:r>
        <w:rPr>
          <w:rFonts w:hint="eastAsia"/>
          <w:color w:val="000000" w:themeColor="text1"/>
          <w:highlight w:val="none"/>
          <w:lang w:eastAsia="zh-CN"/>
          <w14:textFill>
            <w14:solidFill>
              <w14:schemeClr w14:val="tx1"/>
            </w14:solidFill>
          </w14:textFill>
        </w:rPr>
        <w:t>处于</w:t>
      </w:r>
      <w:r>
        <w:rPr>
          <w:rFonts w:hint="eastAsia"/>
          <w:color w:val="000000" w:themeColor="text1"/>
          <w:highlight w:val="none"/>
          <w14:textFill>
            <w14:solidFill>
              <w14:schemeClr w14:val="tx1"/>
            </w14:solidFill>
          </w14:textFill>
        </w:rPr>
        <w:t>供不应求状态，且</w:t>
      </w:r>
      <w:r>
        <w:rPr>
          <w:rFonts w:hint="eastAsia"/>
          <w:color w:val="000000" w:themeColor="text1"/>
          <w:highlight w:val="none"/>
          <w:lang w:eastAsia="zh-CN"/>
          <w14:textFill>
            <w14:solidFill>
              <w14:schemeClr w14:val="tx1"/>
            </w14:solidFill>
          </w14:textFill>
        </w:rPr>
        <w:t>铁精粉</w:t>
      </w:r>
      <w:r>
        <w:rPr>
          <w:rFonts w:hint="eastAsia"/>
          <w:color w:val="000000" w:themeColor="text1"/>
          <w:highlight w:val="none"/>
          <w14:textFill>
            <w14:solidFill>
              <w14:schemeClr w14:val="tx1"/>
            </w14:solidFill>
          </w14:textFill>
        </w:rPr>
        <w:t>价格上涨趋势坚挺。</w:t>
      </w:r>
    </w:p>
    <w:p w14:paraId="6D5B1BA3">
      <w:pPr>
        <w:widowControl/>
        <w:overflowPunct w:val="0"/>
        <w:topLinePunct/>
        <w:spacing w:line="48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3、产品销售价格</w:t>
      </w:r>
    </w:p>
    <w:p w14:paraId="39EB585D">
      <w:pPr>
        <w:widowControl/>
        <w:overflowPunct w:val="0"/>
        <w:topLinePunct/>
        <w:spacing w:line="48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本项目铁精粉价格</w:t>
      </w:r>
      <w:r>
        <w:rPr>
          <w:rFonts w:hint="eastAsia"/>
          <w:color w:val="000000" w:themeColor="text1"/>
          <w:highlight w:val="none"/>
          <w:lang w:eastAsia="zh-CN"/>
          <w14:textFill>
            <w14:solidFill>
              <w14:schemeClr w14:val="tx1"/>
            </w14:solidFill>
          </w14:textFill>
        </w:rPr>
        <w:t>由</w:t>
      </w:r>
      <w:r>
        <w:rPr>
          <w:rFonts w:hint="eastAsia"/>
          <w:color w:val="000000" w:themeColor="text1"/>
          <w:highlight w:val="none"/>
          <w14:textFill>
            <w14:solidFill>
              <w14:schemeClr w14:val="tx1"/>
            </w14:solidFill>
          </w14:textFill>
        </w:rPr>
        <w:t>业主提供近三年销售均价选取，按</w:t>
      </w:r>
      <w:r>
        <w:rPr>
          <w:rFonts w:hint="eastAsia"/>
          <w:color w:val="000000" w:themeColor="text1"/>
          <w:highlight w:val="none"/>
          <w:lang w:val="en-US" w:eastAsia="zh-CN"/>
          <w14:textFill>
            <w14:solidFill>
              <w14:schemeClr w14:val="tx1"/>
            </w14:solidFill>
          </w14:textFill>
        </w:rPr>
        <w:t>700</w:t>
      </w:r>
      <w:r>
        <w:rPr>
          <w:rFonts w:hint="eastAsia"/>
          <w:color w:val="000000" w:themeColor="text1"/>
          <w:highlight w:val="none"/>
          <w14:textFill>
            <w14:solidFill>
              <w14:schemeClr w14:val="tx1"/>
            </w14:solidFill>
          </w14:textFill>
        </w:rPr>
        <w:t>元/t（含税）计算。</w:t>
      </w:r>
    </w:p>
    <w:p w14:paraId="764350B8">
      <w:pPr>
        <w:widowControl/>
        <w:overflowPunct w:val="0"/>
        <w:topLinePunct/>
        <w:spacing w:line="48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4、销售收入</w:t>
      </w:r>
    </w:p>
    <w:p w14:paraId="60C971CE">
      <w:pPr>
        <w:keepNext w:val="0"/>
        <w:keepLines w:val="0"/>
        <w:widowControl/>
        <w:suppressLineNumbers w:val="0"/>
        <w:jc w:val="left"/>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w:t>
      </w:r>
      <w:r>
        <w:rPr>
          <w:rFonts w:hint="eastAsia"/>
          <w:color w:val="000000" w:themeColor="text1"/>
          <w:highlight w:val="none"/>
          <w:lang w:eastAsia="zh-CN"/>
          <w14:textFill>
            <w14:solidFill>
              <w14:schemeClr w14:val="tx1"/>
            </w14:solidFill>
          </w14:textFill>
        </w:rPr>
        <w:t>达产</w:t>
      </w:r>
      <w:r>
        <w:rPr>
          <w:rFonts w:hint="eastAsia"/>
          <w:color w:val="000000" w:themeColor="text1"/>
          <w:highlight w:val="none"/>
          <w:lang w:val="en-US" w:eastAsia="zh-CN"/>
          <w14:textFill>
            <w14:solidFill>
              <w14:schemeClr w14:val="tx1"/>
            </w14:solidFill>
          </w14:textFill>
        </w:rPr>
        <w:t>后企业年销售总额20895</w:t>
      </w:r>
      <w:r>
        <w:rPr>
          <w:rFonts w:hint="eastAsia"/>
          <w:color w:val="000000" w:themeColor="text1"/>
          <w:highlight w:val="none"/>
          <w14:textFill>
            <w14:solidFill>
              <w14:schemeClr w14:val="tx1"/>
            </w14:solidFill>
          </w14:textFill>
        </w:rPr>
        <w:t>万元</w:t>
      </w:r>
      <w:r>
        <w:rPr>
          <w:rFonts w:hint="eastAsia"/>
          <w:color w:val="000000" w:themeColor="text1"/>
          <w:highlight w:val="none"/>
          <w:lang w:eastAsia="zh-CN"/>
          <w14:textFill>
            <w14:solidFill>
              <w14:schemeClr w14:val="tx1"/>
            </w14:solidFill>
          </w14:textFill>
        </w:rPr>
        <w:t>。</w:t>
      </w:r>
    </w:p>
    <w:p w14:paraId="2138C1CC">
      <w:pPr>
        <w:widowControl/>
        <w:overflowPunct w:val="0"/>
        <w:topLinePunct/>
        <w:spacing w:line="48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5、利润总额</w:t>
      </w:r>
    </w:p>
    <w:p w14:paraId="1B39899D">
      <w:pPr>
        <w:widowControl/>
        <w:overflowPunct w:val="0"/>
        <w:topLinePunct/>
        <w:spacing w:line="48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年均利润总额：</w:t>
      </w:r>
      <w:r>
        <w:rPr>
          <w:rFonts w:hint="eastAsia"/>
          <w:color w:val="000000" w:themeColor="text1"/>
          <w:highlight w:val="none"/>
          <w:lang w:val="en-US" w:eastAsia="zh-CN"/>
          <w14:textFill>
            <w14:solidFill>
              <w14:schemeClr w14:val="tx1"/>
            </w14:solidFill>
          </w14:textFill>
        </w:rPr>
        <w:t>10048.35 万</w:t>
      </w:r>
      <w:r>
        <w:rPr>
          <w:rFonts w:hint="eastAsia"/>
          <w:color w:val="000000" w:themeColor="text1"/>
          <w:highlight w:val="none"/>
          <w14:textFill>
            <w14:solidFill>
              <w14:schemeClr w14:val="tx1"/>
            </w14:solidFill>
          </w14:textFill>
        </w:rPr>
        <w:t>元；</w:t>
      </w:r>
    </w:p>
    <w:p w14:paraId="3FD9876F">
      <w:pPr>
        <w:widowControl/>
        <w:overflowPunct w:val="0"/>
        <w:topLinePunct/>
        <w:spacing w:line="48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年均利税总额：</w:t>
      </w:r>
      <w:r>
        <w:rPr>
          <w:rFonts w:hint="eastAsia"/>
          <w:color w:val="000000" w:themeColor="text1"/>
          <w:highlight w:val="none"/>
          <w:lang w:val="en-US" w:eastAsia="zh-CN"/>
          <w14:textFill>
            <w14:solidFill>
              <w14:schemeClr w14:val="tx1"/>
            </w14:solidFill>
          </w14:textFill>
        </w:rPr>
        <w:t>11725.74</w:t>
      </w:r>
      <w:r>
        <w:rPr>
          <w:rFonts w:hint="eastAsia"/>
          <w:color w:val="000000" w:themeColor="text1"/>
          <w:highlight w:val="none"/>
          <w14:textFill>
            <w14:solidFill>
              <w14:schemeClr w14:val="tx1"/>
            </w14:solidFill>
          </w14:textFill>
        </w:rPr>
        <w:t>万元；</w:t>
      </w:r>
    </w:p>
    <w:p w14:paraId="65760670">
      <w:pPr>
        <w:widowControl/>
        <w:overflowPunct w:val="0"/>
        <w:topLinePunct/>
        <w:spacing w:line="48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年均税后利润：</w:t>
      </w:r>
      <w:r>
        <w:rPr>
          <w:rFonts w:hint="eastAsia"/>
          <w:color w:val="000000" w:themeColor="text1"/>
          <w:highlight w:val="none"/>
          <w:lang w:val="en-US" w:eastAsia="zh-CN"/>
          <w14:textFill>
            <w14:solidFill>
              <w14:schemeClr w14:val="tx1"/>
            </w14:solidFill>
          </w14:textFill>
        </w:rPr>
        <w:t>7536.26</w:t>
      </w:r>
      <w:r>
        <w:rPr>
          <w:rFonts w:hint="eastAsia"/>
          <w:color w:val="000000" w:themeColor="text1"/>
          <w:highlight w:val="none"/>
          <w14:textFill>
            <w14:solidFill>
              <w14:schemeClr w14:val="tx1"/>
            </w14:solidFill>
          </w14:textFill>
        </w:rPr>
        <w:t>万元；</w:t>
      </w:r>
    </w:p>
    <w:p w14:paraId="438EC565">
      <w:pPr>
        <w:widowControl/>
        <w:overflowPunct w:val="0"/>
        <w:topLinePunct/>
        <w:spacing w:line="480" w:lineRule="atLeas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投资利润率：</w:t>
      </w:r>
      <w:r>
        <w:rPr>
          <w:rFonts w:hint="eastAsia"/>
          <w:color w:val="000000" w:themeColor="text1"/>
          <w:highlight w:val="none"/>
          <w:lang w:val="en-US" w:eastAsia="zh-CN"/>
          <w14:textFill>
            <w14:solidFill>
              <w14:schemeClr w14:val="tx1"/>
            </w14:solidFill>
          </w14:textFill>
        </w:rPr>
        <w:t>126.89</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p>
    <w:p w14:paraId="072BEA89">
      <w:pPr>
        <w:widowControl/>
        <w:overflowPunct w:val="0"/>
        <w:topLinePunct/>
        <w:spacing w:line="480" w:lineRule="atLeas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投资利税率：</w:t>
      </w:r>
      <w:r>
        <w:rPr>
          <w:rFonts w:hint="eastAsia"/>
          <w:color w:val="000000" w:themeColor="text1"/>
          <w:highlight w:val="none"/>
          <w:lang w:val="en-US" w:eastAsia="zh-CN"/>
          <w14:textFill>
            <w14:solidFill>
              <w14:schemeClr w14:val="tx1"/>
            </w14:solidFill>
          </w14:textFill>
        </w:rPr>
        <w:t>197.42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p>
    <w:p w14:paraId="6012B042">
      <w:pPr>
        <w:widowControl/>
        <w:overflowPunct w:val="0"/>
        <w:topLinePunct/>
        <w:spacing w:line="48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6、税后净利润</w:t>
      </w:r>
    </w:p>
    <w:p w14:paraId="0D66E598">
      <w:pPr>
        <w:widowControl/>
        <w:overflowPunct w:val="0"/>
        <w:topLinePunct/>
        <w:spacing w:line="480" w:lineRule="atLeas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项目达产年平均税后净利润约</w:t>
      </w:r>
      <w:r>
        <w:rPr>
          <w:rFonts w:hint="eastAsia"/>
          <w:color w:val="000000" w:themeColor="text1"/>
          <w:highlight w:val="none"/>
          <w:lang w:val="en-US" w:eastAsia="zh-CN"/>
          <w14:textFill>
            <w14:solidFill>
              <w14:schemeClr w14:val="tx1"/>
            </w14:solidFill>
          </w14:textFill>
        </w:rPr>
        <w:t>7536.26</w:t>
      </w:r>
      <w:r>
        <w:rPr>
          <w:rFonts w:hint="eastAsia"/>
          <w:color w:val="000000" w:themeColor="text1"/>
          <w:highlight w:val="none"/>
          <w14:textFill>
            <w14:solidFill>
              <w14:schemeClr w14:val="tx1"/>
            </w14:solidFill>
          </w14:textFill>
        </w:rPr>
        <w:t>万元。</w:t>
      </w:r>
    </w:p>
    <w:p w14:paraId="3A4B2EFB">
      <w:pPr>
        <w:pStyle w:val="4"/>
        <w:rPr>
          <w:color w:val="000000" w:themeColor="text1"/>
          <w:highlight w:val="none"/>
          <w14:textFill>
            <w14:solidFill>
              <w14:schemeClr w14:val="tx1"/>
            </w14:solidFill>
          </w14:textFill>
        </w:rPr>
      </w:pPr>
      <w:bookmarkStart w:id="896" w:name="_Toc2763"/>
      <w:bookmarkStart w:id="897" w:name="_Toc12545"/>
      <w:bookmarkStart w:id="898" w:name="_Toc10114"/>
      <w:r>
        <w:rPr>
          <w:rFonts w:hint="eastAsia"/>
          <w:color w:val="000000" w:themeColor="text1"/>
          <w:highlight w:val="none"/>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.2建设投资</w:t>
      </w:r>
      <w:bookmarkEnd w:id="896"/>
      <w:bookmarkEnd w:id="897"/>
      <w:bookmarkEnd w:id="898"/>
    </w:p>
    <w:p w14:paraId="0B5341CB">
      <w:pPr>
        <w:pStyle w:val="55"/>
        <w:overflowPunct w:val="0"/>
        <w:topLinePunct/>
        <w:snapToGrid w:val="0"/>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本项目总投资为</w:t>
      </w:r>
      <w:r>
        <w:rPr>
          <w:rFonts w:hint="eastAsia"/>
          <w:color w:val="000000" w:themeColor="text1"/>
          <w:highlight w:val="none"/>
          <w:lang w:val="en-US" w:eastAsia="zh-CN"/>
          <w14:textFill>
            <w14:solidFill>
              <w14:schemeClr w14:val="tx1"/>
            </w14:solidFill>
          </w14:textFill>
        </w:rPr>
        <w:t>5939.21</w:t>
      </w:r>
      <w:r>
        <w:rPr>
          <w:rFonts w:hint="eastAsia"/>
          <w:color w:val="000000" w:themeColor="text1"/>
          <w:highlight w:val="none"/>
          <w14:textFill>
            <w14:solidFill>
              <w14:schemeClr w14:val="tx1"/>
            </w14:solidFill>
          </w14:textFill>
        </w:rPr>
        <w:t>万元，其中：工程费用</w:t>
      </w:r>
      <w:r>
        <w:rPr>
          <w:rFonts w:hint="eastAsia"/>
          <w:color w:val="000000" w:themeColor="text1"/>
          <w:highlight w:val="none"/>
          <w:lang w:val="en-US" w:eastAsia="zh-CN"/>
          <w14:textFill>
            <w14:solidFill>
              <w14:schemeClr w14:val="tx1"/>
            </w14:solidFill>
          </w14:textFill>
        </w:rPr>
        <w:t>5018.53</w:t>
      </w:r>
      <w:r>
        <w:rPr>
          <w:rFonts w:hint="eastAsia"/>
          <w:color w:val="000000" w:themeColor="text1"/>
          <w:highlight w:val="none"/>
          <w14:textFill>
            <w14:solidFill>
              <w14:schemeClr w14:val="tx1"/>
            </w14:solidFill>
          </w14:textFill>
        </w:rPr>
        <w:t>万元，工程建设其他费用</w:t>
      </w:r>
      <w:r>
        <w:rPr>
          <w:rFonts w:hint="eastAsia"/>
          <w:color w:val="000000" w:themeColor="text1"/>
          <w:highlight w:val="none"/>
          <w:lang w:val="en-US" w:eastAsia="zh-CN"/>
          <w14:textFill>
            <w14:solidFill>
              <w14:schemeClr w14:val="tx1"/>
            </w14:solidFill>
          </w14:textFill>
        </w:rPr>
        <w:t>173.09</w:t>
      </w:r>
      <w:r>
        <w:rPr>
          <w:rFonts w:hint="eastAsia"/>
          <w:color w:val="000000" w:themeColor="text1"/>
          <w:highlight w:val="none"/>
          <w14:textFill>
            <w14:solidFill>
              <w14:schemeClr w14:val="tx1"/>
            </w14:solidFill>
          </w14:textFill>
        </w:rPr>
        <w:t>万元，预备费</w:t>
      </w:r>
      <w:r>
        <w:rPr>
          <w:rFonts w:hint="eastAsia"/>
          <w:color w:val="000000" w:themeColor="text1"/>
          <w:highlight w:val="none"/>
          <w:lang w:val="en-US" w:eastAsia="zh-CN"/>
          <w14:textFill>
            <w14:solidFill>
              <w14:schemeClr w14:val="tx1"/>
            </w14:solidFill>
          </w14:textFill>
        </w:rPr>
        <w:t>622.99</w:t>
      </w:r>
      <w:r>
        <w:rPr>
          <w:rFonts w:hint="eastAsia"/>
          <w:color w:val="000000" w:themeColor="text1"/>
          <w:highlight w:val="none"/>
          <w14:textFill>
            <w14:solidFill>
              <w14:schemeClr w14:val="tx1"/>
            </w14:solidFill>
          </w14:textFill>
        </w:rPr>
        <w:t>万元</w:t>
      </w:r>
      <w:r>
        <w:rPr>
          <w:rFonts w:hint="eastAsia"/>
          <w:color w:val="000000" w:themeColor="text1"/>
          <w:highlight w:val="none"/>
          <w:lang w:eastAsia="zh-CN"/>
          <w14:textFill>
            <w14:solidFill>
              <w14:schemeClr w14:val="tx1"/>
            </w14:solidFill>
          </w14:textFill>
        </w:rPr>
        <w:t>，流动资金</w:t>
      </w:r>
      <w:r>
        <w:rPr>
          <w:rFonts w:hint="eastAsia"/>
          <w:color w:val="000000" w:themeColor="text1"/>
          <w:highlight w:val="none"/>
          <w:lang w:val="en-US" w:eastAsia="zh-CN"/>
          <w14:textFill>
            <w14:solidFill>
              <w14:schemeClr w14:val="tx1"/>
            </w14:solidFill>
          </w14:textFill>
        </w:rPr>
        <w:t>124.6万元</w:t>
      </w:r>
      <w:r>
        <w:rPr>
          <w:rFonts w:hint="eastAsia"/>
          <w:color w:val="000000" w:themeColor="text1"/>
          <w:highlight w:val="none"/>
          <w14:textFill>
            <w14:solidFill>
              <w14:schemeClr w14:val="tx1"/>
            </w14:solidFill>
          </w14:textFill>
        </w:rPr>
        <w:t>。均为企业自筹。</w:t>
      </w:r>
    </w:p>
    <w:p w14:paraId="583D1D4D">
      <w:pPr>
        <w:pStyle w:val="3"/>
        <w:rPr>
          <w:rFonts w:eastAsiaTheme="minorEastAsia"/>
          <w:color w:val="000000" w:themeColor="text1"/>
          <w:highlight w:val="none"/>
          <w14:textFill>
            <w14:solidFill>
              <w14:schemeClr w14:val="tx1"/>
            </w14:solidFill>
          </w14:textFill>
        </w:rPr>
      </w:pPr>
      <w:bookmarkStart w:id="899" w:name="_Toc1362"/>
      <w:bookmarkStart w:id="900" w:name="_Toc107413907"/>
      <w:bookmarkStart w:id="901" w:name="_Toc12360"/>
      <w:bookmarkStart w:id="902" w:name="_Toc19156"/>
      <w:bookmarkStart w:id="903" w:name="_Toc28572"/>
      <w:bookmarkStart w:id="904" w:name="_Toc14552"/>
      <w:bookmarkStart w:id="905" w:name="_Toc17476"/>
      <w:bookmarkStart w:id="906" w:name="_Toc107414674"/>
      <w:bookmarkStart w:id="907" w:name="_Toc9249"/>
      <w:r>
        <w:rPr>
          <w:rFonts w:eastAsiaTheme="minorEastAsia"/>
          <w:color w:val="000000" w:themeColor="text1"/>
          <w:highlight w:val="none"/>
          <w14:textFill>
            <w14:solidFill>
              <w14:schemeClr w14:val="tx1"/>
            </w14:solidFill>
          </w14:textFill>
        </w:rPr>
        <w:t>7.3环境效益分析</w:t>
      </w:r>
      <w:bookmarkEnd w:id="899"/>
      <w:bookmarkEnd w:id="900"/>
      <w:bookmarkEnd w:id="901"/>
      <w:bookmarkEnd w:id="902"/>
      <w:bookmarkEnd w:id="903"/>
      <w:bookmarkEnd w:id="904"/>
      <w:bookmarkEnd w:id="905"/>
      <w:bookmarkEnd w:id="906"/>
      <w:bookmarkEnd w:id="907"/>
    </w:p>
    <w:p w14:paraId="3292F8EF">
      <w:pPr>
        <w:widowControl/>
        <w:overflowPunct w:val="0"/>
        <w:topLinePunct/>
        <w:spacing w:line="480" w:lineRule="atLeas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效益集中体现在对生产中污染物的排放控制、资源的集中合理利用以及废物再利用，不仅可以减少企业在能源方面的投入，更重要的是使原本分散、未经任何处理的污染物得到了综合利用，并且实现达标排放。</w:t>
      </w:r>
    </w:p>
    <w:p w14:paraId="355D0090">
      <w:pPr>
        <w:widowControl/>
        <w:overflowPunct w:val="0"/>
        <w:topLinePunct/>
        <w:spacing w:line="480" w:lineRule="atLeas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color w:val="000000" w:themeColor="text1"/>
          <w:kern w:val="0"/>
          <w:szCs w:val="28"/>
          <w:highlight w:val="none"/>
          <w14:textFill>
            <w14:solidFill>
              <w14:schemeClr w14:val="tx1"/>
            </w14:solidFill>
          </w14:textFill>
        </w:rPr>
        <w:t>秉承绿色、高质量发展的宗旨，以建设矿业领域生态文明为目标，做到资源开发与环境保护相互协调，促进经济社会可持续发展</w:t>
      </w:r>
      <w:r>
        <w:rPr>
          <w:rFonts w:hint="eastAsia"/>
          <w:color w:val="000000" w:themeColor="text1"/>
          <w:kern w:val="0"/>
          <w:szCs w:val="28"/>
          <w:highlight w:val="none"/>
          <w14:textFill>
            <w14:solidFill>
              <w14:schemeClr w14:val="tx1"/>
            </w14:solidFill>
          </w14:textFill>
        </w:rPr>
        <w:t>。</w:t>
      </w:r>
      <w:r>
        <w:rPr>
          <w:color w:val="000000" w:themeColor="text1"/>
          <w:highlight w:val="none"/>
          <w14:textFill>
            <w14:solidFill>
              <w14:schemeClr w14:val="tx1"/>
            </w14:solidFill>
          </w14:textFill>
        </w:rPr>
        <w:t>本项目在采用设计和环评提出的污染治理措施后，虽仍对区域环境产生一定的负面影响，但只要确保达标排放，其环境影响则可控制在允许范围之内。</w:t>
      </w:r>
    </w:p>
    <w:p w14:paraId="6FD93785">
      <w:pPr>
        <w:overflowPunct w:val="0"/>
        <w:topLinePunct/>
        <w:spacing w:line="480" w:lineRule="atLeast"/>
        <w:ind w:firstLine="480"/>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本项目环保设施包括废水、废气、固体废物、噪声防治等，其中废气、噪声部分和工艺治理相结合，其工程内容见表7.3-1</w:t>
      </w:r>
      <w:bookmarkEnd w:id="887"/>
      <w:bookmarkEnd w:id="888"/>
      <w:bookmarkEnd w:id="889"/>
      <w:bookmarkEnd w:id="890"/>
      <w:bookmarkEnd w:id="891"/>
      <w:bookmarkEnd w:id="892"/>
      <w:bookmarkEnd w:id="893"/>
      <w:bookmarkEnd w:id="894"/>
      <w:bookmarkEnd w:id="895"/>
      <w:bookmarkStart w:id="908" w:name="_Toc426642711"/>
      <w:bookmarkStart w:id="909" w:name="_Toc446160751"/>
      <w:bookmarkStart w:id="910" w:name="_Toc447541239"/>
      <w:bookmarkStart w:id="911" w:name="_Toc390077140"/>
      <w:bookmarkStart w:id="912" w:name="_Toc11785"/>
      <w:bookmarkStart w:id="913" w:name="_Toc12153"/>
      <w:bookmarkStart w:id="914" w:name="_Toc10410"/>
      <w:r>
        <w:rPr>
          <w:rFonts w:hint="eastAsia"/>
          <w:color w:val="000000" w:themeColor="text1"/>
          <w:highlight w:val="none"/>
          <w:lang w:eastAsia="zh-CN"/>
          <w14:textFill>
            <w14:solidFill>
              <w14:schemeClr w14:val="tx1"/>
            </w14:solidFill>
          </w14:textFill>
        </w:rPr>
        <w:t>。</w:t>
      </w:r>
    </w:p>
    <w:p w14:paraId="065A39E8">
      <w:pPr>
        <w:overflowPunct w:val="0"/>
        <w:topLinePunct/>
        <w:spacing w:line="480" w:lineRule="atLeast"/>
        <w:ind w:firstLine="480"/>
        <w:rPr>
          <w:rFonts w:hint="eastAsia"/>
          <w:color w:val="000000" w:themeColor="text1"/>
          <w:highlight w:val="none"/>
          <w:lang w:eastAsia="zh-CN"/>
          <w14:textFill>
            <w14:solidFill>
              <w14:schemeClr w14:val="tx1"/>
            </w14:solidFill>
          </w14:textFill>
        </w:rPr>
      </w:pPr>
    </w:p>
    <w:p w14:paraId="6DB760D4">
      <w:pPr>
        <w:overflowPunct w:val="0"/>
        <w:topLinePunct/>
        <w:spacing w:line="480" w:lineRule="atLeast"/>
        <w:ind w:firstLine="480"/>
        <w:rPr>
          <w:rFonts w:hint="eastAsia"/>
          <w:color w:val="000000" w:themeColor="text1"/>
          <w:highlight w:val="none"/>
          <w:lang w:eastAsia="zh-CN"/>
          <w14:textFill>
            <w14:solidFill>
              <w14:schemeClr w14:val="tx1"/>
            </w14:solidFill>
          </w14:textFill>
        </w:rPr>
      </w:pPr>
    </w:p>
    <w:p w14:paraId="2196E215">
      <w:pPr>
        <w:overflowPunct w:val="0"/>
        <w:topLinePunct/>
        <w:spacing w:line="480" w:lineRule="atLeast"/>
        <w:ind w:firstLine="480"/>
        <w:rPr>
          <w:rFonts w:hint="eastAsia"/>
          <w:color w:val="000000" w:themeColor="text1"/>
          <w:highlight w:val="none"/>
          <w:lang w:eastAsia="zh-CN"/>
          <w14:textFill>
            <w14:solidFill>
              <w14:schemeClr w14:val="tx1"/>
            </w14:solidFill>
          </w14:textFill>
        </w:rPr>
      </w:pPr>
    </w:p>
    <w:p w14:paraId="3CA9D649">
      <w:pPr>
        <w:pStyle w:val="71"/>
        <w:spacing w:line="480" w:lineRule="exact"/>
        <w:ind w:right="0" w:rightChars="0" w:firstLine="0" w:firstLineChars="0"/>
        <w:jc w:val="center"/>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表7.3-1    环保投资费用估算表</w:t>
      </w:r>
    </w:p>
    <w:tbl>
      <w:tblPr>
        <w:tblStyle w:val="32"/>
        <w:tblW w:w="87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513"/>
        <w:gridCol w:w="4847"/>
        <w:gridCol w:w="1508"/>
      </w:tblGrid>
      <w:tr w14:paraId="1DE3F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408" w:type="dxa"/>
            <w:gridSpan w:val="2"/>
            <w:tcBorders>
              <w:tl2br w:val="nil"/>
              <w:tr2bl w:val="nil"/>
            </w:tcBorders>
            <w:vAlign w:val="center"/>
          </w:tcPr>
          <w:p w14:paraId="5E6554B3">
            <w:pPr>
              <w:pStyle w:val="53"/>
              <w:widowControl w:val="0"/>
              <w:spacing w:after="0" w:line="360" w:lineRule="exact"/>
              <w:ind w:firstLine="0" w:firstLineChars="0"/>
              <w:outlineLvl w:val="9"/>
              <w:rPr>
                <w:rFonts w:ascii="Times New Roman" w:hAnsi="Times New Roman" w:eastAsia="宋体" w:cs="Times New Roman"/>
                <w:color w:val="000000" w:themeColor="text1"/>
                <w:sz w:val="21"/>
                <w:highlight w:val="none"/>
                <w:lang w:eastAsia="zh-CN"/>
                <w14:textFill>
                  <w14:solidFill>
                    <w14:schemeClr w14:val="tx1"/>
                  </w14:solidFill>
                </w14:textFill>
              </w:rPr>
            </w:pPr>
            <w:bookmarkStart w:id="915" w:name="_Toc28771"/>
            <w:bookmarkStart w:id="916" w:name="_Toc8535"/>
            <w:bookmarkStart w:id="917" w:name="_Toc30431"/>
            <w:r>
              <w:rPr>
                <w:rFonts w:ascii="Times New Roman" w:hAnsi="Times New Roman" w:eastAsia="宋体" w:cs="Times New Roman"/>
                <w:color w:val="000000" w:themeColor="text1"/>
                <w:sz w:val="21"/>
                <w:highlight w:val="none"/>
                <w:lang w:eastAsia="zh-CN"/>
                <w14:textFill>
                  <w14:solidFill>
                    <w14:schemeClr w14:val="tx1"/>
                  </w14:solidFill>
                </w14:textFill>
              </w:rPr>
              <w:t>项目</w:t>
            </w:r>
            <w:bookmarkEnd w:id="915"/>
            <w:bookmarkEnd w:id="916"/>
            <w:bookmarkEnd w:id="917"/>
          </w:p>
        </w:tc>
        <w:tc>
          <w:tcPr>
            <w:tcW w:w="4847" w:type="dxa"/>
            <w:tcBorders>
              <w:tl2br w:val="nil"/>
              <w:tr2bl w:val="nil"/>
            </w:tcBorders>
            <w:vAlign w:val="center"/>
          </w:tcPr>
          <w:p w14:paraId="6BDF0D23">
            <w:pPr>
              <w:pStyle w:val="53"/>
              <w:widowControl w:val="0"/>
              <w:spacing w:after="0" w:line="360" w:lineRule="exact"/>
              <w:ind w:firstLine="0" w:firstLineChars="0"/>
              <w:outlineLvl w:val="9"/>
              <w:rPr>
                <w:rFonts w:ascii="Times New Roman" w:hAnsi="Times New Roman" w:eastAsia="宋体" w:cs="Times New Roman"/>
                <w:color w:val="000000" w:themeColor="text1"/>
                <w:sz w:val="21"/>
                <w:highlight w:val="none"/>
                <w:lang w:eastAsia="zh-CN"/>
                <w14:textFill>
                  <w14:solidFill>
                    <w14:schemeClr w14:val="tx1"/>
                  </w14:solidFill>
                </w14:textFill>
              </w:rPr>
            </w:pPr>
            <w:bookmarkStart w:id="918" w:name="_Toc13441"/>
            <w:bookmarkStart w:id="919" w:name="_Toc155"/>
            <w:bookmarkStart w:id="920" w:name="_Toc1879"/>
            <w:r>
              <w:rPr>
                <w:rFonts w:ascii="Times New Roman" w:hAnsi="Times New Roman" w:eastAsia="宋体" w:cs="Times New Roman"/>
                <w:color w:val="000000" w:themeColor="text1"/>
                <w:sz w:val="21"/>
                <w:highlight w:val="none"/>
                <w:lang w:eastAsia="zh-CN"/>
                <w14:textFill>
                  <w14:solidFill>
                    <w14:schemeClr w14:val="tx1"/>
                  </w14:solidFill>
                </w14:textFill>
              </w:rPr>
              <w:t>环保措施概要</w:t>
            </w:r>
            <w:bookmarkEnd w:id="918"/>
            <w:bookmarkEnd w:id="919"/>
            <w:bookmarkEnd w:id="920"/>
          </w:p>
        </w:tc>
        <w:tc>
          <w:tcPr>
            <w:tcW w:w="1508" w:type="dxa"/>
            <w:tcBorders>
              <w:tl2br w:val="nil"/>
              <w:tr2bl w:val="nil"/>
            </w:tcBorders>
            <w:vAlign w:val="center"/>
          </w:tcPr>
          <w:p w14:paraId="22456EA5">
            <w:pPr>
              <w:pStyle w:val="53"/>
              <w:widowControl w:val="0"/>
              <w:spacing w:after="0" w:line="360" w:lineRule="exact"/>
              <w:ind w:firstLine="0" w:firstLineChars="0"/>
              <w:outlineLvl w:val="9"/>
              <w:rPr>
                <w:rFonts w:ascii="Times New Roman" w:hAnsi="Times New Roman" w:eastAsia="宋体" w:cs="Times New Roman"/>
                <w:color w:val="000000" w:themeColor="text1"/>
                <w:sz w:val="21"/>
                <w:highlight w:val="none"/>
                <w:lang w:eastAsia="zh-CN"/>
                <w14:textFill>
                  <w14:solidFill>
                    <w14:schemeClr w14:val="tx1"/>
                  </w14:solidFill>
                </w14:textFill>
              </w:rPr>
            </w:pPr>
            <w:bookmarkStart w:id="921" w:name="_Toc1107"/>
            <w:bookmarkStart w:id="922" w:name="_Toc19718"/>
            <w:bookmarkStart w:id="923" w:name="_Toc17765"/>
            <w:r>
              <w:rPr>
                <w:rFonts w:ascii="Times New Roman" w:hAnsi="Times New Roman" w:eastAsia="宋体" w:cs="Times New Roman"/>
                <w:color w:val="000000" w:themeColor="text1"/>
                <w:sz w:val="21"/>
                <w:highlight w:val="none"/>
                <w:lang w:eastAsia="zh-CN"/>
                <w14:textFill>
                  <w14:solidFill>
                    <w14:schemeClr w14:val="tx1"/>
                  </w14:solidFill>
                </w14:textFill>
              </w:rPr>
              <w:t>投资（万元）</w:t>
            </w:r>
            <w:bookmarkEnd w:id="921"/>
            <w:bookmarkEnd w:id="922"/>
            <w:bookmarkEnd w:id="923"/>
          </w:p>
        </w:tc>
      </w:tr>
      <w:tr w14:paraId="4E238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restart"/>
            <w:tcBorders>
              <w:tl2br w:val="nil"/>
              <w:tr2bl w:val="nil"/>
            </w:tcBorders>
            <w:vAlign w:val="center"/>
          </w:tcPr>
          <w:p w14:paraId="43676A2E">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24" w:name="_Toc24260"/>
            <w:bookmarkStart w:id="925" w:name="_Toc23697"/>
            <w:bookmarkStart w:id="926" w:name="_Toc25229"/>
            <w:r>
              <w:rPr>
                <w:rFonts w:ascii="Times New Roman" w:hAnsi="Times New Roman" w:eastAsia="宋体" w:cs="Times New Roman"/>
                <w:b w:val="0"/>
                <w:color w:val="000000" w:themeColor="text1"/>
                <w:sz w:val="21"/>
                <w:highlight w:val="none"/>
                <w:lang w:eastAsia="zh-CN"/>
                <w14:textFill>
                  <w14:solidFill>
                    <w14:schemeClr w14:val="tx1"/>
                  </w14:solidFill>
                </w14:textFill>
              </w:rPr>
              <w:t>施工期</w:t>
            </w:r>
            <w:bookmarkEnd w:id="924"/>
            <w:bookmarkEnd w:id="925"/>
            <w:bookmarkEnd w:id="926"/>
          </w:p>
        </w:tc>
        <w:tc>
          <w:tcPr>
            <w:tcW w:w="1513" w:type="dxa"/>
            <w:tcBorders>
              <w:tl2br w:val="nil"/>
              <w:tr2bl w:val="nil"/>
            </w:tcBorders>
            <w:vAlign w:val="center"/>
          </w:tcPr>
          <w:p w14:paraId="5527DE92">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废气</w:t>
            </w:r>
          </w:p>
        </w:tc>
        <w:tc>
          <w:tcPr>
            <w:tcW w:w="4847" w:type="dxa"/>
            <w:tcBorders>
              <w:tl2br w:val="nil"/>
              <w:tr2bl w:val="nil"/>
            </w:tcBorders>
            <w:vAlign w:val="center"/>
          </w:tcPr>
          <w:p w14:paraId="079F66F7">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27" w:name="_Toc15200"/>
            <w:bookmarkStart w:id="928" w:name="_Toc10452"/>
            <w:bookmarkStart w:id="929" w:name="_Toc9311"/>
            <w:r>
              <w:rPr>
                <w:rFonts w:ascii="Times New Roman" w:hAnsi="Times New Roman" w:eastAsia="宋体" w:cs="Times New Roman"/>
                <w:b w:val="0"/>
                <w:color w:val="000000" w:themeColor="text1"/>
                <w:sz w:val="21"/>
                <w:highlight w:val="none"/>
                <w:lang w:eastAsia="zh-CN"/>
                <w14:textFill>
                  <w14:solidFill>
                    <w14:schemeClr w14:val="tx1"/>
                  </w14:solidFill>
                </w14:textFill>
              </w:rPr>
              <w:t>施工场地、道路洒水，运输物料遮盖等</w:t>
            </w:r>
            <w:bookmarkEnd w:id="927"/>
            <w:bookmarkEnd w:id="928"/>
            <w:bookmarkEnd w:id="929"/>
          </w:p>
        </w:tc>
        <w:tc>
          <w:tcPr>
            <w:tcW w:w="1508" w:type="dxa"/>
            <w:tcBorders>
              <w:tl2br w:val="nil"/>
              <w:tr2bl w:val="nil"/>
            </w:tcBorders>
            <w:vAlign w:val="center"/>
          </w:tcPr>
          <w:p w14:paraId="1AAF710D">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20</w:t>
            </w:r>
          </w:p>
        </w:tc>
      </w:tr>
      <w:tr w14:paraId="3CED2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0A0E7B89">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p>
        </w:tc>
        <w:tc>
          <w:tcPr>
            <w:tcW w:w="1513" w:type="dxa"/>
            <w:tcBorders>
              <w:tl2br w:val="nil"/>
              <w:tr2bl w:val="nil"/>
            </w:tcBorders>
            <w:vAlign w:val="center"/>
          </w:tcPr>
          <w:p w14:paraId="2BD3B1E1">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废水</w:t>
            </w:r>
          </w:p>
        </w:tc>
        <w:tc>
          <w:tcPr>
            <w:tcW w:w="4847" w:type="dxa"/>
            <w:tcBorders>
              <w:tl2br w:val="nil"/>
              <w:tr2bl w:val="nil"/>
            </w:tcBorders>
            <w:vAlign w:val="center"/>
          </w:tcPr>
          <w:p w14:paraId="7A89E700">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30" w:name="_Toc4166"/>
            <w:bookmarkStart w:id="931" w:name="_Toc1823"/>
            <w:bookmarkStart w:id="932" w:name="_Toc16332"/>
            <w:r>
              <w:rPr>
                <w:rFonts w:ascii="Times New Roman" w:hAnsi="Times New Roman" w:eastAsia="宋体" w:cs="Times New Roman"/>
                <w:b w:val="0"/>
                <w:color w:val="000000" w:themeColor="text1"/>
                <w:sz w:val="21"/>
                <w:highlight w:val="none"/>
                <w:lang w:eastAsia="zh-CN"/>
                <w14:textFill>
                  <w14:solidFill>
                    <w14:schemeClr w14:val="tx1"/>
                  </w14:solidFill>
                </w14:textFill>
              </w:rPr>
              <w:t>施工期临时沉淀池</w:t>
            </w:r>
            <w:bookmarkEnd w:id="930"/>
            <w:bookmarkEnd w:id="931"/>
            <w:bookmarkEnd w:id="932"/>
          </w:p>
        </w:tc>
        <w:tc>
          <w:tcPr>
            <w:tcW w:w="1508" w:type="dxa"/>
            <w:tcBorders>
              <w:tl2br w:val="nil"/>
              <w:tr2bl w:val="nil"/>
            </w:tcBorders>
            <w:vAlign w:val="center"/>
          </w:tcPr>
          <w:p w14:paraId="70CDD2CC">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5</w:t>
            </w:r>
          </w:p>
        </w:tc>
      </w:tr>
      <w:tr w14:paraId="27621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7C64488F">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p>
        </w:tc>
        <w:tc>
          <w:tcPr>
            <w:tcW w:w="1513" w:type="dxa"/>
            <w:tcBorders>
              <w:tl2br w:val="nil"/>
              <w:tr2bl w:val="nil"/>
            </w:tcBorders>
            <w:vAlign w:val="center"/>
          </w:tcPr>
          <w:p w14:paraId="47DB5DA2">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33" w:name="_Toc9015"/>
            <w:bookmarkStart w:id="934" w:name="_Toc31736"/>
            <w:bookmarkStart w:id="935" w:name="_Toc11434"/>
            <w:r>
              <w:rPr>
                <w:rFonts w:ascii="Times New Roman" w:hAnsi="Times New Roman" w:eastAsia="宋体" w:cs="Times New Roman"/>
                <w:b w:val="0"/>
                <w:color w:val="000000" w:themeColor="text1"/>
                <w:sz w:val="21"/>
                <w:highlight w:val="none"/>
                <w:lang w:eastAsia="zh-CN"/>
                <w14:textFill>
                  <w14:solidFill>
                    <w14:schemeClr w14:val="tx1"/>
                  </w14:solidFill>
                </w14:textFill>
              </w:rPr>
              <w:t>噪声</w:t>
            </w:r>
            <w:bookmarkEnd w:id="933"/>
            <w:bookmarkEnd w:id="934"/>
            <w:bookmarkEnd w:id="935"/>
          </w:p>
        </w:tc>
        <w:tc>
          <w:tcPr>
            <w:tcW w:w="4847" w:type="dxa"/>
            <w:tcBorders>
              <w:tl2br w:val="nil"/>
              <w:tr2bl w:val="nil"/>
            </w:tcBorders>
            <w:vAlign w:val="center"/>
          </w:tcPr>
          <w:p w14:paraId="05B8B71B">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36" w:name="_Toc32063"/>
            <w:bookmarkStart w:id="937" w:name="_Toc5758"/>
            <w:bookmarkStart w:id="938" w:name="_Toc2332"/>
            <w:r>
              <w:rPr>
                <w:rFonts w:ascii="Times New Roman" w:hAnsi="Times New Roman" w:eastAsia="宋体" w:cs="Times New Roman"/>
                <w:b w:val="0"/>
                <w:color w:val="000000" w:themeColor="text1"/>
                <w:sz w:val="21"/>
                <w:highlight w:val="none"/>
                <w:lang w:eastAsia="zh-CN"/>
                <w14:textFill>
                  <w14:solidFill>
                    <w14:schemeClr w14:val="tx1"/>
                  </w14:solidFill>
                </w14:textFill>
              </w:rPr>
              <w:t>合理布局，基础减振</w:t>
            </w:r>
            <w:bookmarkEnd w:id="936"/>
            <w:bookmarkEnd w:id="937"/>
            <w:bookmarkEnd w:id="938"/>
          </w:p>
        </w:tc>
        <w:tc>
          <w:tcPr>
            <w:tcW w:w="1508" w:type="dxa"/>
            <w:tcBorders>
              <w:tl2br w:val="nil"/>
              <w:tr2bl w:val="nil"/>
            </w:tcBorders>
            <w:vAlign w:val="center"/>
          </w:tcPr>
          <w:p w14:paraId="3E12A29C">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10</w:t>
            </w:r>
          </w:p>
        </w:tc>
      </w:tr>
      <w:tr w14:paraId="73557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1A0AAAE0">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p>
        </w:tc>
        <w:tc>
          <w:tcPr>
            <w:tcW w:w="1513" w:type="dxa"/>
            <w:tcBorders>
              <w:tl2br w:val="nil"/>
              <w:tr2bl w:val="nil"/>
            </w:tcBorders>
            <w:vAlign w:val="center"/>
          </w:tcPr>
          <w:p w14:paraId="5BAFFD0F">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固体废物</w:t>
            </w:r>
          </w:p>
        </w:tc>
        <w:tc>
          <w:tcPr>
            <w:tcW w:w="4847" w:type="dxa"/>
            <w:tcBorders>
              <w:tl2br w:val="nil"/>
              <w:tr2bl w:val="nil"/>
            </w:tcBorders>
            <w:vAlign w:val="center"/>
          </w:tcPr>
          <w:p w14:paraId="6A6FB8D6">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39" w:name="_Toc5161"/>
            <w:bookmarkStart w:id="940" w:name="_Toc8830"/>
            <w:bookmarkStart w:id="941" w:name="_Toc9017"/>
            <w:r>
              <w:rPr>
                <w:rFonts w:ascii="Times New Roman" w:hAnsi="Times New Roman" w:eastAsia="宋体" w:cs="Times New Roman"/>
                <w:b w:val="0"/>
                <w:color w:val="000000" w:themeColor="text1"/>
                <w:sz w:val="21"/>
                <w:highlight w:val="none"/>
                <w:lang w:eastAsia="zh-CN"/>
                <w14:textFill>
                  <w14:solidFill>
                    <w14:schemeClr w14:val="tx1"/>
                  </w14:solidFill>
                </w14:textFill>
              </w:rPr>
              <w:t>弃土、弃方、建筑垃圾的处置，施工期生活垃圾的处置</w:t>
            </w:r>
            <w:bookmarkEnd w:id="939"/>
            <w:bookmarkEnd w:id="940"/>
            <w:bookmarkEnd w:id="941"/>
          </w:p>
        </w:tc>
        <w:tc>
          <w:tcPr>
            <w:tcW w:w="1508" w:type="dxa"/>
            <w:tcBorders>
              <w:tl2br w:val="nil"/>
              <w:tr2bl w:val="nil"/>
            </w:tcBorders>
            <w:vAlign w:val="center"/>
          </w:tcPr>
          <w:p w14:paraId="0E87DEB8">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30</w:t>
            </w:r>
          </w:p>
        </w:tc>
      </w:tr>
      <w:tr w14:paraId="4774B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470D8A92">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p>
        </w:tc>
        <w:tc>
          <w:tcPr>
            <w:tcW w:w="1513" w:type="dxa"/>
            <w:tcBorders>
              <w:tl2br w:val="nil"/>
              <w:tr2bl w:val="nil"/>
            </w:tcBorders>
            <w:vAlign w:val="center"/>
          </w:tcPr>
          <w:p w14:paraId="54DCA3B2">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42" w:name="_Toc28272"/>
            <w:bookmarkStart w:id="943" w:name="_Toc12157"/>
            <w:bookmarkStart w:id="944" w:name="_Toc32678"/>
            <w:r>
              <w:rPr>
                <w:rFonts w:ascii="Times New Roman" w:hAnsi="Times New Roman" w:eastAsia="宋体" w:cs="Times New Roman"/>
                <w:b w:val="0"/>
                <w:color w:val="000000" w:themeColor="text1"/>
                <w:sz w:val="21"/>
                <w:highlight w:val="none"/>
                <w:lang w:eastAsia="zh-CN"/>
                <w14:textFill>
                  <w14:solidFill>
                    <w14:schemeClr w14:val="tx1"/>
                  </w14:solidFill>
                </w14:textFill>
              </w:rPr>
              <w:t>生态环境</w:t>
            </w:r>
            <w:bookmarkEnd w:id="942"/>
            <w:bookmarkEnd w:id="943"/>
            <w:bookmarkEnd w:id="944"/>
          </w:p>
        </w:tc>
        <w:tc>
          <w:tcPr>
            <w:tcW w:w="4847" w:type="dxa"/>
            <w:tcBorders>
              <w:tl2br w:val="nil"/>
              <w:tr2bl w:val="nil"/>
            </w:tcBorders>
            <w:vAlign w:val="center"/>
          </w:tcPr>
          <w:p w14:paraId="0446B1DA">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sz w:val="21"/>
                <w:highlight w:val="none"/>
                <w:lang w:val="en-US" w:eastAsia="zh-CN"/>
                <w14:textFill>
                  <w14:solidFill>
                    <w14:schemeClr w14:val="tx1"/>
                  </w14:solidFill>
                </w14:textFill>
              </w:rPr>
            </w:pPr>
            <w:bookmarkStart w:id="945" w:name="_Toc8876"/>
            <w:bookmarkStart w:id="946" w:name="_Toc8786"/>
            <w:bookmarkStart w:id="947" w:name="_Toc12817"/>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场址内外堆积物清理、</w:t>
            </w:r>
            <w:r>
              <w:rPr>
                <w:rFonts w:ascii="Times New Roman" w:hAnsi="Times New Roman" w:eastAsia="宋体" w:cs="Times New Roman"/>
                <w:b w:val="0"/>
                <w:color w:val="000000" w:themeColor="text1"/>
                <w:sz w:val="21"/>
                <w:highlight w:val="none"/>
                <w:lang w:eastAsia="zh-CN"/>
                <w14:textFill>
                  <w14:solidFill>
                    <w14:schemeClr w14:val="tx1"/>
                  </w14:solidFill>
                </w14:textFill>
              </w:rPr>
              <w:t>场地平整、绿化</w:t>
            </w:r>
            <w:bookmarkEnd w:id="945"/>
            <w:bookmarkEnd w:id="946"/>
            <w:bookmarkEnd w:id="947"/>
          </w:p>
        </w:tc>
        <w:tc>
          <w:tcPr>
            <w:tcW w:w="1508" w:type="dxa"/>
            <w:tcBorders>
              <w:tl2br w:val="nil"/>
              <w:tr2bl w:val="nil"/>
            </w:tcBorders>
            <w:vAlign w:val="center"/>
          </w:tcPr>
          <w:p w14:paraId="7206E9D7">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60</w:t>
            </w:r>
          </w:p>
        </w:tc>
      </w:tr>
      <w:tr w14:paraId="670FE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restart"/>
            <w:tcBorders>
              <w:tl2br w:val="nil"/>
              <w:tr2bl w:val="nil"/>
            </w:tcBorders>
            <w:vAlign w:val="center"/>
          </w:tcPr>
          <w:p w14:paraId="501F06C6">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48" w:name="_Toc6862"/>
            <w:bookmarkStart w:id="949" w:name="_Toc15459"/>
            <w:bookmarkStart w:id="950" w:name="_Toc20766"/>
            <w:r>
              <w:rPr>
                <w:rFonts w:ascii="Times New Roman" w:hAnsi="Times New Roman" w:eastAsia="宋体" w:cs="Times New Roman"/>
                <w:b w:val="0"/>
                <w:color w:val="000000" w:themeColor="text1"/>
                <w:sz w:val="21"/>
                <w:highlight w:val="none"/>
                <w:lang w:eastAsia="zh-CN"/>
                <w14:textFill>
                  <w14:solidFill>
                    <w14:schemeClr w14:val="tx1"/>
                  </w14:solidFill>
                </w14:textFill>
              </w:rPr>
              <w:t>运营期</w:t>
            </w:r>
            <w:bookmarkEnd w:id="948"/>
            <w:bookmarkEnd w:id="949"/>
            <w:bookmarkEnd w:id="950"/>
          </w:p>
        </w:tc>
        <w:tc>
          <w:tcPr>
            <w:tcW w:w="1513" w:type="dxa"/>
            <w:vMerge w:val="restart"/>
            <w:tcBorders>
              <w:tl2br w:val="nil"/>
              <w:tr2bl w:val="nil"/>
            </w:tcBorders>
            <w:vAlign w:val="center"/>
          </w:tcPr>
          <w:p w14:paraId="22456C98">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51" w:name="_Toc14285"/>
            <w:bookmarkStart w:id="952" w:name="_Toc26769"/>
            <w:bookmarkStart w:id="953" w:name="_Toc16526"/>
            <w:r>
              <w:rPr>
                <w:rFonts w:ascii="Times New Roman" w:hAnsi="Times New Roman" w:eastAsia="宋体" w:cs="Times New Roman"/>
                <w:b w:val="0"/>
                <w:color w:val="000000" w:themeColor="text1"/>
                <w:sz w:val="21"/>
                <w:highlight w:val="none"/>
                <w:lang w:eastAsia="zh-CN"/>
                <w14:textFill>
                  <w14:solidFill>
                    <w14:schemeClr w14:val="tx1"/>
                  </w14:solidFill>
                </w14:textFill>
              </w:rPr>
              <w:t>废气</w:t>
            </w:r>
            <w:bookmarkEnd w:id="951"/>
            <w:bookmarkEnd w:id="952"/>
            <w:bookmarkEnd w:id="953"/>
          </w:p>
        </w:tc>
        <w:tc>
          <w:tcPr>
            <w:tcW w:w="4847" w:type="dxa"/>
            <w:tcBorders>
              <w:tl2br w:val="nil"/>
              <w:tr2bl w:val="nil"/>
            </w:tcBorders>
            <w:vAlign w:val="center"/>
          </w:tcPr>
          <w:p w14:paraId="5F3F8B57">
            <w:pPr>
              <w:pStyle w:val="53"/>
              <w:widowControl w:val="0"/>
              <w:spacing w:after="0" w:line="360" w:lineRule="exact"/>
              <w:ind w:firstLine="0" w:firstLineChars="0"/>
              <w:jc w:val="center"/>
              <w:outlineLvl w:val="9"/>
              <w:rPr>
                <w:rFonts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原料堆场、</w:t>
            </w:r>
            <w:r>
              <w:rPr>
                <w:rFonts w:ascii="Times New Roman" w:hAnsi="Times New Roman" w:eastAsia="宋体" w:cs="Times New Roman"/>
                <w:b w:val="0"/>
                <w:color w:val="000000" w:themeColor="text1"/>
                <w:sz w:val="21"/>
                <w:highlight w:val="none"/>
                <w:lang w:eastAsia="zh-CN"/>
                <w14:textFill>
                  <w14:solidFill>
                    <w14:schemeClr w14:val="tx1"/>
                  </w14:solidFill>
                </w14:textFill>
              </w:rPr>
              <w:t>精矿</w:t>
            </w: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堆场</w:t>
            </w: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w:t>
            </w:r>
            <w:r>
              <w:rPr>
                <w:rFonts w:ascii="Times New Roman" w:hAnsi="Times New Roman" w:eastAsia="宋体" w:cs="Times New Roman"/>
                <w:b w:val="0"/>
                <w:color w:val="000000" w:themeColor="text1"/>
                <w:sz w:val="21"/>
                <w:highlight w:val="none"/>
                <w:lang w:eastAsia="zh-CN"/>
                <w14:textFill>
                  <w14:solidFill>
                    <w14:schemeClr w14:val="tx1"/>
                  </w14:solidFill>
                </w14:textFill>
              </w:rPr>
              <w:t>全封闭</w:t>
            </w: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库房</w:t>
            </w:r>
          </w:p>
        </w:tc>
        <w:tc>
          <w:tcPr>
            <w:tcW w:w="1508" w:type="dxa"/>
            <w:tcBorders>
              <w:tl2br w:val="nil"/>
              <w:tr2bl w:val="nil"/>
            </w:tcBorders>
            <w:vAlign w:val="center"/>
          </w:tcPr>
          <w:p w14:paraId="21DA0C5C">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150</w:t>
            </w:r>
          </w:p>
        </w:tc>
      </w:tr>
      <w:tr w14:paraId="280E5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continue"/>
            <w:tcBorders>
              <w:tl2br w:val="nil"/>
              <w:tr2bl w:val="nil"/>
            </w:tcBorders>
            <w:vAlign w:val="center"/>
          </w:tcPr>
          <w:p w14:paraId="765DFBA7">
            <w:pPr>
              <w:pStyle w:val="53"/>
              <w:widowControl w:val="0"/>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1513" w:type="dxa"/>
            <w:vMerge w:val="continue"/>
            <w:tcBorders>
              <w:tl2br w:val="nil"/>
              <w:tr2bl w:val="nil"/>
            </w:tcBorders>
            <w:vAlign w:val="center"/>
          </w:tcPr>
          <w:p w14:paraId="1E738666">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p>
        </w:tc>
        <w:tc>
          <w:tcPr>
            <w:tcW w:w="4847" w:type="dxa"/>
            <w:tcBorders>
              <w:tl2br w:val="nil"/>
              <w:tr2bl w:val="nil"/>
            </w:tcBorders>
            <w:vAlign w:val="center"/>
          </w:tcPr>
          <w:p w14:paraId="493D10DA">
            <w:pPr>
              <w:pStyle w:val="53"/>
              <w:widowControl w:val="0"/>
              <w:spacing w:after="0" w:line="360" w:lineRule="exact"/>
              <w:ind w:firstLine="0" w:firstLineChars="0"/>
              <w:jc w:val="center"/>
              <w:outlineLvl w:val="9"/>
              <w:rPr>
                <w:rFonts w:hint="default"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破碎干选</w:t>
            </w: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工序：集气罩+布袋除尘器，微雾抑尘系统，</w:t>
            </w: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新建15m高排气筒</w:t>
            </w:r>
          </w:p>
        </w:tc>
        <w:tc>
          <w:tcPr>
            <w:tcW w:w="1508" w:type="dxa"/>
            <w:tcBorders>
              <w:tl2br w:val="nil"/>
              <w:tr2bl w:val="nil"/>
            </w:tcBorders>
            <w:vAlign w:val="center"/>
          </w:tcPr>
          <w:p w14:paraId="74C354A3">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90</w:t>
            </w:r>
          </w:p>
        </w:tc>
      </w:tr>
      <w:tr w14:paraId="0AF9F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continue"/>
            <w:tcBorders>
              <w:tl2br w:val="nil"/>
              <w:tr2bl w:val="nil"/>
            </w:tcBorders>
            <w:vAlign w:val="center"/>
          </w:tcPr>
          <w:p w14:paraId="4BCA0657">
            <w:pPr>
              <w:pStyle w:val="53"/>
              <w:widowControl w:val="0"/>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1513" w:type="dxa"/>
            <w:vMerge w:val="continue"/>
            <w:tcBorders>
              <w:tl2br w:val="nil"/>
              <w:tr2bl w:val="nil"/>
            </w:tcBorders>
            <w:vAlign w:val="center"/>
          </w:tcPr>
          <w:p w14:paraId="32D67204">
            <w:pPr>
              <w:pStyle w:val="53"/>
              <w:widowControl w:val="0"/>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4847" w:type="dxa"/>
            <w:tcBorders>
              <w:tl2br w:val="nil"/>
              <w:tr2bl w:val="nil"/>
            </w:tcBorders>
            <w:vAlign w:val="center"/>
          </w:tcPr>
          <w:p w14:paraId="28074F96">
            <w:pPr>
              <w:pStyle w:val="53"/>
              <w:widowControl w:val="0"/>
              <w:spacing w:after="0" w:line="360" w:lineRule="exact"/>
              <w:ind w:firstLine="0" w:firstLineChars="0"/>
              <w:jc w:val="center"/>
              <w:outlineLvl w:val="9"/>
              <w:rPr>
                <w:rFonts w:hint="default"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高压辊磨工序：集气罩+布袋除尘器，微雾抑尘系统，</w:t>
            </w: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新建15m高排气筒</w:t>
            </w:r>
          </w:p>
        </w:tc>
        <w:tc>
          <w:tcPr>
            <w:tcW w:w="1508" w:type="dxa"/>
            <w:tcBorders>
              <w:tl2br w:val="nil"/>
              <w:tr2bl w:val="nil"/>
            </w:tcBorders>
            <w:vAlign w:val="center"/>
          </w:tcPr>
          <w:p w14:paraId="4DEA05C0">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90</w:t>
            </w:r>
          </w:p>
        </w:tc>
      </w:tr>
      <w:tr w14:paraId="65088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continue"/>
            <w:tcBorders>
              <w:tl2br w:val="nil"/>
              <w:tr2bl w:val="nil"/>
            </w:tcBorders>
            <w:vAlign w:val="center"/>
          </w:tcPr>
          <w:p w14:paraId="7EEABAA8">
            <w:pPr>
              <w:pStyle w:val="53"/>
              <w:widowControl w:val="0"/>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1513" w:type="dxa"/>
            <w:vMerge w:val="continue"/>
            <w:tcBorders>
              <w:tl2br w:val="nil"/>
              <w:tr2bl w:val="nil"/>
            </w:tcBorders>
            <w:vAlign w:val="center"/>
          </w:tcPr>
          <w:p w14:paraId="4CFB11D5">
            <w:pPr>
              <w:pStyle w:val="53"/>
              <w:widowControl w:val="0"/>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4847" w:type="dxa"/>
            <w:tcBorders>
              <w:tl2br w:val="nil"/>
              <w:tr2bl w:val="nil"/>
            </w:tcBorders>
            <w:vAlign w:val="center"/>
          </w:tcPr>
          <w:p w14:paraId="63AC3379">
            <w:pPr>
              <w:pStyle w:val="53"/>
              <w:widowControl w:val="0"/>
              <w:spacing w:after="0" w:line="360" w:lineRule="exact"/>
              <w:ind w:firstLine="0" w:firstLineChars="0"/>
              <w:jc w:val="center"/>
              <w:outlineLvl w:val="9"/>
              <w:rPr>
                <w:rFonts w:hint="eastAsia"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磨矿工序：气箱脉冲袋式除尘器+布袋除尘器，</w:t>
            </w: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新建15m高排气筒</w:t>
            </w:r>
          </w:p>
        </w:tc>
        <w:tc>
          <w:tcPr>
            <w:tcW w:w="1508" w:type="dxa"/>
            <w:tcBorders>
              <w:tl2br w:val="nil"/>
              <w:tr2bl w:val="nil"/>
            </w:tcBorders>
            <w:vAlign w:val="center"/>
          </w:tcPr>
          <w:p w14:paraId="7EDB1028">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90</w:t>
            </w:r>
          </w:p>
        </w:tc>
      </w:tr>
      <w:tr w14:paraId="7CEBA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continue"/>
            <w:tcBorders>
              <w:tl2br w:val="nil"/>
              <w:tr2bl w:val="nil"/>
            </w:tcBorders>
            <w:vAlign w:val="center"/>
          </w:tcPr>
          <w:p w14:paraId="10E6AA79">
            <w:pPr>
              <w:pStyle w:val="53"/>
              <w:widowControl w:val="0"/>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1513" w:type="dxa"/>
            <w:vMerge w:val="continue"/>
            <w:tcBorders>
              <w:tl2br w:val="nil"/>
              <w:tr2bl w:val="nil"/>
            </w:tcBorders>
            <w:vAlign w:val="center"/>
          </w:tcPr>
          <w:p w14:paraId="11B3D059">
            <w:pPr>
              <w:pStyle w:val="53"/>
              <w:widowControl w:val="0"/>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4847" w:type="dxa"/>
            <w:tcBorders>
              <w:tl2br w:val="nil"/>
              <w:tr2bl w:val="nil"/>
            </w:tcBorders>
            <w:vAlign w:val="center"/>
          </w:tcPr>
          <w:p w14:paraId="50D2A223">
            <w:pPr>
              <w:pStyle w:val="53"/>
              <w:widowControl w:val="0"/>
              <w:spacing w:after="0" w:line="360" w:lineRule="exact"/>
              <w:ind w:firstLine="0" w:firstLineChars="0"/>
              <w:jc w:val="center"/>
              <w:outlineLvl w:val="9"/>
              <w:rPr>
                <w:rFonts w:hint="eastAsia"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选矿厂各工艺车间：全封闭皮带输送机</w:t>
            </w:r>
          </w:p>
        </w:tc>
        <w:tc>
          <w:tcPr>
            <w:tcW w:w="1508" w:type="dxa"/>
            <w:tcBorders>
              <w:tl2br w:val="nil"/>
              <w:tr2bl w:val="nil"/>
            </w:tcBorders>
            <w:vAlign w:val="center"/>
          </w:tcPr>
          <w:p w14:paraId="3BD88D75">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15</w:t>
            </w:r>
          </w:p>
        </w:tc>
      </w:tr>
      <w:tr w14:paraId="097FE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continue"/>
            <w:tcBorders>
              <w:tl2br w:val="nil"/>
              <w:tr2bl w:val="nil"/>
            </w:tcBorders>
            <w:vAlign w:val="center"/>
          </w:tcPr>
          <w:p w14:paraId="7D16FF6E">
            <w:pPr>
              <w:pStyle w:val="53"/>
              <w:widowControl w:val="0"/>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1513" w:type="dxa"/>
            <w:vMerge w:val="continue"/>
            <w:tcBorders>
              <w:tl2br w:val="nil"/>
              <w:tr2bl w:val="nil"/>
            </w:tcBorders>
            <w:vAlign w:val="center"/>
          </w:tcPr>
          <w:p w14:paraId="3B446ED9">
            <w:pPr>
              <w:pStyle w:val="53"/>
              <w:widowControl w:val="0"/>
              <w:spacing w:after="0" w:line="360" w:lineRule="exact"/>
              <w:ind w:firstLine="0" w:firstLineChars="0"/>
              <w:outlineLvl w:val="9"/>
              <w:rPr>
                <w:rFonts w:ascii="Times New Roman" w:hAnsi="Times New Roman" w:eastAsia="宋体" w:cs="Times New Roman"/>
                <w:color w:val="000000" w:themeColor="text1"/>
                <w:sz w:val="21"/>
                <w:highlight w:val="none"/>
                <w14:textFill>
                  <w14:solidFill>
                    <w14:schemeClr w14:val="tx1"/>
                  </w14:solidFill>
                </w14:textFill>
              </w:rPr>
            </w:pPr>
          </w:p>
        </w:tc>
        <w:tc>
          <w:tcPr>
            <w:tcW w:w="4847" w:type="dxa"/>
            <w:tcBorders>
              <w:tl2br w:val="nil"/>
              <w:tr2bl w:val="nil"/>
            </w:tcBorders>
            <w:vAlign w:val="center"/>
          </w:tcPr>
          <w:p w14:paraId="2F3151BA">
            <w:pPr>
              <w:pStyle w:val="53"/>
              <w:widowControl w:val="0"/>
              <w:spacing w:after="0" w:line="360" w:lineRule="exact"/>
              <w:ind w:firstLine="0" w:firstLineChars="0"/>
              <w:jc w:val="center"/>
              <w:outlineLvl w:val="9"/>
              <w:rPr>
                <w:rFonts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bCs/>
                <w:color w:val="000000" w:themeColor="text1"/>
                <w:kern w:val="2"/>
                <w:sz w:val="21"/>
                <w:highlight w:val="none"/>
                <w:lang w:eastAsia="zh-CN" w:bidi="ar-SA"/>
                <w14:textFill>
                  <w14:solidFill>
                    <w14:schemeClr w14:val="tx1"/>
                  </w14:solidFill>
                </w14:textFill>
              </w:rPr>
              <w:t>其他无组织扬尘：</w:t>
            </w:r>
            <w:r>
              <w:rPr>
                <w:rFonts w:hint="eastAsia" w:ascii="Times New Roman" w:hAnsi="Times New Roman" w:eastAsia="宋体" w:cs="Times New Roman"/>
                <w:b w:val="0"/>
                <w:bCs/>
                <w:color w:val="000000" w:themeColor="text1"/>
                <w:kern w:val="2"/>
                <w:sz w:val="21"/>
                <w:highlight w:val="none"/>
                <w:lang w:val="en-US" w:eastAsia="zh-CN" w:bidi="ar-SA"/>
                <w14:textFill>
                  <w14:solidFill>
                    <w14:schemeClr w14:val="tx1"/>
                  </w14:solidFill>
                </w14:textFill>
              </w:rPr>
              <w:t>车间密闭设计，</w:t>
            </w:r>
            <w:r>
              <w:rPr>
                <w:rFonts w:ascii="Times New Roman" w:hAnsi="Times New Roman" w:eastAsia="宋体" w:cs="Times New Roman"/>
                <w:b w:val="0"/>
                <w:bCs/>
                <w:color w:val="000000" w:themeColor="text1"/>
                <w:kern w:val="2"/>
                <w:sz w:val="21"/>
                <w:highlight w:val="none"/>
                <w:lang w:eastAsia="zh-CN" w:bidi="ar-SA"/>
                <w14:textFill>
                  <w14:solidFill>
                    <w14:schemeClr w14:val="tx1"/>
                  </w14:solidFill>
                </w14:textFill>
              </w:rPr>
              <w:t>移动式远程射雾器</w:t>
            </w:r>
            <w:r>
              <w:rPr>
                <w:rFonts w:hint="eastAsia" w:ascii="Times New Roman" w:hAnsi="Times New Roman" w:eastAsia="宋体" w:cs="Times New Roman"/>
                <w:b w:val="0"/>
                <w:bCs/>
                <w:color w:val="000000" w:themeColor="text1"/>
                <w:kern w:val="2"/>
                <w:sz w:val="21"/>
                <w:highlight w:val="none"/>
                <w:lang w:eastAsia="zh-CN" w:bidi="ar-SA"/>
                <w14:textFill>
                  <w14:solidFill>
                    <w14:schemeClr w14:val="tx1"/>
                  </w14:solidFill>
                </w14:textFill>
              </w:rPr>
              <w:t>、</w:t>
            </w:r>
            <w:r>
              <w:rPr>
                <w:rFonts w:hint="eastAsia" w:ascii="Times New Roman" w:hAnsi="Times New Roman" w:eastAsia="宋体" w:cs="Times New Roman"/>
                <w:b w:val="0"/>
                <w:bCs/>
                <w:color w:val="000000" w:themeColor="text1"/>
                <w:kern w:val="2"/>
                <w:sz w:val="21"/>
                <w:highlight w:val="none"/>
                <w:lang w:val="en-US" w:eastAsia="zh-CN" w:bidi="ar-SA"/>
                <w14:textFill>
                  <w14:solidFill>
                    <w14:schemeClr w14:val="tx1"/>
                  </w14:solidFill>
                </w14:textFill>
              </w:rPr>
              <w:t>生态高抑制剂</w:t>
            </w:r>
            <w:r>
              <w:rPr>
                <w:rFonts w:hint="eastAsia" w:ascii="Times New Roman" w:hAnsi="Times New Roman" w:eastAsia="宋体" w:cs="Times New Roman"/>
                <w:b w:val="0"/>
                <w:bCs/>
                <w:color w:val="000000" w:themeColor="text1"/>
                <w:kern w:val="2"/>
                <w:sz w:val="21"/>
                <w:highlight w:val="none"/>
                <w:lang w:eastAsia="zh-CN" w:bidi="ar-SA"/>
                <w14:textFill>
                  <w14:solidFill>
                    <w14:schemeClr w14:val="tx1"/>
                  </w14:solidFill>
                </w14:textFill>
              </w:rPr>
              <w:t>固定喷洒基站</w:t>
            </w:r>
          </w:p>
        </w:tc>
        <w:tc>
          <w:tcPr>
            <w:tcW w:w="1508" w:type="dxa"/>
            <w:tcBorders>
              <w:tl2br w:val="nil"/>
              <w:tr2bl w:val="nil"/>
            </w:tcBorders>
            <w:vAlign w:val="center"/>
          </w:tcPr>
          <w:p w14:paraId="47FF28C5">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20</w:t>
            </w:r>
          </w:p>
        </w:tc>
      </w:tr>
      <w:tr w14:paraId="6E454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continue"/>
            <w:tcBorders>
              <w:tl2br w:val="nil"/>
              <w:tr2bl w:val="nil"/>
            </w:tcBorders>
            <w:vAlign w:val="center"/>
          </w:tcPr>
          <w:p w14:paraId="0B6DCB58">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p>
        </w:tc>
        <w:tc>
          <w:tcPr>
            <w:tcW w:w="1513" w:type="dxa"/>
            <w:tcBorders>
              <w:tl2br w:val="nil"/>
              <w:tr2bl w:val="nil"/>
            </w:tcBorders>
            <w:vAlign w:val="center"/>
          </w:tcPr>
          <w:p w14:paraId="19C2449C">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54" w:name="_Toc17516"/>
            <w:bookmarkStart w:id="955" w:name="_Toc22041"/>
            <w:bookmarkStart w:id="956" w:name="_Toc23974"/>
            <w:r>
              <w:rPr>
                <w:rFonts w:ascii="Times New Roman" w:hAnsi="Times New Roman" w:eastAsia="宋体" w:cs="Times New Roman"/>
                <w:b w:val="0"/>
                <w:color w:val="000000" w:themeColor="text1"/>
                <w:sz w:val="21"/>
                <w:highlight w:val="none"/>
                <w:lang w:eastAsia="zh-CN"/>
                <w14:textFill>
                  <w14:solidFill>
                    <w14:schemeClr w14:val="tx1"/>
                  </w14:solidFill>
                </w14:textFill>
              </w:rPr>
              <w:t>废水</w:t>
            </w:r>
            <w:bookmarkEnd w:id="954"/>
            <w:bookmarkEnd w:id="955"/>
            <w:bookmarkEnd w:id="956"/>
          </w:p>
        </w:tc>
        <w:tc>
          <w:tcPr>
            <w:tcW w:w="4847" w:type="dxa"/>
            <w:tcBorders>
              <w:tl2br w:val="nil"/>
              <w:tr2bl w:val="nil"/>
            </w:tcBorders>
            <w:vAlign w:val="center"/>
          </w:tcPr>
          <w:p w14:paraId="676FDAD1">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隔油池+</w:t>
            </w:r>
            <w:r>
              <w:rPr>
                <w:rFonts w:ascii="Times New Roman" w:hAnsi="Times New Roman" w:eastAsia="宋体" w:cs="Times New Roman"/>
                <w:b w:val="0"/>
                <w:color w:val="000000" w:themeColor="text1"/>
                <w:sz w:val="21"/>
                <w:highlight w:val="none"/>
                <w:lang w:eastAsia="zh-CN"/>
                <w14:textFill>
                  <w14:solidFill>
                    <w14:schemeClr w14:val="tx1"/>
                  </w14:solidFill>
                </w14:textFill>
              </w:rPr>
              <w:t>地埋式一体化污水处理设施</w:t>
            </w: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w:t>
            </w: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回水池</w:t>
            </w:r>
          </w:p>
        </w:tc>
        <w:tc>
          <w:tcPr>
            <w:tcW w:w="1508" w:type="dxa"/>
            <w:tcBorders>
              <w:tl2br w:val="nil"/>
              <w:tr2bl w:val="nil"/>
            </w:tcBorders>
            <w:vAlign w:val="center"/>
          </w:tcPr>
          <w:p w14:paraId="07B49027">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15</w:t>
            </w:r>
          </w:p>
        </w:tc>
      </w:tr>
      <w:tr w14:paraId="2F171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736CC0F0">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p>
        </w:tc>
        <w:tc>
          <w:tcPr>
            <w:tcW w:w="1513" w:type="dxa"/>
            <w:tcBorders>
              <w:tl2br w:val="nil"/>
              <w:tr2bl w:val="nil"/>
            </w:tcBorders>
            <w:vAlign w:val="center"/>
          </w:tcPr>
          <w:p w14:paraId="11A488E9">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噪声</w:t>
            </w:r>
          </w:p>
        </w:tc>
        <w:tc>
          <w:tcPr>
            <w:tcW w:w="4847" w:type="dxa"/>
            <w:tcBorders>
              <w:tl2br w:val="nil"/>
              <w:tr2bl w:val="nil"/>
            </w:tcBorders>
            <w:vAlign w:val="center"/>
          </w:tcPr>
          <w:p w14:paraId="70665D47">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57" w:name="_Toc11328"/>
            <w:bookmarkStart w:id="958" w:name="_Toc25839"/>
            <w:bookmarkStart w:id="959" w:name="_Toc20327"/>
            <w:r>
              <w:rPr>
                <w:rFonts w:ascii="Times New Roman" w:hAnsi="Times New Roman" w:eastAsia="宋体" w:cs="Times New Roman"/>
                <w:b w:val="0"/>
                <w:color w:val="000000" w:themeColor="text1"/>
                <w:sz w:val="21"/>
                <w:highlight w:val="none"/>
                <w:lang w:eastAsia="zh-CN"/>
                <w14:textFill>
                  <w14:solidFill>
                    <w14:schemeClr w14:val="tx1"/>
                  </w14:solidFill>
                </w14:textFill>
              </w:rPr>
              <w:t>高噪声设备进行基础减振，设备养护</w:t>
            </w:r>
            <w:bookmarkEnd w:id="957"/>
            <w:bookmarkEnd w:id="958"/>
            <w:bookmarkEnd w:id="959"/>
          </w:p>
        </w:tc>
        <w:tc>
          <w:tcPr>
            <w:tcW w:w="1508" w:type="dxa"/>
            <w:tcBorders>
              <w:tl2br w:val="nil"/>
              <w:tr2bl w:val="nil"/>
            </w:tcBorders>
            <w:vAlign w:val="center"/>
          </w:tcPr>
          <w:p w14:paraId="456614A8">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15</w:t>
            </w:r>
          </w:p>
        </w:tc>
      </w:tr>
      <w:tr w14:paraId="1D4E6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95" w:type="dxa"/>
            <w:vMerge w:val="continue"/>
            <w:tcBorders>
              <w:tl2br w:val="nil"/>
              <w:tr2bl w:val="nil"/>
            </w:tcBorders>
            <w:vAlign w:val="center"/>
          </w:tcPr>
          <w:p w14:paraId="3D20DB2E">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p>
        </w:tc>
        <w:tc>
          <w:tcPr>
            <w:tcW w:w="1513" w:type="dxa"/>
            <w:tcBorders>
              <w:tl2br w:val="nil"/>
              <w:tr2bl w:val="nil"/>
            </w:tcBorders>
            <w:vAlign w:val="center"/>
          </w:tcPr>
          <w:p w14:paraId="78A1D21E">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固体废物</w:t>
            </w:r>
          </w:p>
        </w:tc>
        <w:tc>
          <w:tcPr>
            <w:tcW w:w="4847" w:type="dxa"/>
            <w:tcBorders>
              <w:tl2br w:val="nil"/>
              <w:tr2bl w:val="nil"/>
            </w:tcBorders>
            <w:vAlign w:val="center"/>
          </w:tcPr>
          <w:p w14:paraId="2DA524DB">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尾矿库防渗系统</w:t>
            </w:r>
          </w:p>
        </w:tc>
        <w:tc>
          <w:tcPr>
            <w:tcW w:w="1508" w:type="dxa"/>
            <w:tcBorders>
              <w:tl2br w:val="nil"/>
              <w:tr2bl w:val="nil"/>
            </w:tcBorders>
            <w:vAlign w:val="center"/>
          </w:tcPr>
          <w:p w14:paraId="1B33A37E">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3</w:t>
            </w: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00</w:t>
            </w:r>
          </w:p>
        </w:tc>
      </w:tr>
      <w:tr w14:paraId="1CC2C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7461DAC3">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p>
        </w:tc>
        <w:tc>
          <w:tcPr>
            <w:tcW w:w="1513" w:type="dxa"/>
            <w:tcBorders>
              <w:tl2br w:val="nil"/>
              <w:tr2bl w:val="nil"/>
            </w:tcBorders>
            <w:vAlign w:val="center"/>
          </w:tcPr>
          <w:p w14:paraId="2001E318">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60" w:name="_Toc11844"/>
            <w:bookmarkStart w:id="961" w:name="_Toc28800"/>
            <w:bookmarkStart w:id="962" w:name="_Toc28396"/>
            <w:r>
              <w:rPr>
                <w:rFonts w:ascii="Times New Roman" w:hAnsi="Times New Roman" w:eastAsia="宋体" w:cs="Times New Roman"/>
                <w:b w:val="0"/>
                <w:color w:val="000000" w:themeColor="text1"/>
                <w:sz w:val="21"/>
                <w:highlight w:val="none"/>
                <w:lang w:eastAsia="zh-CN"/>
                <w14:textFill>
                  <w14:solidFill>
                    <w14:schemeClr w14:val="tx1"/>
                  </w14:solidFill>
                </w14:textFill>
              </w:rPr>
              <w:t>水土保持</w:t>
            </w:r>
            <w:bookmarkEnd w:id="960"/>
            <w:bookmarkEnd w:id="961"/>
            <w:bookmarkEnd w:id="962"/>
          </w:p>
        </w:tc>
        <w:tc>
          <w:tcPr>
            <w:tcW w:w="4847" w:type="dxa"/>
            <w:tcBorders>
              <w:tl2br w:val="nil"/>
              <w:tr2bl w:val="nil"/>
            </w:tcBorders>
            <w:vAlign w:val="center"/>
          </w:tcPr>
          <w:p w14:paraId="697E02D4">
            <w:pPr>
              <w:spacing w:line="360" w:lineRule="exact"/>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水土保持与生态恢复</w:t>
            </w:r>
          </w:p>
        </w:tc>
        <w:tc>
          <w:tcPr>
            <w:tcW w:w="1508" w:type="dxa"/>
            <w:tcBorders>
              <w:tl2br w:val="nil"/>
              <w:tr2bl w:val="nil"/>
            </w:tcBorders>
            <w:vAlign w:val="center"/>
          </w:tcPr>
          <w:p w14:paraId="56CAD877">
            <w:pPr>
              <w:spacing w:line="360" w:lineRule="exact"/>
              <w:ind w:firstLine="0" w:firstLineChars="0"/>
              <w:jc w:val="center"/>
              <w:rPr>
                <w:color w:val="000000" w:themeColor="text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300</w:t>
            </w:r>
          </w:p>
        </w:tc>
      </w:tr>
      <w:tr w14:paraId="29C92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7B67B53D">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p>
        </w:tc>
        <w:tc>
          <w:tcPr>
            <w:tcW w:w="1513" w:type="dxa"/>
            <w:vMerge w:val="restart"/>
            <w:tcBorders>
              <w:tl2br w:val="nil"/>
              <w:tr2bl w:val="nil"/>
            </w:tcBorders>
            <w:vAlign w:val="center"/>
          </w:tcPr>
          <w:p w14:paraId="6E6A88B7">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环境风险</w:t>
            </w:r>
          </w:p>
        </w:tc>
        <w:tc>
          <w:tcPr>
            <w:tcW w:w="4847" w:type="dxa"/>
            <w:tcBorders>
              <w:tl2br w:val="nil"/>
              <w:tr2bl w:val="nil"/>
            </w:tcBorders>
            <w:vAlign w:val="center"/>
          </w:tcPr>
          <w:p w14:paraId="2CE9E5A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16"/>
                <w:highlight w:val="none"/>
                <w14:textFill>
                  <w14:solidFill>
                    <w14:schemeClr w14:val="tx1"/>
                  </w14:solidFill>
                </w14:textFill>
              </w:rPr>
              <w:t>尾矿库截洪沟、回水池</w:t>
            </w:r>
          </w:p>
        </w:tc>
        <w:tc>
          <w:tcPr>
            <w:tcW w:w="1508" w:type="dxa"/>
            <w:tcBorders>
              <w:tl2br w:val="nil"/>
              <w:tr2bl w:val="nil"/>
            </w:tcBorders>
            <w:vAlign w:val="center"/>
          </w:tcPr>
          <w:p w14:paraId="4BCEAECC">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120</w:t>
            </w:r>
          </w:p>
        </w:tc>
      </w:tr>
      <w:tr w14:paraId="1B9D7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vMerge w:val="continue"/>
            <w:tcBorders>
              <w:tl2br w:val="nil"/>
              <w:tr2bl w:val="nil"/>
            </w:tcBorders>
            <w:vAlign w:val="center"/>
          </w:tcPr>
          <w:p w14:paraId="2BB07196">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p>
        </w:tc>
        <w:tc>
          <w:tcPr>
            <w:tcW w:w="1513" w:type="dxa"/>
            <w:vMerge w:val="continue"/>
            <w:tcBorders>
              <w:tl2br w:val="nil"/>
              <w:tr2bl w:val="nil"/>
            </w:tcBorders>
            <w:vAlign w:val="center"/>
          </w:tcPr>
          <w:p w14:paraId="5570020D">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p>
        </w:tc>
        <w:tc>
          <w:tcPr>
            <w:tcW w:w="4847" w:type="dxa"/>
            <w:tcBorders>
              <w:tl2br w:val="nil"/>
              <w:tr2bl w:val="nil"/>
            </w:tcBorders>
            <w:vAlign w:val="center"/>
          </w:tcPr>
          <w:p w14:paraId="3E89CD70">
            <w:pPr>
              <w:spacing w:line="360" w:lineRule="exact"/>
              <w:ind w:firstLine="0" w:firstLineChars="0"/>
              <w:jc w:val="center"/>
              <w:rPr>
                <w:color w:val="000000" w:themeColor="text1"/>
                <w:sz w:val="21"/>
                <w:szCs w:val="16"/>
                <w:highlight w:val="none"/>
                <w14:textFill>
                  <w14:solidFill>
                    <w14:schemeClr w14:val="tx1"/>
                  </w14:solidFill>
                </w14:textFill>
              </w:rPr>
            </w:pPr>
            <w:r>
              <w:rPr>
                <w:color w:val="000000" w:themeColor="text1"/>
                <w:sz w:val="21"/>
                <w:szCs w:val="16"/>
                <w:highlight w:val="none"/>
                <w14:textFill>
                  <w14:solidFill>
                    <w14:schemeClr w14:val="tx1"/>
                  </w14:solidFill>
                </w14:textFill>
              </w:rPr>
              <w:t>1座800m</w:t>
            </w:r>
            <w:r>
              <w:rPr>
                <w:color w:val="000000" w:themeColor="text1"/>
                <w:sz w:val="21"/>
                <w:szCs w:val="16"/>
                <w:highlight w:val="none"/>
                <w:vertAlign w:val="superscript"/>
                <w14:textFill>
                  <w14:solidFill>
                    <w14:schemeClr w14:val="tx1"/>
                  </w14:solidFill>
                </w14:textFill>
              </w:rPr>
              <w:t>3</w:t>
            </w:r>
            <w:r>
              <w:rPr>
                <w:color w:val="000000" w:themeColor="text1"/>
                <w:sz w:val="21"/>
                <w:szCs w:val="16"/>
                <w:highlight w:val="none"/>
                <w14:textFill>
                  <w14:solidFill>
                    <w14:schemeClr w14:val="tx1"/>
                  </w14:solidFill>
                </w14:textFill>
              </w:rPr>
              <w:t>防渗事故池</w:t>
            </w:r>
          </w:p>
        </w:tc>
        <w:tc>
          <w:tcPr>
            <w:tcW w:w="1508" w:type="dxa"/>
            <w:tcBorders>
              <w:tl2br w:val="nil"/>
              <w:tr2bl w:val="nil"/>
            </w:tcBorders>
            <w:vAlign w:val="center"/>
          </w:tcPr>
          <w:p w14:paraId="5AE384B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w:t>
            </w:r>
          </w:p>
        </w:tc>
      </w:tr>
      <w:tr w14:paraId="2989C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dxa"/>
            <w:tcBorders>
              <w:tl2br w:val="nil"/>
              <w:tr2bl w:val="nil"/>
            </w:tcBorders>
            <w:vAlign w:val="center"/>
          </w:tcPr>
          <w:p w14:paraId="0A6639A8">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sz w:val="21"/>
                <w:highlight w:val="none"/>
                <w:lang w:val="en-US" w:eastAsia="zh-CN"/>
                <w14:textFill>
                  <w14:solidFill>
                    <w14:schemeClr w14:val="tx1"/>
                  </w14:solidFill>
                </w14:textFill>
              </w:rPr>
            </w:pPr>
            <w:bookmarkStart w:id="963" w:name="_Toc26669"/>
            <w:bookmarkStart w:id="964" w:name="_Toc27831"/>
            <w:bookmarkStart w:id="965" w:name="_Toc2175"/>
            <w:r>
              <w:rPr>
                <w:rFonts w:ascii="Times New Roman" w:hAnsi="Times New Roman" w:eastAsia="宋体" w:cs="Times New Roman"/>
                <w:b w:val="0"/>
                <w:color w:val="000000" w:themeColor="text1"/>
                <w:sz w:val="21"/>
                <w:highlight w:val="none"/>
                <w:lang w:eastAsia="zh-CN"/>
                <w14:textFill>
                  <w14:solidFill>
                    <w14:schemeClr w14:val="tx1"/>
                  </w14:solidFill>
                </w14:textFill>
              </w:rPr>
              <w:t>闭</w:t>
            </w: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库</w:t>
            </w:r>
            <w:bookmarkEnd w:id="963"/>
            <w:bookmarkEnd w:id="964"/>
            <w:bookmarkEnd w:id="965"/>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期</w:t>
            </w:r>
          </w:p>
        </w:tc>
        <w:tc>
          <w:tcPr>
            <w:tcW w:w="1513" w:type="dxa"/>
            <w:tcBorders>
              <w:tl2br w:val="nil"/>
              <w:tr2bl w:val="nil"/>
            </w:tcBorders>
            <w:vAlign w:val="center"/>
          </w:tcPr>
          <w:p w14:paraId="4EE321EE">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现有尾矿库闭库</w:t>
            </w:r>
          </w:p>
        </w:tc>
        <w:tc>
          <w:tcPr>
            <w:tcW w:w="4847" w:type="dxa"/>
            <w:tcBorders>
              <w:tl2br w:val="nil"/>
              <w:tr2bl w:val="nil"/>
            </w:tcBorders>
            <w:vAlign w:val="center"/>
          </w:tcPr>
          <w:p w14:paraId="5F9A9672">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现有</w:t>
            </w:r>
            <w:r>
              <w:rPr>
                <w:rFonts w:hint="eastAsia" w:ascii="Times New Roman" w:hAnsi="Times New Roman" w:eastAsia="宋体" w:cs="Times New Roman"/>
                <w:b w:val="0"/>
                <w:color w:val="000000" w:themeColor="text1"/>
                <w:sz w:val="21"/>
                <w:highlight w:val="none"/>
                <w:lang w:eastAsia="zh-CN"/>
                <w14:textFill>
                  <w14:solidFill>
                    <w14:schemeClr w14:val="tx1"/>
                  </w14:solidFill>
                </w14:textFill>
              </w:rPr>
              <w:t>尾矿库闭库</w:t>
            </w: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及闭库后生态修复</w:t>
            </w:r>
          </w:p>
        </w:tc>
        <w:tc>
          <w:tcPr>
            <w:tcW w:w="1508" w:type="dxa"/>
            <w:tcBorders>
              <w:tl2br w:val="nil"/>
              <w:tr2bl w:val="nil"/>
            </w:tcBorders>
            <w:vAlign w:val="center"/>
          </w:tcPr>
          <w:p w14:paraId="74E37617">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200</w:t>
            </w:r>
          </w:p>
        </w:tc>
      </w:tr>
      <w:tr w14:paraId="6C6FD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08" w:type="dxa"/>
            <w:gridSpan w:val="2"/>
            <w:tcBorders>
              <w:tl2br w:val="nil"/>
              <w:tr2bl w:val="nil"/>
            </w:tcBorders>
            <w:vAlign w:val="center"/>
          </w:tcPr>
          <w:p w14:paraId="574ED497">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66" w:name="_Toc28636"/>
            <w:bookmarkStart w:id="967" w:name="_Toc29484"/>
            <w:bookmarkStart w:id="968" w:name="_Toc25323"/>
            <w:r>
              <w:rPr>
                <w:rFonts w:ascii="Times New Roman" w:hAnsi="Times New Roman" w:eastAsia="宋体" w:cs="Times New Roman"/>
                <w:b w:val="0"/>
                <w:color w:val="000000" w:themeColor="text1"/>
                <w:sz w:val="21"/>
                <w:highlight w:val="none"/>
                <w:lang w:eastAsia="zh-CN"/>
                <w14:textFill>
                  <w14:solidFill>
                    <w14:schemeClr w14:val="tx1"/>
                  </w14:solidFill>
                </w14:textFill>
              </w:rPr>
              <w:t>合计</w:t>
            </w:r>
            <w:bookmarkEnd w:id="966"/>
            <w:bookmarkEnd w:id="967"/>
            <w:bookmarkEnd w:id="968"/>
          </w:p>
        </w:tc>
        <w:tc>
          <w:tcPr>
            <w:tcW w:w="4847" w:type="dxa"/>
            <w:tcBorders>
              <w:tl2br w:val="nil"/>
              <w:tr2bl w:val="nil"/>
            </w:tcBorders>
            <w:vAlign w:val="center"/>
          </w:tcPr>
          <w:p w14:paraId="64A7FC12">
            <w:pPr>
              <w:pStyle w:val="53"/>
              <w:widowControl w:val="0"/>
              <w:spacing w:after="0" w:line="360" w:lineRule="exact"/>
              <w:ind w:firstLine="0" w:firstLineChars="0"/>
              <w:outlineLvl w:val="9"/>
              <w:rPr>
                <w:rFonts w:ascii="Times New Roman" w:hAnsi="Times New Roman" w:eastAsia="宋体" w:cs="Times New Roman"/>
                <w:b w:val="0"/>
                <w:color w:val="000000" w:themeColor="text1"/>
                <w:sz w:val="21"/>
                <w:highlight w:val="none"/>
                <w:lang w:eastAsia="zh-CN"/>
                <w14:textFill>
                  <w14:solidFill>
                    <w14:schemeClr w14:val="tx1"/>
                  </w14:solidFill>
                </w14:textFill>
              </w:rPr>
            </w:pPr>
            <w:bookmarkStart w:id="969" w:name="_Toc31786"/>
            <w:bookmarkStart w:id="970" w:name="_Toc6568"/>
            <w:bookmarkStart w:id="971" w:name="_Toc24750"/>
            <w:r>
              <w:rPr>
                <w:rFonts w:ascii="Times New Roman" w:hAnsi="Times New Roman" w:eastAsia="宋体" w:cs="Times New Roman"/>
                <w:b w:val="0"/>
                <w:color w:val="000000" w:themeColor="text1"/>
                <w:sz w:val="21"/>
                <w:highlight w:val="none"/>
                <w:lang w:eastAsia="zh-CN"/>
                <w14:textFill>
                  <w14:solidFill>
                    <w14:schemeClr w14:val="tx1"/>
                  </w14:solidFill>
                </w14:textFill>
              </w:rPr>
              <w:t>/</w:t>
            </w:r>
            <w:bookmarkEnd w:id="969"/>
            <w:bookmarkEnd w:id="970"/>
            <w:bookmarkEnd w:id="971"/>
          </w:p>
        </w:tc>
        <w:tc>
          <w:tcPr>
            <w:tcW w:w="1508" w:type="dxa"/>
            <w:tcBorders>
              <w:tl2br w:val="nil"/>
              <w:tr2bl w:val="nil"/>
            </w:tcBorders>
            <w:vAlign w:val="center"/>
          </w:tcPr>
          <w:p w14:paraId="2FAB5313">
            <w:pPr>
              <w:pStyle w:val="53"/>
              <w:widowControl w:val="0"/>
              <w:spacing w:after="0" w:line="360" w:lineRule="exact"/>
              <w:ind w:firstLine="0" w:firstLineChars="0"/>
              <w:outlineLvl w:val="9"/>
              <w:rPr>
                <w:rFonts w:hint="default" w:ascii="Times New Roman" w:hAnsi="Times New Roman" w:eastAsia="宋体" w:cs="Times New Roman"/>
                <w:b w:val="0"/>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z w:val="21"/>
                <w:highlight w:val="none"/>
                <w:lang w:val="en-US" w:eastAsia="zh-CN"/>
                <w14:textFill>
                  <w14:solidFill>
                    <w14:schemeClr w14:val="tx1"/>
                  </w14:solidFill>
                </w14:textFill>
              </w:rPr>
              <w:t>1580</w:t>
            </w:r>
          </w:p>
        </w:tc>
      </w:tr>
    </w:tbl>
    <w:p w14:paraId="741B3AAA">
      <w:pPr>
        <w:overflowPunct w:val="0"/>
        <w:topLinePunct/>
        <w:spacing w:line="480" w:lineRule="atLeast"/>
        <w:ind w:firstLine="480"/>
        <w:rPr>
          <w:color w:val="000000" w:themeColor="text1"/>
          <w:szCs w:val="20"/>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本项目建设总投资</w:t>
      </w:r>
      <w:r>
        <w:rPr>
          <w:rFonts w:hint="eastAsia"/>
          <w:color w:val="000000" w:themeColor="text1"/>
          <w:sz w:val="24"/>
          <w:szCs w:val="24"/>
          <w:highlight w:val="none"/>
          <w:lang w:val="en-US" w:eastAsia="zh-CN"/>
          <w14:textFill>
            <w14:solidFill>
              <w14:schemeClr w14:val="tx1"/>
            </w14:solidFill>
          </w14:textFill>
        </w:rPr>
        <w:t>5939.21</w:t>
      </w:r>
      <w:r>
        <w:rPr>
          <w:color w:val="000000" w:themeColor="text1"/>
          <w:sz w:val="24"/>
          <w:szCs w:val="24"/>
          <w:highlight w:val="none"/>
          <w14:textFill>
            <w14:solidFill>
              <w14:schemeClr w14:val="tx1"/>
            </w14:solidFill>
          </w14:textFill>
        </w:rPr>
        <w:t>万元。其中环保投资为</w:t>
      </w:r>
      <w:r>
        <w:rPr>
          <w:rFonts w:hint="eastAsia" w:cs="Times New Roman"/>
          <w:b w:val="0"/>
          <w:color w:val="000000" w:themeColor="text1"/>
          <w:sz w:val="24"/>
          <w:szCs w:val="24"/>
          <w:highlight w:val="none"/>
          <w:lang w:val="en-US" w:eastAsia="zh-CN"/>
          <w14:textFill>
            <w14:solidFill>
              <w14:schemeClr w14:val="tx1"/>
            </w14:solidFill>
          </w14:textFill>
        </w:rPr>
        <w:t>1580</w:t>
      </w:r>
      <w:r>
        <w:rPr>
          <w:color w:val="000000" w:themeColor="text1"/>
          <w:sz w:val="24"/>
          <w:szCs w:val="24"/>
          <w:highlight w:val="none"/>
          <w14:textFill>
            <w14:solidFill>
              <w14:schemeClr w14:val="tx1"/>
            </w14:solidFill>
          </w14:textFill>
        </w:rPr>
        <w:t>万元，占总投资的</w:t>
      </w:r>
      <w:r>
        <w:rPr>
          <w:rFonts w:hint="eastAsia"/>
          <w:color w:val="000000" w:themeColor="text1"/>
          <w:sz w:val="24"/>
          <w:szCs w:val="24"/>
          <w:highlight w:val="none"/>
          <w:lang w:val="en-US" w:eastAsia="zh-CN"/>
          <w14:textFill>
            <w14:solidFill>
              <w14:schemeClr w14:val="tx1"/>
            </w14:solidFill>
          </w14:textFill>
        </w:rPr>
        <w:t>26.60</w:t>
      </w:r>
      <w:r>
        <w:rPr>
          <w:color w:val="000000" w:themeColor="text1"/>
          <w:sz w:val="24"/>
          <w:szCs w:val="24"/>
          <w:highlight w:val="none"/>
          <w14:textFill>
            <w14:solidFill>
              <w14:schemeClr w14:val="tx1"/>
            </w14:solidFill>
          </w14:textFill>
        </w:rPr>
        <w:t>%。</w:t>
      </w:r>
    </w:p>
    <w:p w14:paraId="21EE59A7">
      <w:pPr>
        <w:pStyle w:val="3"/>
        <w:rPr>
          <w:rFonts w:eastAsiaTheme="minorEastAsia"/>
          <w:color w:val="000000" w:themeColor="text1"/>
          <w:highlight w:val="none"/>
          <w14:textFill>
            <w14:solidFill>
              <w14:schemeClr w14:val="tx1"/>
            </w14:solidFill>
          </w14:textFill>
        </w:rPr>
      </w:pPr>
      <w:bookmarkStart w:id="972" w:name="_Toc11263"/>
      <w:bookmarkStart w:id="973" w:name="_Toc107413908"/>
      <w:bookmarkStart w:id="974" w:name="_Toc20963"/>
      <w:bookmarkStart w:id="975" w:name="_Toc107414675"/>
      <w:bookmarkStart w:id="976" w:name="_Toc1610"/>
      <w:bookmarkStart w:id="977" w:name="_Toc13734"/>
      <w:bookmarkStart w:id="978" w:name="_Toc12992"/>
      <w:r>
        <w:rPr>
          <w:rFonts w:eastAsiaTheme="minorEastAsia"/>
          <w:color w:val="000000" w:themeColor="text1"/>
          <w:highlight w:val="none"/>
          <w14:textFill>
            <w14:solidFill>
              <w14:schemeClr w14:val="tx1"/>
            </w14:solidFill>
          </w14:textFill>
        </w:rPr>
        <w:t>7.4</w:t>
      </w:r>
      <w:bookmarkEnd w:id="908"/>
      <w:bookmarkEnd w:id="909"/>
      <w:bookmarkEnd w:id="910"/>
      <w:bookmarkEnd w:id="911"/>
      <w:bookmarkEnd w:id="912"/>
      <w:r>
        <w:rPr>
          <w:rFonts w:eastAsiaTheme="minorEastAsia"/>
          <w:color w:val="000000" w:themeColor="text1"/>
          <w:highlight w:val="none"/>
          <w14:textFill>
            <w14:solidFill>
              <w14:schemeClr w14:val="tx1"/>
            </w14:solidFill>
          </w14:textFill>
        </w:rPr>
        <w:t>结论</w:t>
      </w:r>
      <w:bookmarkEnd w:id="913"/>
      <w:bookmarkEnd w:id="914"/>
      <w:bookmarkEnd w:id="972"/>
      <w:bookmarkEnd w:id="973"/>
      <w:bookmarkEnd w:id="974"/>
      <w:bookmarkEnd w:id="975"/>
      <w:bookmarkEnd w:id="976"/>
      <w:bookmarkEnd w:id="977"/>
      <w:bookmarkEnd w:id="978"/>
    </w:p>
    <w:p w14:paraId="52C23C2C">
      <w:pPr>
        <w:overflowPunct w:val="0"/>
        <w:topLinePunct/>
        <w:spacing w:line="480" w:lineRule="atLeast"/>
        <w:ind w:firstLine="480"/>
        <w:rPr>
          <w:rFonts w:hint="eastAsia"/>
          <w:color w:val="000000" w:themeColor="text1"/>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000000" w:themeColor="text1"/>
          <w:highlight w:val="none"/>
          <w14:textFill>
            <w14:solidFill>
              <w14:schemeClr w14:val="tx1"/>
            </w14:solidFill>
          </w14:textFill>
        </w:rPr>
        <w:t>综上所述，</w:t>
      </w:r>
      <w:r>
        <w:rPr>
          <w:rFonts w:hint="eastAsia"/>
          <w:color w:val="000000" w:themeColor="text1"/>
          <w:highlight w:val="none"/>
          <w:lang w:eastAsia="zh-CN"/>
          <w14:textFill>
            <w14:solidFill>
              <w14:schemeClr w14:val="tx1"/>
            </w14:solidFill>
          </w14:textFill>
        </w:rPr>
        <w:t>哈密市西成矿业有限责任公司年产30万吨铁精粉建设项目（重大变动）</w:t>
      </w:r>
      <w:r>
        <w:rPr>
          <w:rFonts w:hint="eastAsia"/>
          <w:color w:val="000000" w:themeColor="text1"/>
          <w:highlight w:val="none"/>
          <w14:textFill>
            <w14:solidFill>
              <w14:schemeClr w14:val="tx1"/>
            </w14:solidFill>
          </w14:textFill>
        </w:rPr>
        <w:t>如认真落实本环评提出的各项环境保护措施，保证项目的环境可行性，将具有较为良好的社会效益、经济效益及环境效益。此外，应当注意在生产过程中加强设备 的管理、职工培训、严格操作规程，保证生产设备和环保设施的正常运行，确保环境保护要求的防治措施得到实施。这样，本项目的环境经济效益才能达到预期的效果。</w:t>
      </w:r>
    </w:p>
    <w:bookmarkEnd w:id="863"/>
    <w:bookmarkEnd w:id="864"/>
    <w:bookmarkEnd w:id="865"/>
    <w:bookmarkEnd w:id="866"/>
    <w:bookmarkEnd w:id="867"/>
    <w:bookmarkEnd w:id="868"/>
    <w:p w14:paraId="5E9D7D8E">
      <w:pPr>
        <w:pStyle w:val="2"/>
        <w:spacing w:line="720" w:lineRule="exact"/>
        <w:rPr>
          <w:color w:val="000000" w:themeColor="text1"/>
          <w:highlight w:val="none"/>
          <w14:textFill>
            <w14:solidFill>
              <w14:schemeClr w14:val="tx1"/>
            </w14:solidFill>
          </w14:textFill>
        </w:rPr>
      </w:pPr>
      <w:bookmarkStart w:id="979" w:name="_Toc4733"/>
      <w:r>
        <w:rPr>
          <w:color w:val="000000" w:themeColor="text1"/>
          <w:highlight w:val="none"/>
          <w14:textFill>
            <w14:solidFill>
              <w14:schemeClr w14:val="tx1"/>
            </w14:solidFill>
          </w14:textFill>
        </w:rPr>
        <w:t>8环境管理与监测计划</w:t>
      </w:r>
      <w:bookmarkEnd w:id="979"/>
    </w:p>
    <w:p w14:paraId="2A38F0B1">
      <w:pPr>
        <w:pStyle w:val="3"/>
        <w:rPr>
          <w:color w:val="000000" w:themeColor="text1"/>
          <w:highlight w:val="none"/>
          <w14:textFill>
            <w14:solidFill>
              <w14:schemeClr w14:val="tx1"/>
            </w14:solidFill>
          </w14:textFill>
        </w:rPr>
      </w:pPr>
      <w:bookmarkStart w:id="980" w:name="_Toc15335"/>
      <w:bookmarkStart w:id="981" w:name="_Toc21186"/>
      <w:bookmarkStart w:id="982" w:name="_Toc22224"/>
      <w:bookmarkStart w:id="983" w:name="_Toc107414677"/>
      <w:bookmarkStart w:id="984" w:name="_Toc2909"/>
      <w:bookmarkStart w:id="985" w:name="_Toc483589667"/>
      <w:bookmarkStart w:id="986" w:name="_Toc32721"/>
      <w:bookmarkStart w:id="987" w:name="_Toc20113"/>
      <w:bookmarkStart w:id="988" w:name="_Toc31363"/>
      <w:bookmarkStart w:id="989" w:name="_Toc107413910"/>
      <w:r>
        <w:rPr>
          <w:color w:val="000000" w:themeColor="text1"/>
          <w:highlight w:val="none"/>
          <w14:textFill>
            <w14:solidFill>
              <w14:schemeClr w14:val="tx1"/>
            </w14:solidFill>
          </w14:textFill>
        </w:rPr>
        <w:t>8.1建设项目环境管理</w:t>
      </w:r>
      <w:bookmarkEnd w:id="980"/>
      <w:bookmarkEnd w:id="981"/>
      <w:bookmarkEnd w:id="982"/>
      <w:bookmarkEnd w:id="983"/>
      <w:bookmarkEnd w:id="984"/>
      <w:bookmarkEnd w:id="985"/>
      <w:bookmarkEnd w:id="986"/>
      <w:bookmarkEnd w:id="987"/>
      <w:bookmarkEnd w:id="988"/>
      <w:bookmarkEnd w:id="989"/>
    </w:p>
    <w:p w14:paraId="50B892BD">
      <w:pPr>
        <w:overflowPunct w:val="0"/>
        <w:topLinePunct/>
        <w:ind w:firstLine="48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管理是现代企业管理制度的重要内容之一。通过实行全面、系统的环境管理使企业的各环境因素得到有效控制，更重要的是通过落实环境计划和环境政策对企业的环境状况进行调控，以达到改善环境绩效的目的。</w:t>
      </w:r>
    </w:p>
    <w:p w14:paraId="49867193">
      <w:pPr>
        <w:overflowPunct w:val="0"/>
        <w:topLinePunct/>
        <w:ind w:firstLine="48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环境管理涉及的范围包括：企业发展规划的制定、基础设施建设、环境目标制定等各项环境管理、环境监督活动等。目前企业的环境管理比较薄弱，人员配置和管理制度还不完善，针对企业存在的主要环境问题，环境管理应包括以下具体内容：</w:t>
      </w:r>
    </w:p>
    <w:p w14:paraId="1869C084">
      <w:pPr>
        <w:pStyle w:val="4"/>
        <w:rPr>
          <w:color w:val="000000" w:themeColor="text1"/>
          <w:highlight w:val="none"/>
          <w14:textFill>
            <w14:solidFill>
              <w14:schemeClr w14:val="tx1"/>
            </w14:solidFill>
          </w14:textFill>
        </w:rPr>
      </w:pPr>
      <w:bookmarkStart w:id="990" w:name="_Toc14972"/>
      <w:bookmarkStart w:id="991" w:name="_Toc1591"/>
      <w:bookmarkStart w:id="992" w:name="_Toc28996"/>
      <w:bookmarkStart w:id="993" w:name="_Toc6110"/>
      <w:r>
        <w:rPr>
          <w:color w:val="000000" w:themeColor="text1"/>
          <w:highlight w:val="none"/>
          <w14:textFill>
            <w14:solidFill>
              <w14:schemeClr w14:val="tx1"/>
            </w14:solidFill>
          </w14:textFill>
        </w:rPr>
        <w:t>8.1.1环境管理依据</w:t>
      </w:r>
      <w:bookmarkEnd w:id="990"/>
      <w:bookmarkEnd w:id="991"/>
      <w:bookmarkEnd w:id="992"/>
      <w:bookmarkEnd w:id="993"/>
    </w:p>
    <w:p w14:paraId="6D6174F5">
      <w:pPr>
        <w:overflowPunct w:val="0"/>
        <w:topLinePunct/>
        <w:ind w:firstLine="480"/>
        <w:jc w:val="left"/>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环境管理是运用计划、组织、协调、控制、监督等手段，为达到预期</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"http://baike.baidu.com/view/630548.htm" </w:instrText>
      </w:r>
      <w:r>
        <w:rPr>
          <w:color w:val="000000" w:themeColor="text1"/>
          <w:highlight w:val="none"/>
          <w14:textFill>
            <w14:solidFill>
              <w14:schemeClr w14:val="tx1"/>
            </w14:solidFill>
          </w14:textFill>
        </w:rPr>
        <w:fldChar w:fldCharType="separate"/>
      </w:r>
      <w:r>
        <w:rPr>
          <w:rFonts w:eastAsia="宋体"/>
          <w:color w:val="000000" w:themeColor="text1"/>
          <w:szCs w:val="21"/>
          <w:highlight w:val="none"/>
          <w14:textFill>
            <w14:solidFill>
              <w14:schemeClr w14:val="tx1"/>
            </w14:solidFill>
          </w14:textFill>
        </w:rPr>
        <w:t>环境目标</w:t>
      </w:r>
      <w:r>
        <w:rPr>
          <w:rFonts w:eastAsia="宋体"/>
          <w:color w:val="000000" w:themeColor="text1"/>
          <w:szCs w:val="21"/>
          <w:highlight w:val="none"/>
          <w14:textFill>
            <w14:solidFill>
              <w14:schemeClr w14:val="tx1"/>
            </w14:solidFill>
          </w14:textFill>
        </w:rPr>
        <w:fldChar w:fldCharType="end"/>
      </w:r>
      <w:r>
        <w:rPr>
          <w:rFonts w:eastAsia="宋体"/>
          <w:color w:val="000000" w:themeColor="text1"/>
          <w:szCs w:val="21"/>
          <w:highlight w:val="none"/>
          <w14:textFill>
            <w14:solidFill>
              <w14:schemeClr w14:val="tx1"/>
            </w14:solidFill>
          </w14:textFill>
        </w:rPr>
        <w:t>而进行的一项综合性活动。根据《中华人民共和国</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"http://baike.baidu.com/view/9724.htm" </w:instrText>
      </w:r>
      <w:r>
        <w:rPr>
          <w:color w:val="000000" w:themeColor="text1"/>
          <w:highlight w:val="none"/>
          <w14:textFill>
            <w14:solidFill>
              <w14:schemeClr w14:val="tx1"/>
            </w14:solidFill>
          </w14:textFill>
        </w:rPr>
        <w:fldChar w:fldCharType="separate"/>
      </w:r>
      <w:r>
        <w:rPr>
          <w:rFonts w:eastAsia="宋体"/>
          <w:color w:val="000000" w:themeColor="text1"/>
          <w:szCs w:val="21"/>
          <w:highlight w:val="none"/>
          <w14:textFill>
            <w14:solidFill>
              <w14:schemeClr w14:val="tx1"/>
            </w14:solidFill>
          </w14:textFill>
        </w:rPr>
        <w:t>环境保护</w:t>
      </w:r>
      <w:r>
        <w:rPr>
          <w:rFonts w:eastAsia="宋体"/>
          <w:color w:val="000000" w:themeColor="text1"/>
          <w:szCs w:val="21"/>
          <w:highlight w:val="none"/>
          <w14:textFill>
            <w14:solidFill>
              <w14:schemeClr w14:val="tx1"/>
            </w14:solidFill>
          </w14:textFill>
        </w:rPr>
        <w:fldChar w:fldCharType="end"/>
      </w:r>
      <w:r>
        <w:rPr>
          <w:rFonts w:eastAsia="宋体"/>
          <w:color w:val="000000" w:themeColor="text1"/>
          <w:szCs w:val="21"/>
          <w:highlight w:val="none"/>
          <w14:textFill>
            <w14:solidFill>
              <w14:schemeClr w14:val="tx1"/>
            </w14:solidFill>
          </w14:textFill>
        </w:rPr>
        <w:t>法》规定，</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"http://baike.baidu.com/view/17491.htm" </w:instrText>
      </w:r>
      <w:r>
        <w:rPr>
          <w:color w:val="000000" w:themeColor="text1"/>
          <w:highlight w:val="none"/>
          <w14:textFill>
            <w14:solidFill>
              <w14:schemeClr w14:val="tx1"/>
            </w14:solidFill>
          </w14:textFill>
        </w:rPr>
        <w:fldChar w:fldCharType="separate"/>
      </w:r>
      <w:r>
        <w:rPr>
          <w:rFonts w:eastAsia="宋体"/>
          <w:color w:val="000000" w:themeColor="text1"/>
          <w:szCs w:val="21"/>
          <w:highlight w:val="none"/>
          <w14:textFill>
            <w14:solidFill>
              <w14:schemeClr w14:val="tx1"/>
            </w14:solidFill>
          </w14:textFill>
        </w:rPr>
        <w:t>国务院</w:t>
      </w:r>
      <w:r>
        <w:rPr>
          <w:rFonts w:eastAsia="宋体"/>
          <w:color w:val="000000" w:themeColor="text1"/>
          <w:szCs w:val="21"/>
          <w:highlight w:val="none"/>
          <w14:textFill>
            <w14:solidFill>
              <w14:schemeClr w14:val="tx1"/>
            </w14:solidFill>
          </w14:textFill>
        </w:rPr>
        <w:fldChar w:fldCharType="end"/>
      </w:r>
      <w:r>
        <w:rPr>
          <w:rFonts w:eastAsia="宋体"/>
          <w:color w:val="000000" w:themeColor="text1"/>
          <w:szCs w:val="21"/>
          <w:highlight w:val="none"/>
          <w14:textFill>
            <w14:solidFill>
              <w14:schemeClr w14:val="tx1"/>
            </w14:solidFill>
          </w14:textFill>
        </w:rPr>
        <w:t>环境保护行政主管部门对全国环境保护工作实施统一监督管理。</w:t>
      </w:r>
    </w:p>
    <w:p w14:paraId="2B3C3191">
      <w:pPr>
        <w:overflowPunct w:val="0"/>
        <w:topLinePunct/>
        <w:ind w:firstLine="480"/>
        <w:jc w:val="left"/>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《中华人民共和国环境保护法》第四章对我国长期以来实行的行之有效的环境</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"http://baike.baidu.com/view/673434.htm" </w:instrText>
      </w:r>
      <w:r>
        <w:rPr>
          <w:color w:val="000000" w:themeColor="text1"/>
          <w:highlight w:val="none"/>
          <w14:textFill>
            <w14:solidFill>
              <w14:schemeClr w14:val="tx1"/>
            </w14:solidFill>
          </w14:textFill>
        </w:rPr>
        <w:fldChar w:fldCharType="separate"/>
      </w:r>
      <w:r>
        <w:rPr>
          <w:rFonts w:eastAsia="宋体"/>
          <w:color w:val="000000" w:themeColor="text1"/>
          <w:szCs w:val="21"/>
          <w:highlight w:val="none"/>
          <w14:textFill>
            <w14:solidFill>
              <w14:schemeClr w14:val="tx1"/>
            </w14:solidFill>
          </w14:textFill>
        </w:rPr>
        <w:t>管理制度</w:t>
      </w:r>
      <w:r>
        <w:rPr>
          <w:rFonts w:eastAsia="宋体"/>
          <w:color w:val="000000" w:themeColor="text1"/>
          <w:szCs w:val="21"/>
          <w:highlight w:val="none"/>
          <w14:textFill>
            <w14:solidFill>
              <w14:schemeClr w14:val="tx1"/>
            </w14:solidFill>
          </w14:textFill>
        </w:rPr>
        <w:fldChar w:fldCharType="end"/>
      </w:r>
      <w:r>
        <w:rPr>
          <w:rFonts w:eastAsia="宋体"/>
          <w:color w:val="000000" w:themeColor="text1"/>
          <w:szCs w:val="21"/>
          <w:highlight w:val="none"/>
          <w14:textFill>
            <w14:solidFill>
              <w14:schemeClr w14:val="tx1"/>
            </w14:solidFill>
          </w14:textFill>
        </w:rPr>
        <w:t>进行了总结，并作出了11条规定。本次环境管理内容及制度均依据《中华人民共和国环境保护法》的规定严格</w:t>
      </w:r>
      <w:r>
        <w:rPr>
          <w:rFonts w:hint="eastAsia"/>
          <w:color w:val="000000" w:themeColor="text1"/>
          <w:szCs w:val="21"/>
          <w:highlight w:val="none"/>
          <w:lang w:eastAsia="zh-CN"/>
          <w14:textFill>
            <w14:solidFill>
              <w14:schemeClr w14:val="tx1"/>
            </w14:solidFill>
          </w14:textFill>
        </w:rPr>
        <w:t>制定</w:t>
      </w:r>
      <w:r>
        <w:rPr>
          <w:rFonts w:eastAsia="宋体"/>
          <w:color w:val="000000" w:themeColor="text1"/>
          <w:szCs w:val="21"/>
          <w:highlight w:val="none"/>
          <w14:textFill>
            <w14:solidFill>
              <w14:schemeClr w14:val="tx1"/>
            </w14:solidFill>
          </w14:textFill>
        </w:rPr>
        <w:t>和执行。</w:t>
      </w:r>
    </w:p>
    <w:p w14:paraId="2A039DBE">
      <w:pPr>
        <w:pStyle w:val="4"/>
        <w:rPr>
          <w:color w:val="000000" w:themeColor="text1"/>
          <w:highlight w:val="none"/>
          <w14:textFill>
            <w14:solidFill>
              <w14:schemeClr w14:val="tx1"/>
            </w14:solidFill>
          </w14:textFill>
        </w:rPr>
      </w:pPr>
      <w:bookmarkStart w:id="994" w:name="_Toc11179"/>
      <w:bookmarkStart w:id="995" w:name="_Toc25378"/>
      <w:bookmarkStart w:id="996" w:name="_Toc21330"/>
      <w:bookmarkStart w:id="997" w:name="_Toc12770"/>
      <w:r>
        <w:rPr>
          <w:color w:val="000000" w:themeColor="text1"/>
          <w:highlight w:val="none"/>
          <w14:textFill>
            <w14:solidFill>
              <w14:schemeClr w14:val="tx1"/>
            </w14:solidFill>
          </w14:textFill>
        </w:rPr>
        <w:t>8.1.2环境管理的目的及任务</w:t>
      </w:r>
      <w:bookmarkEnd w:id="994"/>
      <w:bookmarkEnd w:id="995"/>
      <w:bookmarkEnd w:id="996"/>
      <w:bookmarkEnd w:id="997"/>
    </w:p>
    <w:p w14:paraId="5BD885A1">
      <w:pPr>
        <w:widowControl/>
        <w:overflowPunct w:val="0"/>
        <w:topLinePunct/>
        <w:ind w:firstLine="480"/>
        <w:jc w:val="both"/>
        <w:rPr>
          <w:color w:val="000000" w:themeColor="text1"/>
          <w:kern w:val="0"/>
          <w:szCs w:val="21"/>
          <w:highlight w:val="none"/>
          <w14:textFill>
            <w14:solidFill>
              <w14:schemeClr w14:val="tx1"/>
            </w14:solidFill>
          </w14:textFill>
        </w:rPr>
      </w:pPr>
      <w:bookmarkStart w:id="998" w:name="_Toc99975509"/>
      <w:bookmarkStart w:id="999" w:name="_Toc99950977"/>
      <w:bookmarkStart w:id="1000" w:name="_Toc149680834"/>
      <w:bookmarkStart w:id="1001" w:name="_Toc170869098"/>
      <w:bookmarkStart w:id="1002" w:name="_Toc170970694"/>
      <w:bookmarkStart w:id="1003" w:name="_Toc149680597"/>
      <w:bookmarkStart w:id="1004" w:name="_Toc179522850"/>
      <w:bookmarkStart w:id="1005" w:name="_Toc153689586"/>
      <w:bookmarkStart w:id="1006" w:name="_Toc179653310"/>
      <w:bookmarkStart w:id="1007" w:name="_Toc172698697"/>
      <w:bookmarkStart w:id="1008" w:name="_Toc164774412"/>
      <w:bookmarkStart w:id="1009" w:name="_Toc168317239"/>
      <w:bookmarkStart w:id="1010" w:name="_Toc180891809"/>
      <w:bookmarkStart w:id="1011" w:name="_Toc187800072"/>
      <w:bookmarkStart w:id="1012" w:name="_Toc245882805"/>
      <w:r>
        <w:rPr>
          <w:color w:val="000000" w:themeColor="text1"/>
          <w:kern w:val="0"/>
          <w:szCs w:val="21"/>
          <w:highlight w:val="none"/>
          <w14:textFill>
            <w14:solidFill>
              <w14:schemeClr w14:val="tx1"/>
            </w14:solidFill>
          </w14:textFill>
        </w:rPr>
        <w:t>1、环境管理的目的</w:t>
      </w:r>
    </w:p>
    <w:p w14:paraId="7847DB30">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环境管理是环境保护工作的重要内容之一，是现代企业管理的重要组成部分，与企业内部生产管理、劳动管理、财务管理、安全管理同等重要。</w:t>
      </w:r>
      <w:bookmarkEnd w:id="998"/>
      <w:bookmarkEnd w:id="999"/>
    </w:p>
    <w:p w14:paraId="0A1CB5EE">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随着国家环境管理力度的加强，环保法律、法规的完善及全民环境意识的增强，对企业环境保护工作要求也不断提高，这就</w:t>
      </w:r>
      <w:r>
        <w:rPr>
          <w:rFonts w:hint="eastAsia"/>
          <w:color w:val="000000" w:themeColor="text1"/>
          <w:kern w:val="0"/>
          <w:szCs w:val="21"/>
          <w:highlight w:val="none"/>
          <w:lang w:eastAsia="zh-CN"/>
          <w14:textFill>
            <w14:solidFill>
              <w14:schemeClr w14:val="tx1"/>
            </w14:solidFill>
          </w14:textFill>
        </w:rPr>
        <w:t>要求</w:t>
      </w:r>
      <w:r>
        <w:rPr>
          <w:color w:val="000000" w:themeColor="text1"/>
          <w:kern w:val="0"/>
          <w:szCs w:val="21"/>
          <w:highlight w:val="none"/>
          <w14:textFill>
            <w14:solidFill>
              <w14:schemeClr w14:val="tx1"/>
            </w14:solidFill>
          </w14:textFill>
        </w:rPr>
        <w:t>企业要加强自身环境管理机构建设，健全环境管理制度，制定环境管理职责，并将其列入企业议事日程，对企业内部生产、经营过程中发生或可能发生的环境问题进行深入细致</w:t>
      </w:r>
      <w:r>
        <w:rPr>
          <w:rFonts w:hint="eastAsia"/>
          <w:color w:val="000000" w:themeColor="text1"/>
          <w:kern w:val="0"/>
          <w:szCs w:val="21"/>
          <w:highlight w:val="none"/>
          <w:lang w:eastAsia="zh-CN"/>
          <w14:textFill>
            <w14:solidFill>
              <w14:schemeClr w14:val="tx1"/>
            </w14:solidFill>
          </w14:textFill>
        </w:rPr>
        <w:t>地</w:t>
      </w:r>
      <w:r>
        <w:rPr>
          <w:color w:val="000000" w:themeColor="text1"/>
          <w:kern w:val="0"/>
          <w:szCs w:val="21"/>
          <w:highlight w:val="none"/>
          <w14:textFill>
            <w14:solidFill>
              <w14:schemeClr w14:val="tx1"/>
            </w14:solidFill>
          </w14:textFill>
        </w:rPr>
        <w:t>研究，制定合理污染防治方案以达到既发展生产，增加经济效益，又保护环境的目的。</w:t>
      </w:r>
      <w:bookmarkStart w:id="1013" w:name="_Toc21951"/>
      <w:bookmarkStart w:id="1014" w:name="_Toc12054"/>
    </w:p>
    <w:p w14:paraId="5B4145BC">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2、环境管理的任务</w:t>
      </w:r>
    </w:p>
    <w:p w14:paraId="738E76C7">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对于项目来说，环境管理的基本任务是：控制污染物排放量，避免污染物对环境质量的损害。</w:t>
      </w:r>
    </w:p>
    <w:p w14:paraId="56FEE14C">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为了控制污染物的排放，就需要加强计划、生产、技术、质量、设备、劳动、财务等方面的管理，把环境管理渗透到整个企业管理中，将环境管理融合在一起，以减少从生产过程中各环节排出的污染物。</w:t>
      </w:r>
    </w:p>
    <w:p w14:paraId="039D8BA3">
      <w:pPr>
        <w:widowControl/>
        <w:overflowPunct w:val="0"/>
        <w:topLinePunct/>
        <w:ind w:firstLine="480"/>
        <w:jc w:val="both"/>
        <w:rPr>
          <w:color w:val="000000" w:themeColor="text1"/>
          <w:kern w:val="0"/>
          <w:szCs w:val="21"/>
          <w:highlight w:val="none"/>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项目应将环境管理纳入工业企业管理的重要组成部分，建立环境污染管理体系与相关制度，制定环境规划，统筹协调生产发展与环境保护的关系，实现生产目标与环境目标相统一、经济效益与环境效益相统一。</w:t>
      </w:r>
    </w:p>
    <w:p w14:paraId="4D9FCB49">
      <w:pPr>
        <w:pStyle w:val="4"/>
        <w:rPr>
          <w:color w:val="000000" w:themeColor="text1"/>
          <w:highlight w:val="none"/>
          <w14:textFill>
            <w14:solidFill>
              <w14:schemeClr w14:val="tx1"/>
            </w14:solidFill>
          </w14:textFill>
        </w:rPr>
      </w:pPr>
      <w:bookmarkStart w:id="1015" w:name="_Toc21074"/>
      <w:bookmarkStart w:id="1016" w:name="_Toc25678"/>
      <w:bookmarkStart w:id="1017" w:name="_Toc2616"/>
      <w:bookmarkStart w:id="1018" w:name="_Toc13368"/>
      <w:r>
        <w:rPr>
          <w:color w:val="000000" w:themeColor="text1"/>
          <w:highlight w:val="none"/>
          <w14:textFill>
            <w14:solidFill>
              <w14:schemeClr w14:val="tx1"/>
            </w14:solidFill>
          </w14:textFill>
        </w:rPr>
        <w:t>8.1.3环境管理机构</w:t>
      </w:r>
      <w:bookmarkEnd w:id="1013"/>
      <w:bookmarkEnd w:id="1014"/>
      <w:bookmarkEnd w:id="1015"/>
      <w:bookmarkEnd w:id="1016"/>
      <w:bookmarkEnd w:id="1017"/>
      <w:bookmarkEnd w:id="1018"/>
    </w:p>
    <w:p w14:paraId="1CF42681">
      <w:pPr>
        <w:widowControl/>
        <w:overflowPunct w:val="0"/>
        <w:topLinePunct/>
        <w:ind w:firstLine="48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项目应成立</w:t>
      </w:r>
      <w:r>
        <w:rPr>
          <w:rFonts w:hint="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事故防范和应急处理指挥小组</w:t>
      </w:r>
      <w:r>
        <w:rPr>
          <w:rFonts w:hint="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和</w:t>
      </w:r>
      <w:r>
        <w:rPr>
          <w:rFonts w:hint="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环保工作领导小组</w:t>
      </w:r>
      <w:r>
        <w:rPr>
          <w:rFonts w:hint="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由2～3名专职管理人员组成，负责项目环保管理工作和处理环保日常事务。公司生产组织采用董事会领导下的总经理负责制，在总经理的领导下实行三级管理：一级为公司主管领导；二级为安全环保处、技术科室和环卫办；三级为各生产环节专、兼职环保人员。</w:t>
      </w:r>
    </w:p>
    <w:p w14:paraId="42172030">
      <w:pPr>
        <w:widowControl/>
        <w:overflowPunct w:val="0"/>
        <w:topLinePunct/>
        <w:ind w:firstLine="48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环境管理机构的职责：</w:t>
      </w:r>
    </w:p>
    <w:p w14:paraId="18B174C5">
      <w:pPr>
        <w:widowControl/>
        <w:overflowPunct w:val="0"/>
        <w:topLinePunct/>
        <w:ind w:firstLine="48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（1）贯彻执行环境污染保护法和标准；</w:t>
      </w:r>
    </w:p>
    <w:p w14:paraId="0CC679FC">
      <w:pPr>
        <w:widowControl/>
        <w:overflowPunct w:val="0"/>
        <w:topLinePunct/>
        <w:ind w:firstLine="48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（2）组织制定和修改企业的环境污染保护管理体</w:t>
      </w:r>
      <w:r>
        <w:rPr>
          <w:rFonts w:hint="eastAsia"/>
          <w:color w:val="000000" w:themeColor="text1"/>
          <w:kern w:val="0"/>
          <w:szCs w:val="21"/>
          <w:highlight w:val="none"/>
          <w:lang w:eastAsia="zh-CN"/>
          <w14:textFill>
            <w14:solidFill>
              <w14:schemeClr w14:val="tx1"/>
            </w14:solidFill>
          </w14:textFill>
        </w:rPr>
        <w:t>制和</w:t>
      </w:r>
      <w:r>
        <w:rPr>
          <w:color w:val="000000" w:themeColor="text1"/>
          <w:kern w:val="0"/>
          <w:szCs w:val="21"/>
          <w:highlight w:val="none"/>
          <w14:textFill>
            <w14:solidFill>
              <w14:schemeClr w14:val="tx1"/>
            </w14:solidFill>
          </w14:textFill>
        </w:rPr>
        <w:t>规章制度，并监督执行；</w:t>
      </w:r>
    </w:p>
    <w:p w14:paraId="16AE55F2">
      <w:pPr>
        <w:widowControl/>
        <w:overflowPunct w:val="0"/>
        <w:topLinePunct/>
        <w:ind w:firstLine="48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（3）制定并组织实施环境保护规划和标准；</w:t>
      </w:r>
    </w:p>
    <w:p w14:paraId="22926A9F">
      <w:pPr>
        <w:widowControl/>
        <w:overflowPunct w:val="0"/>
        <w:topLinePunct/>
        <w:ind w:firstLine="48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（4）检查企业环境保护规划和计划；</w:t>
      </w:r>
    </w:p>
    <w:p w14:paraId="115BBB2B">
      <w:pPr>
        <w:widowControl/>
        <w:overflowPunct w:val="0"/>
        <w:topLinePunct/>
        <w:ind w:firstLine="48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（5）建立资料库，管理污染源监测数据及资料的收集与存档；</w:t>
      </w:r>
    </w:p>
    <w:p w14:paraId="2D41E09D">
      <w:pPr>
        <w:widowControl/>
        <w:overflowPunct w:val="0"/>
        <w:topLinePunct/>
        <w:ind w:firstLine="48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（6）加强安全生产教育，制定定期维修机器设备制度；</w:t>
      </w:r>
    </w:p>
    <w:p w14:paraId="2E4A8D56">
      <w:pPr>
        <w:widowControl/>
        <w:overflowPunct w:val="0"/>
        <w:topLinePunct/>
        <w:ind w:firstLine="48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（7）监督</w:t>
      </w:r>
      <w:r>
        <w:rPr>
          <w:rFonts w:hint="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三同时</w:t>
      </w:r>
      <w:r>
        <w:rPr>
          <w:rFonts w:hint="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的执行情况，尤其重视污染处理措施的运行效果。</w:t>
      </w:r>
    </w:p>
    <w:p w14:paraId="1F5EC220">
      <w:pPr>
        <w:widowControl/>
        <w:overflowPunct w:val="0"/>
        <w:topLinePunct/>
        <w:ind w:firstLine="48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（8）监督检查环保处理设施和环保设备的运行情况；</w:t>
      </w:r>
    </w:p>
    <w:p w14:paraId="1799DBED">
      <w:pPr>
        <w:widowControl/>
        <w:overflowPunct w:val="0"/>
        <w:topLinePunct/>
        <w:ind w:firstLine="48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（9）负责企业生产过程中发生的各种环境污染事故的调查及应急处理；</w:t>
      </w:r>
    </w:p>
    <w:p w14:paraId="5D3B6AF5">
      <w:pPr>
        <w:widowControl/>
        <w:overflowPunct w:val="0"/>
        <w:topLinePunct/>
        <w:ind w:firstLine="48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（10）负责企业其他日常环境管理工作。</w:t>
      </w:r>
    </w:p>
    <w:p w14:paraId="5501A694">
      <w:pPr>
        <w:widowControl/>
        <w:overflowPunct w:val="0"/>
        <w:topLinePunct/>
        <w:ind w:firstLine="48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（11）积极配合当地</w:t>
      </w:r>
      <w:r>
        <w:rPr>
          <w:rFonts w:hint="eastAsia"/>
          <w:color w:val="000000" w:themeColor="text1"/>
          <w:szCs w:val="21"/>
          <w:highlight w:val="none"/>
          <w14:textFill>
            <w14:solidFill>
              <w14:schemeClr w14:val="tx1"/>
            </w14:solidFill>
          </w14:textFill>
        </w:rPr>
        <w:t>生态环境主管部门</w:t>
      </w:r>
      <w:r>
        <w:rPr>
          <w:color w:val="000000" w:themeColor="text1"/>
          <w:kern w:val="0"/>
          <w:szCs w:val="21"/>
          <w:highlight w:val="none"/>
          <w14:textFill>
            <w14:solidFill>
              <w14:schemeClr w14:val="tx1"/>
            </w14:solidFill>
          </w14:textFill>
        </w:rPr>
        <w:t>的环境管理和环境监测工作。</w:t>
      </w:r>
    </w:p>
    <w:p w14:paraId="7AA69904">
      <w:pPr>
        <w:pStyle w:val="4"/>
        <w:rPr>
          <w:color w:val="000000" w:themeColor="text1"/>
          <w:highlight w:val="none"/>
          <w14:textFill>
            <w14:solidFill>
              <w14:schemeClr w14:val="tx1"/>
            </w14:solidFill>
          </w14:textFill>
        </w:rPr>
      </w:pPr>
      <w:bookmarkStart w:id="1019" w:name="_Toc22883"/>
      <w:bookmarkStart w:id="1020" w:name="_Toc26018"/>
      <w:bookmarkStart w:id="1021" w:name="_Toc1073"/>
      <w:bookmarkStart w:id="1022" w:name="_Toc9743"/>
      <w:r>
        <w:rPr>
          <w:color w:val="000000" w:themeColor="text1"/>
          <w:highlight w:val="none"/>
          <w14:textFill>
            <w14:solidFill>
              <w14:schemeClr w14:val="tx1"/>
            </w14:solidFill>
          </w14:textFill>
        </w:rPr>
        <w:t>8.1.4环境管理内容</w:t>
      </w:r>
      <w:bookmarkEnd w:id="1019"/>
      <w:bookmarkEnd w:id="1020"/>
      <w:bookmarkEnd w:id="1021"/>
      <w:bookmarkEnd w:id="1022"/>
    </w:p>
    <w:p w14:paraId="446DD8BB">
      <w:pPr>
        <w:keepNext w:val="0"/>
        <w:keepLines w:val="0"/>
        <w:pageBreakBefore w:val="0"/>
        <w:widowControl w:val="0"/>
        <w:kinsoku/>
        <w:wordWrap/>
        <w:overflowPunct w:val="0"/>
        <w:topLinePunct/>
        <w:autoSpaceDE/>
        <w:autoSpaceDN/>
        <w:bidi w:val="0"/>
        <w:adjustRightInd/>
        <w:snapToGrid/>
        <w:ind w:firstLine="480"/>
        <w:jc w:val="both"/>
        <w:textAlignment w:val="auto"/>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1、施工期环境管理内容</w:t>
      </w:r>
    </w:p>
    <w:p w14:paraId="1181A6D5">
      <w:pPr>
        <w:keepNext w:val="0"/>
        <w:keepLines w:val="0"/>
        <w:pageBreakBefore w:val="0"/>
        <w:widowControl w:val="0"/>
        <w:kinsoku/>
        <w:wordWrap/>
        <w:overflowPunct w:val="0"/>
        <w:topLinePunct/>
        <w:autoSpaceDE/>
        <w:autoSpaceDN/>
        <w:bidi w:val="0"/>
        <w:adjustRightInd/>
        <w:snapToGrid/>
        <w:ind w:firstLine="480"/>
        <w:jc w:val="both"/>
        <w:textAlignment w:val="auto"/>
        <w:rPr>
          <w:rFonts w:hint="eastAsia"/>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（1）建设单位应与本次环评项目的施工单位协商，将施工期环境保护责任纳入双方合同文本，要求施工单位认真落实施工的环境保护措施。</w:t>
      </w:r>
    </w:p>
    <w:p w14:paraId="5807C24D">
      <w:pPr>
        <w:keepNext w:val="0"/>
        <w:keepLines w:val="0"/>
        <w:pageBreakBefore w:val="0"/>
        <w:widowControl w:val="0"/>
        <w:kinsoku/>
        <w:wordWrap/>
        <w:overflowPunct w:val="0"/>
        <w:topLinePunct/>
        <w:autoSpaceDE/>
        <w:autoSpaceDN/>
        <w:bidi w:val="0"/>
        <w:adjustRightInd/>
        <w:snapToGrid/>
        <w:ind w:firstLine="480"/>
        <w:jc w:val="both"/>
        <w:textAlignment w:val="auto"/>
        <w:rPr>
          <w:rFonts w:hint="eastAsia"/>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（2）施工单位须严格按照环评报告书及批复要求进行合理施工，尽最大可能地减少地表扰动面积。</w:t>
      </w:r>
    </w:p>
    <w:p w14:paraId="2A2DC963">
      <w:pPr>
        <w:keepNext w:val="0"/>
        <w:keepLines w:val="0"/>
        <w:pageBreakBefore w:val="0"/>
        <w:widowControl w:val="0"/>
        <w:kinsoku/>
        <w:wordWrap/>
        <w:overflowPunct w:val="0"/>
        <w:topLinePunct/>
        <w:autoSpaceDE/>
        <w:autoSpaceDN/>
        <w:bidi w:val="0"/>
        <w:adjustRightInd/>
        <w:snapToGrid/>
        <w:ind w:firstLine="480"/>
        <w:jc w:val="both"/>
        <w:textAlignment w:val="auto"/>
        <w:rPr>
          <w:rFonts w:hint="eastAsia"/>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（3）施工单位应配备专职环境管理人员，负责各类污染源的现场监控和管理，尤其是应严格控制高噪声、高振动施工设备的施工时间；严格限制粉状物料的露天堆放；严格控制进出施工场地车辆物料遗撒。</w:t>
      </w:r>
    </w:p>
    <w:p w14:paraId="681A855F">
      <w:pPr>
        <w:keepNext w:val="0"/>
        <w:keepLines w:val="0"/>
        <w:pageBreakBefore w:val="0"/>
        <w:widowControl w:val="0"/>
        <w:kinsoku/>
        <w:wordWrap/>
        <w:overflowPunct w:val="0"/>
        <w:topLinePunct/>
        <w:autoSpaceDE/>
        <w:autoSpaceDN/>
        <w:bidi w:val="0"/>
        <w:adjustRightInd/>
        <w:snapToGrid/>
        <w:ind w:firstLine="480"/>
        <w:jc w:val="both"/>
        <w:textAlignment w:val="auto"/>
        <w:rPr>
          <w:rFonts w:hint="eastAsia"/>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（4）专职环境管理人员应做好文明施工的宣传工作，借助黑板报、宣传栏等工具对施工工人进行环境保护教育。</w:t>
      </w:r>
    </w:p>
    <w:p w14:paraId="51C83BA5">
      <w:pPr>
        <w:keepNext w:val="0"/>
        <w:keepLines w:val="0"/>
        <w:pageBreakBefore w:val="0"/>
        <w:widowControl w:val="0"/>
        <w:kinsoku/>
        <w:wordWrap/>
        <w:overflowPunct w:val="0"/>
        <w:topLinePunct/>
        <w:autoSpaceDE/>
        <w:autoSpaceDN/>
        <w:bidi w:val="0"/>
        <w:adjustRightInd/>
        <w:snapToGrid/>
        <w:ind w:firstLine="480"/>
        <w:jc w:val="both"/>
        <w:textAlignment w:val="auto"/>
        <w:rPr>
          <w:rFonts w:hint="eastAsia"/>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（5）工程施工单位应自觉接受生态环境管理部门的监督指导，主动配合生态环境主管部门搞好项目施工期的环境保护工作。</w:t>
      </w:r>
    </w:p>
    <w:p w14:paraId="47F78D2F">
      <w:pPr>
        <w:keepNext w:val="0"/>
        <w:keepLines w:val="0"/>
        <w:pageBreakBefore w:val="0"/>
        <w:widowControl w:val="0"/>
        <w:kinsoku/>
        <w:wordWrap/>
        <w:overflowPunct w:val="0"/>
        <w:topLinePunct/>
        <w:autoSpaceDE/>
        <w:autoSpaceDN/>
        <w:bidi w:val="0"/>
        <w:adjustRightInd/>
        <w:snapToGrid/>
        <w:ind w:firstLine="480"/>
        <w:jc w:val="both"/>
        <w:textAlignment w:val="auto"/>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（6）建议建设单位按有关施工招标程序设置环境监理，并在当地生态环境部门的监督指导下，全面、规范地进行施工期的环境监理，以确保将施工期的生态环境影响降到最低</w:t>
      </w:r>
      <w:r>
        <w:rPr>
          <w:snapToGrid w:val="0"/>
          <w:color w:val="000000" w:themeColor="text1"/>
          <w:highlight w:val="none"/>
          <w14:textFill>
            <w14:solidFill>
              <w14:schemeClr w14:val="tx1"/>
            </w14:solidFill>
          </w14:textFill>
        </w:rPr>
        <w:t>。</w:t>
      </w:r>
    </w:p>
    <w:p w14:paraId="071558BC">
      <w:pPr>
        <w:overflowPunct w:val="0"/>
        <w:topLinePunct/>
        <w:ind w:firstLine="480"/>
        <w:jc w:val="both"/>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2、运营期环境管理内容</w:t>
      </w:r>
    </w:p>
    <w:p w14:paraId="582FED46">
      <w:pPr>
        <w:overflowPunct w:val="0"/>
        <w:topLinePunct/>
        <w:ind w:firstLine="480"/>
        <w:jc w:val="both"/>
        <w:rPr>
          <w:snapToGrid w:val="0"/>
          <w:color w:val="000000" w:themeColor="text1"/>
          <w:kern w:val="24"/>
          <w:highlight w:val="none"/>
          <w14:textFill>
            <w14:solidFill>
              <w14:schemeClr w14:val="tx1"/>
            </w14:solidFill>
          </w14:textFill>
        </w:rPr>
      </w:pPr>
      <w:r>
        <w:rPr>
          <w:snapToGrid w:val="0"/>
          <w:color w:val="000000" w:themeColor="text1"/>
          <w:kern w:val="24"/>
          <w:highlight w:val="none"/>
          <w14:textFill>
            <w14:solidFill>
              <w14:schemeClr w14:val="tx1"/>
            </w14:solidFill>
          </w14:textFill>
        </w:rPr>
        <w:t>（1）公司领导管理内容</w:t>
      </w:r>
    </w:p>
    <w:p w14:paraId="6DFFA077">
      <w:pPr>
        <w:overflowPunct w:val="0"/>
        <w:topLinePunct/>
        <w:ind w:firstLine="480"/>
        <w:jc w:val="both"/>
        <w:rPr>
          <w:snapToGrid w:val="0"/>
          <w:color w:val="000000" w:themeColor="text1"/>
          <w:kern w:val="24"/>
          <w:highlight w:val="none"/>
          <w14:textFill>
            <w14:solidFill>
              <w14:schemeClr w14:val="tx1"/>
            </w14:solidFill>
          </w14:textFill>
        </w:rPr>
      </w:pPr>
      <w:r>
        <w:rPr>
          <w:snapToGrid w:val="0"/>
          <w:color w:val="000000" w:themeColor="text1"/>
          <w:kern w:val="24"/>
          <w:highlight w:val="none"/>
          <w14:textFill>
            <w14:solidFill>
              <w14:schemeClr w14:val="tx1"/>
            </w14:solidFill>
          </w14:textFill>
        </w:rPr>
        <w:t>①负责贯彻国家环境保护法、环境保护方针和政策。</w:t>
      </w:r>
    </w:p>
    <w:p w14:paraId="0203AB19">
      <w:pPr>
        <w:overflowPunct w:val="0"/>
        <w:topLinePunct/>
        <w:ind w:firstLine="480"/>
        <w:jc w:val="both"/>
        <w:rPr>
          <w:snapToGrid w:val="0"/>
          <w:color w:val="000000" w:themeColor="text1"/>
          <w:kern w:val="24"/>
          <w:highlight w:val="none"/>
          <w14:textFill>
            <w14:solidFill>
              <w14:schemeClr w14:val="tx1"/>
            </w14:solidFill>
          </w14:textFill>
        </w:rPr>
      </w:pPr>
      <w:r>
        <w:rPr>
          <w:snapToGrid w:val="0"/>
          <w:color w:val="000000" w:themeColor="text1"/>
          <w:kern w:val="24"/>
          <w:highlight w:val="none"/>
          <w14:textFill>
            <w14:solidFill>
              <w14:schemeClr w14:val="tx1"/>
            </w14:solidFill>
          </w14:textFill>
        </w:rPr>
        <w:t>②负责建立完整的环保机构，保证人员的落实。</w:t>
      </w:r>
    </w:p>
    <w:p w14:paraId="499E767D">
      <w:pPr>
        <w:overflowPunct w:val="0"/>
        <w:topLinePunct/>
        <w:ind w:firstLine="480"/>
        <w:jc w:val="both"/>
        <w:rPr>
          <w:snapToGrid w:val="0"/>
          <w:color w:val="000000" w:themeColor="text1"/>
          <w:kern w:val="24"/>
          <w:highlight w:val="none"/>
          <w14:textFill>
            <w14:solidFill>
              <w14:schemeClr w14:val="tx1"/>
            </w14:solidFill>
          </w14:textFill>
        </w:rPr>
      </w:pPr>
      <w:r>
        <w:rPr>
          <w:snapToGrid w:val="0"/>
          <w:color w:val="000000" w:themeColor="text1"/>
          <w:kern w:val="24"/>
          <w:highlight w:val="none"/>
          <w14:textFill>
            <w14:solidFill>
              <w14:schemeClr w14:val="tx1"/>
            </w14:solidFill>
          </w14:textFill>
        </w:rPr>
        <w:t>（2）安全环保</w:t>
      </w:r>
      <w:r>
        <w:rPr>
          <w:rFonts w:hint="eastAsia"/>
          <w:snapToGrid w:val="0"/>
          <w:color w:val="000000" w:themeColor="text1"/>
          <w:kern w:val="24"/>
          <w:highlight w:val="none"/>
          <w:lang w:eastAsia="zh-CN"/>
          <w14:textFill>
            <w14:solidFill>
              <w14:schemeClr w14:val="tx1"/>
            </w14:solidFill>
          </w14:textFill>
        </w:rPr>
        <w:t>部</w:t>
      </w:r>
      <w:r>
        <w:rPr>
          <w:snapToGrid w:val="0"/>
          <w:color w:val="000000" w:themeColor="text1"/>
          <w:kern w:val="24"/>
          <w:highlight w:val="none"/>
          <w14:textFill>
            <w14:solidFill>
              <w14:schemeClr w14:val="tx1"/>
            </w14:solidFill>
          </w14:textFill>
        </w:rPr>
        <w:t>管理内容</w:t>
      </w:r>
    </w:p>
    <w:p w14:paraId="5D314309">
      <w:pPr>
        <w:overflowPunct w:val="0"/>
        <w:topLinePunct/>
        <w:ind w:firstLine="480"/>
        <w:jc w:val="both"/>
        <w:rPr>
          <w:rFonts w:hint="eastAsia"/>
          <w:snapToGrid w:val="0"/>
          <w:color w:val="000000" w:themeColor="text1"/>
          <w:kern w:val="24"/>
          <w:highlight w:val="none"/>
          <w14:textFill>
            <w14:solidFill>
              <w14:schemeClr w14:val="tx1"/>
            </w14:solidFill>
          </w14:textFill>
        </w:rPr>
      </w:pPr>
      <w:r>
        <w:rPr>
          <w:snapToGrid w:val="0"/>
          <w:color w:val="000000" w:themeColor="text1"/>
          <w:kern w:val="24"/>
          <w:highlight w:val="none"/>
          <w14:textFill>
            <w14:solidFill>
              <w14:schemeClr w14:val="tx1"/>
            </w14:solidFill>
          </w14:textFill>
        </w:rPr>
        <w:t>①贯彻公司或上级</w:t>
      </w:r>
      <w:r>
        <w:rPr>
          <w:color w:val="000000" w:themeColor="text1"/>
          <w:szCs w:val="21"/>
          <w:highlight w:val="none"/>
          <w14:textFill>
            <w14:solidFill>
              <w14:schemeClr w14:val="tx1"/>
            </w14:solidFill>
          </w14:textFill>
        </w:rPr>
        <w:t>生态环境主管部门</w:t>
      </w:r>
      <w:r>
        <w:rPr>
          <w:snapToGrid w:val="0"/>
          <w:color w:val="000000" w:themeColor="text1"/>
          <w:kern w:val="24"/>
          <w:highlight w:val="none"/>
          <w14:textFill>
            <w14:solidFill>
              <w14:schemeClr w14:val="tx1"/>
            </w14:solidFill>
          </w14:textFill>
        </w:rPr>
        <w:t>有关的环保制度和规定。</w:t>
      </w:r>
      <w:r>
        <w:rPr>
          <w:rFonts w:hint="eastAsia"/>
          <w:snapToGrid w:val="0"/>
          <w:color w:val="000000" w:themeColor="text1"/>
          <w:kern w:val="24"/>
          <w:highlight w:val="none"/>
          <w14:textFill>
            <w14:solidFill>
              <w14:schemeClr w14:val="tx1"/>
            </w14:solidFill>
          </w14:textFill>
        </w:rPr>
        <w:t>在公司领导下，做好</w:t>
      </w:r>
      <w:r>
        <w:rPr>
          <w:rFonts w:hint="eastAsia"/>
          <w:snapToGrid w:val="0"/>
          <w:color w:val="000000" w:themeColor="text1"/>
          <w:kern w:val="24"/>
          <w:highlight w:val="none"/>
          <w:lang w:val="en-US" w:eastAsia="zh-CN"/>
          <w14:textFill>
            <w14:solidFill>
              <w14:schemeClr w14:val="tx1"/>
            </w14:solidFill>
          </w14:textFill>
        </w:rPr>
        <w:t>办公生活区</w:t>
      </w:r>
      <w:r>
        <w:rPr>
          <w:rFonts w:hint="eastAsia"/>
          <w:snapToGrid w:val="0"/>
          <w:color w:val="000000" w:themeColor="text1"/>
          <w:kern w:val="24"/>
          <w:highlight w:val="none"/>
          <w14:textFill>
            <w14:solidFill>
              <w14:schemeClr w14:val="tx1"/>
            </w14:solidFill>
          </w14:textFill>
        </w:rPr>
        <w:t>及其所属道路的绿化、美化工作。</w:t>
      </w:r>
    </w:p>
    <w:p w14:paraId="6BB6462E">
      <w:pPr>
        <w:overflowPunct w:val="0"/>
        <w:topLinePunct/>
        <w:ind w:firstLine="480"/>
        <w:jc w:val="both"/>
        <w:rPr>
          <w:snapToGrid w:val="0"/>
          <w:color w:val="000000" w:themeColor="text1"/>
          <w:kern w:val="24"/>
          <w:highlight w:val="none"/>
          <w14:textFill>
            <w14:solidFill>
              <w14:schemeClr w14:val="tx1"/>
            </w14:solidFill>
          </w14:textFill>
        </w:rPr>
      </w:pPr>
      <w:r>
        <w:rPr>
          <w:snapToGrid w:val="0"/>
          <w:color w:val="000000" w:themeColor="text1"/>
          <w:kern w:val="24"/>
          <w:highlight w:val="none"/>
          <w14:textFill>
            <w14:solidFill>
              <w14:schemeClr w14:val="tx1"/>
            </w14:solidFill>
          </w14:textFill>
        </w:rPr>
        <w:t>②汇总、编报环保年度计划及规划，并监督、检查执行情况。</w:t>
      </w:r>
    </w:p>
    <w:p w14:paraId="2CD8AF64">
      <w:pPr>
        <w:overflowPunct w:val="0"/>
        <w:topLinePunct/>
        <w:ind w:firstLine="480"/>
        <w:jc w:val="both"/>
        <w:rPr>
          <w:snapToGrid w:val="0"/>
          <w:color w:val="000000" w:themeColor="text1"/>
          <w:kern w:val="24"/>
          <w:highlight w:val="none"/>
          <w14:textFill>
            <w14:solidFill>
              <w14:schemeClr w14:val="tx1"/>
            </w14:solidFill>
          </w14:textFill>
        </w:rPr>
      </w:pPr>
      <w:r>
        <w:rPr>
          <w:snapToGrid w:val="0"/>
          <w:color w:val="000000" w:themeColor="text1"/>
          <w:kern w:val="24"/>
          <w:highlight w:val="none"/>
          <w14:textFill>
            <w14:solidFill>
              <w14:schemeClr w14:val="tx1"/>
            </w14:solidFill>
          </w14:textFill>
        </w:rPr>
        <w:t>③</w:t>
      </w:r>
      <w:r>
        <w:rPr>
          <w:rFonts w:hint="eastAsia"/>
          <w:snapToGrid w:val="0"/>
          <w:color w:val="000000" w:themeColor="text1"/>
          <w:kern w:val="24"/>
          <w:highlight w:val="none"/>
          <w14:textFill>
            <w14:solidFill>
              <w14:schemeClr w14:val="tx1"/>
            </w14:solidFill>
          </w14:textFill>
        </w:rPr>
        <w:t>检查、督促各处室做好卫生、绿化工作。组织做好垃圾的定点堆放和清运工作。保证清洁人员按指定地段每日将道路清扫干净，控制路面扬尘、减少无组织排放</w:t>
      </w:r>
      <w:r>
        <w:rPr>
          <w:snapToGrid w:val="0"/>
          <w:color w:val="000000" w:themeColor="text1"/>
          <w:kern w:val="24"/>
          <w:highlight w:val="none"/>
          <w14:textFill>
            <w14:solidFill>
              <w14:schemeClr w14:val="tx1"/>
            </w14:solidFill>
          </w14:textFill>
        </w:rPr>
        <w:t>。</w:t>
      </w:r>
    </w:p>
    <w:p w14:paraId="6A93B2CC">
      <w:pPr>
        <w:overflowPunct w:val="0"/>
        <w:topLinePunct/>
        <w:ind w:firstLine="480"/>
        <w:jc w:val="both"/>
        <w:rPr>
          <w:rFonts w:hint="eastAsia" w:eastAsia="宋体"/>
          <w:snapToGrid w:val="0"/>
          <w:color w:val="000000" w:themeColor="text1"/>
          <w:kern w:val="24"/>
          <w:highlight w:val="none"/>
          <w:lang w:eastAsia="zh-CN"/>
          <w14:textFill>
            <w14:solidFill>
              <w14:schemeClr w14:val="tx1"/>
            </w14:solidFill>
          </w14:textFill>
        </w:rPr>
      </w:pPr>
      <w:r>
        <w:rPr>
          <w:snapToGrid w:val="0"/>
          <w:color w:val="000000" w:themeColor="text1"/>
          <w:kern w:val="24"/>
          <w:highlight w:val="none"/>
          <w14:textFill>
            <w14:solidFill>
              <w14:schemeClr w14:val="tx1"/>
            </w14:solidFill>
          </w14:textFill>
        </w:rPr>
        <w:t>④</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制定环境质量控制指标，提出环保考核项目和经济承包有关奖罚规定</w:t>
      </w:r>
      <w:r>
        <w:rPr>
          <w:rFonts w:hint="eastAsia" w:cs="Times New Roman"/>
          <w:color w:val="000000" w:themeColor="text1"/>
          <w:sz w:val="24"/>
          <w:szCs w:val="24"/>
          <w:highlight w:val="none"/>
          <w:lang w:eastAsia="zh-CN" w:bidi="ar"/>
          <w14:textFill>
            <w14:solidFill>
              <w14:schemeClr w14:val="tx1"/>
            </w14:solidFill>
          </w14:textFill>
        </w:rPr>
        <w:t>。</w:t>
      </w:r>
    </w:p>
    <w:p w14:paraId="271A0E63">
      <w:pPr>
        <w:overflowPunct w:val="0"/>
        <w:topLinePunct/>
        <w:ind w:firstLine="480"/>
        <w:jc w:val="both"/>
        <w:rPr>
          <w:snapToGrid w:val="0"/>
          <w:color w:val="000000" w:themeColor="text1"/>
          <w:kern w:val="24"/>
          <w:highlight w:val="none"/>
          <w14:textFill>
            <w14:solidFill>
              <w14:schemeClr w14:val="tx1"/>
            </w14:solidFill>
          </w14:textFill>
        </w:rPr>
      </w:pPr>
      <w:r>
        <w:rPr>
          <w:rFonts w:hint="eastAsia"/>
          <w:snapToGrid w:val="0"/>
          <w:color w:val="000000" w:themeColor="text1"/>
          <w:kern w:val="24"/>
          <w:highlight w:val="none"/>
          <w:lang w:eastAsia="zh-CN"/>
          <w14:textFill>
            <w14:solidFill>
              <w14:schemeClr w14:val="tx1"/>
            </w14:solidFill>
          </w14:textFill>
        </w:rPr>
        <w:t>⑤</w:t>
      </w:r>
      <w:r>
        <w:rPr>
          <w:snapToGrid w:val="0"/>
          <w:color w:val="000000" w:themeColor="text1"/>
          <w:kern w:val="24"/>
          <w:highlight w:val="none"/>
          <w14:textFill>
            <w14:solidFill>
              <w14:schemeClr w14:val="tx1"/>
            </w14:solidFill>
          </w14:textFill>
        </w:rPr>
        <w:t>参与污染事故调查，并向上级主管部门提出书面报告。</w:t>
      </w:r>
    </w:p>
    <w:p w14:paraId="556A5095">
      <w:pPr>
        <w:overflowPunct w:val="0"/>
        <w:topLinePunct/>
        <w:ind w:firstLine="480"/>
        <w:jc w:val="both"/>
        <w:rPr>
          <w:snapToGrid w:val="0"/>
          <w:color w:val="000000" w:themeColor="text1"/>
          <w:kern w:val="24"/>
          <w:highlight w:val="none"/>
          <w14:textFill>
            <w14:solidFill>
              <w14:schemeClr w14:val="tx1"/>
            </w14:solidFill>
          </w14:textFill>
        </w:rPr>
      </w:pPr>
      <w:r>
        <w:rPr>
          <w:rFonts w:hint="eastAsia"/>
          <w:snapToGrid w:val="0"/>
          <w:color w:val="000000" w:themeColor="text1"/>
          <w:kern w:val="24"/>
          <w:highlight w:val="none"/>
          <w:lang w:eastAsia="zh-CN"/>
          <w14:textFill>
            <w14:solidFill>
              <w14:schemeClr w14:val="tx1"/>
            </w14:solidFill>
          </w14:textFill>
        </w:rPr>
        <w:t>⑥</w:t>
      </w:r>
      <w:r>
        <w:rPr>
          <w:snapToGrid w:val="0"/>
          <w:color w:val="000000" w:themeColor="text1"/>
          <w:kern w:val="24"/>
          <w:highlight w:val="none"/>
          <w14:textFill>
            <w14:solidFill>
              <w14:schemeClr w14:val="tx1"/>
            </w14:solidFill>
          </w14:textFill>
        </w:rPr>
        <w:t>对污染源进行监督管理，贯彻预防为主的方针，发现问题，及时向上级主管部门汇报，下达环保整改通知书，强化管理。</w:t>
      </w:r>
    </w:p>
    <w:p w14:paraId="429AD654">
      <w:pPr>
        <w:overflowPunct w:val="0"/>
        <w:topLinePunct/>
        <w:ind w:firstLine="480"/>
        <w:jc w:val="both"/>
        <w:rPr>
          <w:snapToGrid w:val="0"/>
          <w:color w:val="000000" w:themeColor="text1"/>
          <w:kern w:val="24"/>
          <w:highlight w:val="none"/>
          <w14:textFill>
            <w14:solidFill>
              <w14:schemeClr w14:val="tx1"/>
            </w14:solidFill>
          </w14:textFill>
        </w:rPr>
      </w:pPr>
      <w:r>
        <w:rPr>
          <w:rFonts w:hint="eastAsia"/>
          <w:snapToGrid w:val="0"/>
          <w:color w:val="000000" w:themeColor="text1"/>
          <w:kern w:val="24"/>
          <w:highlight w:val="none"/>
          <w:lang w:eastAsia="zh-CN"/>
          <w14:textFill>
            <w14:solidFill>
              <w14:schemeClr w14:val="tx1"/>
            </w14:solidFill>
          </w14:textFill>
        </w:rPr>
        <w:t>⑦</w:t>
      </w:r>
      <w:r>
        <w:rPr>
          <w:snapToGrid w:val="0"/>
          <w:color w:val="000000" w:themeColor="text1"/>
          <w:kern w:val="24"/>
          <w:highlight w:val="none"/>
          <w14:textFill>
            <w14:solidFill>
              <w14:schemeClr w14:val="tx1"/>
            </w14:solidFill>
          </w14:textFill>
        </w:rPr>
        <w:t>对环境保护的先进经验、先进技术进行推广和应用。</w:t>
      </w:r>
    </w:p>
    <w:p w14:paraId="3EE0AB58">
      <w:pPr>
        <w:overflowPunct w:val="0"/>
        <w:topLinePunct/>
        <w:ind w:firstLine="480"/>
        <w:jc w:val="both"/>
        <w:rPr>
          <w:snapToGrid w:val="0"/>
          <w:color w:val="000000" w:themeColor="text1"/>
          <w:kern w:val="24"/>
          <w:highlight w:val="none"/>
          <w14:textFill>
            <w14:solidFill>
              <w14:schemeClr w14:val="tx1"/>
            </w14:solidFill>
          </w14:textFill>
        </w:rPr>
      </w:pPr>
      <w:r>
        <w:rPr>
          <w:rFonts w:hint="eastAsia"/>
          <w:snapToGrid w:val="0"/>
          <w:color w:val="000000" w:themeColor="text1"/>
          <w:kern w:val="24"/>
          <w:highlight w:val="none"/>
          <w:lang w:eastAsia="zh-CN"/>
          <w14:textFill>
            <w14:solidFill>
              <w14:schemeClr w14:val="tx1"/>
            </w14:solidFill>
          </w14:textFill>
        </w:rPr>
        <w:t>⑧</w:t>
      </w:r>
      <w:r>
        <w:rPr>
          <w:snapToGrid w:val="0"/>
          <w:color w:val="000000" w:themeColor="text1"/>
          <w:kern w:val="24"/>
          <w:highlight w:val="none"/>
          <w14:textFill>
            <w14:solidFill>
              <w14:schemeClr w14:val="tx1"/>
            </w14:solidFill>
          </w14:textFill>
        </w:rPr>
        <w:t>对环境监测技术资料进行整理、统计、上报和存档。</w:t>
      </w:r>
    </w:p>
    <w:p w14:paraId="22136ABB">
      <w:pPr>
        <w:overflowPunct w:val="0"/>
        <w:topLinePunct/>
        <w:ind w:firstLine="480"/>
        <w:jc w:val="both"/>
        <w:rPr>
          <w:snapToGrid w:val="0"/>
          <w:color w:val="000000" w:themeColor="text1"/>
          <w:kern w:val="24"/>
          <w:highlight w:val="none"/>
          <w14:textFill>
            <w14:solidFill>
              <w14:schemeClr w14:val="tx1"/>
            </w14:solidFill>
          </w14:textFill>
        </w:rPr>
      </w:pPr>
      <w:r>
        <w:rPr>
          <w:rFonts w:hint="eastAsia"/>
          <w:snapToGrid w:val="0"/>
          <w:color w:val="000000" w:themeColor="text1"/>
          <w:kern w:val="24"/>
          <w:highlight w:val="none"/>
          <w:lang w:eastAsia="zh-CN"/>
          <w14:textFill>
            <w14:solidFill>
              <w14:schemeClr w14:val="tx1"/>
            </w14:solidFill>
          </w14:textFill>
        </w:rPr>
        <w:t>⑨</w:t>
      </w:r>
      <w:r>
        <w:rPr>
          <w:snapToGrid w:val="0"/>
          <w:color w:val="000000" w:themeColor="text1"/>
          <w:kern w:val="24"/>
          <w:highlight w:val="none"/>
          <w14:textFill>
            <w14:solidFill>
              <w14:schemeClr w14:val="tx1"/>
            </w14:solidFill>
          </w14:textFill>
        </w:rPr>
        <w:t>监督公司内环保设备的日常运行情况，包括</w:t>
      </w:r>
      <w:r>
        <w:rPr>
          <w:rFonts w:hint="eastAsia"/>
          <w:snapToGrid w:val="0"/>
          <w:color w:val="000000" w:themeColor="text1"/>
          <w:kern w:val="24"/>
          <w:highlight w:val="none"/>
          <w:lang w:eastAsia="zh-CN"/>
          <w14:textFill>
            <w14:solidFill>
              <w14:schemeClr w14:val="tx1"/>
            </w14:solidFill>
          </w14:textFill>
        </w:rPr>
        <w:t>除尘</w:t>
      </w:r>
      <w:r>
        <w:rPr>
          <w:snapToGrid w:val="0"/>
          <w:color w:val="000000" w:themeColor="text1"/>
          <w:kern w:val="24"/>
          <w:highlight w:val="none"/>
          <w14:textFill>
            <w14:solidFill>
              <w14:schemeClr w14:val="tx1"/>
            </w14:solidFill>
          </w14:textFill>
        </w:rPr>
        <w:t>设备、噪声控制设备等，每月考核一次设备的运行情况，并负责对环保设备大、中修的质量验收。</w:t>
      </w:r>
    </w:p>
    <w:p w14:paraId="5A6A693F">
      <w:pPr>
        <w:overflowPunct w:val="0"/>
        <w:topLinePunct/>
        <w:ind w:firstLine="480"/>
        <w:jc w:val="both"/>
        <w:rPr>
          <w:rFonts w:eastAsia="宋体"/>
          <w:color w:val="000000" w:themeColor="text1"/>
          <w:szCs w:val="21"/>
          <w:highlight w:val="none"/>
          <w14:textFill>
            <w14:solidFill>
              <w14:schemeClr w14:val="tx1"/>
            </w14:solidFill>
          </w14:textFill>
        </w:rPr>
      </w:pPr>
      <w:bookmarkStart w:id="1023" w:name="_Toc19637"/>
      <w:bookmarkStart w:id="1024" w:name="_Toc321501717"/>
      <w:bookmarkStart w:id="1025" w:name="_Toc8987"/>
      <w:r>
        <w:rPr>
          <w:rFonts w:eastAsia="宋体"/>
          <w:color w:val="000000" w:themeColor="text1"/>
          <w:szCs w:val="21"/>
          <w:highlight w:val="none"/>
          <w14:textFill>
            <w14:solidFill>
              <w14:schemeClr w14:val="tx1"/>
            </w14:solidFill>
          </w14:textFill>
        </w:rPr>
        <w:t>3、</w:t>
      </w:r>
      <w:r>
        <w:rPr>
          <w:rFonts w:hint="eastAsia" w:eastAsia="宋体"/>
          <w:color w:val="000000" w:themeColor="text1"/>
          <w:szCs w:val="21"/>
          <w:highlight w:val="none"/>
          <w14:textFill>
            <w14:solidFill>
              <w14:schemeClr w14:val="tx1"/>
            </w14:solidFill>
          </w14:textFill>
        </w:rPr>
        <w:t>退役期</w:t>
      </w:r>
      <w:r>
        <w:rPr>
          <w:rFonts w:eastAsia="宋体"/>
          <w:color w:val="000000" w:themeColor="text1"/>
          <w:szCs w:val="21"/>
          <w:highlight w:val="none"/>
          <w14:textFill>
            <w14:solidFill>
              <w14:schemeClr w14:val="tx1"/>
            </w14:solidFill>
          </w14:textFill>
        </w:rPr>
        <w:t>环境管理内容</w:t>
      </w:r>
    </w:p>
    <w:p w14:paraId="48F9F9C2">
      <w:pPr>
        <w:overflowPunct w:val="0"/>
        <w:topLinePunct/>
        <w:ind w:firstLine="480"/>
        <w:jc w:val="both"/>
        <w:rPr>
          <w:rFonts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退役期</w:t>
      </w:r>
      <w:r>
        <w:rPr>
          <w:rFonts w:eastAsia="宋体"/>
          <w:color w:val="000000" w:themeColor="text1"/>
          <w:szCs w:val="21"/>
          <w:highlight w:val="none"/>
          <w14:textFill>
            <w14:solidFill>
              <w14:schemeClr w14:val="tx1"/>
            </w14:solidFill>
          </w14:textFill>
        </w:rPr>
        <w:t>各管理机构主要的管理内容是监督生态恢复工作的落实，</w:t>
      </w:r>
      <w:r>
        <w:rPr>
          <w:rFonts w:hint="eastAsia" w:eastAsia="宋体"/>
          <w:color w:val="000000" w:themeColor="text1"/>
          <w:szCs w:val="21"/>
          <w:highlight w:val="none"/>
          <w14:textFill>
            <w14:solidFill>
              <w14:schemeClr w14:val="tx1"/>
            </w14:solidFill>
          </w14:textFill>
        </w:rPr>
        <w:t>选厂、尾矿库</w:t>
      </w:r>
      <w:r>
        <w:rPr>
          <w:rFonts w:eastAsia="宋体"/>
          <w:color w:val="000000" w:themeColor="text1"/>
          <w:szCs w:val="21"/>
          <w:highlight w:val="none"/>
          <w14:textFill>
            <w14:solidFill>
              <w14:schemeClr w14:val="tx1"/>
            </w14:solidFill>
          </w14:textFill>
        </w:rPr>
        <w:t>必须按照矿山安全、地质恢复、环境保护工作的有关规定拆除无用的地面建筑物，将破坏的地表推平，对受破坏的地表恢复原貌等工作。</w:t>
      </w:r>
    </w:p>
    <w:p w14:paraId="37424CEA">
      <w:pPr>
        <w:pStyle w:val="4"/>
        <w:rPr>
          <w:color w:val="000000" w:themeColor="text1"/>
          <w:highlight w:val="none"/>
          <w14:textFill>
            <w14:solidFill>
              <w14:schemeClr w14:val="tx1"/>
            </w14:solidFill>
          </w14:textFill>
        </w:rPr>
      </w:pPr>
      <w:bookmarkStart w:id="1026" w:name="_Toc23561"/>
      <w:bookmarkStart w:id="1027" w:name="_Toc4499"/>
      <w:bookmarkStart w:id="1028" w:name="_Toc3798"/>
      <w:bookmarkStart w:id="1029" w:name="_Toc3930"/>
      <w:r>
        <w:rPr>
          <w:color w:val="000000" w:themeColor="text1"/>
          <w:highlight w:val="none"/>
          <w14:textFill>
            <w14:solidFill>
              <w14:schemeClr w14:val="tx1"/>
            </w14:solidFill>
          </w14:textFill>
        </w:rPr>
        <w:t>8.1.5环境管理</w:t>
      </w:r>
      <w:bookmarkEnd w:id="1000"/>
      <w:bookmarkEnd w:id="1001"/>
      <w:bookmarkEnd w:id="1002"/>
      <w:bookmarkEnd w:id="1003"/>
      <w:bookmarkEnd w:id="1004"/>
      <w:bookmarkEnd w:id="1005"/>
      <w:bookmarkEnd w:id="1006"/>
      <w:bookmarkEnd w:id="1007"/>
      <w:bookmarkEnd w:id="1008"/>
      <w:bookmarkEnd w:id="1009"/>
      <w:bookmarkEnd w:id="1010"/>
      <w:r>
        <w:rPr>
          <w:color w:val="000000" w:themeColor="text1"/>
          <w:highlight w:val="none"/>
          <w14:textFill>
            <w14:solidFill>
              <w14:schemeClr w14:val="tx1"/>
            </w14:solidFill>
          </w14:textFill>
        </w:rPr>
        <w:t>制度</w:t>
      </w:r>
      <w:bookmarkEnd w:id="1011"/>
      <w:bookmarkEnd w:id="1012"/>
      <w:bookmarkEnd w:id="1023"/>
      <w:bookmarkEnd w:id="1024"/>
      <w:bookmarkEnd w:id="1025"/>
      <w:bookmarkEnd w:id="1026"/>
      <w:bookmarkEnd w:id="1027"/>
      <w:bookmarkEnd w:id="1028"/>
      <w:bookmarkEnd w:id="1029"/>
    </w:p>
    <w:p w14:paraId="74D61D57">
      <w:pPr>
        <w:widowControl/>
        <w:overflowPunct w:val="0"/>
        <w:topLinePunct/>
        <w:ind w:firstLine="480"/>
        <w:jc w:val="both"/>
        <w:rPr>
          <w:color w:val="000000" w:themeColor="text1"/>
          <w:kern w:val="0"/>
          <w:szCs w:val="21"/>
          <w:highlight w:val="none"/>
          <w14:textFill>
            <w14:solidFill>
              <w14:schemeClr w14:val="tx1"/>
            </w14:solidFill>
          </w14:textFill>
        </w:rPr>
      </w:pPr>
      <w:bookmarkStart w:id="1030" w:name="_Toc168317240"/>
      <w:bookmarkStart w:id="1031" w:name="_Toc164774413"/>
      <w:bookmarkStart w:id="1032" w:name="_Toc153689587"/>
      <w:bookmarkStart w:id="1033" w:name="_Toc149680835"/>
      <w:bookmarkStart w:id="1034" w:name="_Toc149680598"/>
      <w:bookmarkStart w:id="1035" w:name="_Toc172698698"/>
      <w:bookmarkStart w:id="1036" w:name="_Toc180891810"/>
      <w:bookmarkStart w:id="1037" w:name="_Toc170869099"/>
      <w:bookmarkStart w:id="1038" w:name="_Toc179522851"/>
      <w:bookmarkStart w:id="1039" w:name="_Toc170970695"/>
      <w:bookmarkStart w:id="1040" w:name="_Toc179653311"/>
      <w:r>
        <w:rPr>
          <w:color w:val="000000" w:themeColor="text1"/>
          <w:kern w:val="0"/>
          <w:szCs w:val="21"/>
          <w:highlight w:val="none"/>
          <w14:textFill>
            <w14:solidFill>
              <w14:schemeClr w14:val="tx1"/>
            </w14:solidFill>
          </w14:textFill>
        </w:rPr>
        <w:t>建立健全必要的环境管理规章制度，并把它作为企业领导和全体职工必须严格遵守的一种规范和准则，</w:t>
      </w:r>
      <w:r>
        <w:rPr>
          <w:rFonts w:hint="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有规可循，执规必严</w:t>
      </w:r>
      <w:r>
        <w:rPr>
          <w:rFonts w:hint="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是环境管理计划得以顺利实施的重要保证。各项规章制度要体现环境管理的任务、内容和准则，使环境管理的特点和要求渗透到企业的各项管理工作之中。</w:t>
      </w:r>
    </w:p>
    <w:p w14:paraId="7C4469D4">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最基本的环境管理制度有如下几个方面：</w:t>
      </w:r>
    </w:p>
    <w:p w14:paraId="2ED68355">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（1）环境保护</w:t>
      </w:r>
      <w:r>
        <w:rPr>
          <w:rFonts w:hint="eastAsia"/>
          <w:color w:val="000000" w:themeColor="text1"/>
          <w:kern w:val="0"/>
          <w:szCs w:val="21"/>
          <w:highlight w:val="none"/>
          <w:lang w:eastAsia="zh-CN"/>
          <w14:textFill>
            <w14:solidFill>
              <w14:schemeClr w14:val="tx1"/>
            </w14:solidFill>
          </w14:textFill>
        </w:rPr>
        <w:t>管理条例</w:t>
      </w:r>
      <w:r>
        <w:rPr>
          <w:color w:val="000000" w:themeColor="text1"/>
          <w:kern w:val="0"/>
          <w:szCs w:val="21"/>
          <w:highlight w:val="none"/>
          <w14:textFill>
            <w14:solidFill>
              <w14:schemeClr w14:val="tx1"/>
            </w14:solidFill>
          </w14:textFill>
        </w:rPr>
        <w:t>；</w:t>
      </w:r>
    </w:p>
    <w:p w14:paraId="2431689A">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（2）环境质量管理规程；</w:t>
      </w:r>
    </w:p>
    <w:p w14:paraId="62A32A48">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（3）环境管理的经济责任制；</w:t>
      </w:r>
    </w:p>
    <w:p w14:paraId="0FCE2C2B">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（4）环境保护业务管理制度；</w:t>
      </w:r>
    </w:p>
    <w:p w14:paraId="55E923B7">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（5）环境管理岗位责任制；</w:t>
      </w:r>
    </w:p>
    <w:p w14:paraId="66B54D81">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（6）环境技术管理规程；</w:t>
      </w:r>
    </w:p>
    <w:p w14:paraId="4CB9B99E">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（7）环境保护考核制度；</w:t>
      </w:r>
    </w:p>
    <w:p w14:paraId="69644205">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（8）污染物防治、控制措施及达标排放实施办法；</w:t>
      </w:r>
    </w:p>
    <w:p w14:paraId="78FABB12">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（9）环境污染事故管理规定；</w:t>
      </w:r>
    </w:p>
    <w:p w14:paraId="7BC1C499">
      <w:pPr>
        <w:widowControl/>
        <w:overflowPunct w:val="0"/>
        <w:topLinePunct/>
        <w:ind w:firstLine="48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（10）清洁生产审计制度。</w:t>
      </w:r>
    </w:p>
    <w:p w14:paraId="52324D4B">
      <w:pPr>
        <w:pStyle w:val="4"/>
        <w:rPr>
          <w:color w:val="000000" w:themeColor="text1"/>
          <w:highlight w:val="none"/>
          <w14:textFill>
            <w14:solidFill>
              <w14:schemeClr w14:val="tx1"/>
            </w14:solidFill>
          </w14:textFill>
        </w:rPr>
      </w:pPr>
      <w:bookmarkStart w:id="1041" w:name="_Toc26711"/>
      <w:bookmarkStart w:id="1042" w:name="_Toc27111"/>
      <w:bookmarkStart w:id="1043" w:name="_Toc762"/>
      <w:bookmarkStart w:id="1044" w:name="_Toc26322"/>
      <w:r>
        <w:rPr>
          <w:color w:val="000000" w:themeColor="text1"/>
          <w:highlight w:val="none"/>
          <w14:textFill>
            <w14:solidFill>
              <w14:schemeClr w14:val="tx1"/>
            </w14:solidFill>
          </w14:textFill>
        </w:rPr>
        <w:t>8.1.6排污口规范化</w:t>
      </w:r>
      <w:bookmarkEnd w:id="1041"/>
      <w:bookmarkEnd w:id="1042"/>
      <w:bookmarkEnd w:id="1043"/>
      <w:bookmarkEnd w:id="1044"/>
    </w:p>
    <w:p w14:paraId="1F20A19F">
      <w:pPr>
        <w:overflowPunct w:val="0"/>
        <w:topLinePunct/>
        <w:ind w:firstLine="480"/>
        <w:jc w:val="both"/>
        <w:rPr>
          <w:snapToGrid w:val="0"/>
          <w:color w:val="000000" w:themeColor="text1"/>
          <w:kern w:val="24"/>
          <w:highlight w:val="none"/>
          <w14:textFill>
            <w14:solidFill>
              <w14:schemeClr w14:val="tx1"/>
            </w14:solidFill>
          </w14:textFill>
        </w:rPr>
      </w:pPr>
      <w:r>
        <w:rPr>
          <w:snapToGrid w:val="0"/>
          <w:color w:val="000000" w:themeColor="text1"/>
          <w:kern w:val="24"/>
          <w:highlight w:val="none"/>
          <w14:textFill>
            <w14:solidFill>
              <w14:schemeClr w14:val="tx1"/>
            </w14:solidFill>
          </w14:textFill>
        </w:rPr>
        <w:t>排污口是企业污染物进入环境、污染环境的通道，强化排污口的管理是实施污染物总量控制的基础工作之一，也是区域环境管理逐步实现污染物排放科学化、定量化的重要手段。具体管理原则如下：</w:t>
      </w:r>
    </w:p>
    <w:p w14:paraId="0407C7FA">
      <w:pPr>
        <w:overflowPunct w:val="0"/>
        <w:topLinePunct/>
        <w:ind w:firstLine="480"/>
        <w:jc w:val="both"/>
        <w:rPr>
          <w:snapToGrid w:val="0"/>
          <w:color w:val="000000" w:themeColor="text1"/>
          <w:kern w:val="24"/>
          <w:highlight w:val="none"/>
          <w14:textFill>
            <w14:solidFill>
              <w14:schemeClr w14:val="tx1"/>
            </w14:solidFill>
          </w14:textFill>
        </w:rPr>
      </w:pPr>
      <w:r>
        <w:rPr>
          <w:snapToGrid w:val="0"/>
          <w:color w:val="000000" w:themeColor="text1"/>
          <w:kern w:val="24"/>
          <w:highlight w:val="none"/>
          <w14:textFill>
            <w14:solidFill>
              <w14:schemeClr w14:val="tx1"/>
            </w14:solidFill>
          </w14:textFill>
        </w:rPr>
        <w:t>（1）向环境排放的污染物的排放口必须规范化；</w:t>
      </w:r>
    </w:p>
    <w:p w14:paraId="3DDDCF21">
      <w:pPr>
        <w:overflowPunct w:val="0"/>
        <w:topLinePunct/>
        <w:ind w:firstLine="480"/>
        <w:jc w:val="both"/>
        <w:rPr>
          <w:snapToGrid w:val="0"/>
          <w:color w:val="000000" w:themeColor="text1"/>
          <w:kern w:val="24"/>
          <w:highlight w:val="none"/>
          <w14:textFill>
            <w14:solidFill>
              <w14:schemeClr w14:val="tx1"/>
            </w14:solidFill>
          </w14:textFill>
        </w:rPr>
      </w:pPr>
      <w:r>
        <w:rPr>
          <w:snapToGrid w:val="0"/>
          <w:color w:val="000000" w:themeColor="text1"/>
          <w:kern w:val="24"/>
          <w:highlight w:val="none"/>
          <w14:textFill>
            <w14:solidFill>
              <w14:schemeClr w14:val="tx1"/>
            </w14:solidFill>
          </w14:textFill>
        </w:rPr>
        <w:t>（2）排污口应便于采样与计量监测，便于日常现场监督检查；</w:t>
      </w:r>
    </w:p>
    <w:p w14:paraId="10B29A2C">
      <w:pPr>
        <w:overflowPunct w:val="0"/>
        <w:topLinePunct/>
        <w:ind w:firstLine="480"/>
        <w:jc w:val="both"/>
        <w:rPr>
          <w:snapToGrid w:val="0"/>
          <w:color w:val="000000" w:themeColor="text1"/>
          <w:kern w:val="24"/>
          <w:highlight w:val="none"/>
          <w14:textFill>
            <w14:solidFill>
              <w14:schemeClr w14:val="tx1"/>
            </w14:solidFill>
          </w14:textFill>
        </w:rPr>
      </w:pPr>
      <w:r>
        <w:rPr>
          <w:snapToGrid w:val="0"/>
          <w:color w:val="000000" w:themeColor="text1"/>
          <w:kern w:val="24"/>
          <w:highlight w:val="none"/>
          <w14:textFill>
            <w14:solidFill>
              <w14:schemeClr w14:val="tx1"/>
            </w14:solidFill>
          </w14:textFill>
        </w:rPr>
        <w:t>（3）如实向环保管理部门申报排污口数量、位置及所排放的主要污染物种类、数量、浓度、排放去向等情况；</w:t>
      </w:r>
    </w:p>
    <w:p w14:paraId="7CAF2140">
      <w:pPr>
        <w:overflowPunct w:val="0"/>
        <w:topLinePunct/>
        <w:ind w:firstLine="480"/>
        <w:jc w:val="both"/>
        <w:rPr>
          <w:snapToGrid w:val="0"/>
          <w:color w:val="000000" w:themeColor="text1"/>
          <w:kern w:val="24"/>
          <w:highlight w:val="none"/>
          <w14:textFill>
            <w14:solidFill>
              <w14:schemeClr w14:val="tx1"/>
            </w14:solidFill>
          </w14:textFill>
        </w:rPr>
      </w:pPr>
      <w:r>
        <w:rPr>
          <w:snapToGrid w:val="0"/>
          <w:color w:val="000000" w:themeColor="text1"/>
          <w:kern w:val="24"/>
          <w:highlight w:val="none"/>
          <w14:textFill>
            <w14:solidFill>
              <w14:schemeClr w14:val="tx1"/>
            </w14:solidFill>
          </w14:textFill>
        </w:rPr>
        <w:t>（4）废气排气装置应设置便于采样、监测的采样孔和采样平台，设置应符合《污染源监测技术规范》；</w:t>
      </w:r>
    </w:p>
    <w:p w14:paraId="35523CA0">
      <w:pPr>
        <w:overflowPunct w:val="0"/>
        <w:topLinePunct/>
        <w:ind w:firstLine="480"/>
        <w:jc w:val="both"/>
        <w:rPr>
          <w:snapToGrid w:val="0"/>
          <w:color w:val="000000" w:themeColor="text1"/>
          <w:kern w:val="24"/>
          <w:highlight w:val="none"/>
          <w14:textFill>
            <w14:solidFill>
              <w14:schemeClr w14:val="tx1"/>
            </w14:solidFill>
          </w14:textFill>
        </w:rPr>
      </w:pPr>
      <w:r>
        <w:rPr>
          <w:snapToGrid w:val="0"/>
          <w:color w:val="000000" w:themeColor="text1"/>
          <w:kern w:val="24"/>
          <w:highlight w:val="none"/>
          <w14:textFill>
            <w14:solidFill>
              <w14:schemeClr w14:val="tx1"/>
            </w14:solidFill>
          </w14:textFill>
        </w:rPr>
        <w:t>（5）固体废物堆存场地要有防扬散、防流失措施。</w:t>
      </w:r>
    </w:p>
    <w:p w14:paraId="5C599004">
      <w:pPr>
        <w:keepNext w:val="0"/>
        <w:keepLines w:val="0"/>
        <w:pageBreakBefore w:val="0"/>
        <w:widowControl w:val="0"/>
        <w:kinsoku/>
        <w:wordWrap/>
        <w:overflowPunct/>
        <w:topLinePunct w:val="0"/>
        <w:autoSpaceDE/>
        <w:autoSpaceDN/>
        <w:bidi w:val="0"/>
        <w:snapToGrid/>
        <w:spacing w:line="480" w:lineRule="exact"/>
        <w:ind w:firstLine="480"/>
        <w:jc w:val="left"/>
        <w:rPr>
          <w:rFonts w:hint="default" w:ascii="Times New Roman" w:hAnsi="Times New Roman" w:eastAsia="宋体" w:cs="Times New Roman"/>
          <w:snapToGrid w:val="0"/>
          <w:color w:val="000000" w:themeColor="text1"/>
          <w:kern w:val="24"/>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4"/>
          <w:sz w:val="24"/>
          <w:szCs w:val="24"/>
          <w:highlight w:val="none"/>
          <w:lang w:val="en-US" w:eastAsia="zh-CN" w:bidi="ar-SA"/>
          <w14:textFill>
            <w14:solidFill>
              <w14:schemeClr w14:val="tx1"/>
            </w14:solidFill>
          </w14:textFill>
        </w:rPr>
        <w:t>环境保护图形标志具体设置图形见表8.1-1。</w:t>
      </w:r>
    </w:p>
    <w:p w14:paraId="39336382">
      <w:pPr>
        <w:keepNext w:val="0"/>
        <w:keepLines w:val="0"/>
        <w:pageBreakBefore w:val="0"/>
        <w:widowControl w:val="0"/>
        <w:kinsoku/>
        <w:wordWrap/>
        <w:overflowPunct/>
        <w:topLinePunct w:val="0"/>
        <w:autoSpaceDE/>
        <w:autoSpaceDN/>
        <w:bidi w:val="0"/>
        <w:adjustRightInd w:val="0"/>
        <w:snapToGrid/>
        <w:spacing w:line="480" w:lineRule="exact"/>
        <w:ind w:firstLine="0" w:firstLineChars="0"/>
        <w:jc w:val="center"/>
        <w:textAlignment w:val="baseline"/>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表8.1-1</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14:textFill>
            <w14:solidFill>
              <w14:schemeClr w14:val="tx1"/>
            </w14:solidFill>
          </w14:textFill>
        </w:rPr>
        <w:t>环境保护图形标志设置图形表</w:t>
      </w:r>
    </w:p>
    <w:tbl>
      <w:tblPr>
        <w:tblStyle w:val="32"/>
        <w:tblW w:w="851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5"/>
        <w:gridCol w:w="2214"/>
        <w:gridCol w:w="2214"/>
        <w:gridCol w:w="1405"/>
        <w:gridCol w:w="1945"/>
      </w:tblGrid>
      <w:tr w14:paraId="7EDCC3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555" w:type="dxa"/>
            <w:tcBorders>
              <w:tl2br w:val="nil"/>
              <w:tr2bl w:val="nil"/>
            </w:tcBorders>
            <w:noWrap w:val="0"/>
            <w:vAlign w:val="center"/>
          </w:tcPr>
          <w:p w14:paraId="384DA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序号</w:t>
            </w:r>
          </w:p>
        </w:tc>
        <w:tc>
          <w:tcPr>
            <w:tcW w:w="2214" w:type="dxa"/>
            <w:tcBorders>
              <w:tl2br w:val="nil"/>
              <w:tr2bl w:val="nil"/>
            </w:tcBorders>
            <w:noWrap w:val="0"/>
            <w:vAlign w:val="center"/>
          </w:tcPr>
          <w:p w14:paraId="28F6F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提示图形符号</w:t>
            </w:r>
          </w:p>
        </w:tc>
        <w:tc>
          <w:tcPr>
            <w:tcW w:w="2214" w:type="dxa"/>
            <w:tcBorders>
              <w:tl2br w:val="nil"/>
              <w:tr2bl w:val="nil"/>
            </w:tcBorders>
            <w:noWrap w:val="0"/>
            <w:vAlign w:val="center"/>
          </w:tcPr>
          <w:p w14:paraId="524B4A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警告图形符号</w:t>
            </w:r>
          </w:p>
        </w:tc>
        <w:tc>
          <w:tcPr>
            <w:tcW w:w="1405" w:type="dxa"/>
            <w:tcBorders>
              <w:tl2br w:val="nil"/>
              <w:tr2bl w:val="nil"/>
            </w:tcBorders>
            <w:noWrap w:val="0"/>
            <w:vAlign w:val="center"/>
          </w:tcPr>
          <w:p w14:paraId="47D6E0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名称</w:t>
            </w:r>
          </w:p>
        </w:tc>
        <w:tc>
          <w:tcPr>
            <w:tcW w:w="1945" w:type="dxa"/>
            <w:tcBorders>
              <w:tl2br w:val="nil"/>
              <w:tr2bl w:val="nil"/>
            </w:tcBorders>
            <w:noWrap w:val="0"/>
            <w:vAlign w:val="center"/>
          </w:tcPr>
          <w:p w14:paraId="738294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功能</w:t>
            </w:r>
          </w:p>
        </w:tc>
      </w:tr>
      <w:tr w14:paraId="559716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5" w:type="dxa"/>
            <w:tcBorders>
              <w:tl2br w:val="nil"/>
              <w:tr2bl w:val="nil"/>
            </w:tcBorders>
            <w:noWrap w:val="0"/>
            <w:vAlign w:val="center"/>
          </w:tcPr>
          <w:p w14:paraId="268AA9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w w:val="100"/>
                <w:kern w:val="0"/>
                <w:sz w:val="21"/>
                <w:szCs w:val="21"/>
                <w:lang w:val="en-US" w:eastAsia="zh-CN" w:bidi="ar-SA"/>
                <w14:textFill>
                  <w14:solidFill>
                    <w14:schemeClr w14:val="tx1"/>
                  </w14:solidFill>
                </w14:textFill>
              </w:rPr>
              <w:t>1</w:t>
            </w:r>
          </w:p>
        </w:tc>
        <w:tc>
          <w:tcPr>
            <w:tcW w:w="2214" w:type="dxa"/>
            <w:tcBorders>
              <w:tl2br w:val="nil"/>
              <w:tr2bl w:val="nil"/>
            </w:tcBorders>
            <w:noWrap w:val="0"/>
            <w:vAlign w:val="center"/>
          </w:tcPr>
          <w:p w14:paraId="1031E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3"/>
                <w:sz w:val="21"/>
                <w:szCs w:val="21"/>
                <w:lang w:val="en-US" w:eastAsia="zh-CN" w:bidi="ar-SA"/>
                <w14:textFill>
                  <w14:solidFill>
                    <w14:schemeClr w14:val="tx1"/>
                  </w14:solidFill>
                </w14:textFill>
              </w:rPr>
              <w:drawing>
                <wp:inline distT="0" distB="0" distL="114300" distR="114300">
                  <wp:extent cx="1123315" cy="1119505"/>
                  <wp:effectExtent l="0" t="0" r="4445" b="8255"/>
                  <wp:docPr id="225"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29"/>
                          <pic:cNvPicPr>
                            <a:picLocks noChangeAspect="1"/>
                          </pic:cNvPicPr>
                        </pic:nvPicPr>
                        <pic:blipFill>
                          <a:blip r:embed="rId48"/>
                          <a:stretch>
                            <a:fillRect/>
                          </a:stretch>
                        </pic:blipFill>
                        <pic:spPr>
                          <a:xfrm>
                            <a:off x="0" y="0"/>
                            <a:ext cx="1123315" cy="1119505"/>
                          </a:xfrm>
                          <a:prstGeom prst="rect">
                            <a:avLst/>
                          </a:prstGeom>
                          <a:noFill/>
                          <a:ln>
                            <a:noFill/>
                          </a:ln>
                        </pic:spPr>
                      </pic:pic>
                    </a:graphicData>
                  </a:graphic>
                </wp:inline>
              </w:drawing>
            </w:r>
          </w:p>
        </w:tc>
        <w:tc>
          <w:tcPr>
            <w:tcW w:w="2214" w:type="dxa"/>
            <w:tcBorders>
              <w:tl2br w:val="nil"/>
              <w:tr2bl w:val="nil"/>
            </w:tcBorders>
            <w:noWrap w:val="0"/>
            <w:vAlign w:val="center"/>
          </w:tcPr>
          <w:p w14:paraId="2F312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29"/>
                <w:sz w:val="21"/>
                <w:szCs w:val="21"/>
                <w:lang w:val="en-US" w:eastAsia="zh-CN" w:bidi="ar-SA"/>
                <w14:textFill>
                  <w14:solidFill>
                    <w14:schemeClr w14:val="tx1"/>
                  </w14:solidFill>
                </w14:textFill>
              </w:rPr>
              <w:drawing>
                <wp:inline distT="0" distB="0" distL="114300" distR="114300">
                  <wp:extent cx="1325245" cy="1149985"/>
                  <wp:effectExtent l="0" t="0" r="635" b="8255"/>
                  <wp:docPr id="226"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30"/>
                          <pic:cNvPicPr>
                            <a:picLocks noChangeAspect="1"/>
                          </pic:cNvPicPr>
                        </pic:nvPicPr>
                        <pic:blipFill>
                          <a:blip r:embed="rId49"/>
                          <a:stretch>
                            <a:fillRect/>
                          </a:stretch>
                        </pic:blipFill>
                        <pic:spPr>
                          <a:xfrm>
                            <a:off x="0" y="0"/>
                            <a:ext cx="1325245" cy="1149985"/>
                          </a:xfrm>
                          <a:prstGeom prst="rect">
                            <a:avLst/>
                          </a:prstGeom>
                          <a:noFill/>
                          <a:ln>
                            <a:noFill/>
                          </a:ln>
                        </pic:spPr>
                      </pic:pic>
                    </a:graphicData>
                  </a:graphic>
                </wp:inline>
              </w:drawing>
            </w:r>
          </w:p>
        </w:tc>
        <w:tc>
          <w:tcPr>
            <w:tcW w:w="1405" w:type="dxa"/>
            <w:tcBorders>
              <w:tl2br w:val="nil"/>
              <w:tr2bl w:val="nil"/>
            </w:tcBorders>
            <w:noWrap w:val="0"/>
            <w:vAlign w:val="center"/>
          </w:tcPr>
          <w:p w14:paraId="75E74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污水排放口</w:t>
            </w:r>
          </w:p>
        </w:tc>
        <w:tc>
          <w:tcPr>
            <w:tcW w:w="1945" w:type="dxa"/>
            <w:tcBorders>
              <w:tl2br w:val="nil"/>
              <w:tr2bl w:val="nil"/>
            </w:tcBorders>
            <w:noWrap w:val="0"/>
            <w:vAlign w:val="center"/>
          </w:tcPr>
          <w:p w14:paraId="2DD298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表示污水向水体排放</w:t>
            </w:r>
          </w:p>
        </w:tc>
      </w:tr>
      <w:tr w14:paraId="1974C3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5" w:type="dxa"/>
            <w:tcBorders>
              <w:tl2br w:val="nil"/>
              <w:tr2bl w:val="nil"/>
            </w:tcBorders>
            <w:noWrap w:val="0"/>
            <w:vAlign w:val="center"/>
          </w:tcPr>
          <w:p w14:paraId="5C687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w w:val="100"/>
                <w:kern w:val="0"/>
                <w:sz w:val="21"/>
                <w:szCs w:val="21"/>
                <w:lang w:val="en-US" w:eastAsia="zh-CN" w:bidi="ar-SA"/>
                <w14:textFill>
                  <w14:solidFill>
                    <w14:schemeClr w14:val="tx1"/>
                  </w14:solidFill>
                </w14:textFill>
              </w:rPr>
              <w:t>2</w:t>
            </w:r>
          </w:p>
        </w:tc>
        <w:tc>
          <w:tcPr>
            <w:tcW w:w="2214" w:type="dxa"/>
            <w:tcBorders>
              <w:tl2br w:val="nil"/>
              <w:tr2bl w:val="nil"/>
            </w:tcBorders>
            <w:noWrap w:val="0"/>
            <w:vAlign w:val="center"/>
          </w:tcPr>
          <w:p w14:paraId="301CD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3"/>
                <w:sz w:val="21"/>
                <w:szCs w:val="21"/>
                <w:lang w:val="en-US" w:eastAsia="zh-CN" w:bidi="ar-SA"/>
                <w14:textFill>
                  <w14:solidFill>
                    <w14:schemeClr w14:val="tx1"/>
                  </w14:solidFill>
                </w14:textFill>
              </w:rPr>
              <w:drawing>
                <wp:inline distT="0" distB="0" distL="114300" distR="114300">
                  <wp:extent cx="1087120" cy="1085215"/>
                  <wp:effectExtent l="0" t="0" r="10160" b="12065"/>
                  <wp:docPr id="227"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31"/>
                          <pic:cNvPicPr>
                            <a:picLocks noChangeAspect="1"/>
                          </pic:cNvPicPr>
                        </pic:nvPicPr>
                        <pic:blipFill>
                          <a:blip r:embed="rId50"/>
                          <a:stretch>
                            <a:fillRect/>
                          </a:stretch>
                        </pic:blipFill>
                        <pic:spPr>
                          <a:xfrm>
                            <a:off x="0" y="0"/>
                            <a:ext cx="1087120" cy="1085215"/>
                          </a:xfrm>
                          <a:prstGeom prst="rect">
                            <a:avLst/>
                          </a:prstGeom>
                          <a:noFill/>
                          <a:ln>
                            <a:noFill/>
                          </a:ln>
                        </pic:spPr>
                      </pic:pic>
                    </a:graphicData>
                  </a:graphic>
                </wp:inline>
              </w:drawing>
            </w:r>
          </w:p>
        </w:tc>
        <w:tc>
          <w:tcPr>
            <w:tcW w:w="2214" w:type="dxa"/>
            <w:tcBorders>
              <w:tl2br w:val="nil"/>
              <w:tr2bl w:val="nil"/>
            </w:tcBorders>
            <w:noWrap w:val="0"/>
            <w:vAlign w:val="center"/>
          </w:tcPr>
          <w:p w14:paraId="3B571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0"/>
                <w:sz w:val="21"/>
                <w:szCs w:val="21"/>
                <w:lang w:val="en-US" w:eastAsia="zh-CN" w:bidi="ar-SA"/>
                <w14:textFill>
                  <w14:solidFill>
                    <w14:schemeClr w14:val="tx1"/>
                  </w14:solidFill>
                </w14:textFill>
              </w:rPr>
              <w:drawing>
                <wp:inline distT="0" distB="0" distL="114300" distR="114300">
                  <wp:extent cx="1287780" cy="1167765"/>
                  <wp:effectExtent l="0" t="0" r="7620" b="5715"/>
                  <wp:docPr id="228"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32"/>
                          <pic:cNvPicPr>
                            <a:picLocks noChangeAspect="1"/>
                          </pic:cNvPicPr>
                        </pic:nvPicPr>
                        <pic:blipFill>
                          <a:blip r:embed="rId51"/>
                          <a:stretch>
                            <a:fillRect/>
                          </a:stretch>
                        </pic:blipFill>
                        <pic:spPr>
                          <a:xfrm>
                            <a:off x="0" y="0"/>
                            <a:ext cx="1287780" cy="1167765"/>
                          </a:xfrm>
                          <a:prstGeom prst="rect">
                            <a:avLst/>
                          </a:prstGeom>
                          <a:noFill/>
                          <a:ln>
                            <a:noFill/>
                          </a:ln>
                        </pic:spPr>
                      </pic:pic>
                    </a:graphicData>
                  </a:graphic>
                </wp:inline>
              </w:drawing>
            </w:r>
          </w:p>
        </w:tc>
        <w:tc>
          <w:tcPr>
            <w:tcW w:w="1405" w:type="dxa"/>
            <w:tcBorders>
              <w:tl2br w:val="nil"/>
              <w:tr2bl w:val="nil"/>
            </w:tcBorders>
            <w:noWrap w:val="0"/>
            <w:vAlign w:val="center"/>
          </w:tcPr>
          <w:p w14:paraId="510D4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废气排放口</w:t>
            </w:r>
          </w:p>
        </w:tc>
        <w:tc>
          <w:tcPr>
            <w:tcW w:w="1945" w:type="dxa"/>
            <w:tcBorders>
              <w:tl2br w:val="nil"/>
              <w:tr2bl w:val="nil"/>
            </w:tcBorders>
            <w:noWrap w:val="0"/>
            <w:vAlign w:val="center"/>
          </w:tcPr>
          <w:p w14:paraId="4F9524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表示废气向大气环境排放</w:t>
            </w:r>
          </w:p>
        </w:tc>
      </w:tr>
      <w:tr w14:paraId="660B93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5" w:type="dxa"/>
            <w:tcBorders>
              <w:tl2br w:val="nil"/>
              <w:tr2bl w:val="nil"/>
            </w:tcBorders>
            <w:noWrap w:val="0"/>
            <w:vAlign w:val="center"/>
          </w:tcPr>
          <w:p w14:paraId="6C81B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w w:val="100"/>
                <w:kern w:val="0"/>
                <w:sz w:val="21"/>
                <w:szCs w:val="21"/>
                <w:lang w:val="en-US" w:eastAsia="zh-CN" w:bidi="ar-SA"/>
                <w14:textFill>
                  <w14:solidFill>
                    <w14:schemeClr w14:val="tx1"/>
                  </w14:solidFill>
                </w14:textFill>
              </w:rPr>
              <w:t>3</w:t>
            </w:r>
          </w:p>
        </w:tc>
        <w:tc>
          <w:tcPr>
            <w:tcW w:w="2214" w:type="dxa"/>
            <w:tcBorders>
              <w:tl2br w:val="nil"/>
              <w:tr2bl w:val="nil"/>
            </w:tcBorders>
            <w:noWrap w:val="0"/>
            <w:vAlign w:val="center"/>
          </w:tcPr>
          <w:p w14:paraId="4BF18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3"/>
                <w:sz w:val="21"/>
                <w:szCs w:val="21"/>
                <w:lang w:val="en-US" w:eastAsia="zh-CN" w:bidi="ar-SA"/>
                <w14:textFill>
                  <w14:solidFill>
                    <w14:schemeClr w14:val="tx1"/>
                  </w14:solidFill>
                </w14:textFill>
              </w:rPr>
              <w:drawing>
                <wp:inline distT="0" distB="0" distL="114300" distR="114300">
                  <wp:extent cx="1089660" cy="1089025"/>
                  <wp:effectExtent l="0" t="0" r="7620" b="8255"/>
                  <wp:docPr id="23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33"/>
                          <pic:cNvPicPr>
                            <a:picLocks noChangeAspect="1"/>
                          </pic:cNvPicPr>
                        </pic:nvPicPr>
                        <pic:blipFill>
                          <a:blip r:embed="rId52"/>
                          <a:stretch>
                            <a:fillRect/>
                          </a:stretch>
                        </pic:blipFill>
                        <pic:spPr>
                          <a:xfrm>
                            <a:off x="0" y="0"/>
                            <a:ext cx="1089660" cy="1089025"/>
                          </a:xfrm>
                          <a:prstGeom prst="rect">
                            <a:avLst/>
                          </a:prstGeom>
                          <a:noFill/>
                          <a:ln>
                            <a:noFill/>
                          </a:ln>
                        </pic:spPr>
                      </pic:pic>
                    </a:graphicData>
                  </a:graphic>
                </wp:inline>
              </w:drawing>
            </w:r>
          </w:p>
        </w:tc>
        <w:tc>
          <w:tcPr>
            <w:tcW w:w="2214" w:type="dxa"/>
            <w:tcBorders>
              <w:tl2br w:val="nil"/>
              <w:tr2bl w:val="nil"/>
            </w:tcBorders>
            <w:noWrap w:val="0"/>
            <w:vAlign w:val="center"/>
          </w:tcPr>
          <w:p w14:paraId="053FE0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3"/>
                <w:sz w:val="21"/>
                <w:szCs w:val="21"/>
                <w:lang w:val="en-US" w:eastAsia="zh-CN" w:bidi="ar-SA"/>
                <w14:textFill>
                  <w14:solidFill>
                    <w14:schemeClr w14:val="tx1"/>
                  </w14:solidFill>
                </w14:textFill>
              </w:rPr>
              <w:drawing>
                <wp:inline distT="0" distB="0" distL="114300" distR="114300">
                  <wp:extent cx="1268730" cy="1118870"/>
                  <wp:effectExtent l="0" t="0" r="11430" b="8890"/>
                  <wp:docPr id="236"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34"/>
                          <pic:cNvPicPr>
                            <a:picLocks noChangeAspect="1"/>
                          </pic:cNvPicPr>
                        </pic:nvPicPr>
                        <pic:blipFill>
                          <a:blip r:embed="rId53"/>
                          <a:stretch>
                            <a:fillRect/>
                          </a:stretch>
                        </pic:blipFill>
                        <pic:spPr>
                          <a:xfrm>
                            <a:off x="0" y="0"/>
                            <a:ext cx="1268730" cy="1118870"/>
                          </a:xfrm>
                          <a:prstGeom prst="rect">
                            <a:avLst/>
                          </a:prstGeom>
                          <a:noFill/>
                          <a:ln>
                            <a:noFill/>
                          </a:ln>
                        </pic:spPr>
                      </pic:pic>
                    </a:graphicData>
                  </a:graphic>
                </wp:inline>
              </w:drawing>
            </w:r>
          </w:p>
        </w:tc>
        <w:tc>
          <w:tcPr>
            <w:tcW w:w="1405" w:type="dxa"/>
            <w:tcBorders>
              <w:tl2br w:val="nil"/>
              <w:tr2bl w:val="nil"/>
            </w:tcBorders>
            <w:noWrap w:val="0"/>
            <w:vAlign w:val="center"/>
          </w:tcPr>
          <w:p w14:paraId="2B5B73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噪声排放源</w:t>
            </w:r>
          </w:p>
        </w:tc>
        <w:tc>
          <w:tcPr>
            <w:tcW w:w="1945" w:type="dxa"/>
            <w:tcBorders>
              <w:tl2br w:val="nil"/>
              <w:tr2bl w:val="nil"/>
            </w:tcBorders>
            <w:noWrap w:val="0"/>
            <w:vAlign w:val="center"/>
          </w:tcPr>
          <w:p w14:paraId="6045C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表示噪声向外环境排放</w:t>
            </w:r>
          </w:p>
        </w:tc>
      </w:tr>
      <w:tr w14:paraId="4B0006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5" w:type="dxa"/>
            <w:tcBorders>
              <w:tl2br w:val="nil"/>
              <w:tr2bl w:val="nil"/>
            </w:tcBorders>
            <w:noWrap w:val="0"/>
            <w:vAlign w:val="center"/>
          </w:tcPr>
          <w:p w14:paraId="05144A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w w:val="100"/>
                <w:kern w:val="0"/>
                <w:sz w:val="21"/>
                <w:szCs w:val="21"/>
                <w:lang w:val="en-US" w:eastAsia="zh-CN" w:bidi="ar-SA"/>
                <w14:textFill>
                  <w14:solidFill>
                    <w14:schemeClr w14:val="tx1"/>
                  </w14:solidFill>
                </w14:textFill>
              </w:rPr>
              <w:t>4</w:t>
            </w:r>
          </w:p>
        </w:tc>
        <w:tc>
          <w:tcPr>
            <w:tcW w:w="2214" w:type="dxa"/>
            <w:tcBorders>
              <w:tl2br w:val="nil"/>
              <w:tr2bl w:val="nil"/>
            </w:tcBorders>
            <w:noWrap w:val="0"/>
            <w:vAlign w:val="center"/>
          </w:tcPr>
          <w:p w14:paraId="6F841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3"/>
                <w:sz w:val="21"/>
                <w:szCs w:val="21"/>
                <w:lang w:val="en-US" w:eastAsia="zh-CN" w:bidi="ar-SA"/>
                <w14:textFill>
                  <w14:solidFill>
                    <w14:schemeClr w14:val="tx1"/>
                  </w14:solidFill>
                </w14:textFill>
              </w:rPr>
              <w:drawing>
                <wp:inline distT="0" distB="0" distL="114300" distR="114300">
                  <wp:extent cx="1087120" cy="1085215"/>
                  <wp:effectExtent l="0" t="0" r="10160" b="12065"/>
                  <wp:docPr id="237"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35"/>
                          <pic:cNvPicPr>
                            <a:picLocks noChangeAspect="1"/>
                          </pic:cNvPicPr>
                        </pic:nvPicPr>
                        <pic:blipFill>
                          <a:blip r:embed="rId54"/>
                          <a:stretch>
                            <a:fillRect/>
                          </a:stretch>
                        </pic:blipFill>
                        <pic:spPr>
                          <a:xfrm>
                            <a:off x="0" y="0"/>
                            <a:ext cx="1087120" cy="1085215"/>
                          </a:xfrm>
                          <a:prstGeom prst="rect">
                            <a:avLst/>
                          </a:prstGeom>
                          <a:noFill/>
                          <a:ln>
                            <a:noFill/>
                          </a:ln>
                        </pic:spPr>
                      </pic:pic>
                    </a:graphicData>
                  </a:graphic>
                </wp:inline>
              </w:drawing>
            </w:r>
          </w:p>
        </w:tc>
        <w:tc>
          <w:tcPr>
            <w:tcW w:w="2214" w:type="dxa"/>
            <w:tcBorders>
              <w:tl2br w:val="nil"/>
              <w:tr2bl w:val="nil"/>
            </w:tcBorders>
            <w:noWrap w:val="0"/>
            <w:vAlign w:val="center"/>
          </w:tcPr>
          <w:p w14:paraId="7703E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position w:val="-33"/>
                <w:sz w:val="21"/>
                <w:szCs w:val="21"/>
                <w:lang w:val="en-US" w:eastAsia="zh-CN" w:bidi="ar-SA"/>
                <w14:textFill>
                  <w14:solidFill>
                    <w14:schemeClr w14:val="tx1"/>
                  </w14:solidFill>
                </w14:textFill>
              </w:rPr>
              <w:drawing>
                <wp:inline distT="0" distB="0" distL="114300" distR="114300">
                  <wp:extent cx="1236980" cy="1097280"/>
                  <wp:effectExtent l="0" t="0" r="12700" b="0"/>
                  <wp:docPr id="23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36"/>
                          <pic:cNvPicPr>
                            <a:picLocks noChangeAspect="1"/>
                          </pic:cNvPicPr>
                        </pic:nvPicPr>
                        <pic:blipFill>
                          <a:blip r:embed="rId55"/>
                          <a:stretch>
                            <a:fillRect/>
                          </a:stretch>
                        </pic:blipFill>
                        <pic:spPr>
                          <a:xfrm>
                            <a:off x="0" y="0"/>
                            <a:ext cx="1236980" cy="1097280"/>
                          </a:xfrm>
                          <a:prstGeom prst="rect">
                            <a:avLst/>
                          </a:prstGeom>
                          <a:noFill/>
                          <a:ln>
                            <a:noFill/>
                          </a:ln>
                        </pic:spPr>
                      </pic:pic>
                    </a:graphicData>
                  </a:graphic>
                </wp:inline>
              </w:drawing>
            </w:r>
          </w:p>
        </w:tc>
        <w:tc>
          <w:tcPr>
            <w:tcW w:w="1405" w:type="dxa"/>
            <w:tcBorders>
              <w:tl2br w:val="nil"/>
              <w:tr2bl w:val="nil"/>
            </w:tcBorders>
            <w:noWrap w:val="0"/>
            <w:vAlign w:val="center"/>
          </w:tcPr>
          <w:p w14:paraId="591DB5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一般固体废物</w:t>
            </w:r>
          </w:p>
        </w:tc>
        <w:tc>
          <w:tcPr>
            <w:tcW w:w="1945" w:type="dxa"/>
            <w:tcBorders>
              <w:tl2br w:val="nil"/>
              <w:tr2bl w:val="nil"/>
            </w:tcBorders>
            <w:noWrap w:val="0"/>
            <w:vAlign w:val="center"/>
          </w:tcPr>
          <w:p w14:paraId="31DBB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表示一般固体废物贮存、处置场</w:t>
            </w:r>
          </w:p>
        </w:tc>
      </w:tr>
      <w:tr w14:paraId="1FA9DD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5" w:type="dxa"/>
            <w:tcBorders>
              <w:tl2br w:val="nil"/>
              <w:tr2bl w:val="nil"/>
            </w:tcBorders>
            <w:noWrap w:val="0"/>
            <w:vAlign w:val="center"/>
          </w:tcPr>
          <w:p w14:paraId="07DAFE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w w:val="100"/>
                <w:kern w:val="0"/>
                <w:sz w:val="21"/>
                <w:szCs w:val="21"/>
                <w:lang w:val="en-US" w:eastAsia="zh-CN" w:bidi="ar-SA"/>
                <w14:textFill>
                  <w14:solidFill>
                    <w14:schemeClr w14:val="tx1"/>
                  </w14:solidFill>
                </w14:textFill>
              </w:rPr>
              <w:t>5</w:t>
            </w:r>
          </w:p>
        </w:tc>
        <w:tc>
          <w:tcPr>
            <w:tcW w:w="2214" w:type="dxa"/>
            <w:tcBorders>
              <w:tl2br w:val="nil"/>
              <w:tr2bl w:val="nil"/>
            </w:tcBorders>
            <w:noWrap w:val="0"/>
            <w:vAlign w:val="center"/>
          </w:tcPr>
          <w:p w14:paraId="27FC63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2"/>
                <w:szCs w:val="22"/>
                <w:lang w:val="en-US" w:eastAsia="zh-CN" w:bidi="ar-SA"/>
                <w14:textFill>
                  <w14:solidFill>
                    <w14:schemeClr w14:val="tx1"/>
                  </w14:solidFill>
                </w14:textFill>
              </w:rPr>
              <w:drawing>
                <wp:inline distT="0" distB="0" distL="114300" distR="114300">
                  <wp:extent cx="1256030" cy="1248410"/>
                  <wp:effectExtent l="0" t="0" r="8890" b="1270"/>
                  <wp:docPr id="239"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37"/>
                          <pic:cNvPicPr>
                            <a:picLocks noChangeAspect="1"/>
                          </pic:cNvPicPr>
                        </pic:nvPicPr>
                        <pic:blipFill>
                          <a:blip r:embed="rId56"/>
                          <a:stretch>
                            <a:fillRect/>
                          </a:stretch>
                        </pic:blipFill>
                        <pic:spPr>
                          <a:xfrm>
                            <a:off x="0" y="0"/>
                            <a:ext cx="1256030" cy="1248410"/>
                          </a:xfrm>
                          <a:prstGeom prst="rect">
                            <a:avLst/>
                          </a:prstGeom>
                          <a:noFill/>
                          <a:ln>
                            <a:noFill/>
                          </a:ln>
                        </pic:spPr>
                      </pic:pic>
                    </a:graphicData>
                  </a:graphic>
                </wp:inline>
              </w:drawing>
            </w:r>
          </w:p>
        </w:tc>
        <w:tc>
          <w:tcPr>
            <w:tcW w:w="2214" w:type="dxa"/>
            <w:tcBorders>
              <w:tl2br w:val="nil"/>
              <w:tr2bl w:val="nil"/>
            </w:tcBorders>
            <w:noWrap w:val="0"/>
            <w:vAlign w:val="center"/>
          </w:tcPr>
          <w:p w14:paraId="3D65D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2"/>
                <w:szCs w:val="22"/>
                <w:lang w:val="en-US" w:eastAsia="zh-CN" w:bidi="ar-SA"/>
                <w14:textFill>
                  <w14:solidFill>
                    <w14:schemeClr w14:val="tx1"/>
                  </w14:solidFill>
                </w14:textFill>
              </w:rPr>
              <w:drawing>
                <wp:inline distT="0" distB="0" distL="114300" distR="114300">
                  <wp:extent cx="1285875" cy="1136015"/>
                  <wp:effectExtent l="0" t="0" r="9525" b="6985"/>
                  <wp:docPr id="240"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38"/>
                          <pic:cNvPicPr>
                            <a:picLocks noChangeAspect="1"/>
                          </pic:cNvPicPr>
                        </pic:nvPicPr>
                        <pic:blipFill>
                          <a:blip r:embed="rId57"/>
                          <a:stretch>
                            <a:fillRect/>
                          </a:stretch>
                        </pic:blipFill>
                        <pic:spPr>
                          <a:xfrm>
                            <a:off x="0" y="0"/>
                            <a:ext cx="1285875" cy="1136015"/>
                          </a:xfrm>
                          <a:prstGeom prst="rect">
                            <a:avLst/>
                          </a:prstGeom>
                          <a:noFill/>
                          <a:ln>
                            <a:noFill/>
                          </a:ln>
                        </pic:spPr>
                      </pic:pic>
                    </a:graphicData>
                  </a:graphic>
                </wp:inline>
              </w:drawing>
            </w:r>
          </w:p>
        </w:tc>
        <w:tc>
          <w:tcPr>
            <w:tcW w:w="1405" w:type="dxa"/>
            <w:tcBorders>
              <w:tl2br w:val="nil"/>
              <w:tr2bl w:val="nil"/>
            </w:tcBorders>
            <w:noWrap w:val="0"/>
            <w:vAlign w:val="center"/>
          </w:tcPr>
          <w:p w14:paraId="7881F1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危险废物</w:t>
            </w:r>
          </w:p>
        </w:tc>
        <w:tc>
          <w:tcPr>
            <w:tcW w:w="1945" w:type="dxa"/>
            <w:tcBorders>
              <w:tl2br w:val="nil"/>
              <w:tr2bl w:val="nil"/>
            </w:tcBorders>
            <w:noWrap w:val="0"/>
            <w:vAlign w:val="center"/>
          </w:tcPr>
          <w:p w14:paraId="7E3A9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表示危险废物贮存、处置场</w:t>
            </w:r>
          </w:p>
        </w:tc>
      </w:tr>
    </w:tbl>
    <w:p w14:paraId="63B8ED3B">
      <w:pPr>
        <w:pStyle w:val="4"/>
        <w:rPr>
          <w:color w:val="000000" w:themeColor="text1"/>
          <w:highlight w:val="none"/>
          <w14:textFill>
            <w14:solidFill>
              <w14:schemeClr w14:val="tx1"/>
            </w14:solidFill>
          </w14:textFill>
        </w:rPr>
      </w:pPr>
      <w:bookmarkStart w:id="1045" w:name="_Toc68"/>
      <w:bookmarkStart w:id="1046" w:name="_Toc32723"/>
      <w:bookmarkStart w:id="1047" w:name="_Toc2850"/>
      <w:bookmarkStart w:id="1048" w:name="_Toc9074"/>
      <w:bookmarkStart w:id="1049" w:name="_Toc394997398"/>
      <w:bookmarkStart w:id="1050" w:name="_Toc351735261"/>
      <w:bookmarkStart w:id="1051" w:name="_Toc483589668"/>
      <w:bookmarkStart w:id="1052" w:name="_Toc6368"/>
      <w:bookmarkStart w:id="1053" w:name="_Toc321501718"/>
      <w:bookmarkStart w:id="1054" w:name="_Toc22210"/>
      <w:bookmarkStart w:id="1055" w:name="_Toc187800073"/>
      <w:bookmarkStart w:id="1056" w:name="_Toc245882806"/>
      <w:bookmarkStart w:id="1057" w:name="_Toc28920"/>
      <w:r>
        <w:rPr>
          <w:rFonts w:hint="eastAsia"/>
          <w:color w:val="000000" w:themeColor="text1"/>
          <w:highlight w:val="none"/>
          <w14:textFill>
            <w14:solidFill>
              <w14:schemeClr w14:val="tx1"/>
            </w14:solidFill>
          </w14:textFill>
        </w:rPr>
        <w:t>8.1.7</w:t>
      </w:r>
      <w:r>
        <w:rPr>
          <w:color w:val="000000" w:themeColor="text1"/>
          <w:highlight w:val="none"/>
          <w14:textFill>
            <w14:solidFill>
              <w14:schemeClr w14:val="tx1"/>
            </w14:solidFill>
          </w14:textFill>
        </w:rPr>
        <w:t>排污许可证制度</w:t>
      </w:r>
      <w:bookmarkEnd w:id="1045"/>
      <w:bookmarkEnd w:id="1046"/>
      <w:bookmarkEnd w:id="1047"/>
    </w:p>
    <w:p w14:paraId="27459D06">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2016年11月，国务院办公厅发布了《控制污染物排放许可制实施方案》，方案指出：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环境影响评价制度是建设项目的环境准入门槛，排污许可制是企事业单位生产运营期排污的法律依据，必须做好充分衔接，实现从污染预防到污染治理和排放控制的全过程监管。新建项目必须在发生实际排污行为之前申领排污许可证，环境影响评价文件及批复中与污染物排放相关的主要内容应当纳入排污许可证，其排污许可证执行情况应作为环境影响后评价的重要依据。</w:t>
      </w:r>
      <w:r>
        <w:rPr>
          <w:rFonts w:hint="eastAsia"/>
          <w:color w:val="000000" w:themeColor="text1"/>
          <w:highlight w:val="none"/>
          <w14:textFill>
            <w14:solidFill>
              <w14:schemeClr w14:val="tx1"/>
            </w14:solidFill>
          </w14:textFill>
        </w:rPr>
        <w:t>”</w:t>
      </w:r>
    </w:p>
    <w:p w14:paraId="22D26911">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因此，本项目在报批环评报告书后、</w:t>
      </w:r>
      <w:r>
        <w:rPr>
          <w:rFonts w:hint="eastAsia"/>
          <w:color w:val="000000" w:themeColor="text1"/>
          <w:highlight w:val="none"/>
          <w14:textFill>
            <w14:solidFill>
              <w14:schemeClr w14:val="tx1"/>
            </w14:solidFill>
          </w14:textFill>
        </w:rPr>
        <w:t>改扩建</w:t>
      </w:r>
      <w:r>
        <w:rPr>
          <w:color w:val="000000" w:themeColor="text1"/>
          <w:highlight w:val="none"/>
          <w14:textFill>
            <w14:solidFill>
              <w14:schemeClr w14:val="tx1"/>
            </w14:solidFill>
          </w14:textFill>
        </w:rPr>
        <w:t>项目实际运行前，应尽快</w:t>
      </w:r>
      <w:r>
        <w:rPr>
          <w:rFonts w:hint="eastAsia"/>
          <w:color w:val="000000" w:themeColor="text1"/>
          <w:highlight w:val="none"/>
          <w:lang w:val="en-US" w:eastAsia="zh-CN"/>
          <w14:textFill>
            <w14:solidFill>
              <w14:schemeClr w14:val="tx1"/>
            </w14:solidFill>
          </w14:textFill>
        </w:rPr>
        <w:t>申请</w:t>
      </w:r>
      <w:r>
        <w:rPr>
          <w:color w:val="000000" w:themeColor="text1"/>
          <w:highlight w:val="none"/>
          <w14:textFill>
            <w14:solidFill>
              <w14:schemeClr w14:val="tx1"/>
            </w14:solidFill>
          </w14:textFill>
        </w:rPr>
        <w:t>排污许可证，作为本项目合法运行的前提。排污许可证申请及核发按《排污许可证管理暂行规定》《排污许可证申请与核发技术规范</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总则</w:t>
      </w:r>
      <w:r>
        <w:rPr>
          <w:color w:val="000000" w:themeColor="text1"/>
          <w:highlight w:val="none"/>
          <w14:textFill>
            <w14:solidFill>
              <w14:schemeClr w14:val="tx1"/>
            </w14:solidFill>
          </w14:textFill>
        </w:rPr>
        <w:t>》（HJ</w:t>
      </w:r>
      <w:r>
        <w:rPr>
          <w:rFonts w:hint="eastAsia"/>
          <w:color w:val="000000" w:themeColor="text1"/>
          <w:highlight w:val="none"/>
          <w:lang w:val="en-US" w:eastAsia="zh-CN"/>
          <w14:textFill>
            <w14:solidFill>
              <w14:schemeClr w14:val="tx1"/>
            </w14:solidFill>
          </w14:textFill>
        </w:rPr>
        <w:t>942</w:t>
      </w:r>
      <w:r>
        <w:rPr>
          <w:color w:val="000000" w:themeColor="text1"/>
          <w:highlight w:val="none"/>
          <w14:textFill>
            <w14:solidFill>
              <w14:schemeClr w14:val="tx1"/>
            </w14:solidFill>
          </w14:textFill>
        </w:rPr>
        <w:t>-20</w:t>
      </w:r>
      <w:r>
        <w:rPr>
          <w:rFonts w:hint="eastAsia"/>
          <w:color w:val="000000" w:themeColor="text1"/>
          <w:highlight w:val="none"/>
          <w:lang w:val="en-US" w:eastAsia="zh-CN"/>
          <w14:textFill>
            <w14:solidFill>
              <w14:schemeClr w14:val="tx1"/>
            </w14:solidFill>
          </w14:textFill>
        </w:rPr>
        <w:t>18</w:t>
      </w:r>
      <w:r>
        <w:rPr>
          <w:color w:val="000000" w:themeColor="text1"/>
          <w:highlight w:val="none"/>
          <w14:textFill>
            <w14:solidFill>
              <w14:schemeClr w14:val="tx1"/>
            </w14:solidFill>
          </w14:textFill>
        </w:rPr>
        <w:t>）及《排污许可证申请与核发技术规范</w:t>
      </w:r>
      <w:r>
        <w:rPr>
          <w:rFonts w:hint="eastAsia"/>
          <w:color w:val="000000" w:themeColor="text1"/>
          <w:highlight w:val="none"/>
          <w14:textFill>
            <w14:solidFill>
              <w14:schemeClr w14:val="tx1"/>
            </w14:solidFill>
          </w14:textFill>
        </w:rPr>
        <w:t xml:space="preserve"> 水处理通用工序</w:t>
      </w:r>
      <w:r>
        <w:rPr>
          <w:color w:val="000000" w:themeColor="text1"/>
          <w:highlight w:val="none"/>
          <w14:textFill>
            <w14:solidFill>
              <w14:schemeClr w14:val="tx1"/>
            </w14:solidFill>
          </w14:textFill>
        </w:rPr>
        <w:t xml:space="preserve">》（HJ </w:t>
      </w:r>
      <w:r>
        <w:rPr>
          <w:rFonts w:hint="eastAsia"/>
          <w:color w:val="000000" w:themeColor="text1"/>
          <w:highlight w:val="none"/>
          <w14:textFill>
            <w14:solidFill>
              <w14:schemeClr w14:val="tx1"/>
            </w14:solidFill>
          </w14:textFill>
        </w:rPr>
        <w:t>1120</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t>）填报执行。</w:t>
      </w:r>
    </w:p>
    <w:p w14:paraId="4F7792C3">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水处理设施排污</w:t>
      </w:r>
      <w:r>
        <w:rPr>
          <w:color w:val="000000" w:themeColor="text1"/>
          <w:highlight w:val="none"/>
          <w14:textFill>
            <w14:solidFill>
              <w14:schemeClr w14:val="tx1"/>
            </w14:solidFill>
          </w14:textFill>
        </w:rPr>
        <w:t>应按照</w:t>
      </w:r>
      <w:r>
        <w:rPr>
          <w:rFonts w:hint="eastAsia"/>
          <w:color w:val="000000" w:themeColor="text1"/>
          <w:highlight w:val="none"/>
          <w14:textFill>
            <w14:solidFill>
              <w14:schemeClr w14:val="tx1"/>
            </w14:solidFill>
          </w14:textFill>
        </w:rPr>
        <w:t>水处理通用工序</w:t>
      </w:r>
      <w:r>
        <w:rPr>
          <w:color w:val="000000" w:themeColor="text1"/>
          <w:highlight w:val="none"/>
          <w14:textFill>
            <w14:solidFill>
              <w14:schemeClr w14:val="tx1"/>
            </w14:solidFill>
          </w14:textFill>
        </w:rPr>
        <w:t>排污许可证申请与</w:t>
      </w:r>
      <w:r>
        <w:rPr>
          <w:rFonts w:hint="eastAsia"/>
          <w:color w:val="000000" w:themeColor="text1"/>
          <w:highlight w:val="none"/>
          <w14:textFill>
            <w14:solidFill>
              <w14:schemeClr w14:val="tx1"/>
            </w14:solidFill>
          </w14:textFill>
        </w:rPr>
        <w:t>核发</w:t>
      </w:r>
      <w:r>
        <w:rPr>
          <w:color w:val="000000" w:themeColor="text1"/>
          <w:highlight w:val="none"/>
          <w14:textFill>
            <w14:solidFill>
              <w14:schemeClr w14:val="tx1"/>
            </w14:solidFill>
          </w14:textFill>
        </w:rPr>
        <w:t>的基本情况及要求进行申报、确定许可排放限值、核算实际排放量、执行自行监测、环境管理台账与排污许可证执行报告等环境管理要求。本项目应加强污染防治可行技术要求、落实自行监测管理要求并严格环境管理台账与排污许可证执行报告编制要求。</w:t>
      </w:r>
    </w:p>
    <w:p w14:paraId="74C17905">
      <w:pPr>
        <w:pStyle w:val="3"/>
        <w:rPr>
          <w:color w:val="000000" w:themeColor="text1"/>
          <w:highlight w:val="none"/>
          <w14:textFill>
            <w14:solidFill>
              <w14:schemeClr w14:val="tx1"/>
            </w14:solidFill>
          </w14:textFill>
        </w:rPr>
      </w:pPr>
      <w:bookmarkStart w:id="1058" w:name="_Toc32016"/>
      <w:bookmarkStart w:id="1059" w:name="_Toc30780"/>
      <w:bookmarkStart w:id="1060" w:name="_Toc25445"/>
      <w:bookmarkStart w:id="1061" w:name="_Toc107414678"/>
      <w:bookmarkStart w:id="1062" w:name="_Toc2537"/>
      <w:bookmarkStart w:id="1063" w:name="_Toc107413911"/>
      <w:bookmarkStart w:id="1064" w:name="_Toc15154"/>
      <w:r>
        <w:rPr>
          <w:color w:val="000000" w:themeColor="text1"/>
          <w:highlight w:val="none"/>
          <w14:textFill>
            <w14:solidFill>
              <w14:schemeClr w14:val="tx1"/>
            </w14:solidFill>
          </w14:textFill>
        </w:rPr>
        <w:t>8.2施工期环境管理</w:t>
      </w:r>
      <w:bookmarkEnd w:id="1048"/>
      <w:bookmarkEnd w:id="1049"/>
      <w:bookmarkEnd w:id="1050"/>
      <w:bookmarkEnd w:id="1051"/>
      <w:bookmarkEnd w:id="1052"/>
      <w:bookmarkEnd w:id="1058"/>
      <w:bookmarkEnd w:id="1059"/>
      <w:bookmarkEnd w:id="1060"/>
      <w:bookmarkEnd w:id="1061"/>
      <w:bookmarkEnd w:id="1062"/>
      <w:bookmarkEnd w:id="1063"/>
      <w:bookmarkEnd w:id="1064"/>
    </w:p>
    <w:p w14:paraId="427A1D00">
      <w:pPr>
        <w:pStyle w:val="4"/>
        <w:rPr>
          <w:color w:val="000000" w:themeColor="text1"/>
          <w:highlight w:val="none"/>
          <w14:textFill>
            <w14:solidFill>
              <w14:schemeClr w14:val="tx1"/>
            </w14:solidFill>
          </w14:textFill>
        </w:rPr>
      </w:pPr>
      <w:bookmarkStart w:id="1065" w:name="_Toc4186"/>
      <w:bookmarkStart w:id="1066" w:name="_Toc394997399"/>
      <w:bookmarkStart w:id="1067" w:name="_Toc21803"/>
      <w:bookmarkStart w:id="1068" w:name="_Toc7109"/>
      <w:bookmarkStart w:id="1069" w:name="_Toc23615"/>
      <w:bookmarkStart w:id="1070" w:name="_Toc2036"/>
      <w:bookmarkStart w:id="1071" w:name="_Toc13805"/>
      <w:bookmarkStart w:id="1072" w:name="_Toc483589669"/>
      <w:r>
        <w:rPr>
          <w:color w:val="000000" w:themeColor="text1"/>
          <w:highlight w:val="none"/>
          <w14:textFill>
            <w14:solidFill>
              <w14:schemeClr w14:val="tx1"/>
            </w14:solidFill>
          </w14:textFill>
        </w:rPr>
        <w:t>8.2.1环境管理</w:t>
      </w:r>
      <w:bookmarkEnd w:id="1065"/>
      <w:bookmarkEnd w:id="1066"/>
      <w:bookmarkEnd w:id="1067"/>
      <w:bookmarkEnd w:id="1068"/>
      <w:bookmarkEnd w:id="1069"/>
    </w:p>
    <w:p w14:paraId="188D1F35">
      <w:pPr>
        <w:overflowPunct w:val="0"/>
        <w:topLinePunct/>
        <w:ind w:firstLine="480"/>
        <w:rPr>
          <w:rFonts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项目建设单位或者施工单</w:t>
      </w:r>
      <w:r>
        <w:rPr>
          <w:rFonts w:hint="eastAsia"/>
          <w:color w:val="000000" w:themeColor="text1"/>
          <w:szCs w:val="21"/>
          <w:highlight w:val="none"/>
          <w:lang w:val="en-US" w:eastAsia="zh-CN"/>
          <w14:textFill>
            <w14:solidFill>
              <w14:schemeClr w14:val="tx1"/>
            </w14:solidFill>
          </w14:textFill>
        </w:rPr>
        <w:t>位在</w:t>
      </w:r>
      <w:r>
        <w:rPr>
          <w:rFonts w:hint="eastAsia" w:eastAsia="宋体"/>
          <w:color w:val="000000" w:themeColor="text1"/>
          <w:szCs w:val="21"/>
          <w:highlight w:val="none"/>
          <w:lang w:val="en-US" w:eastAsia="zh-CN"/>
          <w14:textFill>
            <w14:solidFill>
              <w14:schemeClr w14:val="tx1"/>
            </w14:solidFill>
          </w14:textFill>
        </w:rPr>
        <w:t>进行工程施工前</w:t>
      </w:r>
      <w:r>
        <w:rPr>
          <w:rFonts w:eastAsia="宋体"/>
          <w:color w:val="000000" w:themeColor="text1"/>
          <w:szCs w:val="21"/>
          <w:highlight w:val="none"/>
          <w14:textFill>
            <w14:solidFill>
              <w14:schemeClr w14:val="tx1"/>
            </w14:solidFill>
          </w14:textFill>
        </w:rPr>
        <w:t>，应将施工期的环境污染控制列入施工工程内容，并在工程开工前和施工过程中制定相应的环保防治措施和工程计划。按规定，本项目施工时应向当地</w:t>
      </w:r>
      <w:r>
        <w:rPr>
          <w:rFonts w:hint="eastAsia" w:eastAsia="宋体"/>
          <w:color w:val="000000" w:themeColor="text1"/>
          <w:szCs w:val="21"/>
          <w:highlight w:val="none"/>
          <w14:textFill>
            <w14:solidFill>
              <w14:schemeClr w14:val="tx1"/>
            </w14:solidFill>
          </w14:textFill>
        </w:rPr>
        <w:t>生态环境</w:t>
      </w:r>
      <w:r>
        <w:rPr>
          <w:rFonts w:eastAsia="宋体"/>
          <w:color w:val="000000" w:themeColor="text1"/>
          <w:szCs w:val="21"/>
          <w:highlight w:val="none"/>
          <w14:textFill>
            <w14:solidFill>
              <w14:schemeClr w14:val="tx1"/>
            </w14:solidFill>
          </w14:textFill>
        </w:rPr>
        <w:t>行政主管部门申报；设专人负责管理，培训工作人员，以正确的工作方法，控制施工中产生的不利环境影响；必要时，还需在监测和检查工程施工的环境影响和实施缓解措施方面进行培训，以确保项目施工各项环保控制措施的落实。工程建设单位有责任配合当地环保主管机构，对施工过程的环境影响进行环境监测，以保证施工期的环保措施得以完善和持续执行，使项目建设施工范围的环境质量得到充分有效保证。</w:t>
      </w:r>
    </w:p>
    <w:p w14:paraId="58167E4B">
      <w:pPr>
        <w:overflowPunct w:val="0"/>
        <w:topLinePunct/>
        <w:ind w:firstLine="480"/>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并应采取以下措施：</w:t>
      </w:r>
    </w:p>
    <w:p w14:paraId="7B60C69F">
      <w:pPr>
        <w:overflowPunct w:val="0"/>
        <w:topLinePunct/>
        <w:ind w:firstLine="480"/>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（1）在拟建工程实施前，要制定详尽的环保措施方案，该方案经有关主管部门批准后要严格执行。施工过程中要设置环保人员，加强现场监督、管理与考核，以便及时发现问题及时解决。</w:t>
      </w:r>
    </w:p>
    <w:p w14:paraId="450DB41E">
      <w:pPr>
        <w:overflowPunct w:val="0"/>
        <w:topLinePunct/>
        <w:ind w:firstLine="480"/>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（2）</w:t>
      </w:r>
      <w:r>
        <w:rPr>
          <w:rFonts w:hint="eastAsia" w:eastAsia="宋体"/>
          <w:color w:val="000000" w:themeColor="text1"/>
          <w:szCs w:val="21"/>
          <w:highlight w:val="none"/>
          <w:lang w:val="en-US" w:eastAsia="zh-CN"/>
          <w14:textFill>
            <w14:solidFill>
              <w14:schemeClr w14:val="tx1"/>
            </w14:solidFill>
          </w14:textFill>
        </w:rPr>
        <w:t>施工期间</w:t>
      </w:r>
      <w:r>
        <w:rPr>
          <w:rFonts w:eastAsia="宋体"/>
          <w:color w:val="000000" w:themeColor="text1"/>
          <w:szCs w:val="21"/>
          <w:highlight w:val="none"/>
          <w14:textFill>
            <w14:solidFill>
              <w14:schemeClr w14:val="tx1"/>
            </w14:solidFill>
          </w14:textFill>
        </w:rPr>
        <w:t>及时清运施工中产生生活垃圾，送到指定点进行处置，施工期间产生的生活污水严禁随意排放。</w:t>
      </w:r>
    </w:p>
    <w:p w14:paraId="08E0A615">
      <w:pPr>
        <w:overflowPunct w:val="0"/>
        <w:topLinePunct/>
        <w:ind w:firstLine="480"/>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（3）</w:t>
      </w:r>
      <w:r>
        <w:rPr>
          <w:rFonts w:hint="eastAsia" w:eastAsia="宋体"/>
          <w:color w:val="000000" w:themeColor="text1"/>
          <w:szCs w:val="21"/>
          <w:highlight w:val="none"/>
          <w:lang w:val="en-US" w:eastAsia="zh-CN"/>
          <w14:textFill>
            <w14:solidFill>
              <w14:schemeClr w14:val="tx1"/>
            </w14:solidFill>
          </w14:textFill>
        </w:rPr>
        <w:t>项目建设前，应做好施工人员的环保教育工作，禁止破坏周边植被及猎杀野生动物</w:t>
      </w:r>
      <w:r>
        <w:rPr>
          <w:rFonts w:eastAsia="宋体"/>
          <w:color w:val="000000" w:themeColor="text1"/>
          <w:szCs w:val="21"/>
          <w:highlight w:val="none"/>
          <w14:textFill>
            <w14:solidFill>
              <w14:schemeClr w14:val="tx1"/>
            </w14:solidFill>
          </w14:textFill>
        </w:rPr>
        <w:t>。</w:t>
      </w:r>
    </w:p>
    <w:p w14:paraId="70DB8B98">
      <w:pPr>
        <w:overflowPunct w:val="0"/>
        <w:topLinePunct/>
        <w:ind w:firstLine="480"/>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（4）</w:t>
      </w:r>
      <w:r>
        <w:rPr>
          <w:rFonts w:hint="eastAsia" w:eastAsia="宋体"/>
          <w:color w:val="000000" w:themeColor="text1"/>
          <w:szCs w:val="21"/>
          <w:highlight w:val="none"/>
          <w:lang w:val="en-US" w:eastAsia="zh-CN"/>
          <w14:textFill>
            <w14:solidFill>
              <w14:schemeClr w14:val="tx1"/>
            </w14:solidFill>
          </w14:textFill>
        </w:rPr>
        <w:t>项目</w:t>
      </w:r>
      <w:r>
        <w:rPr>
          <w:rFonts w:eastAsia="宋体"/>
          <w:color w:val="000000" w:themeColor="text1"/>
          <w:szCs w:val="21"/>
          <w:highlight w:val="none"/>
          <w14:textFill>
            <w14:solidFill>
              <w14:schemeClr w14:val="tx1"/>
            </w14:solidFill>
          </w14:textFill>
        </w:rPr>
        <w:t>建设中，要做好施工区域及其周围的绿化工作。</w:t>
      </w:r>
    </w:p>
    <w:p w14:paraId="6392B46B">
      <w:pPr>
        <w:pStyle w:val="4"/>
        <w:rPr>
          <w:color w:val="000000" w:themeColor="text1"/>
          <w:highlight w:val="none"/>
          <w14:textFill>
            <w14:solidFill>
              <w14:schemeClr w14:val="tx1"/>
            </w14:solidFill>
          </w14:textFill>
        </w:rPr>
      </w:pPr>
      <w:bookmarkStart w:id="1073" w:name="_Toc394997400"/>
      <w:bookmarkStart w:id="1074" w:name="_Toc12892"/>
      <w:bookmarkStart w:id="1075" w:name="_Toc13614"/>
      <w:bookmarkStart w:id="1076" w:name="_Toc21568"/>
      <w:bookmarkStart w:id="1077" w:name="_Toc29260"/>
      <w:r>
        <w:rPr>
          <w:color w:val="000000" w:themeColor="text1"/>
          <w:highlight w:val="none"/>
          <w14:textFill>
            <w14:solidFill>
              <w14:schemeClr w14:val="tx1"/>
            </w14:solidFill>
          </w14:textFill>
        </w:rPr>
        <w:t>8.2.2环境监理</w:t>
      </w:r>
      <w:bookmarkEnd w:id="1073"/>
      <w:bookmarkEnd w:id="1074"/>
      <w:bookmarkEnd w:id="1075"/>
      <w:bookmarkEnd w:id="1076"/>
      <w:bookmarkEnd w:id="1077"/>
    </w:p>
    <w:p w14:paraId="2AAF45C4">
      <w:pPr>
        <w:overflowPunct w:val="0"/>
        <w:topLinePunct/>
        <w:ind w:firstLine="480"/>
        <w:rPr>
          <w:rFonts w:eastAsia="宋体"/>
          <w:color w:val="000000" w:themeColor="text1"/>
          <w:szCs w:val="21"/>
          <w:highlight w:val="none"/>
          <w14:textFill>
            <w14:solidFill>
              <w14:schemeClr w14:val="tx1"/>
            </w14:solidFill>
          </w14:textFill>
        </w:rPr>
      </w:pPr>
      <w:r>
        <w:rPr>
          <w:rFonts w:eastAsia="宋体"/>
          <w:color w:val="000000" w:themeColor="text1"/>
          <w:szCs w:val="21"/>
          <w:highlight w:val="none"/>
          <w14:textFill>
            <w14:solidFill>
              <w14:schemeClr w14:val="tx1"/>
            </w14:solidFill>
          </w14:textFill>
        </w:rPr>
        <w:t>项目施工期环境监理内容详见表8.2-1。</w:t>
      </w:r>
    </w:p>
    <w:p w14:paraId="3C55B234">
      <w:pPr>
        <w:widowControl/>
        <w:ind w:firstLine="241" w:firstLineChars="100"/>
        <w:jc w:val="center"/>
        <w:textAlignment w:val="baseline"/>
        <w:rPr>
          <w:bCs/>
          <w:color w:val="000000" w:themeColor="text1"/>
          <w:kern w:val="0"/>
          <w:highlight w:val="none"/>
          <w14:textFill>
            <w14:solidFill>
              <w14:schemeClr w14:val="tx1"/>
            </w14:solidFill>
          </w14:textFill>
        </w:rPr>
      </w:pPr>
      <w:r>
        <w:rPr>
          <w:b/>
          <w:color w:val="000000" w:themeColor="text1"/>
          <w:kern w:val="0"/>
          <w:highlight w:val="none"/>
          <w14:textFill>
            <w14:solidFill>
              <w14:schemeClr w14:val="tx1"/>
            </w14:solidFill>
          </w14:textFill>
        </w:rPr>
        <w:t>表8.2-1    施工期环境监理一览表</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7"/>
        <w:gridCol w:w="3797"/>
        <w:gridCol w:w="3615"/>
      </w:tblGrid>
      <w:tr w14:paraId="7A25E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07" w:type="dxa"/>
            <w:noWrap w:val="0"/>
            <w:vAlign w:val="center"/>
          </w:tcPr>
          <w:p w14:paraId="20E147FB">
            <w:pPr>
              <w:spacing w:line="360" w:lineRule="exact"/>
              <w:ind w:firstLine="0" w:firstLineChars="0"/>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环境要素</w:t>
            </w:r>
          </w:p>
        </w:tc>
        <w:tc>
          <w:tcPr>
            <w:tcW w:w="3797" w:type="dxa"/>
            <w:noWrap w:val="0"/>
            <w:vAlign w:val="center"/>
          </w:tcPr>
          <w:p w14:paraId="30899B23">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监理内容</w:t>
            </w:r>
          </w:p>
        </w:tc>
        <w:tc>
          <w:tcPr>
            <w:tcW w:w="3615" w:type="dxa"/>
            <w:noWrap w:val="0"/>
            <w:vAlign w:val="center"/>
          </w:tcPr>
          <w:p w14:paraId="239A4DA5">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监理要求</w:t>
            </w:r>
          </w:p>
        </w:tc>
      </w:tr>
      <w:tr w14:paraId="6A2230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noWrap w:val="0"/>
            <w:vAlign w:val="center"/>
          </w:tcPr>
          <w:p w14:paraId="4CF5027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大气环境</w:t>
            </w:r>
          </w:p>
        </w:tc>
        <w:tc>
          <w:tcPr>
            <w:tcW w:w="3797" w:type="dxa"/>
            <w:noWrap w:val="0"/>
            <w:vAlign w:val="center"/>
          </w:tcPr>
          <w:p w14:paraId="408311F5">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①</w:t>
            </w:r>
            <w:r>
              <w:rPr>
                <w:color w:val="000000" w:themeColor="text1"/>
                <w:sz w:val="21"/>
                <w:szCs w:val="21"/>
                <w:highlight w:val="none"/>
                <w14:textFill>
                  <w14:solidFill>
                    <w14:schemeClr w14:val="tx1"/>
                  </w14:solidFill>
                </w14:textFill>
              </w:rPr>
              <w:t>对工地及进出口定期洒水抑尘，并清扫，保持工地整齐干净；</w:t>
            </w:r>
          </w:p>
          <w:p w14:paraId="3C711E64">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②</w:t>
            </w:r>
            <w:r>
              <w:rPr>
                <w:color w:val="000000" w:themeColor="text1"/>
                <w:sz w:val="21"/>
                <w:szCs w:val="21"/>
                <w:highlight w:val="none"/>
                <w14:textFill>
                  <w14:solidFill>
                    <w14:schemeClr w14:val="tx1"/>
                  </w14:solidFill>
                </w14:textFill>
              </w:rPr>
              <w:t>运输车辆在运输砂石等粉料时应使用篷布遮盖；</w:t>
            </w:r>
          </w:p>
          <w:p w14:paraId="11A683DB">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③</w:t>
            </w:r>
            <w:r>
              <w:rPr>
                <w:color w:val="000000" w:themeColor="text1"/>
                <w:sz w:val="21"/>
                <w:szCs w:val="21"/>
                <w:highlight w:val="none"/>
                <w14:textFill>
                  <w14:solidFill>
                    <w14:schemeClr w14:val="tx1"/>
                  </w14:solidFill>
                </w14:textFill>
              </w:rPr>
              <w:t>禁止在大风天气施工作业。</w:t>
            </w:r>
          </w:p>
        </w:tc>
        <w:tc>
          <w:tcPr>
            <w:tcW w:w="3615" w:type="dxa"/>
            <w:vMerge w:val="restart"/>
            <w:noWrap w:val="0"/>
            <w:vAlign w:val="center"/>
          </w:tcPr>
          <w:p w14:paraId="257D3847">
            <w:pPr>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1、在施工招标文件、施工合同、环境监理招标文件和监理合同中明确施工单位、环境监理单位的环境保护责任和目标任务；</w:t>
            </w:r>
          </w:p>
          <w:p w14:paraId="38476129">
            <w:pPr>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2、委托有资质单位开展建设期的环境监理工作，加强施工过程的环境监理和环保设施建设的环境监理，定期向自治区、</w:t>
            </w:r>
            <w:r>
              <w:rPr>
                <w:rFonts w:hint="eastAsia"/>
                <w:color w:val="000000" w:themeColor="text1"/>
                <w:sz w:val="21"/>
                <w:szCs w:val="21"/>
                <w:highlight w:val="none"/>
                <w:lang w:val="en-US" w:eastAsia="zh-CN"/>
                <w14:textFill>
                  <w14:solidFill>
                    <w14:schemeClr w14:val="tx1"/>
                  </w14:solidFill>
                </w14:textFill>
              </w:rPr>
              <w:t>市</w:t>
            </w:r>
            <w:r>
              <w:rPr>
                <w:color w:val="000000" w:themeColor="text1"/>
                <w:sz w:val="21"/>
                <w:szCs w:val="21"/>
                <w:highlight w:val="none"/>
                <w14:textFill>
                  <w14:solidFill>
                    <w14:schemeClr w14:val="tx1"/>
                  </w14:solidFill>
                </w14:textFill>
              </w:rPr>
              <w:t>和</w:t>
            </w:r>
            <w:r>
              <w:rPr>
                <w:rFonts w:hint="eastAsia"/>
                <w:color w:val="000000" w:themeColor="text1"/>
                <w:sz w:val="21"/>
                <w:szCs w:val="21"/>
                <w:highlight w:val="none"/>
                <w:lang w:val="en-US" w:eastAsia="zh-CN"/>
                <w14:textFill>
                  <w14:solidFill>
                    <w14:schemeClr w14:val="tx1"/>
                  </w14:solidFill>
                </w14:textFill>
              </w:rPr>
              <w:t>伊州区</w:t>
            </w:r>
            <w:r>
              <w:rPr>
                <w:color w:val="000000" w:themeColor="text1"/>
                <w:sz w:val="21"/>
                <w:szCs w:val="21"/>
                <w:highlight w:val="none"/>
                <w14:textFill>
                  <w14:solidFill>
                    <w14:schemeClr w14:val="tx1"/>
                  </w14:solidFill>
                </w14:textFill>
              </w:rPr>
              <w:t>生态环境主管部门备案；</w:t>
            </w:r>
          </w:p>
          <w:p w14:paraId="7EB84167">
            <w:pPr>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3、结合环境监理报告，自查环评报告、批复文件及设计中规定的环保设施和生态保护措施建设及进展情况；严格落实环保投资和执行建设项目环境保护</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三同时</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制度；</w:t>
            </w:r>
          </w:p>
          <w:p w14:paraId="4AD33C36">
            <w:pPr>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4、自觉接受当地</w:t>
            </w:r>
            <w:r>
              <w:rPr>
                <w:rFonts w:hint="eastAsia"/>
                <w:color w:val="000000" w:themeColor="text1"/>
                <w:sz w:val="21"/>
                <w:szCs w:val="21"/>
                <w:highlight w:val="none"/>
                <w:lang w:val="en-US" w:eastAsia="zh-CN"/>
                <w14:textFill>
                  <w14:solidFill>
                    <w14:schemeClr w14:val="tx1"/>
                  </w14:solidFill>
                </w14:textFill>
              </w:rPr>
              <w:t>生态环境</w:t>
            </w:r>
            <w:r>
              <w:rPr>
                <w:color w:val="000000" w:themeColor="text1"/>
                <w:sz w:val="21"/>
                <w:szCs w:val="21"/>
                <w:highlight w:val="none"/>
                <w14:textFill>
                  <w14:solidFill>
                    <w14:schemeClr w14:val="tx1"/>
                  </w14:solidFill>
                </w14:textFill>
              </w:rPr>
              <w:t>行政主管部门在建设期的环境监督与管理；</w:t>
            </w:r>
          </w:p>
          <w:p w14:paraId="0FAD7787">
            <w:pPr>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5、设立企业环保机构，建立健全环境管理、环保资料档案等制度。</w:t>
            </w:r>
          </w:p>
        </w:tc>
      </w:tr>
      <w:tr w14:paraId="7FC507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noWrap w:val="0"/>
            <w:vAlign w:val="center"/>
          </w:tcPr>
          <w:p w14:paraId="49E698F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水环境</w:t>
            </w:r>
          </w:p>
        </w:tc>
        <w:tc>
          <w:tcPr>
            <w:tcW w:w="3797" w:type="dxa"/>
            <w:noWrap w:val="0"/>
            <w:vAlign w:val="center"/>
          </w:tcPr>
          <w:p w14:paraId="113A0641">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①</w:t>
            </w:r>
            <w:r>
              <w:rPr>
                <w:color w:val="000000" w:themeColor="text1"/>
                <w:sz w:val="21"/>
                <w:szCs w:val="21"/>
                <w:highlight w:val="none"/>
                <w14:textFill>
                  <w14:solidFill>
                    <w14:schemeClr w14:val="tx1"/>
                  </w14:solidFill>
                </w14:textFill>
              </w:rPr>
              <w:t>施工人员生活污水可依托现有生活区污水处理设施，经处理后回用于选矿生产。</w:t>
            </w:r>
          </w:p>
          <w:p w14:paraId="688B17B4">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②</w:t>
            </w:r>
            <w:r>
              <w:rPr>
                <w:color w:val="000000" w:themeColor="text1"/>
                <w:sz w:val="21"/>
                <w:szCs w:val="21"/>
                <w:highlight w:val="none"/>
                <w14:textFill>
                  <w14:solidFill>
                    <w14:schemeClr w14:val="tx1"/>
                  </w14:solidFill>
                </w14:textFill>
              </w:rPr>
              <w:t>避免在雨季进行基础开挖施工。</w:t>
            </w:r>
          </w:p>
        </w:tc>
        <w:tc>
          <w:tcPr>
            <w:tcW w:w="3615" w:type="dxa"/>
            <w:vMerge w:val="continue"/>
            <w:noWrap w:val="0"/>
            <w:vAlign w:val="center"/>
          </w:tcPr>
          <w:p w14:paraId="3B06DBDA">
            <w:pPr>
              <w:spacing w:line="360" w:lineRule="exact"/>
              <w:ind w:firstLine="420"/>
              <w:rPr>
                <w:color w:val="000000" w:themeColor="text1"/>
                <w:sz w:val="21"/>
                <w:szCs w:val="21"/>
                <w:highlight w:val="none"/>
                <w14:textFill>
                  <w14:solidFill>
                    <w14:schemeClr w14:val="tx1"/>
                  </w14:solidFill>
                </w14:textFill>
              </w:rPr>
            </w:pPr>
          </w:p>
        </w:tc>
      </w:tr>
      <w:tr w14:paraId="7315B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noWrap w:val="0"/>
            <w:vAlign w:val="center"/>
          </w:tcPr>
          <w:p w14:paraId="3CF2D8A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声环境</w:t>
            </w:r>
          </w:p>
        </w:tc>
        <w:tc>
          <w:tcPr>
            <w:tcW w:w="3797" w:type="dxa"/>
            <w:noWrap w:val="0"/>
            <w:vAlign w:val="center"/>
          </w:tcPr>
          <w:p w14:paraId="39F4E2B7">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①</w:t>
            </w:r>
            <w:r>
              <w:rPr>
                <w:color w:val="000000" w:themeColor="text1"/>
                <w:sz w:val="21"/>
                <w:szCs w:val="21"/>
                <w:highlight w:val="none"/>
                <w14:textFill>
                  <w14:solidFill>
                    <w14:schemeClr w14:val="tx1"/>
                  </w14:solidFill>
                </w14:textFill>
              </w:rPr>
              <w:t>合理布局施工设备，避免局部声级过高；</w:t>
            </w:r>
          </w:p>
          <w:p w14:paraId="5F265DD1">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②</w:t>
            </w:r>
            <w:r>
              <w:rPr>
                <w:color w:val="000000" w:themeColor="text1"/>
                <w:sz w:val="21"/>
                <w:szCs w:val="21"/>
                <w:highlight w:val="none"/>
                <w14:textFill>
                  <w14:solidFill>
                    <w14:schemeClr w14:val="tx1"/>
                  </w14:solidFill>
                </w14:textFill>
              </w:rPr>
              <w:t>开工15日前向生态环境主管部门申报《建设施工环保审批表》。</w:t>
            </w:r>
          </w:p>
        </w:tc>
        <w:tc>
          <w:tcPr>
            <w:tcW w:w="3615" w:type="dxa"/>
            <w:vMerge w:val="continue"/>
            <w:noWrap w:val="0"/>
            <w:vAlign w:val="center"/>
          </w:tcPr>
          <w:p w14:paraId="2C4E7807">
            <w:pPr>
              <w:spacing w:line="360" w:lineRule="exact"/>
              <w:ind w:firstLine="420"/>
              <w:rPr>
                <w:color w:val="000000" w:themeColor="text1"/>
                <w:sz w:val="21"/>
                <w:szCs w:val="21"/>
                <w:highlight w:val="none"/>
                <w14:textFill>
                  <w14:solidFill>
                    <w14:schemeClr w14:val="tx1"/>
                  </w14:solidFill>
                </w14:textFill>
              </w:rPr>
            </w:pPr>
          </w:p>
        </w:tc>
      </w:tr>
      <w:tr w14:paraId="0A6427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noWrap w:val="0"/>
            <w:vAlign w:val="center"/>
          </w:tcPr>
          <w:p w14:paraId="64CA513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固体废物</w:t>
            </w:r>
          </w:p>
        </w:tc>
        <w:tc>
          <w:tcPr>
            <w:tcW w:w="3797" w:type="dxa"/>
            <w:noWrap w:val="0"/>
            <w:vAlign w:val="center"/>
          </w:tcPr>
          <w:p w14:paraId="246A2C2D">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①</w:t>
            </w:r>
            <w:r>
              <w:rPr>
                <w:color w:val="000000" w:themeColor="text1"/>
                <w:sz w:val="21"/>
                <w:szCs w:val="21"/>
                <w:highlight w:val="none"/>
                <w14:textFill>
                  <w14:solidFill>
                    <w14:schemeClr w14:val="tx1"/>
                  </w14:solidFill>
                </w14:textFill>
              </w:rPr>
              <w:t>施工期废弃土石方用于场地平整；</w:t>
            </w:r>
          </w:p>
          <w:p w14:paraId="00FCC921">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②</w:t>
            </w:r>
            <w:r>
              <w:rPr>
                <w:color w:val="000000" w:themeColor="text1"/>
                <w:sz w:val="21"/>
                <w:szCs w:val="21"/>
                <w:highlight w:val="none"/>
                <w14:textFill>
                  <w14:solidFill>
                    <w14:schemeClr w14:val="tx1"/>
                  </w14:solidFill>
                </w14:textFill>
              </w:rPr>
              <w:t>施工期生活垃圾集中收集，定期清运。</w:t>
            </w:r>
          </w:p>
        </w:tc>
        <w:tc>
          <w:tcPr>
            <w:tcW w:w="3615" w:type="dxa"/>
            <w:vMerge w:val="continue"/>
            <w:noWrap w:val="0"/>
            <w:vAlign w:val="center"/>
          </w:tcPr>
          <w:p w14:paraId="5B650691">
            <w:pPr>
              <w:spacing w:line="360" w:lineRule="exact"/>
              <w:ind w:firstLine="420"/>
              <w:rPr>
                <w:color w:val="000000" w:themeColor="text1"/>
                <w:sz w:val="21"/>
                <w:szCs w:val="21"/>
                <w:highlight w:val="none"/>
                <w14:textFill>
                  <w14:solidFill>
                    <w14:schemeClr w14:val="tx1"/>
                  </w14:solidFill>
                </w14:textFill>
              </w:rPr>
            </w:pPr>
          </w:p>
        </w:tc>
      </w:tr>
      <w:tr w14:paraId="23CD67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noWrap w:val="0"/>
            <w:vAlign w:val="center"/>
          </w:tcPr>
          <w:p w14:paraId="32DE7AE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生态影响</w:t>
            </w:r>
          </w:p>
        </w:tc>
        <w:tc>
          <w:tcPr>
            <w:tcW w:w="3797" w:type="dxa"/>
            <w:noWrap w:val="0"/>
            <w:vAlign w:val="center"/>
          </w:tcPr>
          <w:p w14:paraId="622B78FF">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①</w:t>
            </w:r>
            <w:r>
              <w:rPr>
                <w:color w:val="000000" w:themeColor="text1"/>
                <w:sz w:val="21"/>
                <w:szCs w:val="21"/>
                <w:highlight w:val="none"/>
                <w14:textFill>
                  <w14:solidFill>
                    <w14:schemeClr w14:val="tx1"/>
                  </w14:solidFill>
                </w14:textFill>
              </w:rPr>
              <w:t>施工期间水土流失问题、主体工程开挖、弃渣及弃渣堆放应符合环境管理规范要求。</w:t>
            </w:r>
          </w:p>
          <w:p w14:paraId="0D6E9105">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②</w:t>
            </w:r>
            <w:r>
              <w:rPr>
                <w:rFonts w:hint="eastAsia"/>
                <w:color w:val="000000" w:themeColor="text1"/>
                <w:sz w:val="21"/>
                <w:szCs w:val="21"/>
                <w:highlight w:val="none"/>
                <w:lang w:val="en-US" w:eastAsia="zh-CN"/>
                <w14:textFill>
                  <w14:solidFill>
                    <w14:schemeClr w14:val="tx1"/>
                  </w14:solidFill>
                </w14:textFill>
              </w:rPr>
              <w:t>防沙治沙、戈壁保护工作</w:t>
            </w:r>
            <w:r>
              <w:rPr>
                <w:color w:val="000000" w:themeColor="text1"/>
                <w:sz w:val="21"/>
                <w:szCs w:val="21"/>
                <w:highlight w:val="none"/>
                <w14:textFill>
                  <w14:solidFill>
                    <w14:schemeClr w14:val="tx1"/>
                  </w14:solidFill>
                </w14:textFill>
              </w:rPr>
              <w:t>。</w:t>
            </w:r>
          </w:p>
        </w:tc>
        <w:tc>
          <w:tcPr>
            <w:tcW w:w="3615" w:type="dxa"/>
            <w:vMerge w:val="continue"/>
            <w:noWrap w:val="0"/>
            <w:vAlign w:val="center"/>
          </w:tcPr>
          <w:p w14:paraId="206B0404">
            <w:pPr>
              <w:spacing w:line="360" w:lineRule="exact"/>
              <w:ind w:firstLine="420"/>
              <w:rPr>
                <w:color w:val="000000" w:themeColor="text1"/>
                <w:sz w:val="21"/>
                <w:szCs w:val="21"/>
                <w:highlight w:val="none"/>
                <w14:textFill>
                  <w14:solidFill>
                    <w14:schemeClr w14:val="tx1"/>
                  </w14:solidFill>
                </w14:textFill>
              </w:rPr>
            </w:pPr>
          </w:p>
        </w:tc>
      </w:tr>
    </w:tbl>
    <w:p w14:paraId="329EA30E">
      <w:pPr>
        <w:pStyle w:val="3"/>
        <w:rPr>
          <w:color w:val="000000" w:themeColor="text1"/>
          <w:highlight w:val="none"/>
          <w14:textFill>
            <w14:solidFill>
              <w14:schemeClr w14:val="tx1"/>
            </w14:solidFill>
          </w14:textFill>
        </w:rPr>
      </w:pPr>
      <w:bookmarkStart w:id="1078" w:name="_Toc31539"/>
      <w:bookmarkStart w:id="1079" w:name="_Toc23506"/>
      <w:bookmarkStart w:id="1080" w:name="_Toc8157"/>
      <w:bookmarkStart w:id="1081" w:name="_Toc107413912"/>
      <w:bookmarkStart w:id="1082" w:name="_Toc22196"/>
      <w:bookmarkStart w:id="1083" w:name="_Toc107414679"/>
      <w:bookmarkStart w:id="1084" w:name="_Toc1923"/>
      <w:r>
        <w:rPr>
          <w:color w:val="000000" w:themeColor="text1"/>
          <w:highlight w:val="none"/>
          <w14:textFill>
            <w14:solidFill>
              <w14:schemeClr w14:val="tx1"/>
            </w14:solidFill>
          </w14:textFill>
        </w:rPr>
        <w:t>8.3环境</w:t>
      </w:r>
      <w:bookmarkEnd w:id="1030"/>
      <w:bookmarkEnd w:id="1031"/>
      <w:bookmarkEnd w:id="1032"/>
      <w:bookmarkEnd w:id="1033"/>
      <w:bookmarkEnd w:id="1034"/>
      <w:r>
        <w:rPr>
          <w:color w:val="000000" w:themeColor="text1"/>
          <w:highlight w:val="none"/>
          <w14:textFill>
            <w14:solidFill>
              <w14:schemeClr w14:val="tx1"/>
            </w14:solidFill>
          </w14:textFill>
        </w:rPr>
        <w:t>监测计划</w:t>
      </w:r>
      <w:bookmarkEnd w:id="1035"/>
      <w:bookmarkEnd w:id="1036"/>
      <w:bookmarkEnd w:id="1037"/>
      <w:bookmarkEnd w:id="1038"/>
      <w:bookmarkEnd w:id="1039"/>
      <w:bookmarkEnd w:id="1040"/>
      <w:bookmarkEnd w:id="1053"/>
      <w:bookmarkEnd w:id="1054"/>
      <w:bookmarkEnd w:id="1055"/>
      <w:bookmarkEnd w:id="1056"/>
      <w:bookmarkEnd w:id="1057"/>
      <w:bookmarkEnd w:id="1070"/>
      <w:bookmarkEnd w:id="1071"/>
      <w:bookmarkEnd w:id="1072"/>
      <w:bookmarkEnd w:id="1078"/>
      <w:bookmarkEnd w:id="1079"/>
      <w:bookmarkEnd w:id="1080"/>
      <w:bookmarkEnd w:id="1081"/>
      <w:bookmarkEnd w:id="1082"/>
      <w:bookmarkEnd w:id="1083"/>
      <w:bookmarkEnd w:id="1084"/>
    </w:p>
    <w:p w14:paraId="5719F7DD">
      <w:pPr>
        <w:widowControl/>
        <w:overflowPunct w:val="0"/>
        <w:topLinePunct/>
        <w:ind w:firstLine="48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环境监测制度是为环境管理服务的一项重要制度，通过环境监测，及时了解企业的环境状况，不断完善、改进防治措施，清洁生产，不断适应环境保护的发展要求，是实现企业环境管理定量化、规范化的重要技术支持。建立一套完善而行之有效的环境监测制度是企业环境保护工作的重要组成部分。</w:t>
      </w:r>
    </w:p>
    <w:p w14:paraId="644AD194">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bookmarkStart w:id="1085" w:name="_Toc15111"/>
      <w:bookmarkStart w:id="1086" w:name="_Toc5506"/>
      <w:bookmarkStart w:id="1087" w:name="_Toc32240"/>
      <w:bookmarkStart w:id="1088" w:name="_Toc18597"/>
      <w:bookmarkStart w:id="1089" w:name="_Toc16163"/>
      <w:bookmarkStart w:id="1090" w:name="_Toc15274"/>
      <w:r>
        <w:rPr>
          <w:b/>
          <w:bCs/>
          <w:color w:val="000000" w:themeColor="text1"/>
          <w:sz w:val="30"/>
          <w:szCs w:val="32"/>
          <w:highlight w:val="none"/>
          <w14:textFill>
            <w14:solidFill>
              <w14:schemeClr w14:val="tx1"/>
            </w14:solidFill>
          </w14:textFill>
        </w:rPr>
        <w:t>8.3.1监测机构</w:t>
      </w:r>
      <w:bookmarkEnd w:id="1085"/>
      <w:bookmarkEnd w:id="1086"/>
      <w:bookmarkEnd w:id="1087"/>
      <w:bookmarkEnd w:id="1088"/>
      <w:bookmarkEnd w:id="1089"/>
      <w:bookmarkEnd w:id="1090"/>
    </w:p>
    <w:p w14:paraId="2D93A43E">
      <w:pPr>
        <w:widowControl/>
        <w:overflowPunct w:val="0"/>
        <w:topLinePunct/>
        <w:ind w:firstLine="48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考虑到</w:t>
      </w:r>
      <w:r>
        <w:rPr>
          <w:rFonts w:hint="eastAsia"/>
          <w:color w:val="000000" w:themeColor="text1"/>
          <w:kern w:val="0"/>
          <w:szCs w:val="21"/>
          <w:highlight w:val="none"/>
          <w:lang w:val="en-US" w:eastAsia="zh-CN"/>
          <w14:textFill>
            <w14:solidFill>
              <w14:schemeClr w14:val="tx1"/>
            </w14:solidFill>
          </w14:textFill>
        </w:rPr>
        <w:t>矿</w:t>
      </w:r>
      <w:r>
        <w:rPr>
          <w:rFonts w:hint="eastAsia"/>
          <w:color w:val="000000" w:themeColor="text1"/>
          <w:kern w:val="0"/>
          <w:szCs w:val="21"/>
          <w:highlight w:val="none"/>
          <w14:textFill>
            <w14:solidFill>
              <w14:schemeClr w14:val="tx1"/>
            </w14:solidFill>
          </w14:textFill>
        </w:rPr>
        <w:t>区</w:t>
      </w:r>
      <w:r>
        <w:rPr>
          <w:color w:val="000000" w:themeColor="text1"/>
          <w:kern w:val="0"/>
          <w:szCs w:val="21"/>
          <w:highlight w:val="none"/>
          <w14:textFill>
            <w14:solidFill>
              <w14:schemeClr w14:val="tx1"/>
            </w14:solidFill>
          </w14:textFill>
        </w:rPr>
        <w:t>的实际条件</w:t>
      </w:r>
      <w:r>
        <w:rPr>
          <w:rFonts w:hint="eastAsia"/>
          <w:color w:val="000000" w:themeColor="text1"/>
          <w:kern w:val="0"/>
          <w:szCs w:val="21"/>
          <w:highlight w:val="none"/>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矿</w:t>
      </w:r>
      <w:r>
        <w:rPr>
          <w:rFonts w:hint="eastAsia"/>
          <w:color w:val="000000" w:themeColor="text1"/>
          <w:kern w:val="0"/>
          <w:szCs w:val="21"/>
          <w:highlight w:val="none"/>
          <w14:textFill>
            <w14:solidFill>
              <w14:schemeClr w14:val="tx1"/>
            </w14:solidFill>
          </w14:textFill>
        </w:rPr>
        <w:t>区</w:t>
      </w:r>
      <w:r>
        <w:rPr>
          <w:color w:val="000000" w:themeColor="text1"/>
          <w:kern w:val="0"/>
          <w:szCs w:val="21"/>
          <w:highlight w:val="none"/>
          <w14:textFill>
            <w14:solidFill>
              <w14:schemeClr w14:val="tx1"/>
            </w14:solidFill>
          </w14:textFill>
        </w:rPr>
        <w:t>可不设监测机构，有关的环境监测工作可委托</w:t>
      </w:r>
      <w:r>
        <w:rPr>
          <w:rFonts w:hint="eastAsia"/>
          <w:color w:val="000000" w:themeColor="text1"/>
          <w:kern w:val="0"/>
          <w:szCs w:val="21"/>
          <w:highlight w:val="none"/>
          <w14:textFill>
            <w14:solidFill>
              <w14:schemeClr w14:val="tx1"/>
            </w14:solidFill>
          </w14:textFill>
        </w:rPr>
        <w:t>第三方环境监测公司</w:t>
      </w:r>
      <w:r>
        <w:rPr>
          <w:color w:val="000000" w:themeColor="text1"/>
          <w:kern w:val="0"/>
          <w:szCs w:val="21"/>
          <w:highlight w:val="none"/>
          <w14:textFill>
            <w14:solidFill>
              <w14:schemeClr w14:val="tx1"/>
            </w14:solidFill>
          </w14:textFill>
        </w:rPr>
        <w:t>承担，确保监测计划的顺利实施。</w:t>
      </w:r>
    </w:p>
    <w:p w14:paraId="7E31033F">
      <w:pPr>
        <w:keepNext/>
        <w:keepLines/>
        <w:spacing w:before="60" w:after="60"/>
        <w:ind w:firstLine="0" w:firstLineChars="0"/>
        <w:outlineLvl w:val="2"/>
        <w:rPr>
          <w:b/>
          <w:bCs/>
          <w:color w:val="000000" w:themeColor="text1"/>
          <w:sz w:val="30"/>
          <w:szCs w:val="32"/>
          <w:highlight w:val="none"/>
          <w14:textFill>
            <w14:solidFill>
              <w14:schemeClr w14:val="tx1"/>
            </w14:solidFill>
          </w14:textFill>
        </w:rPr>
      </w:pPr>
      <w:bookmarkStart w:id="1091" w:name="_Toc3635"/>
      <w:bookmarkStart w:id="1092" w:name="_Toc11465"/>
      <w:bookmarkStart w:id="1093" w:name="_Toc15947"/>
      <w:bookmarkStart w:id="1094" w:name="_Toc1751"/>
      <w:bookmarkStart w:id="1095" w:name="_Toc11984"/>
      <w:bookmarkStart w:id="1096" w:name="_Toc9548"/>
      <w:r>
        <w:rPr>
          <w:b/>
          <w:bCs/>
          <w:color w:val="000000" w:themeColor="text1"/>
          <w:sz w:val="30"/>
          <w:szCs w:val="32"/>
          <w:highlight w:val="none"/>
          <w14:textFill>
            <w14:solidFill>
              <w14:schemeClr w14:val="tx1"/>
            </w14:solidFill>
          </w14:textFill>
        </w:rPr>
        <w:t>8.3.2监测内容</w:t>
      </w:r>
      <w:bookmarkEnd w:id="1091"/>
      <w:bookmarkEnd w:id="1092"/>
      <w:bookmarkEnd w:id="1093"/>
      <w:bookmarkEnd w:id="1094"/>
      <w:bookmarkEnd w:id="1095"/>
      <w:bookmarkEnd w:id="1096"/>
    </w:p>
    <w:p w14:paraId="147A4C7C">
      <w:pPr>
        <w:pStyle w:val="5"/>
        <w:ind w:firstLine="482"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8.3.2.1</w:t>
      </w:r>
      <w:r>
        <w:rPr>
          <w:color w:val="000000" w:themeColor="text1"/>
          <w:highlight w:val="none"/>
          <w14:textFill>
            <w14:solidFill>
              <w14:schemeClr w14:val="tx1"/>
            </w14:solidFill>
          </w14:textFill>
        </w:rPr>
        <w:t>施工期监测内容</w:t>
      </w:r>
    </w:p>
    <w:p w14:paraId="3A4C1D93">
      <w:pPr>
        <w:overflowPunct w:val="0"/>
        <w:topLinePun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为了及时了解和掌握拟建项目施工期主要污染物的排放情况，建设单位应委托有资质的环境监测部门对其污染源和施工场界周边的环境质量进行监测，监测要求见表8.3-1。</w:t>
      </w:r>
    </w:p>
    <w:p w14:paraId="126D6352">
      <w:pPr>
        <w:adjustRightInd w:val="0"/>
        <w:ind w:firstLine="0" w:firstLineChars="0"/>
        <w:jc w:val="center"/>
        <w:textAlignment w:val="baseline"/>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表8.3-1    施工期环境监测要求</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8"/>
        <w:gridCol w:w="1074"/>
        <w:gridCol w:w="1533"/>
        <w:gridCol w:w="743"/>
        <w:gridCol w:w="1618"/>
        <w:gridCol w:w="2823"/>
      </w:tblGrid>
      <w:tr w14:paraId="1BBAE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27" w:type="pct"/>
            <w:noWrap w:val="0"/>
            <w:vAlign w:val="center"/>
          </w:tcPr>
          <w:p w14:paraId="3C123D50">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监测类别</w:t>
            </w:r>
          </w:p>
        </w:tc>
        <w:tc>
          <w:tcPr>
            <w:tcW w:w="630" w:type="pct"/>
            <w:noWrap w:val="0"/>
            <w:vAlign w:val="center"/>
          </w:tcPr>
          <w:p w14:paraId="3B46ACB1">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监测项目</w:t>
            </w:r>
          </w:p>
        </w:tc>
        <w:tc>
          <w:tcPr>
            <w:tcW w:w="899" w:type="pct"/>
            <w:noWrap w:val="0"/>
            <w:vAlign w:val="center"/>
          </w:tcPr>
          <w:p w14:paraId="0425D52F">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监测点位置</w:t>
            </w:r>
          </w:p>
        </w:tc>
        <w:tc>
          <w:tcPr>
            <w:tcW w:w="436" w:type="pct"/>
            <w:noWrap w:val="0"/>
            <w:vAlign w:val="center"/>
          </w:tcPr>
          <w:p w14:paraId="567FB4EA">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测点数</w:t>
            </w:r>
          </w:p>
        </w:tc>
        <w:tc>
          <w:tcPr>
            <w:tcW w:w="949" w:type="pct"/>
            <w:noWrap w:val="0"/>
            <w:vAlign w:val="center"/>
          </w:tcPr>
          <w:p w14:paraId="7B545E1F">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监测频次</w:t>
            </w:r>
          </w:p>
        </w:tc>
        <w:tc>
          <w:tcPr>
            <w:tcW w:w="1656" w:type="pct"/>
            <w:noWrap w:val="0"/>
            <w:vAlign w:val="center"/>
          </w:tcPr>
          <w:p w14:paraId="797246DB">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技术要求</w:t>
            </w:r>
          </w:p>
        </w:tc>
      </w:tr>
      <w:tr w14:paraId="41B46D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pct"/>
            <w:noWrap w:val="0"/>
            <w:vAlign w:val="center"/>
          </w:tcPr>
          <w:p w14:paraId="4E5ECFC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场界噪声</w:t>
            </w:r>
          </w:p>
        </w:tc>
        <w:tc>
          <w:tcPr>
            <w:tcW w:w="630" w:type="pct"/>
            <w:noWrap w:val="0"/>
            <w:vAlign w:val="center"/>
          </w:tcPr>
          <w:p w14:paraId="052C80F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施工场界Leq</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A</w:t>
            </w:r>
            <w:r>
              <w:rPr>
                <w:rFonts w:hint="eastAsia"/>
                <w:color w:val="000000" w:themeColor="text1"/>
                <w:sz w:val="21"/>
                <w:szCs w:val="21"/>
                <w:highlight w:val="none"/>
                <w14:textFill>
                  <w14:solidFill>
                    <w14:schemeClr w14:val="tx1"/>
                  </w14:solidFill>
                </w14:textFill>
              </w:rPr>
              <w:t>）</w:t>
            </w:r>
          </w:p>
        </w:tc>
        <w:tc>
          <w:tcPr>
            <w:tcW w:w="899" w:type="pct"/>
            <w:noWrap w:val="0"/>
            <w:vAlign w:val="center"/>
          </w:tcPr>
          <w:p w14:paraId="1062E5E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施工场界四周</w:t>
            </w:r>
          </w:p>
        </w:tc>
        <w:tc>
          <w:tcPr>
            <w:tcW w:w="436" w:type="pct"/>
            <w:noWrap w:val="0"/>
            <w:vAlign w:val="center"/>
          </w:tcPr>
          <w:p w14:paraId="1703376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949" w:type="pct"/>
            <w:noWrap w:val="0"/>
            <w:vAlign w:val="center"/>
          </w:tcPr>
          <w:p w14:paraId="3A58C2AB">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施工期一次/季</w:t>
            </w:r>
          </w:p>
        </w:tc>
        <w:tc>
          <w:tcPr>
            <w:tcW w:w="1656" w:type="pct"/>
            <w:noWrap w:val="0"/>
            <w:vAlign w:val="center"/>
          </w:tcPr>
          <w:p w14:paraId="05BE0BAE">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满足</w:t>
            </w:r>
            <w:r>
              <w:rPr>
                <w:rFonts w:hint="eastAsia"/>
                <w:color w:val="000000" w:themeColor="text1"/>
                <w:sz w:val="21"/>
                <w:szCs w:val="21"/>
                <w:highlight w:val="none"/>
                <w:lang w:eastAsia="zh-CN"/>
                <w14:textFill>
                  <w14:solidFill>
                    <w14:schemeClr w14:val="tx1"/>
                  </w14:solidFill>
                </w14:textFill>
              </w:rPr>
              <w:t>《建筑施工噪声排放标准》（GB12523-2025）</w:t>
            </w:r>
          </w:p>
        </w:tc>
      </w:tr>
      <w:tr w14:paraId="25B8D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pct"/>
            <w:noWrap w:val="0"/>
            <w:vAlign w:val="center"/>
          </w:tcPr>
          <w:p w14:paraId="7D4B3CA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环境空气</w:t>
            </w:r>
          </w:p>
        </w:tc>
        <w:tc>
          <w:tcPr>
            <w:tcW w:w="630" w:type="pct"/>
            <w:noWrap w:val="0"/>
            <w:vAlign w:val="center"/>
          </w:tcPr>
          <w:p w14:paraId="0DC10BA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TSP</w:t>
            </w:r>
          </w:p>
        </w:tc>
        <w:tc>
          <w:tcPr>
            <w:tcW w:w="899" w:type="pct"/>
            <w:noWrap w:val="0"/>
            <w:vAlign w:val="center"/>
          </w:tcPr>
          <w:p w14:paraId="5A18379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施工场地上、下风向</w:t>
            </w:r>
          </w:p>
        </w:tc>
        <w:tc>
          <w:tcPr>
            <w:tcW w:w="436" w:type="pct"/>
            <w:noWrap w:val="0"/>
            <w:vAlign w:val="center"/>
          </w:tcPr>
          <w:p w14:paraId="7AF28C7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949" w:type="pct"/>
            <w:noWrap w:val="0"/>
            <w:vAlign w:val="center"/>
          </w:tcPr>
          <w:p w14:paraId="576DA2D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施工期一次/季</w:t>
            </w:r>
          </w:p>
        </w:tc>
        <w:tc>
          <w:tcPr>
            <w:tcW w:w="1656" w:type="pct"/>
            <w:noWrap w:val="0"/>
            <w:vAlign w:val="center"/>
          </w:tcPr>
          <w:p w14:paraId="2B3AD0C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满足《大气污染物综合排放标准》（16297-1996）</w:t>
            </w:r>
          </w:p>
        </w:tc>
      </w:tr>
      <w:tr w14:paraId="3F0B24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pct"/>
            <w:noWrap w:val="0"/>
            <w:vAlign w:val="center"/>
          </w:tcPr>
          <w:p w14:paraId="4FE70D9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生态环境</w:t>
            </w:r>
          </w:p>
        </w:tc>
        <w:tc>
          <w:tcPr>
            <w:tcW w:w="630" w:type="pct"/>
            <w:noWrap w:val="0"/>
            <w:vAlign w:val="center"/>
          </w:tcPr>
          <w:p w14:paraId="67035615">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施工现场清理</w:t>
            </w:r>
          </w:p>
        </w:tc>
        <w:tc>
          <w:tcPr>
            <w:tcW w:w="899" w:type="pct"/>
            <w:noWrap w:val="0"/>
            <w:vAlign w:val="center"/>
          </w:tcPr>
          <w:p w14:paraId="389418B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施工场地</w:t>
            </w:r>
          </w:p>
        </w:tc>
        <w:tc>
          <w:tcPr>
            <w:tcW w:w="436" w:type="pct"/>
            <w:noWrap w:val="0"/>
            <w:vAlign w:val="center"/>
          </w:tcPr>
          <w:p w14:paraId="7B04637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949" w:type="pct"/>
            <w:noWrap w:val="0"/>
            <w:vAlign w:val="center"/>
          </w:tcPr>
          <w:p w14:paraId="3F784775">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施工结束后一次</w:t>
            </w:r>
          </w:p>
        </w:tc>
        <w:tc>
          <w:tcPr>
            <w:tcW w:w="1656" w:type="pct"/>
            <w:noWrap w:val="0"/>
            <w:vAlign w:val="center"/>
          </w:tcPr>
          <w:p w14:paraId="1F9B1694">
            <w:pPr>
              <w:spacing w:line="360" w:lineRule="exact"/>
              <w:ind w:firstLine="0" w:firstLineChars="0"/>
              <w:jc w:val="center"/>
              <w:rPr>
                <w:rFonts w:eastAsia="Times New Roman"/>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施工清理后，施工现场的弃土石方等废弃物的处置和生态环境恢复情况</w:t>
            </w:r>
          </w:p>
        </w:tc>
      </w:tr>
    </w:tbl>
    <w:p w14:paraId="25A1A9AC">
      <w:pPr>
        <w:pStyle w:val="5"/>
        <w:ind w:firstLine="482"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8.3.2.2运营期监测内容</w:t>
      </w:r>
    </w:p>
    <w:p w14:paraId="038C6EFB">
      <w:pPr>
        <w:overflowPunct w:val="0"/>
        <w:topLinePunct/>
        <w:ind w:firstLine="482"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本项目运营期环境监测计划见下表。</w:t>
      </w:r>
    </w:p>
    <w:p w14:paraId="56EC5CF3">
      <w:pPr>
        <w:overflowPunct w:val="0"/>
        <w:topLinePunct/>
        <w:ind w:firstLine="482" w:firstLineChars="0"/>
        <w:rPr>
          <w:rFonts w:hint="eastAsia"/>
          <w:color w:val="000000" w:themeColor="text1"/>
          <w:highlight w:val="none"/>
          <w14:textFill>
            <w14:solidFill>
              <w14:schemeClr w14:val="tx1"/>
            </w14:solidFill>
          </w14:textFill>
        </w:rPr>
      </w:pPr>
    </w:p>
    <w:p w14:paraId="746B6B05">
      <w:pPr>
        <w:adjustRightInd w:val="0"/>
        <w:spacing w:line="440" w:lineRule="exact"/>
        <w:ind w:firstLine="0" w:firstLineChars="0"/>
        <w:jc w:val="center"/>
        <w:textAlignment w:val="baseline"/>
        <w:rPr>
          <w:b/>
          <w:color w:val="000000" w:themeColor="text1"/>
          <w:spacing w:val="6"/>
          <w:kern w:val="0"/>
          <w:highlight w:val="none"/>
          <w14:textFill>
            <w14:solidFill>
              <w14:schemeClr w14:val="tx1"/>
            </w14:solidFill>
          </w14:textFill>
        </w:rPr>
      </w:pPr>
      <w:r>
        <w:rPr>
          <w:b/>
          <w:color w:val="000000" w:themeColor="text1"/>
          <w:highlight w:val="none"/>
          <w14:textFill>
            <w14:solidFill>
              <w14:schemeClr w14:val="tx1"/>
            </w14:solidFill>
          </w14:textFill>
        </w:rPr>
        <w:t>表8.3-2    运营期环境监测计划表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548"/>
        <w:gridCol w:w="758"/>
        <w:gridCol w:w="3888"/>
        <w:gridCol w:w="3165"/>
      </w:tblGrid>
      <w:tr w14:paraId="15BDD8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781" w:type="pct"/>
            <w:gridSpan w:val="2"/>
            <w:noWrap w:val="0"/>
            <w:vAlign w:val="center"/>
          </w:tcPr>
          <w:p w14:paraId="52647149">
            <w:pPr>
              <w:adjustRightIn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监测内容</w:t>
            </w:r>
          </w:p>
        </w:tc>
        <w:tc>
          <w:tcPr>
            <w:tcW w:w="2325" w:type="pct"/>
            <w:noWrap w:val="0"/>
            <w:vAlign w:val="center"/>
          </w:tcPr>
          <w:p w14:paraId="5967EE0E">
            <w:pPr>
              <w:adjustRightIn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监测因子、频率</w:t>
            </w:r>
          </w:p>
        </w:tc>
        <w:tc>
          <w:tcPr>
            <w:tcW w:w="1893" w:type="pct"/>
            <w:noWrap w:val="0"/>
            <w:vAlign w:val="center"/>
          </w:tcPr>
          <w:p w14:paraId="45333B2E">
            <w:pPr>
              <w:adjustRightInd w:val="0"/>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监测点位</w:t>
            </w:r>
          </w:p>
        </w:tc>
      </w:tr>
      <w:tr w14:paraId="0C72F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8" w:type="pct"/>
            <w:vMerge w:val="restart"/>
            <w:noWrap w:val="0"/>
            <w:vAlign w:val="center"/>
          </w:tcPr>
          <w:p w14:paraId="32D9C131">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生态</w:t>
            </w:r>
            <w:r>
              <w:rPr>
                <w:rFonts w:hint="eastAsia"/>
                <w:color w:val="000000" w:themeColor="text1"/>
                <w:sz w:val="21"/>
                <w:szCs w:val="21"/>
                <w:highlight w:val="none"/>
                <w14:textFill>
                  <w14:solidFill>
                    <w14:schemeClr w14:val="tx1"/>
                  </w14:solidFill>
                </w14:textFill>
              </w:rPr>
              <w:t>景观监测</w:t>
            </w:r>
          </w:p>
        </w:tc>
        <w:tc>
          <w:tcPr>
            <w:tcW w:w="452" w:type="pct"/>
            <w:noWrap w:val="0"/>
            <w:vAlign w:val="center"/>
          </w:tcPr>
          <w:p w14:paraId="7F4DDE80">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草地</w:t>
            </w:r>
            <w:r>
              <w:rPr>
                <w:color w:val="000000" w:themeColor="text1"/>
                <w:sz w:val="21"/>
                <w:szCs w:val="21"/>
                <w:highlight w:val="none"/>
                <w14:textFill>
                  <w14:solidFill>
                    <w14:schemeClr w14:val="tx1"/>
                  </w14:solidFill>
                </w14:textFill>
              </w:rPr>
              <w:t>植被</w:t>
            </w:r>
          </w:p>
        </w:tc>
        <w:tc>
          <w:tcPr>
            <w:tcW w:w="2325" w:type="pct"/>
            <w:noWrap w:val="0"/>
            <w:vAlign w:val="center"/>
          </w:tcPr>
          <w:p w14:paraId="059E40CB">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1.调查项目：植被类型、植物的种类、组成、高度、盖度、产量</w:t>
            </w:r>
          </w:p>
          <w:p w14:paraId="4B9C8EA2">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2.调查频率：1次/年</w:t>
            </w:r>
          </w:p>
        </w:tc>
        <w:tc>
          <w:tcPr>
            <w:tcW w:w="1893" w:type="pct"/>
            <w:noWrap w:val="0"/>
            <w:vAlign w:val="center"/>
          </w:tcPr>
          <w:p w14:paraId="7E46909B">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进场道路两侧等布设3～5个调查点</w:t>
            </w:r>
          </w:p>
        </w:tc>
      </w:tr>
      <w:tr w14:paraId="23FFF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8" w:type="pct"/>
            <w:vMerge w:val="continue"/>
            <w:noWrap w:val="0"/>
            <w:vAlign w:val="center"/>
          </w:tcPr>
          <w:p w14:paraId="132A0333">
            <w:pPr>
              <w:adjustRightInd w:val="0"/>
              <w:spacing w:line="360" w:lineRule="exact"/>
              <w:ind w:firstLine="0" w:firstLineChars="0"/>
              <w:jc w:val="center"/>
              <w:rPr>
                <w:color w:val="000000" w:themeColor="text1"/>
                <w:sz w:val="21"/>
                <w:szCs w:val="21"/>
                <w:highlight w:val="none"/>
                <w14:textFill>
                  <w14:solidFill>
                    <w14:schemeClr w14:val="tx1"/>
                  </w14:solidFill>
                </w14:textFill>
              </w:rPr>
            </w:pPr>
          </w:p>
        </w:tc>
        <w:tc>
          <w:tcPr>
            <w:tcW w:w="452" w:type="pct"/>
            <w:noWrap w:val="0"/>
            <w:vAlign w:val="center"/>
          </w:tcPr>
          <w:p w14:paraId="2DD23885">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lang w:eastAsia="en-US"/>
                <w14:textFill>
                  <w14:solidFill>
                    <w14:schemeClr w14:val="tx1"/>
                  </w14:solidFill>
                </w14:textFill>
              </w:rPr>
              <w:t>生物多样性</w:t>
            </w:r>
          </w:p>
        </w:tc>
        <w:tc>
          <w:tcPr>
            <w:tcW w:w="2325" w:type="pct"/>
            <w:noWrap w:val="0"/>
            <w:vAlign w:val="center"/>
          </w:tcPr>
          <w:p w14:paraId="7E00A40A">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1.调查项目：物种数</w:t>
            </w:r>
          </w:p>
          <w:p w14:paraId="26BF7C9E">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2.调查频率：1次/年</w:t>
            </w:r>
          </w:p>
        </w:tc>
        <w:tc>
          <w:tcPr>
            <w:tcW w:w="1893" w:type="pct"/>
            <w:noWrap w:val="0"/>
            <w:vAlign w:val="center"/>
          </w:tcPr>
          <w:p w14:paraId="3B96CB6B">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lang w:eastAsia="en-US"/>
                <w14:textFill>
                  <w14:solidFill>
                    <w14:schemeClr w14:val="tx1"/>
                  </w14:solidFill>
                </w14:textFill>
              </w:rPr>
              <w:t>进场道路沿线</w:t>
            </w:r>
          </w:p>
        </w:tc>
      </w:tr>
      <w:tr w14:paraId="320BD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8" w:type="pct"/>
            <w:vMerge w:val="restart"/>
            <w:noWrap w:val="0"/>
            <w:vAlign w:val="center"/>
          </w:tcPr>
          <w:p w14:paraId="49D70013">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大气环境监测</w:t>
            </w:r>
          </w:p>
        </w:tc>
        <w:tc>
          <w:tcPr>
            <w:tcW w:w="452" w:type="pct"/>
            <w:noWrap w:val="0"/>
            <w:vAlign w:val="center"/>
          </w:tcPr>
          <w:p w14:paraId="099AE893">
            <w:pPr>
              <w:pStyle w:val="30"/>
              <w:spacing w:after="0" w:line="36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有组织废气</w:t>
            </w:r>
          </w:p>
        </w:tc>
        <w:tc>
          <w:tcPr>
            <w:tcW w:w="2325" w:type="pct"/>
            <w:noWrap w:val="0"/>
            <w:vAlign w:val="center"/>
          </w:tcPr>
          <w:p w14:paraId="6DD00F12">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1.监测项目：</w:t>
            </w:r>
            <w:r>
              <w:rPr>
                <w:rFonts w:hint="eastAsia"/>
                <w:color w:val="000000" w:themeColor="text1"/>
                <w:sz w:val="21"/>
                <w:szCs w:val="21"/>
                <w:highlight w:val="none"/>
                <w14:textFill>
                  <w14:solidFill>
                    <w14:schemeClr w14:val="tx1"/>
                  </w14:solidFill>
                </w14:textFill>
              </w:rPr>
              <w:t>PM</w:t>
            </w:r>
            <w:r>
              <w:rPr>
                <w:rFonts w:hint="eastAsia"/>
                <w:color w:val="000000" w:themeColor="text1"/>
                <w:sz w:val="21"/>
                <w:szCs w:val="21"/>
                <w:highlight w:val="none"/>
                <w:vertAlign w:val="subscript"/>
                <w14:textFill>
                  <w14:solidFill>
                    <w14:schemeClr w14:val="tx1"/>
                  </w14:solidFill>
                </w14:textFill>
              </w:rPr>
              <w:t>10</w:t>
            </w:r>
          </w:p>
          <w:p w14:paraId="56DB2BBC">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2.监测频率：每季度一次。</w:t>
            </w:r>
          </w:p>
        </w:tc>
        <w:tc>
          <w:tcPr>
            <w:tcW w:w="1893" w:type="pct"/>
            <w:noWrap w:val="0"/>
            <w:vAlign w:val="center"/>
          </w:tcPr>
          <w:p w14:paraId="255554AC">
            <w:pPr>
              <w:adjustRightInd w:val="0"/>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监测点：</w:t>
            </w:r>
            <w:r>
              <w:rPr>
                <w:rFonts w:hint="eastAsia"/>
                <w:color w:val="000000" w:themeColor="text1"/>
                <w:sz w:val="21"/>
                <w:szCs w:val="21"/>
                <w:highlight w:val="none"/>
                <w:lang w:val="en-US" w:eastAsia="zh-CN"/>
                <w14:textFill>
                  <w14:solidFill>
                    <w14:schemeClr w14:val="tx1"/>
                  </w14:solidFill>
                </w14:textFill>
              </w:rPr>
              <w:t>各排气筒监测孔</w:t>
            </w:r>
          </w:p>
        </w:tc>
      </w:tr>
      <w:tr w14:paraId="51B95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28" w:type="pct"/>
            <w:vMerge w:val="continue"/>
            <w:noWrap w:val="0"/>
            <w:vAlign w:val="center"/>
          </w:tcPr>
          <w:p w14:paraId="3597D41B">
            <w:pPr>
              <w:adjustRightInd w:val="0"/>
              <w:spacing w:line="360" w:lineRule="exact"/>
              <w:ind w:firstLine="0" w:firstLineChars="0"/>
              <w:jc w:val="center"/>
              <w:rPr>
                <w:color w:val="000000" w:themeColor="text1"/>
                <w:sz w:val="21"/>
                <w:szCs w:val="21"/>
                <w:highlight w:val="none"/>
                <w14:textFill>
                  <w14:solidFill>
                    <w14:schemeClr w14:val="tx1"/>
                  </w14:solidFill>
                </w14:textFill>
              </w:rPr>
            </w:pPr>
          </w:p>
        </w:tc>
        <w:tc>
          <w:tcPr>
            <w:tcW w:w="452" w:type="pct"/>
            <w:noWrap w:val="0"/>
            <w:vAlign w:val="center"/>
          </w:tcPr>
          <w:p w14:paraId="0161A8BE">
            <w:pPr>
              <w:pStyle w:val="30"/>
              <w:spacing w:after="0" w:line="360" w:lineRule="exact"/>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厂界</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无组织</w:t>
            </w:r>
          </w:p>
        </w:tc>
        <w:tc>
          <w:tcPr>
            <w:tcW w:w="2325" w:type="pct"/>
            <w:noWrap w:val="0"/>
            <w:vAlign w:val="center"/>
          </w:tcPr>
          <w:p w14:paraId="69CA08D4">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1.监测项目：</w:t>
            </w:r>
            <w:r>
              <w:rPr>
                <w:rFonts w:hint="eastAsia"/>
                <w:color w:val="000000" w:themeColor="text1"/>
                <w:sz w:val="21"/>
                <w:szCs w:val="21"/>
                <w:highlight w:val="none"/>
                <w14:textFill>
                  <w14:solidFill>
                    <w14:schemeClr w14:val="tx1"/>
                  </w14:solidFill>
                </w14:textFill>
              </w:rPr>
              <w:t>TSP</w:t>
            </w:r>
          </w:p>
          <w:p w14:paraId="4A138F00">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2.监测频率：每季度一次。</w:t>
            </w:r>
          </w:p>
        </w:tc>
        <w:tc>
          <w:tcPr>
            <w:tcW w:w="1893" w:type="pct"/>
            <w:noWrap w:val="0"/>
            <w:vAlign w:val="center"/>
          </w:tcPr>
          <w:p w14:paraId="63241B8E">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监测点：选矿厂</w:t>
            </w:r>
            <w:r>
              <w:rPr>
                <w:rFonts w:hint="eastAsia"/>
                <w:color w:val="000000" w:themeColor="text1"/>
                <w:sz w:val="21"/>
                <w:szCs w:val="21"/>
                <w:highlight w:val="none"/>
                <w:lang w:val="en-US" w:eastAsia="zh-CN"/>
                <w14:textFill>
                  <w14:solidFill>
                    <w14:schemeClr w14:val="tx1"/>
                  </w14:solidFill>
                </w14:textFill>
              </w:rPr>
              <w:t>和尾矿库</w:t>
            </w:r>
            <w:r>
              <w:rPr>
                <w:color w:val="000000" w:themeColor="text1"/>
                <w:sz w:val="21"/>
                <w:szCs w:val="21"/>
                <w:highlight w:val="none"/>
                <w14:textFill>
                  <w14:solidFill>
                    <w14:schemeClr w14:val="tx1"/>
                  </w14:solidFill>
                </w14:textFill>
              </w:rPr>
              <w:t>上、下风向</w:t>
            </w:r>
          </w:p>
        </w:tc>
      </w:tr>
      <w:tr w14:paraId="46EBB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81" w:type="pct"/>
            <w:gridSpan w:val="2"/>
            <w:noWrap w:val="0"/>
            <w:vAlign w:val="center"/>
          </w:tcPr>
          <w:p w14:paraId="1B17C092">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地下水环境监测</w:t>
            </w:r>
          </w:p>
        </w:tc>
        <w:tc>
          <w:tcPr>
            <w:tcW w:w="2325" w:type="pct"/>
            <w:noWrap w:val="0"/>
            <w:vAlign w:val="center"/>
          </w:tcPr>
          <w:p w14:paraId="0AD740BD">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1.监测项目：</w:t>
            </w:r>
            <w:r>
              <w:rPr>
                <w:rFonts w:hint="eastAsia"/>
                <w:color w:val="000000" w:themeColor="text1"/>
                <w:sz w:val="21"/>
                <w:szCs w:val="21"/>
                <w:highlight w:val="none"/>
                <w14:textFill>
                  <w14:solidFill>
                    <w14:schemeClr w14:val="tx1"/>
                  </w14:solidFill>
                </w14:textFill>
              </w:rPr>
              <w:t>p</w:t>
            </w:r>
            <w:r>
              <w:rPr>
                <w:color w:val="000000" w:themeColor="text1"/>
                <w:sz w:val="21"/>
                <w:szCs w:val="21"/>
                <w:highlight w:val="none"/>
                <w14:textFill>
                  <w14:solidFill>
                    <w14:schemeClr w14:val="tx1"/>
                  </w14:solidFill>
                </w14:textFill>
              </w:rPr>
              <w:t>H、</w:t>
            </w:r>
            <w:r>
              <w:rPr>
                <w:rFonts w:hint="eastAsia"/>
                <w:color w:val="000000" w:themeColor="text1"/>
                <w:sz w:val="21"/>
                <w:szCs w:val="21"/>
                <w:highlight w:val="none"/>
                <w:lang w:val="en-US" w:eastAsia="zh-CN"/>
                <w14:textFill>
                  <w14:solidFill>
                    <w14:schemeClr w14:val="tx1"/>
                  </w14:solidFill>
                </w14:textFill>
              </w:rPr>
              <w:t>砷、</w:t>
            </w:r>
            <w:r>
              <w:rPr>
                <w:color w:val="000000" w:themeColor="text1"/>
                <w:sz w:val="21"/>
                <w:szCs w:val="21"/>
                <w:highlight w:val="none"/>
                <w14:textFill>
                  <w14:solidFill>
                    <w14:schemeClr w14:val="tx1"/>
                  </w14:solidFill>
                </w14:textFill>
              </w:rPr>
              <w:t>汞、铅、铬、镉、镍等</w:t>
            </w:r>
          </w:p>
          <w:p w14:paraId="42046360">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2.监测频率：每</w:t>
            </w:r>
            <w:r>
              <w:rPr>
                <w:rFonts w:hint="eastAsia"/>
                <w:color w:val="000000" w:themeColor="text1"/>
                <w:sz w:val="21"/>
                <w:szCs w:val="21"/>
                <w:highlight w:val="none"/>
                <w:lang w:val="en-US" w:eastAsia="zh-CN"/>
                <w14:textFill>
                  <w14:solidFill>
                    <w14:schemeClr w14:val="tx1"/>
                  </w14:solidFill>
                </w14:textFill>
              </w:rPr>
              <w:t>半年</w:t>
            </w:r>
            <w:r>
              <w:rPr>
                <w:color w:val="000000" w:themeColor="text1"/>
                <w:sz w:val="21"/>
                <w:szCs w:val="21"/>
                <w:highlight w:val="none"/>
                <w14:textFill>
                  <w14:solidFill>
                    <w14:schemeClr w14:val="tx1"/>
                  </w14:solidFill>
                </w14:textFill>
              </w:rPr>
              <w:t>一次。</w:t>
            </w:r>
          </w:p>
        </w:tc>
        <w:tc>
          <w:tcPr>
            <w:tcW w:w="1893" w:type="pct"/>
            <w:noWrap w:val="0"/>
            <w:vAlign w:val="center"/>
          </w:tcPr>
          <w:p w14:paraId="6586EA3D">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环境监测点：</w:t>
            </w:r>
            <w:r>
              <w:rPr>
                <w:rFonts w:hint="eastAsia"/>
                <w:color w:val="000000" w:themeColor="text1"/>
                <w:sz w:val="21"/>
                <w:szCs w:val="21"/>
                <w:highlight w:val="none"/>
                <w:lang w:val="en-US" w:eastAsia="zh-CN"/>
                <w14:textFill>
                  <w14:solidFill>
                    <w14:schemeClr w14:val="tx1"/>
                  </w14:solidFill>
                </w14:textFill>
              </w:rPr>
              <w:t>项目区地下水</w:t>
            </w:r>
            <w:r>
              <w:rPr>
                <w:rFonts w:hint="eastAsia"/>
                <w:color w:val="000000" w:themeColor="text1"/>
                <w:sz w:val="21"/>
                <w:szCs w:val="21"/>
                <w:highlight w:val="none"/>
                <w14:textFill>
                  <w14:solidFill>
                    <w14:schemeClr w14:val="tx1"/>
                  </w14:solidFill>
                </w14:textFill>
              </w:rPr>
              <w:t>。</w:t>
            </w:r>
          </w:p>
        </w:tc>
      </w:tr>
      <w:tr w14:paraId="653D7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81" w:type="pct"/>
            <w:gridSpan w:val="2"/>
            <w:noWrap w:val="0"/>
            <w:vAlign w:val="center"/>
          </w:tcPr>
          <w:p w14:paraId="0F7DE476">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声环境质量监测</w:t>
            </w:r>
          </w:p>
        </w:tc>
        <w:tc>
          <w:tcPr>
            <w:tcW w:w="2325" w:type="pct"/>
            <w:noWrap w:val="0"/>
            <w:vAlign w:val="center"/>
          </w:tcPr>
          <w:p w14:paraId="2D7D390A">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1.监测项目：厂界噪声</w:t>
            </w:r>
          </w:p>
          <w:p w14:paraId="537F4EFD">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2.监测频率：每季度一次，昼、夜各一次</w:t>
            </w:r>
          </w:p>
        </w:tc>
        <w:tc>
          <w:tcPr>
            <w:tcW w:w="1893" w:type="pct"/>
            <w:noWrap w:val="0"/>
            <w:vAlign w:val="center"/>
          </w:tcPr>
          <w:p w14:paraId="39AFA0A0">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选矿厂</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尾矿库</w:t>
            </w:r>
            <w:r>
              <w:rPr>
                <w:color w:val="000000" w:themeColor="text1"/>
                <w:sz w:val="21"/>
                <w:szCs w:val="21"/>
                <w:highlight w:val="none"/>
                <w14:textFill>
                  <w14:solidFill>
                    <w14:schemeClr w14:val="tx1"/>
                  </w14:solidFill>
                </w14:textFill>
              </w:rPr>
              <w:t>周界各布设4个监测点；</w:t>
            </w:r>
          </w:p>
        </w:tc>
      </w:tr>
      <w:tr w14:paraId="704C4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81" w:type="pct"/>
            <w:gridSpan w:val="2"/>
            <w:noWrap w:val="0"/>
            <w:vAlign w:val="center"/>
          </w:tcPr>
          <w:p w14:paraId="5FC928F3">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土壤环境质量监测</w:t>
            </w:r>
          </w:p>
        </w:tc>
        <w:tc>
          <w:tcPr>
            <w:tcW w:w="2325" w:type="pct"/>
            <w:noWrap w:val="0"/>
            <w:vAlign w:val="center"/>
          </w:tcPr>
          <w:p w14:paraId="65F83960">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1.监测项目：</w:t>
            </w:r>
            <w:r>
              <w:rPr>
                <w:rFonts w:hint="eastAsia"/>
                <w:color w:val="000000" w:themeColor="text1"/>
                <w:sz w:val="21"/>
                <w:szCs w:val="21"/>
                <w:highlight w:val="none"/>
                <w14:textFill>
                  <w14:solidFill>
                    <w14:schemeClr w14:val="tx1"/>
                  </w14:solidFill>
                </w14:textFill>
              </w:rPr>
              <w:t>p</w:t>
            </w:r>
            <w:r>
              <w:rPr>
                <w:color w:val="000000" w:themeColor="text1"/>
                <w:sz w:val="21"/>
                <w:szCs w:val="21"/>
                <w:highlight w:val="none"/>
                <w14:textFill>
                  <w14:solidFill>
                    <w14:schemeClr w14:val="tx1"/>
                  </w14:solidFill>
                </w14:textFill>
              </w:rPr>
              <w:t>H、砷、汞，铅、铬、镉、铜、锌、镍等</w:t>
            </w:r>
          </w:p>
          <w:p w14:paraId="69AF2210">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2.监测频率：</w:t>
            </w:r>
            <w:r>
              <w:rPr>
                <w:rFonts w:hint="eastAsia"/>
                <w:color w:val="000000" w:themeColor="text1"/>
                <w:sz w:val="21"/>
                <w:szCs w:val="21"/>
                <w:highlight w:val="none"/>
                <w:lang w:val="en-US" w:eastAsia="zh-CN"/>
                <w14:textFill>
                  <w14:solidFill>
                    <w14:schemeClr w14:val="tx1"/>
                  </w14:solidFill>
                </w14:textFill>
              </w:rPr>
              <w:t>表层土1年一次，柱状土</w:t>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年一次</w:t>
            </w:r>
          </w:p>
        </w:tc>
        <w:tc>
          <w:tcPr>
            <w:tcW w:w="1893" w:type="pct"/>
            <w:noWrap w:val="0"/>
            <w:vAlign w:val="center"/>
          </w:tcPr>
          <w:p w14:paraId="75F7EC9E">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选矿厂及尾矿库附近</w:t>
            </w:r>
          </w:p>
        </w:tc>
      </w:tr>
      <w:tr w14:paraId="250CE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81" w:type="pct"/>
            <w:gridSpan w:val="2"/>
            <w:noWrap w:val="0"/>
            <w:vAlign w:val="center"/>
          </w:tcPr>
          <w:p w14:paraId="0CF5AA01">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生态恢复监管内容</w:t>
            </w:r>
          </w:p>
        </w:tc>
        <w:tc>
          <w:tcPr>
            <w:tcW w:w="2325" w:type="pct"/>
            <w:noWrap w:val="0"/>
            <w:vAlign w:val="center"/>
          </w:tcPr>
          <w:p w14:paraId="233591B3">
            <w:pPr>
              <w:adjustRightInd w:val="0"/>
              <w:spacing w:line="360" w:lineRule="exact"/>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kern w:val="24"/>
                <w:sz w:val="21"/>
                <w:szCs w:val="21"/>
                <w:highlight w:val="none"/>
                <w14:textFill>
                  <w14:solidFill>
                    <w14:schemeClr w14:val="tx1"/>
                  </w14:solidFill>
                </w14:textFill>
              </w:rPr>
              <w:t>选矿厂、尾矿库的建设导致</w:t>
            </w:r>
            <w:r>
              <w:rPr>
                <w:color w:val="000000" w:themeColor="text1"/>
                <w:kern w:val="24"/>
                <w:sz w:val="21"/>
                <w:szCs w:val="21"/>
                <w:highlight w:val="none"/>
                <w14:textFill>
                  <w14:solidFill>
                    <w14:schemeClr w14:val="tx1"/>
                  </w14:solidFill>
                </w14:textFill>
              </w:rPr>
              <w:t>原有地形地貌发生变化，破坏了</w:t>
            </w:r>
            <w:r>
              <w:rPr>
                <w:rFonts w:hint="eastAsia"/>
                <w:color w:val="000000" w:themeColor="text1"/>
                <w:kern w:val="24"/>
                <w:sz w:val="21"/>
                <w:szCs w:val="21"/>
                <w:highlight w:val="none"/>
                <w14:textFill>
                  <w14:solidFill>
                    <w14:schemeClr w14:val="tx1"/>
                  </w14:solidFill>
                </w14:textFill>
              </w:rPr>
              <w:t>项目区</w:t>
            </w:r>
            <w:r>
              <w:rPr>
                <w:color w:val="000000" w:themeColor="text1"/>
                <w:kern w:val="24"/>
                <w:sz w:val="21"/>
                <w:szCs w:val="21"/>
                <w:highlight w:val="none"/>
                <w14:textFill>
                  <w14:solidFill>
                    <w14:schemeClr w14:val="tx1"/>
                  </w14:solidFill>
                </w14:textFill>
              </w:rPr>
              <w:t>地表植被和自然景观，同时也会影响物种的多样性，破坏原有的生态系统。</w:t>
            </w:r>
          </w:p>
        </w:tc>
        <w:tc>
          <w:tcPr>
            <w:tcW w:w="1893" w:type="pct"/>
            <w:noWrap w:val="0"/>
            <w:vAlign w:val="center"/>
          </w:tcPr>
          <w:p w14:paraId="40A4327E">
            <w:pPr>
              <w:adjustRightInd w:val="0"/>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kern w:val="24"/>
                <w:sz w:val="21"/>
                <w:szCs w:val="21"/>
                <w:highlight w:val="none"/>
                <w14:textFill>
                  <w14:solidFill>
                    <w14:schemeClr w14:val="tx1"/>
                  </w14:solidFill>
                </w14:textFill>
              </w:rPr>
              <w:t>检查</w:t>
            </w:r>
            <w:r>
              <w:rPr>
                <w:rFonts w:hint="eastAsia"/>
                <w:color w:val="000000" w:themeColor="text1"/>
                <w:kern w:val="24"/>
                <w:sz w:val="21"/>
                <w:szCs w:val="21"/>
                <w:highlight w:val="none"/>
                <w:lang w:val="en-US" w:eastAsia="zh-CN"/>
                <w14:textFill>
                  <w14:solidFill>
                    <w14:schemeClr w14:val="tx1"/>
                  </w14:solidFill>
                </w14:textFill>
              </w:rPr>
              <w:t>矿</w:t>
            </w:r>
            <w:r>
              <w:rPr>
                <w:rFonts w:hint="eastAsia"/>
                <w:color w:val="000000" w:themeColor="text1"/>
                <w:kern w:val="24"/>
                <w:sz w:val="21"/>
                <w:szCs w:val="21"/>
                <w:highlight w:val="none"/>
                <w14:textFill>
                  <w14:solidFill>
                    <w14:schemeClr w14:val="tx1"/>
                  </w14:solidFill>
                </w14:textFill>
              </w:rPr>
              <w:t>区</w:t>
            </w:r>
            <w:r>
              <w:rPr>
                <w:color w:val="000000" w:themeColor="text1"/>
                <w:kern w:val="24"/>
                <w:sz w:val="21"/>
                <w:szCs w:val="21"/>
                <w:highlight w:val="none"/>
                <w14:textFill>
                  <w14:solidFill>
                    <w14:schemeClr w14:val="tx1"/>
                  </w14:solidFill>
                </w14:textFill>
              </w:rPr>
              <w:t>周围、道路两侧绿化工作计划完成进度，以及水土流失的控制情况，并根据实际情况随时修正</w:t>
            </w:r>
            <w:r>
              <w:rPr>
                <w:rFonts w:hint="eastAsia"/>
                <w:color w:val="000000" w:themeColor="text1"/>
                <w:kern w:val="24"/>
                <w:sz w:val="21"/>
                <w:szCs w:val="21"/>
                <w:highlight w:val="none"/>
                <w:lang w:val="en-US" w:eastAsia="zh-CN"/>
                <w14:textFill>
                  <w14:solidFill>
                    <w14:schemeClr w14:val="tx1"/>
                  </w14:solidFill>
                </w14:textFill>
              </w:rPr>
              <w:t>矿</w:t>
            </w:r>
            <w:r>
              <w:rPr>
                <w:rFonts w:hint="eastAsia"/>
                <w:color w:val="000000" w:themeColor="text1"/>
                <w:kern w:val="24"/>
                <w:sz w:val="21"/>
                <w:szCs w:val="21"/>
                <w:highlight w:val="none"/>
                <w14:textFill>
                  <w14:solidFill>
                    <w14:schemeClr w14:val="tx1"/>
                  </w14:solidFill>
                </w14:textFill>
              </w:rPr>
              <w:t>区</w:t>
            </w:r>
            <w:r>
              <w:rPr>
                <w:color w:val="000000" w:themeColor="text1"/>
                <w:kern w:val="24"/>
                <w:sz w:val="21"/>
                <w:szCs w:val="21"/>
                <w:highlight w:val="none"/>
                <w14:textFill>
                  <w14:solidFill>
                    <w14:schemeClr w14:val="tx1"/>
                  </w14:solidFill>
                </w14:textFill>
              </w:rPr>
              <w:t>生态恢复计划，保证各项计划落实到位。</w:t>
            </w:r>
          </w:p>
        </w:tc>
      </w:tr>
    </w:tbl>
    <w:p w14:paraId="16B9D33A">
      <w:pPr>
        <w:pStyle w:val="3"/>
        <w:rPr>
          <w:color w:val="000000" w:themeColor="text1"/>
          <w:highlight w:val="none"/>
          <w14:textFill>
            <w14:solidFill>
              <w14:schemeClr w14:val="tx1"/>
            </w14:solidFill>
          </w14:textFill>
        </w:rPr>
      </w:pPr>
      <w:bookmarkStart w:id="1097" w:name="_Toc19601"/>
      <w:bookmarkStart w:id="1098" w:name="_Toc107414680"/>
      <w:bookmarkStart w:id="1099" w:name="_Toc107413913"/>
      <w:r>
        <w:rPr>
          <w:color w:val="000000" w:themeColor="text1"/>
          <w:highlight w:val="none"/>
          <w14:textFill>
            <w14:solidFill>
              <w14:schemeClr w14:val="tx1"/>
            </w14:solidFill>
          </w14:textFill>
        </w:rPr>
        <w:t>8.4环境管理措施及环保行动计划</w:t>
      </w:r>
      <w:bookmarkEnd w:id="1097"/>
      <w:bookmarkEnd w:id="1098"/>
      <w:bookmarkEnd w:id="1099"/>
    </w:p>
    <w:p w14:paraId="205469E0">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本项目环境管理措施及环保行动计划见表8.4-1、8.4-2。</w:t>
      </w:r>
    </w:p>
    <w:p w14:paraId="051DACB3">
      <w:pPr>
        <w:ind w:firstLine="0" w:firstLineChars="0"/>
        <w:jc w:val="center"/>
        <w:rPr>
          <w:rFonts w:eastAsia="宋体"/>
          <w:b/>
          <w:color w:val="000000" w:themeColor="text1"/>
          <w:highlight w:val="none"/>
          <w14:textFill>
            <w14:solidFill>
              <w14:schemeClr w14:val="tx1"/>
            </w14:solidFill>
          </w14:textFill>
        </w:rPr>
      </w:pPr>
      <w:r>
        <w:rPr>
          <w:rFonts w:eastAsia="宋体"/>
          <w:b/>
          <w:color w:val="000000" w:themeColor="text1"/>
          <w:highlight w:val="none"/>
          <w14:textFill>
            <w14:solidFill>
              <w14:schemeClr w14:val="tx1"/>
            </w14:solidFill>
          </w14:textFill>
        </w:rPr>
        <w:t xml:space="preserve">表8.4-1    </w:t>
      </w:r>
      <w:r>
        <w:rPr>
          <w:rFonts w:hint="eastAsia" w:eastAsia="宋体"/>
          <w:b/>
          <w:color w:val="000000" w:themeColor="text1"/>
          <w:highlight w:val="none"/>
          <w14:textFill>
            <w14:solidFill>
              <w14:schemeClr w14:val="tx1"/>
            </w14:solidFill>
          </w14:textFill>
        </w:rPr>
        <w:t>运营</w:t>
      </w:r>
      <w:r>
        <w:rPr>
          <w:rFonts w:eastAsia="宋体"/>
          <w:b/>
          <w:color w:val="000000" w:themeColor="text1"/>
          <w:highlight w:val="none"/>
          <w14:textFill>
            <w14:solidFill>
              <w14:schemeClr w14:val="tx1"/>
            </w14:solidFill>
          </w14:textFill>
        </w:rPr>
        <w:t>期环境管理措施</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25"/>
        <w:gridCol w:w="1148"/>
        <w:gridCol w:w="1747"/>
      </w:tblGrid>
      <w:tr w14:paraId="5377FF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625" w:type="dxa"/>
            <w:noWrap w:val="0"/>
            <w:vAlign w:val="center"/>
          </w:tcPr>
          <w:p w14:paraId="7411AEE3">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环境监控管理措施</w:t>
            </w:r>
          </w:p>
        </w:tc>
        <w:tc>
          <w:tcPr>
            <w:tcW w:w="1148" w:type="dxa"/>
            <w:noWrap w:val="0"/>
            <w:vAlign w:val="center"/>
          </w:tcPr>
          <w:p w14:paraId="73D3E802">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实施方</w:t>
            </w:r>
          </w:p>
        </w:tc>
        <w:tc>
          <w:tcPr>
            <w:tcW w:w="1747" w:type="dxa"/>
            <w:noWrap w:val="0"/>
            <w:vAlign w:val="center"/>
          </w:tcPr>
          <w:p w14:paraId="351FA6E7">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监督管理</w:t>
            </w:r>
          </w:p>
        </w:tc>
      </w:tr>
      <w:tr w14:paraId="5E8A1B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25" w:type="dxa"/>
            <w:noWrap w:val="0"/>
            <w:vAlign w:val="center"/>
          </w:tcPr>
          <w:p w14:paraId="65A75986">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（1）废气</w:t>
            </w:r>
          </w:p>
          <w:p w14:paraId="32F90B49">
            <w:pPr>
              <w:spacing w:line="360" w:lineRule="exact"/>
              <w:ind w:firstLine="0" w:firstLineChars="0"/>
              <w:rPr>
                <w:rFonts w:hint="eastAsia"/>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①</w:t>
            </w:r>
            <w:r>
              <w:rPr>
                <w:rFonts w:hint="eastAsia" w:ascii="宋体" w:hAnsi="宋体" w:cs="宋体"/>
                <w:color w:val="000000" w:themeColor="text1"/>
                <w:sz w:val="21"/>
                <w:szCs w:val="21"/>
                <w:highlight w:val="none"/>
                <w:lang w:val="en-US" w:eastAsia="zh-CN"/>
                <w14:textFill>
                  <w14:solidFill>
                    <w14:schemeClr w14:val="tx1"/>
                  </w14:solidFill>
                </w14:textFill>
              </w:rPr>
              <w:t>破碎筛分、磁选过程产生粉尘采用</w:t>
            </w:r>
            <w:r>
              <w:rPr>
                <w:rFonts w:hint="eastAsia"/>
                <w:color w:val="000000" w:themeColor="text1"/>
                <w:sz w:val="21"/>
                <w:szCs w:val="21"/>
                <w:highlight w:val="none"/>
                <w14:textFill>
                  <w14:solidFill>
                    <w14:schemeClr w14:val="tx1"/>
                  </w14:solidFill>
                </w14:textFill>
              </w:rPr>
              <w:t>集气罩+布袋除尘器</w:t>
            </w:r>
            <w:r>
              <w:rPr>
                <w:rFonts w:hint="eastAsia"/>
                <w:color w:val="000000" w:themeColor="text1"/>
                <w:sz w:val="21"/>
                <w:szCs w:val="21"/>
                <w:highlight w:val="none"/>
                <w:lang w:val="en-US" w:eastAsia="zh-CN"/>
                <w14:textFill>
                  <w14:solidFill>
                    <w14:schemeClr w14:val="tx1"/>
                  </w14:solidFill>
                </w14:textFill>
              </w:rPr>
              <w:t>处理后通过1</w:t>
            </w:r>
            <w:r>
              <w:rPr>
                <w:rFonts w:hint="eastAsia"/>
                <w:color w:val="000000" w:themeColor="text1"/>
                <w:sz w:val="21"/>
                <w:szCs w:val="21"/>
                <w:highlight w:val="none"/>
                <w14:textFill>
                  <w14:solidFill>
                    <w14:schemeClr w14:val="tx1"/>
                  </w14:solidFill>
                </w14:textFill>
              </w:rPr>
              <w:t>5m</w:t>
            </w:r>
            <w:r>
              <w:rPr>
                <w:rFonts w:hint="eastAsia"/>
                <w:color w:val="000000" w:themeColor="text1"/>
                <w:sz w:val="21"/>
                <w:szCs w:val="21"/>
                <w:highlight w:val="none"/>
                <w:lang w:val="en-US" w:eastAsia="zh-CN"/>
                <w14:textFill>
                  <w14:solidFill>
                    <w14:schemeClr w14:val="tx1"/>
                  </w14:solidFill>
                </w14:textFill>
              </w:rPr>
              <w:t>高</w:t>
            </w:r>
            <w:r>
              <w:rPr>
                <w:rFonts w:hint="eastAsia"/>
                <w:color w:val="000000" w:themeColor="text1"/>
                <w:sz w:val="21"/>
                <w:szCs w:val="21"/>
                <w:highlight w:val="none"/>
                <w14:textFill>
                  <w14:solidFill>
                    <w14:schemeClr w14:val="tx1"/>
                  </w14:solidFill>
                </w14:textFill>
              </w:rPr>
              <w:t>排气筒</w:t>
            </w:r>
            <w:r>
              <w:rPr>
                <w:rFonts w:hint="eastAsia"/>
                <w:color w:val="000000" w:themeColor="text1"/>
                <w:sz w:val="21"/>
                <w:szCs w:val="21"/>
                <w:highlight w:val="none"/>
                <w:lang w:val="en-US" w:eastAsia="zh-CN"/>
                <w14:textFill>
                  <w14:solidFill>
                    <w14:schemeClr w14:val="tx1"/>
                  </w14:solidFill>
                </w14:textFill>
              </w:rPr>
              <w:t>排放；</w:t>
            </w:r>
          </w:p>
          <w:p w14:paraId="3464DFA8">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②</w:t>
            </w:r>
            <w:r>
              <w:rPr>
                <w:rFonts w:hint="eastAsia"/>
                <w:color w:val="000000" w:themeColor="text1"/>
                <w:sz w:val="21"/>
                <w:szCs w:val="21"/>
                <w:highlight w:val="none"/>
                <w:lang w:val="en-US" w:eastAsia="zh-CN"/>
                <w14:textFill>
                  <w14:solidFill>
                    <w14:schemeClr w14:val="tx1"/>
                  </w14:solidFill>
                </w14:textFill>
              </w:rPr>
              <w:t>破碎筛分车间、磁选车间喷雾抑尘，车间封闭设计</w:t>
            </w:r>
            <w:r>
              <w:rPr>
                <w:color w:val="000000" w:themeColor="text1"/>
                <w:sz w:val="21"/>
                <w:szCs w:val="21"/>
                <w:highlight w:val="none"/>
                <w14:textFill>
                  <w14:solidFill>
                    <w14:schemeClr w14:val="tx1"/>
                  </w14:solidFill>
                </w14:textFill>
              </w:rPr>
              <w:t>。</w:t>
            </w:r>
          </w:p>
          <w:p w14:paraId="47CFC0BC">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③</w:t>
            </w:r>
            <w:r>
              <w:rPr>
                <w:rFonts w:hint="eastAsia"/>
                <w:color w:val="000000" w:themeColor="text1"/>
                <w:sz w:val="21"/>
                <w:szCs w:val="21"/>
                <w:highlight w:val="none"/>
                <w:lang w:val="en-US" w:eastAsia="zh-CN"/>
                <w14:textFill>
                  <w14:solidFill>
                    <w14:schemeClr w14:val="tx1"/>
                  </w14:solidFill>
                </w14:textFill>
              </w:rPr>
              <w:t>物料</w:t>
            </w:r>
            <w:r>
              <w:rPr>
                <w:color w:val="000000" w:themeColor="text1"/>
                <w:sz w:val="21"/>
                <w:szCs w:val="21"/>
                <w:highlight w:val="none"/>
                <w14:textFill>
                  <w14:solidFill>
                    <w14:schemeClr w14:val="tx1"/>
                  </w14:solidFill>
                </w14:textFill>
              </w:rPr>
              <w:t>装卸过程控制落差，降低扬尘量。</w:t>
            </w:r>
          </w:p>
          <w:p w14:paraId="46332E45">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④</w:t>
            </w:r>
            <w:r>
              <w:rPr>
                <w:rFonts w:hint="eastAsia"/>
                <w:color w:val="000000" w:themeColor="text1"/>
                <w:sz w:val="21"/>
                <w:szCs w:val="21"/>
                <w:highlight w:val="none"/>
                <w:lang w:val="en-US" w:eastAsia="zh-CN"/>
                <w14:textFill>
                  <w14:solidFill>
                    <w14:schemeClr w14:val="tx1"/>
                  </w14:solidFill>
                </w14:textFill>
              </w:rPr>
              <w:t>厂区</w:t>
            </w:r>
            <w:r>
              <w:rPr>
                <w:color w:val="000000" w:themeColor="text1"/>
                <w:sz w:val="21"/>
                <w:szCs w:val="21"/>
                <w:highlight w:val="none"/>
                <w14:textFill>
                  <w14:solidFill>
                    <w14:schemeClr w14:val="tx1"/>
                  </w14:solidFill>
                </w14:textFill>
              </w:rPr>
              <w:t>道路路面</w:t>
            </w:r>
            <w:r>
              <w:rPr>
                <w:rFonts w:hint="eastAsia"/>
                <w:color w:val="000000" w:themeColor="text1"/>
                <w:sz w:val="21"/>
                <w:szCs w:val="21"/>
                <w:highlight w:val="none"/>
                <w:lang w:eastAsia="zh-CN"/>
                <w14:textFill>
                  <w14:solidFill>
                    <w14:schemeClr w14:val="tx1"/>
                  </w14:solidFill>
                </w14:textFill>
              </w:rPr>
              <w:t>做</w:t>
            </w:r>
            <w:r>
              <w:rPr>
                <w:color w:val="000000" w:themeColor="text1"/>
                <w:sz w:val="21"/>
                <w:szCs w:val="21"/>
                <w:highlight w:val="none"/>
                <w14:textFill>
                  <w14:solidFill>
                    <w14:schemeClr w14:val="tx1"/>
                  </w14:solidFill>
                </w14:textFill>
              </w:rPr>
              <w:t>硬化处理及运输道路洒水</w:t>
            </w:r>
            <w:r>
              <w:rPr>
                <w:rFonts w:hint="eastAsia"/>
                <w:color w:val="000000" w:themeColor="text1"/>
                <w:sz w:val="21"/>
                <w:szCs w:val="21"/>
                <w:highlight w:val="none"/>
                <w14:textFill>
                  <w14:solidFill>
                    <w14:schemeClr w14:val="tx1"/>
                  </w14:solidFill>
                </w14:textFill>
              </w:rPr>
              <w:t>。</w:t>
            </w:r>
          </w:p>
          <w:p w14:paraId="024A0E23">
            <w:pPr>
              <w:spacing w:line="360" w:lineRule="exact"/>
              <w:ind w:firstLine="0" w:firstLineChars="0"/>
              <w:rPr>
                <w:rFonts w:hint="default" w:eastAsia="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⑤</w:t>
            </w:r>
            <w:r>
              <w:rPr>
                <w:rFonts w:hint="eastAsia"/>
                <w:color w:val="000000" w:themeColor="text1"/>
                <w:sz w:val="21"/>
                <w:szCs w:val="21"/>
                <w:highlight w:val="none"/>
                <w:lang w:val="en-US" w:eastAsia="zh-CN"/>
                <w14:textFill>
                  <w14:solidFill>
                    <w14:schemeClr w14:val="tx1"/>
                  </w14:solidFill>
                </w14:textFill>
              </w:rPr>
              <w:t>尾矿库洒水抑尘。</w:t>
            </w:r>
          </w:p>
          <w:p w14:paraId="09849082">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⑥</w:t>
            </w:r>
            <w:r>
              <w:rPr>
                <w:color w:val="000000" w:themeColor="text1"/>
                <w:sz w:val="21"/>
                <w:szCs w:val="21"/>
                <w:highlight w:val="none"/>
                <w14:textFill>
                  <w14:solidFill>
                    <w14:schemeClr w14:val="tx1"/>
                  </w14:solidFill>
                </w14:textFill>
              </w:rPr>
              <w:t>定期进行监测</w:t>
            </w:r>
            <w:r>
              <w:rPr>
                <w:rFonts w:hint="eastAsia"/>
                <w:color w:val="000000" w:themeColor="text1"/>
                <w:sz w:val="21"/>
                <w:szCs w:val="21"/>
                <w:highlight w:val="none"/>
                <w14:textFill>
                  <w14:solidFill>
                    <w14:schemeClr w14:val="tx1"/>
                  </w14:solidFill>
                </w14:textFill>
              </w:rPr>
              <w:t>。</w:t>
            </w:r>
          </w:p>
        </w:tc>
        <w:tc>
          <w:tcPr>
            <w:tcW w:w="1148" w:type="dxa"/>
            <w:noWrap w:val="0"/>
            <w:vAlign w:val="center"/>
          </w:tcPr>
          <w:p w14:paraId="254A76E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建设单位</w:t>
            </w:r>
          </w:p>
        </w:tc>
        <w:tc>
          <w:tcPr>
            <w:tcW w:w="1747" w:type="dxa"/>
            <w:noWrap w:val="0"/>
            <w:vAlign w:val="center"/>
          </w:tcPr>
          <w:p w14:paraId="59E34B7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哈密市生态环境局</w:t>
            </w:r>
            <w:r>
              <w:rPr>
                <w:rFonts w:hint="eastAsia"/>
                <w:color w:val="000000" w:themeColor="text1"/>
                <w:sz w:val="21"/>
                <w:szCs w:val="21"/>
                <w:highlight w:val="none"/>
                <w:lang w:eastAsia="zh-CN"/>
                <w14:textFill>
                  <w14:solidFill>
                    <w14:schemeClr w14:val="tx1"/>
                  </w14:solidFill>
                </w14:textFill>
              </w:rPr>
              <w:t>伊州</w:t>
            </w:r>
            <w:r>
              <w:rPr>
                <w:color w:val="000000" w:themeColor="text1"/>
                <w:sz w:val="21"/>
                <w:szCs w:val="21"/>
                <w:highlight w:val="none"/>
                <w14:textFill>
                  <w14:solidFill>
                    <w14:schemeClr w14:val="tx1"/>
                  </w14:solidFill>
                </w14:textFill>
              </w:rPr>
              <w:t>分局</w:t>
            </w:r>
          </w:p>
        </w:tc>
      </w:tr>
      <w:tr w14:paraId="023E0E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25" w:type="dxa"/>
            <w:noWrap w:val="0"/>
            <w:vAlign w:val="center"/>
          </w:tcPr>
          <w:p w14:paraId="75BFF39C">
            <w:pPr>
              <w:spacing w:line="360" w:lineRule="exact"/>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（2）废水</w:t>
            </w:r>
          </w:p>
          <w:p w14:paraId="07458351">
            <w:pPr>
              <w:spacing w:line="360" w:lineRule="exact"/>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w:t>
            </w:r>
            <w:r>
              <w:rPr>
                <w:color w:val="000000" w:themeColor="text1"/>
                <w:sz w:val="21"/>
                <w:szCs w:val="21"/>
                <w:highlight w:val="none"/>
                <w14:textFill>
                  <w14:solidFill>
                    <w14:schemeClr w14:val="tx1"/>
                  </w14:solidFill>
                </w14:textFill>
              </w:rPr>
              <w:t>本项目生产废水</w:t>
            </w:r>
            <w:r>
              <w:rPr>
                <w:rFonts w:hint="eastAsia"/>
                <w:color w:val="000000" w:themeColor="text1"/>
                <w:sz w:val="21"/>
                <w:szCs w:val="21"/>
                <w:highlight w:val="none"/>
                <w14:textFill>
                  <w14:solidFill>
                    <w14:schemeClr w14:val="tx1"/>
                  </w14:solidFill>
                </w14:textFill>
              </w:rPr>
              <w:t>闭路循环</w:t>
            </w:r>
            <w:r>
              <w:rPr>
                <w:color w:val="000000" w:themeColor="text1"/>
                <w:sz w:val="21"/>
                <w:szCs w:val="21"/>
                <w:highlight w:val="none"/>
                <w14:textFill>
                  <w14:solidFill>
                    <w14:schemeClr w14:val="tx1"/>
                  </w14:solidFill>
                </w14:textFill>
              </w:rPr>
              <w:t>，不外排。</w:t>
            </w:r>
          </w:p>
          <w:p w14:paraId="1D3FFB00">
            <w:pPr>
              <w:spacing w:line="360" w:lineRule="exact"/>
              <w:ind w:firstLine="0" w:firstLineChars="0"/>
              <w:rPr>
                <w:color w:val="000000" w:themeColor="text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②生活污水排入地埋式一体化污水处理设施处理。</w:t>
            </w:r>
          </w:p>
        </w:tc>
        <w:tc>
          <w:tcPr>
            <w:tcW w:w="1148" w:type="dxa"/>
            <w:noWrap w:val="0"/>
            <w:vAlign w:val="center"/>
          </w:tcPr>
          <w:p w14:paraId="7AAC8C0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建设单位</w:t>
            </w:r>
          </w:p>
        </w:tc>
        <w:tc>
          <w:tcPr>
            <w:tcW w:w="1747" w:type="dxa"/>
            <w:noWrap w:val="0"/>
            <w:vAlign w:val="center"/>
          </w:tcPr>
          <w:p w14:paraId="4C96F9BD">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哈密市生态环境局</w:t>
            </w:r>
            <w:r>
              <w:rPr>
                <w:rFonts w:hint="eastAsia"/>
                <w:color w:val="000000" w:themeColor="text1"/>
                <w:sz w:val="21"/>
                <w:szCs w:val="21"/>
                <w:highlight w:val="none"/>
                <w:lang w:eastAsia="zh-CN"/>
                <w14:textFill>
                  <w14:solidFill>
                    <w14:schemeClr w14:val="tx1"/>
                  </w14:solidFill>
                </w14:textFill>
              </w:rPr>
              <w:t>伊州</w:t>
            </w:r>
            <w:r>
              <w:rPr>
                <w:color w:val="000000" w:themeColor="text1"/>
                <w:sz w:val="21"/>
                <w:szCs w:val="21"/>
                <w:highlight w:val="none"/>
                <w14:textFill>
                  <w14:solidFill>
                    <w14:schemeClr w14:val="tx1"/>
                  </w14:solidFill>
                </w14:textFill>
              </w:rPr>
              <w:t>分局</w:t>
            </w:r>
          </w:p>
        </w:tc>
      </w:tr>
      <w:tr w14:paraId="427105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25" w:type="dxa"/>
            <w:noWrap w:val="0"/>
            <w:vAlign w:val="center"/>
          </w:tcPr>
          <w:p w14:paraId="1E5AE065">
            <w:pPr>
              <w:spacing w:line="360" w:lineRule="exact"/>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（3）固体废物</w:t>
            </w:r>
          </w:p>
          <w:p w14:paraId="35102036">
            <w:pPr>
              <w:spacing w:line="360" w:lineRule="exact"/>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①一般固废合理堆放，尽量综合利用。</w:t>
            </w:r>
          </w:p>
          <w:p w14:paraId="190998EB">
            <w:pPr>
              <w:spacing w:line="360" w:lineRule="exact"/>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②生活垃圾集中收集清运。</w:t>
            </w:r>
          </w:p>
          <w:p w14:paraId="2DB9D918">
            <w:pPr>
              <w:spacing w:line="360" w:lineRule="exact"/>
              <w:ind w:firstLine="0" w:firstLineChars="0"/>
              <w:rPr>
                <w:color w:val="000000" w:themeColor="text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③危废暂存于</w:t>
            </w:r>
            <w:r>
              <w:rPr>
                <w:rFonts w:hint="eastAsia"/>
                <w:color w:val="000000" w:themeColor="text1"/>
                <w:sz w:val="21"/>
                <w:szCs w:val="21"/>
                <w:highlight w:val="none"/>
                <w:lang w:eastAsia="zh-CN"/>
                <w14:textFill>
                  <w14:solidFill>
                    <w14:schemeClr w14:val="tx1"/>
                  </w14:solidFill>
                </w14:textFill>
              </w:rPr>
              <w:t>危废贮存点</w:t>
            </w:r>
            <w:r>
              <w:rPr>
                <w:rFonts w:hint="eastAsia"/>
                <w:color w:val="000000" w:themeColor="text1"/>
                <w:sz w:val="21"/>
                <w:szCs w:val="21"/>
                <w:highlight w:val="none"/>
                <w14:textFill>
                  <w14:solidFill>
                    <w14:schemeClr w14:val="tx1"/>
                  </w14:solidFill>
                </w14:textFill>
              </w:rPr>
              <w:t>，定期委托有资质的单位处置。</w:t>
            </w:r>
          </w:p>
        </w:tc>
        <w:tc>
          <w:tcPr>
            <w:tcW w:w="1148" w:type="dxa"/>
            <w:noWrap w:val="0"/>
            <w:vAlign w:val="center"/>
          </w:tcPr>
          <w:p w14:paraId="5F055B2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建设单位</w:t>
            </w:r>
          </w:p>
        </w:tc>
        <w:tc>
          <w:tcPr>
            <w:tcW w:w="1747" w:type="dxa"/>
            <w:noWrap w:val="0"/>
            <w:vAlign w:val="center"/>
          </w:tcPr>
          <w:p w14:paraId="7BA10E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哈密市生态环境局</w:t>
            </w:r>
            <w:r>
              <w:rPr>
                <w:rFonts w:hint="eastAsia"/>
                <w:color w:val="000000" w:themeColor="text1"/>
                <w:sz w:val="21"/>
                <w:szCs w:val="21"/>
                <w:highlight w:val="none"/>
                <w:lang w:eastAsia="zh-CN"/>
                <w14:textFill>
                  <w14:solidFill>
                    <w14:schemeClr w14:val="tx1"/>
                  </w14:solidFill>
                </w14:textFill>
              </w:rPr>
              <w:t>伊州</w:t>
            </w:r>
            <w:r>
              <w:rPr>
                <w:color w:val="000000" w:themeColor="text1"/>
                <w:sz w:val="21"/>
                <w:szCs w:val="21"/>
                <w:highlight w:val="none"/>
                <w14:textFill>
                  <w14:solidFill>
                    <w14:schemeClr w14:val="tx1"/>
                  </w14:solidFill>
                </w14:textFill>
              </w:rPr>
              <w:t>分局</w:t>
            </w:r>
          </w:p>
        </w:tc>
      </w:tr>
      <w:tr w14:paraId="2932DA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25" w:type="dxa"/>
            <w:noWrap w:val="0"/>
            <w:vAlign w:val="center"/>
          </w:tcPr>
          <w:p w14:paraId="25AB2B59">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（4）噪声</w:t>
            </w:r>
          </w:p>
          <w:p w14:paraId="3C0148D6">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①</w:t>
            </w:r>
            <w:r>
              <w:rPr>
                <w:color w:val="000000" w:themeColor="text1"/>
                <w:sz w:val="21"/>
                <w:szCs w:val="21"/>
                <w:highlight w:val="none"/>
                <w14:textFill>
                  <w14:solidFill>
                    <w14:schemeClr w14:val="tx1"/>
                  </w14:solidFill>
                </w14:textFill>
              </w:rPr>
              <w:t>选用低噪声设备及必要的消声措施。</w:t>
            </w:r>
          </w:p>
          <w:p w14:paraId="3F86FE91">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②</w:t>
            </w:r>
            <w:r>
              <w:rPr>
                <w:color w:val="000000" w:themeColor="text1"/>
                <w:sz w:val="21"/>
                <w:szCs w:val="21"/>
                <w:highlight w:val="none"/>
                <w14:textFill>
                  <w14:solidFill>
                    <w14:schemeClr w14:val="tx1"/>
                  </w14:solidFill>
                </w14:textFill>
              </w:rPr>
              <w:t>保持设备良好的运营工况，及时维修检修。</w:t>
            </w:r>
          </w:p>
          <w:p w14:paraId="33A40B4A">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③</w:t>
            </w:r>
            <w:r>
              <w:rPr>
                <w:color w:val="000000" w:themeColor="text1"/>
                <w:sz w:val="21"/>
                <w:szCs w:val="21"/>
                <w:highlight w:val="none"/>
                <w14:textFill>
                  <w14:solidFill>
                    <w14:schemeClr w14:val="tx1"/>
                  </w14:solidFill>
                </w14:textFill>
              </w:rPr>
              <w:t>加强个人防护。</w:t>
            </w:r>
          </w:p>
        </w:tc>
        <w:tc>
          <w:tcPr>
            <w:tcW w:w="1148" w:type="dxa"/>
            <w:noWrap w:val="0"/>
            <w:vAlign w:val="center"/>
          </w:tcPr>
          <w:p w14:paraId="3D57573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建设单位</w:t>
            </w:r>
          </w:p>
        </w:tc>
        <w:tc>
          <w:tcPr>
            <w:tcW w:w="1747" w:type="dxa"/>
            <w:noWrap w:val="0"/>
            <w:vAlign w:val="center"/>
          </w:tcPr>
          <w:p w14:paraId="16F2D6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哈密市生态环境局</w:t>
            </w:r>
            <w:r>
              <w:rPr>
                <w:rFonts w:hint="eastAsia"/>
                <w:color w:val="000000" w:themeColor="text1"/>
                <w:sz w:val="21"/>
                <w:szCs w:val="21"/>
                <w:highlight w:val="none"/>
                <w:lang w:eastAsia="zh-CN"/>
                <w14:textFill>
                  <w14:solidFill>
                    <w14:schemeClr w14:val="tx1"/>
                  </w14:solidFill>
                </w14:textFill>
              </w:rPr>
              <w:t>伊州</w:t>
            </w:r>
            <w:r>
              <w:rPr>
                <w:color w:val="000000" w:themeColor="text1"/>
                <w:sz w:val="21"/>
                <w:szCs w:val="21"/>
                <w:highlight w:val="none"/>
                <w14:textFill>
                  <w14:solidFill>
                    <w14:schemeClr w14:val="tx1"/>
                  </w14:solidFill>
                </w14:textFill>
              </w:rPr>
              <w:t>分局</w:t>
            </w:r>
          </w:p>
        </w:tc>
      </w:tr>
      <w:tr w14:paraId="611322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7" w:hRule="atLeast"/>
          <w:jc w:val="center"/>
        </w:trPr>
        <w:tc>
          <w:tcPr>
            <w:tcW w:w="5625" w:type="dxa"/>
            <w:noWrap w:val="0"/>
            <w:vAlign w:val="center"/>
          </w:tcPr>
          <w:p w14:paraId="77A236B3">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（5）生态保护</w:t>
            </w:r>
          </w:p>
          <w:p w14:paraId="29ABBB7D">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①</w:t>
            </w:r>
            <w:r>
              <w:rPr>
                <w:color w:val="000000" w:themeColor="text1"/>
                <w:sz w:val="21"/>
                <w:szCs w:val="21"/>
                <w:highlight w:val="none"/>
                <w14:textFill>
                  <w14:solidFill>
                    <w14:schemeClr w14:val="tx1"/>
                  </w14:solidFill>
                </w14:textFill>
              </w:rPr>
              <w:t>控制地表扰动面积。</w:t>
            </w:r>
          </w:p>
          <w:p w14:paraId="6E4B75BF">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②</w:t>
            </w:r>
            <w:r>
              <w:rPr>
                <w:color w:val="000000" w:themeColor="text1"/>
                <w:sz w:val="21"/>
                <w:szCs w:val="21"/>
                <w:highlight w:val="none"/>
                <w14:textFill>
                  <w14:solidFill>
                    <w14:schemeClr w14:val="tx1"/>
                  </w14:solidFill>
                </w14:textFill>
              </w:rPr>
              <w:t>限制车辆行驶路线，减小影响范围。</w:t>
            </w:r>
          </w:p>
          <w:p w14:paraId="2B359AE5">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③</w:t>
            </w:r>
            <w:r>
              <w:rPr>
                <w:color w:val="000000" w:themeColor="text1"/>
                <w:sz w:val="21"/>
                <w:szCs w:val="21"/>
                <w:highlight w:val="none"/>
                <w14:textFill>
                  <w14:solidFill>
                    <w14:schemeClr w14:val="tx1"/>
                  </w14:solidFill>
                </w14:textFill>
              </w:rPr>
              <w:t>做好水土保持工作。</w:t>
            </w:r>
          </w:p>
          <w:p w14:paraId="6F885726">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④</w:t>
            </w:r>
            <w:r>
              <w:rPr>
                <w:rFonts w:hint="eastAsia"/>
                <w:color w:val="000000" w:themeColor="text1"/>
                <w:sz w:val="21"/>
                <w:szCs w:val="21"/>
                <w:highlight w:val="none"/>
                <w14:textFill>
                  <w14:solidFill>
                    <w14:schemeClr w14:val="tx1"/>
                  </w14:solidFill>
                </w14:textFill>
              </w:rPr>
              <w:t>退役期</w:t>
            </w:r>
            <w:r>
              <w:rPr>
                <w:color w:val="000000" w:themeColor="text1"/>
                <w:sz w:val="21"/>
                <w:szCs w:val="21"/>
                <w:highlight w:val="none"/>
                <w14:textFill>
                  <w14:solidFill>
                    <w14:schemeClr w14:val="tx1"/>
                  </w14:solidFill>
                </w14:textFill>
              </w:rPr>
              <w:t>尽快开展生态恢复建设工作。</w:t>
            </w:r>
          </w:p>
        </w:tc>
        <w:tc>
          <w:tcPr>
            <w:tcW w:w="1148" w:type="dxa"/>
            <w:noWrap w:val="0"/>
            <w:vAlign w:val="center"/>
          </w:tcPr>
          <w:p w14:paraId="7EC0DB6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建设单位</w:t>
            </w:r>
          </w:p>
        </w:tc>
        <w:tc>
          <w:tcPr>
            <w:tcW w:w="1747" w:type="dxa"/>
            <w:noWrap w:val="0"/>
            <w:vAlign w:val="center"/>
          </w:tcPr>
          <w:p w14:paraId="402414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哈密市生态环境局</w:t>
            </w:r>
            <w:r>
              <w:rPr>
                <w:rFonts w:hint="eastAsia"/>
                <w:color w:val="000000" w:themeColor="text1"/>
                <w:sz w:val="21"/>
                <w:szCs w:val="21"/>
                <w:highlight w:val="none"/>
                <w:lang w:eastAsia="zh-CN"/>
                <w14:textFill>
                  <w14:solidFill>
                    <w14:schemeClr w14:val="tx1"/>
                  </w14:solidFill>
                </w14:textFill>
              </w:rPr>
              <w:t>伊州</w:t>
            </w:r>
            <w:r>
              <w:rPr>
                <w:color w:val="000000" w:themeColor="text1"/>
                <w:sz w:val="21"/>
                <w:szCs w:val="21"/>
                <w:highlight w:val="none"/>
                <w14:textFill>
                  <w14:solidFill>
                    <w14:schemeClr w14:val="tx1"/>
                  </w14:solidFill>
                </w14:textFill>
              </w:rPr>
              <w:t>分局</w:t>
            </w:r>
          </w:p>
        </w:tc>
      </w:tr>
      <w:tr w14:paraId="76DE63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25" w:type="dxa"/>
            <w:noWrap w:val="0"/>
            <w:vAlign w:val="center"/>
          </w:tcPr>
          <w:p w14:paraId="277D4DF4">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（6）安全措施</w:t>
            </w:r>
          </w:p>
          <w:p w14:paraId="3AC918DA">
            <w:pPr>
              <w:spacing w:line="360" w:lineRule="exact"/>
              <w:ind w:firstLine="0" w:firstLineChars="0"/>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①</w:t>
            </w:r>
            <w:r>
              <w:rPr>
                <w:rFonts w:hint="eastAsia"/>
                <w:color w:val="000000" w:themeColor="text1"/>
                <w:sz w:val="21"/>
                <w:szCs w:val="21"/>
                <w:highlight w:val="none"/>
                <w14:textFill>
                  <w14:solidFill>
                    <w14:schemeClr w14:val="tx1"/>
                  </w14:solidFill>
                </w14:textFill>
              </w:rPr>
              <w:t>尾矿库周边</w:t>
            </w:r>
            <w:r>
              <w:rPr>
                <w:color w:val="000000" w:themeColor="text1"/>
                <w:sz w:val="21"/>
                <w:szCs w:val="21"/>
                <w:highlight w:val="none"/>
                <w14:textFill>
                  <w14:solidFill>
                    <w14:schemeClr w14:val="tx1"/>
                  </w14:solidFill>
                </w14:textFill>
              </w:rPr>
              <w:t>设置相应标识</w:t>
            </w:r>
            <w:r>
              <w:rPr>
                <w:rFonts w:hint="eastAsia"/>
                <w:color w:val="000000" w:themeColor="text1"/>
                <w:sz w:val="21"/>
                <w:szCs w:val="21"/>
                <w:highlight w:val="none"/>
                <w14:textFill>
                  <w14:solidFill>
                    <w14:schemeClr w14:val="tx1"/>
                  </w14:solidFill>
                </w14:textFill>
              </w:rPr>
              <w:t>（安全警示牌、铁丝围栏等）</w:t>
            </w:r>
            <w:r>
              <w:rPr>
                <w:color w:val="000000" w:themeColor="text1"/>
                <w:sz w:val="21"/>
                <w:szCs w:val="21"/>
                <w:highlight w:val="none"/>
                <w14:textFill>
                  <w14:solidFill>
                    <w14:schemeClr w14:val="tx1"/>
                  </w14:solidFill>
                </w14:textFill>
              </w:rPr>
              <w:t>，避免事故发生。</w:t>
            </w:r>
          </w:p>
        </w:tc>
        <w:tc>
          <w:tcPr>
            <w:tcW w:w="1148" w:type="dxa"/>
            <w:noWrap w:val="0"/>
            <w:vAlign w:val="center"/>
          </w:tcPr>
          <w:p w14:paraId="04D768B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建设单位</w:t>
            </w:r>
          </w:p>
        </w:tc>
        <w:tc>
          <w:tcPr>
            <w:tcW w:w="1747" w:type="dxa"/>
            <w:noWrap w:val="0"/>
            <w:vAlign w:val="center"/>
          </w:tcPr>
          <w:p w14:paraId="7C63D2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哈密市生态环境局</w:t>
            </w:r>
            <w:r>
              <w:rPr>
                <w:rFonts w:hint="eastAsia"/>
                <w:color w:val="000000" w:themeColor="text1"/>
                <w:sz w:val="21"/>
                <w:szCs w:val="21"/>
                <w:highlight w:val="none"/>
                <w:lang w:eastAsia="zh-CN"/>
                <w14:textFill>
                  <w14:solidFill>
                    <w14:schemeClr w14:val="tx1"/>
                  </w14:solidFill>
                </w14:textFill>
              </w:rPr>
              <w:t>伊州</w:t>
            </w:r>
            <w:r>
              <w:rPr>
                <w:color w:val="000000" w:themeColor="text1"/>
                <w:sz w:val="21"/>
                <w:szCs w:val="21"/>
                <w:highlight w:val="none"/>
                <w14:textFill>
                  <w14:solidFill>
                    <w14:schemeClr w14:val="tx1"/>
                  </w14:solidFill>
                </w14:textFill>
              </w:rPr>
              <w:t>分局</w:t>
            </w:r>
          </w:p>
        </w:tc>
      </w:tr>
      <w:tr w14:paraId="03489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625" w:type="dxa"/>
            <w:noWrap w:val="0"/>
            <w:vAlign w:val="center"/>
          </w:tcPr>
          <w:p w14:paraId="7146D22A">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（7）环境管理</w:t>
            </w:r>
          </w:p>
          <w:p w14:paraId="27CD3E92">
            <w:pPr>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建立环境管理，制定环境管理手段，按要求开展环境监测，完善矿区环境管理工作。</w:t>
            </w:r>
            <w:r>
              <w:rPr>
                <w:rFonts w:hint="eastAsia"/>
                <w:color w:val="000000" w:themeColor="text1"/>
                <w:sz w:val="21"/>
                <w:szCs w:val="21"/>
                <w:highlight w:val="none"/>
                <w14:textFill>
                  <w14:solidFill>
                    <w14:schemeClr w14:val="tx1"/>
                  </w14:solidFill>
                </w14:textFill>
              </w:rPr>
              <w:t>按照《</w:t>
            </w:r>
            <w:r>
              <w:rPr>
                <w:color w:val="000000" w:themeColor="text1"/>
                <w:sz w:val="21"/>
                <w:szCs w:val="21"/>
                <w:highlight w:val="none"/>
                <w14:textFill>
                  <w14:solidFill>
                    <w14:schemeClr w14:val="tx1"/>
                  </w14:solidFill>
                </w14:textFill>
              </w:rPr>
              <w:t>生态环境档案管理规范 生态环境监测</w:t>
            </w:r>
            <w:r>
              <w:rPr>
                <w:rFonts w:hint="eastAsia"/>
                <w:color w:val="000000" w:themeColor="text1"/>
                <w:sz w:val="21"/>
                <w:szCs w:val="21"/>
                <w:highlight w:val="none"/>
                <w14:textFill>
                  <w14:solidFill>
                    <w14:schemeClr w14:val="tx1"/>
                  </w14:solidFill>
                </w14:textFill>
              </w:rPr>
              <w:t>》（HJ8.2-2020）中相关要求，建立生态环境档案。</w:t>
            </w:r>
          </w:p>
        </w:tc>
        <w:tc>
          <w:tcPr>
            <w:tcW w:w="1148" w:type="dxa"/>
            <w:noWrap w:val="0"/>
            <w:vAlign w:val="center"/>
          </w:tcPr>
          <w:p w14:paraId="095B180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建设单位</w:t>
            </w:r>
          </w:p>
        </w:tc>
        <w:tc>
          <w:tcPr>
            <w:tcW w:w="1747" w:type="dxa"/>
            <w:noWrap w:val="0"/>
            <w:vAlign w:val="center"/>
          </w:tcPr>
          <w:p w14:paraId="700121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哈密市生态环境局</w:t>
            </w:r>
            <w:r>
              <w:rPr>
                <w:rFonts w:hint="eastAsia"/>
                <w:color w:val="000000" w:themeColor="text1"/>
                <w:sz w:val="21"/>
                <w:szCs w:val="21"/>
                <w:highlight w:val="none"/>
                <w:lang w:eastAsia="zh-CN"/>
                <w14:textFill>
                  <w14:solidFill>
                    <w14:schemeClr w14:val="tx1"/>
                  </w14:solidFill>
                </w14:textFill>
              </w:rPr>
              <w:t>伊州</w:t>
            </w:r>
            <w:r>
              <w:rPr>
                <w:color w:val="000000" w:themeColor="text1"/>
                <w:sz w:val="21"/>
                <w:szCs w:val="21"/>
                <w:highlight w:val="none"/>
                <w14:textFill>
                  <w14:solidFill>
                    <w14:schemeClr w14:val="tx1"/>
                  </w14:solidFill>
                </w14:textFill>
              </w:rPr>
              <w:t>分局</w:t>
            </w:r>
          </w:p>
        </w:tc>
      </w:tr>
    </w:tbl>
    <w:p w14:paraId="6314836D">
      <w:pPr>
        <w:ind w:firstLine="0" w:firstLineChars="0"/>
        <w:jc w:val="center"/>
        <w:rPr>
          <w:rFonts w:eastAsia="宋体"/>
          <w:b/>
          <w:color w:val="000000" w:themeColor="text1"/>
          <w:highlight w:val="none"/>
          <w14:textFill>
            <w14:solidFill>
              <w14:schemeClr w14:val="tx1"/>
            </w14:solidFill>
          </w14:textFill>
        </w:rPr>
      </w:pPr>
      <w:r>
        <w:rPr>
          <w:rFonts w:eastAsia="宋体"/>
          <w:b/>
          <w:color w:val="000000" w:themeColor="text1"/>
          <w:highlight w:val="none"/>
          <w14:textFill>
            <w14:solidFill>
              <w14:schemeClr w14:val="tx1"/>
            </w14:solidFill>
          </w14:textFill>
        </w:rPr>
        <w:t>表8.4-2    环保行动计划</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080"/>
        <w:gridCol w:w="4485"/>
        <w:gridCol w:w="1144"/>
        <w:gridCol w:w="962"/>
      </w:tblGrid>
      <w:tr w14:paraId="6C8BA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noWrap w:val="0"/>
            <w:vAlign w:val="center"/>
          </w:tcPr>
          <w:p w14:paraId="5EA1EC4F">
            <w:pPr>
              <w:spacing w:line="360" w:lineRule="exact"/>
              <w:ind w:firstLine="0" w:firstLineChars="0"/>
              <w:jc w:val="center"/>
              <w:rPr>
                <w:rFonts w:eastAsia="宋体"/>
                <w:b/>
                <w:bCs/>
                <w:color w:val="000000" w:themeColor="text1"/>
                <w:sz w:val="21"/>
                <w:szCs w:val="21"/>
                <w:highlight w:val="none"/>
                <w14:textFill>
                  <w14:solidFill>
                    <w14:schemeClr w14:val="tx1"/>
                  </w14:solidFill>
                </w14:textFill>
              </w:rPr>
            </w:pPr>
            <w:r>
              <w:rPr>
                <w:rFonts w:eastAsia="宋体"/>
                <w:b/>
                <w:bCs/>
                <w:color w:val="000000" w:themeColor="text1"/>
                <w:sz w:val="21"/>
                <w:szCs w:val="21"/>
                <w:highlight w:val="none"/>
                <w14:textFill>
                  <w14:solidFill>
                    <w14:schemeClr w14:val="tx1"/>
                  </w14:solidFill>
                </w14:textFill>
              </w:rPr>
              <w:t>时段</w:t>
            </w:r>
          </w:p>
        </w:tc>
        <w:tc>
          <w:tcPr>
            <w:tcW w:w="1080" w:type="dxa"/>
            <w:noWrap w:val="0"/>
            <w:vAlign w:val="center"/>
          </w:tcPr>
          <w:p w14:paraId="51E50288">
            <w:pPr>
              <w:spacing w:line="360" w:lineRule="exact"/>
              <w:ind w:firstLine="0" w:firstLineChars="0"/>
              <w:jc w:val="center"/>
              <w:rPr>
                <w:rFonts w:eastAsia="宋体"/>
                <w:b/>
                <w:bCs/>
                <w:color w:val="000000" w:themeColor="text1"/>
                <w:sz w:val="21"/>
                <w:szCs w:val="21"/>
                <w:highlight w:val="none"/>
                <w14:textFill>
                  <w14:solidFill>
                    <w14:schemeClr w14:val="tx1"/>
                  </w14:solidFill>
                </w14:textFill>
              </w:rPr>
            </w:pPr>
            <w:r>
              <w:rPr>
                <w:rFonts w:eastAsia="宋体"/>
                <w:b/>
                <w:bCs/>
                <w:color w:val="000000" w:themeColor="text1"/>
                <w:sz w:val="21"/>
                <w:szCs w:val="21"/>
                <w:highlight w:val="none"/>
                <w14:textFill>
                  <w14:solidFill>
                    <w14:schemeClr w14:val="tx1"/>
                  </w14:solidFill>
                </w14:textFill>
              </w:rPr>
              <w:t>环境问题</w:t>
            </w:r>
          </w:p>
        </w:tc>
        <w:tc>
          <w:tcPr>
            <w:tcW w:w="4485" w:type="dxa"/>
            <w:noWrap w:val="0"/>
            <w:vAlign w:val="center"/>
          </w:tcPr>
          <w:p w14:paraId="71736DD1">
            <w:pPr>
              <w:spacing w:line="360" w:lineRule="exact"/>
              <w:ind w:firstLine="0" w:firstLineChars="0"/>
              <w:jc w:val="center"/>
              <w:rPr>
                <w:rFonts w:eastAsia="宋体"/>
                <w:b/>
                <w:bCs/>
                <w:color w:val="000000" w:themeColor="text1"/>
                <w:sz w:val="21"/>
                <w:szCs w:val="21"/>
                <w:highlight w:val="none"/>
                <w14:textFill>
                  <w14:solidFill>
                    <w14:schemeClr w14:val="tx1"/>
                  </w14:solidFill>
                </w14:textFill>
              </w:rPr>
            </w:pPr>
            <w:r>
              <w:rPr>
                <w:rFonts w:eastAsia="宋体"/>
                <w:b/>
                <w:bCs/>
                <w:color w:val="000000" w:themeColor="text1"/>
                <w:sz w:val="21"/>
                <w:szCs w:val="21"/>
                <w:highlight w:val="none"/>
                <w14:textFill>
                  <w14:solidFill>
                    <w14:schemeClr w14:val="tx1"/>
                  </w14:solidFill>
                </w14:textFill>
              </w:rPr>
              <w:t>环境保护措施</w:t>
            </w:r>
          </w:p>
        </w:tc>
        <w:tc>
          <w:tcPr>
            <w:tcW w:w="1144" w:type="dxa"/>
            <w:noWrap w:val="0"/>
            <w:vAlign w:val="center"/>
          </w:tcPr>
          <w:p w14:paraId="1A700B9C">
            <w:pPr>
              <w:spacing w:line="360" w:lineRule="exact"/>
              <w:ind w:firstLine="0" w:firstLineChars="0"/>
              <w:jc w:val="center"/>
              <w:rPr>
                <w:rFonts w:eastAsia="宋体"/>
                <w:b/>
                <w:bCs/>
                <w:color w:val="000000" w:themeColor="text1"/>
                <w:sz w:val="21"/>
                <w:szCs w:val="21"/>
                <w:highlight w:val="none"/>
                <w14:textFill>
                  <w14:solidFill>
                    <w14:schemeClr w14:val="tx1"/>
                  </w14:solidFill>
                </w14:textFill>
              </w:rPr>
            </w:pPr>
            <w:r>
              <w:rPr>
                <w:rFonts w:eastAsia="宋体"/>
                <w:b/>
                <w:bCs/>
                <w:color w:val="000000" w:themeColor="text1"/>
                <w:sz w:val="21"/>
                <w:szCs w:val="21"/>
                <w:highlight w:val="none"/>
                <w14:textFill>
                  <w14:solidFill>
                    <w14:schemeClr w14:val="tx1"/>
                  </w14:solidFill>
                </w14:textFill>
              </w:rPr>
              <w:t>实施责任单位</w:t>
            </w:r>
          </w:p>
        </w:tc>
        <w:tc>
          <w:tcPr>
            <w:tcW w:w="962" w:type="dxa"/>
            <w:noWrap w:val="0"/>
            <w:vAlign w:val="center"/>
          </w:tcPr>
          <w:p w14:paraId="12AC3B39">
            <w:pPr>
              <w:spacing w:line="360" w:lineRule="exact"/>
              <w:ind w:firstLine="0" w:firstLineChars="0"/>
              <w:jc w:val="center"/>
              <w:rPr>
                <w:rFonts w:eastAsia="宋体"/>
                <w:b/>
                <w:bCs/>
                <w:color w:val="000000" w:themeColor="text1"/>
                <w:sz w:val="21"/>
                <w:szCs w:val="21"/>
                <w:highlight w:val="none"/>
                <w14:textFill>
                  <w14:solidFill>
                    <w14:schemeClr w14:val="tx1"/>
                  </w14:solidFill>
                </w14:textFill>
              </w:rPr>
            </w:pPr>
            <w:r>
              <w:rPr>
                <w:rFonts w:eastAsia="宋体"/>
                <w:b/>
                <w:bCs/>
                <w:color w:val="000000" w:themeColor="text1"/>
                <w:sz w:val="21"/>
                <w:szCs w:val="21"/>
                <w:highlight w:val="none"/>
                <w14:textFill>
                  <w14:solidFill>
                    <w14:schemeClr w14:val="tx1"/>
                  </w14:solidFill>
                </w14:textFill>
              </w:rPr>
              <w:t>监督责任单位</w:t>
            </w:r>
          </w:p>
        </w:tc>
      </w:tr>
      <w:tr w14:paraId="3A6341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noWrap w:val="0"/>
            <w:vAlign w:val="center"/>
          </w:tcPr>
          <w:p w14:paraId="68782F42">
            <w:pPr>
              <w:spacing w:line="360" w:lineRule="exact"/>
              <w:ind w:firstLine="0" w:firstLineChars="0"/>
              <w:jc w:val="center"/>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运营</w:t>
            </w:r>
            <w:r>
              <w:rPr>
                <w:rFonts w:eastAsia="宋体"/>
                <w:color w:val="000000" w:themeColor="text1"/>
                <w:sz w:val="21"/>
                <w:szCs w:val="21"/>
                <w:highlight w:val="none"/>
                <w14:textFill>
                  <w14:solidFill>
                    <w14:schemeClr w14:val="tx1"/>
                  </w14:solidFill>
                </w14:textFill>
              </w:rPr>
              <w:t>期</w:t>
            </w:r>
          </w:p>
        </w:tc>
        <w:tc>
          <w:tcPr>
            <w:tcW w:w="1080" w:type="dxa"/>
            <w:noWrap w:val="0"/>
            <w:vAlign w:val="center"/>
          </w:tcPr>
          <w:p w14:paraId="57B11336">
            <w:pPr>
              <w:spacing w:line="360" w:lineRule="exact"/>
              <w:ind w:firstLine="0" w:firstLineChars="0"/>
              <w:jc w:val="center"/>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生态保护</w:t>
            </w:r>
          </w:p>
        </w:tc>
        <w:tc>
          <w:tcPr>
            <w:tcW w:w="4485" w:type="dxa"/>
            <w:noWrap w:val="0"/>
            <w:vAlign w:val="center"/>
          </w:tcPr>
          <w:p w14:paraId="4CE210D1">
            <w:pPr>
              <w:spacing w:line="360" w:lineRule="exact"/>
              <w:ind w:firstLine="0" w:firstLineChars="0"/>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1.对进入</w:t>
            </w:r>
            <w:r>
              <w:rPr>
                <w:rFonts w:hint="eastAsia" w:eastAsia="宋体"/>
                <w:color w:val="000000" w:themeColor="text1"/>
                <w:sz w:val="21"/>
                <w:szCs w:val="21"/>
                <w:highlight w:val="none"/>
                <w:lang w:val="en-US" w:eastAsia="zh-CN"/>
                <w14:textFill>
                  <w14:solidFill>
                    <w14:schemeClr w14:val="tx1"/>
                  </w14:solidFill>
                </w14:textFill>
              </w:rPr>
              <w:t>项目</w:t>
            </w:r>
            <w:r>
              <w:rPr>
                <w:rFonts w:hint="eastAsia" w:eastAsia="宋体"/>
                <w:color w:val="000000" w:themeColor="text1"/>
                <w:sz w:val="21"/>
                <w:szCs w:val="21"/>
                <w:highlight w:val="none"/>
                <w14:textFill>
                  <w14:solidFill>
                    <w14:schemeClr w14:val="tx1"/>
                  </w14:solidFill>
                </w14:textFill>
              </w:rPr>
              <w:t>区</w:t>
            </w:r>
            <w:r>
              <w:rPr>
                <w:rFonts w:eastAsia="宋体"/>
                <w:color w:val="000000" w:themeColor="text1"/>
                <w:sz w:val="21"/>
                <w:szCs w:val="21"/>
                <w:highlight w:val="none"/>
                <w14:textFill>
                  <w14:solidFill>
                    <w14:schemeClr w14:val="tx1"/>
                  </w14:solidFill>
                </w14:textFill>
              </w:rPr>
              <w:t>的一切人员严格要求，不得随意乱扔垃圾；</w:t>
            </w:r>
          </w:p>
          <w:p w14:paraId="2389AE6B">
            <w:pPr>
              <w:spacing w:line="360" w:lineRule="exact"/>
              <w:ind w:firstLine="0" w:firstLineChars="0"/>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2.对于</w:t>
            </w:r>
            <w:r>
              <w:rPr>
                <w:rFonts w:hint="eastAsia" w:eastAsia="宋体"/>
                <w:color w:val="000000" w:themeColor="text1"/>
                <w:sz w:val="21"/>
                <w:szCs w:val="21"/>
                <w:highlight w:val="none"/>
                <w:lang w:val="en-US" w:eastAsia="zh-CN"/>
                <w14:textFill>
                  <w14:solidFill>
                    <w14:schemeClr w14:val="tx1"/>
                  </w14:solidFill>
                </w14:textFill>
              </w:rPr>
              <w:t>项目</w:t>
            </w:r>
            <w:r>
              <w:rPr>
                <w:rFonts w:eastAsia="宋体"/>
                <w:color w:val="000000" w:themeColor="text1"/>
                <w:sz w:val="21"/>
                <w:szCs w:val="21"/>
                <w:highlight w:val="none"/>
                <w14:textFill>
                  <w14:solidFill>
                    <w14:schemeClr w14:val="tx1"/>
                  </w14:solidFill>
                </w14:textFill>
              </w:rPr>
              <w:t>运营期产生的</w:t>
            </w:r>
            <w:r>
              <w:rPr>
                <w:rFonts w:hint="eastAsia" w:eastAsia="宋体"/>
                <w:color w:val="000000" w:themeColor="text1"/>
                <w:sz w:val="21"/>
                <w:szCs w:val="21"/>
                <w:highlight w:val="none"/>
                <w14:textFill>
                  <w14:solidFill>
                    <w14:schemeClr w14:val="tx1"/>
                  </w14:solidFill>
                </w14:textFill>
              </w:rPr>
              <w:t>固废</w:t>
            </w:r>
            <w:r>
              <w:rPr>
                <w:rFonts w:eastAsia="宋体"/>
                <w:color w:val="000000" w:themeColor="text1"/>
                <w:sz w:val="21"/>
                <w:szCs w:val="21"/>
                <w:highlight w:val="none"/>
                <w14:textFill>
                  <w14:solidFill>
                    <w14:schemeClr w14:val="tx1"/>
                  </w14:solidFill>
                </w14:textFill>
              </w:rPr>
              <w:t>和生活垃圾等都要进行定点处理排放，最大限度</w:t>
            </w:r>
            <w:r>
              <w:rPr>
                <w:rFonts w:hint="eastAsia"/>
                <w:color w:val="000000" w:themeColor="text1"/>
                <w:sz w:val="21"/>
                <w:szCs w:val="21"/>
                <w:highlight w:val="none"/>
                <w:lang w:eastAsia="zh-CN"/>
                <w14:textFill>
                  <w14:solidFill>
                    <w14:schemeClr w14:val="tx1"/>
                  </w14:solidFill>
                </w14:textFill>
              </w:rPr>
              <w:t>地</w:t>
            </w:r>
            <w:r>
              <w:rPr>
                <w:rFonts w:eastAsia="宋体"/>
                <w:color w:val="000000" w:themeColor="text1"/>
                <w:sz w:val="21"/>
                <w:szCs w:val="21"/>
                <w:highlight w:val="none"/>
                <w14:textFill>
                  <w14:solidFill>
                    <w14:schemeClr w14:val="tx1"/>
                  </w14:solidFill>
                </w14:textFill>
              </w:rPr>
              <w:t>保护</w:t>
            </w:r>
            <w:r>
              <w:rPr>
                <w:rFonts w:hint="eastAsia"/>
                <w:color w:val="000000" w:themeColor="text1"/>
                <w:sz w:val="21"/>
                <w:szCs w:val="21"/>
                <w:highlight w:val="none"/>
                <w:lang w:eastAsia="zh-CN"/>
                <w14:textFill>
                  <w14:solidFill>
                    <w14:schemeClr w14:val="tx1"/>
                  </w14:solidFill>
                </w14:textFill>
              </w:rPr>
              <w:t>项目区</w:t>
            </w:r>
            <w:r>
              <w:rPr>
                <w:rFonts w:eastAsia="宋体"/>
                <w:color w:val="000000" w:themeColor="text1"/>
                <w:sz w:val="21"/>
                <w:szCs w:val="21"/>
                <w:highlight w:val="none"/>
                <w14:textFill>
                  <w14:solidFill>
                    <w14:schemeClr w14:val="tx1"/>
                  </w14:solidFill>
                </w14:textFill>
              </w:rPr>
              <w:t>的周围环境；</w:t>
            </w:r>
          </w:p>
        </w:tc>
        <w:tc>
          <w:tcPr>
            <w:tcW w:w="1144" w:type="dxa"/>
            <w:noWrap w:val="0"/>
            <w:vAlign w:val="center"/>
          </w:tcPr>
          <w:p w14:paraId="2403C0E3">
            <w:pPr>
              <w:spacing w:line="360" w:lineRule="exact"/>
              <w:ind w:firstLine="0" w:firstLineChars="0"/>
              <w:jc w:val="center"/>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建设</w:t>
            </w:r>
            <w:r>
              <w:rPr>
                <w:rFonts w:hint="eastAsia" w:eastAsia="宋体"/>
                <w:color w:val="000000" w:themeColor="text1"/>
                <w:sz w:val="21"/>
                <w:szCs w:val="21"/>
                <w:highlight w:val="none"/>
                <w14:textFill>
                  <w14:solidFill>
                    <w14:schemeClr w14:val="tx1"/>
                  </w14:solidFill>
                </w14:textFill>
              </w:rPr>
              <w:t>单位</w:t>
            </w:r>
          </w:p>
        </w:tc>
        <w:tc>
          <w:tcPr>
            <w:tcW w:w="962" w:type="dxa"/>
            <w:vMerge w:val="restart"/>
            <w:noWrap w:val="0"/>
            <w:vAlign w:val="center"/>
          </w:tcPr>
          <w:p w14:paraId="645EE910">
            <w:pPr>
              <w:spacing w:line="360" w:lineRule="exact"/>
              <w:ind w:firstLine="0" w:firstLineChars="0"/>
              <w:jc w:val="center"/>
              <w:rPr>
                <w:rFonts w:eastAsia="宋体"/>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哈密市生态环境局</w:t>
            </w:r>
            <w:r>
              <w:rPr>
                <w:rFonts w:hint="eastAsia"/>
                <w:color w:val="000000" w:themeColor="text1"/>
                <w:sz w:val="21"/>
                <w:szCs w:val="21"/>
                <w:highlight w:val="none"/>
                <w:lang w:eastAsia="zh-CN"/>
                <w14:textFill>
                  <w14:solidFill>
                    <w14:schemeClr w14:val="tx1"/>
                  </w14:solidFill>
                </w14:textFill>
              </w:rPr>
              <w:t>伊州区</w:t>
            </w:r>
            <w:r>
              <w:rPr>
                <w:color w:val="000000" w:themeColor="text1"/>
                <w:sz w:val="21"/>
                <w:szCs w:val="21"/>
                <w:highlight w:val="none"/>
                <w14:textFill>
                  <w14:solidFill>
                    <w14:schemeClr w14:val="tx1"/>
                  </w14:solidFill>
                </w14:textFill>
              </w:rPr>
              <w:t>分局</w:t>
            </w:r>
          </w:p>
        </w:tc>
      </w:tr>
      <w:tr w14:paraId="2298F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noWrap w:val="0"/>
            <w:vAlign w:val="center"/>
          </w:tcPr>
          <w:p w14:paraId="29259B90">
            <w:pPr>
              <w:spacing w:line="360" w:lineRule="exact"/>
              <w:ind w:firstLine="0" w:firstLineChars="0"/>
              <w:jc w:val="center"/>
              <w:rPr>
                <w:rFonts w:eastAsia="宋体"/>
                <w:color w:val="000000" w:themeColor="text1"/>
                <w:sz w:val="21"/>
                <w:szCs w:val="21"/>
                <w:highlight w:val="none"/>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退役</w:t>
            </w:r>
            <w:r>
              <w:rPr>
                <w:rFonts w:eastAsia="宋体"/>
                <w:color w:val="000000" w:themeColor="text1"/>
                <w:sz w:val="21"/>
                <w:szCs w:val="21"/>
                <w:highlight w:val="none"/>
                <w14:textFill>
                  <w14:solidFill>
                    <w14:schemeClr w14:val="tx1"/>
                  </w14:solidFill>
                </w14:textFill>
              </w:rPr>
              <w:t>期</w:t>
            </w:r>
          </w:p>
        </w:tc>
        <w:tc>
          <w:tcPr>
            <w:tcW w:w="1080" w:type="dxa"/>
            <w:noWrap w:val="0"/>
            <w:vAlign w:val="center"/>
          </w:tcPr>
          <w:p w14:paraId="2ED90A69">
            <w:pPr>
              <w:spacing w:line="360" w:lineRule="exact"/>
              <w:ind w:firstLine="0" w:firstLineChars="0"/>
              <w:jc w:val="center"/>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生态保护</w:t>
            </w:r>
          </w:p>
        </w:tc>
        <w:tc>
          <w:tcPr>
            <w:tcW w:w="4485" w:type="dxa"/>
            <w:noWrap w:val="0"/>
            <w:vAlign w:val="center"/>
          </w:tcPr>
          <w:p w14:paraId="4365F492">
            <w:pPr>
              <w:spacing w:line="360" w:lineRule="exact"/>
              <w:ind w:firstLine="0" w:firstLineChars="0"/>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14:textFill>
                  <w14:solidFill>
                    <w14:schemeClr w14:val="tx1"/>
                  </w14:solidFill>
                </w14:textFill>
              </w:rPr>
              <w:t>选矿厂及尾矿库生态</w:t>
            </w:r>
            <w:r>
              <w:rPr>
                <w:rFonts w:eastAsia="宋体"/>
                <w:color w:val="000000" w:themeColor="text1"/>
                <w:sz w:val="21"/>
                <w:szCs w:val="21"/>
                <w:highlight w:val="none"/>
                <w14:textFill>
                  <w14:solidFill>
                    <w14:schemeClr w14:val="tx1"/>
                  </w14:solidFill>
                </w14:textFill>
              </w:rPr>
              <w:t>恢复</w:t>
            </w:r>
            <w:r>
              <w:rPr>
                <w:rFonts w:hint="eastAsia"/>
                <w:color w:val="000000" w:themeColor="text1"/>
                <w:sz w:val="21"/>
                <w:szCs w:val="21"/>
                <w:highlight w:val="none"/>
                <w:lang w:val="en-US" w:eastAsia="zh-CN"/>
                <w14:textFill>
                  <w14:solidFill>
                    <w14:schemeClr w14:val="tx1"/>
                  </w14:solidFill>
                </w14:textFill>
              </w:rPr>
              <w:t>与土地复垦</w:t>
            </w:r>
          </w:p>
        </w:tc>
        <w:tc>
          <w:tcPr>
            <w:tcW w:w="1144" w:type="dxa"/>
            <w:noWrap w:val="0"/>
            <w:vAlign w:val="center"/>
          </w:tcPr>
          <w:p w14:paraId="063DBD68">
            <w:pPr>
              <w:spacing w:line="360" w:lineRule="exact"/>
              <w:ind w:firstLine="0" w:firstLineChars="0"/>
              <w:jc w:val="center"/>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建设</w:t>
            </w:r>
            <w:r>
              <w:rPr>
                <w:rFonts w:hint="eastAsia" w:eastAsia="宋体"/>
                <w:color w:val="000000" w:themeColor="text1"/>
                <w:sz w:val="21"/>
                <w:szCs w:val="21"/>
                <w:highlight w:val="none"/>
                <w14:textFill>
                  <w14:solidFill>
                    <w14:schemeClr w14:val="tx1"/>
                  </w14:solidFill>
                </w14:textFill>
              </w:rPr>
              <w:t>单位</w:t>
            </w:r>
          </w:p>
        </w:tc>
        <w:tc>
          <w:tcPr>
            <w:tcW w:w="962" w:type="dxa"/>
            <w:vMerge w:val="continue"/>
            <w:noWrap w:val="0"/>
            <w:vAlign w:val="center"/>
          </w:tcPr>
          <w:p w14:paraId="2E6C431B">
            <w:pPr>
              <w:spacing w:line="360" w:lineRule="exact"/>
              <w:ind w:firstLine="0" w:firstLineChars="0"/>
              <w:jc w:val="center"/>
              <w:rPr>
                <w:rFonts w:eastAsia="宋体"/>
                <w:color w:val="000000" w:themeColor="text1"/>
                <w:sz w:val="21"/>
                <w:szCs w:val="21"/>
                <w:highlight w:val="none"/>
                <w14:textFill>
                  <w14:solidFill>
                    <w14:schemeClr w14:val="tx1"/>
                  </w14:solidFill>
                </w14:textFill>
              </w:rPr>
            </w:pPr>
          </w:p>
        </w:tc>
      </w:tr>
    </w:tbl>
    <w:p w14:paraId="16FB03D5">
      <w:pPr>
        <w:pStyle w:val="3"/>
        <w:rPr>
          <w:color w:val="000000" w:themeColor="text1"/>
          <w:highlight w:val="none"/>
          <w14:textFill>
            <w14:solidFill>
              <w14:schemeClr w14:val="tx1"/>
            </w14:solidFill>
          </w14:textFill>
        </w:rPr>
      </w:pPr>
      <w:bookmarkStart w:id="1100" w:name="_Toc107414681"/>
      <w:bookmarkStart w:id="1101" w:name="_Toc107413914"/>
      <w:bookmarkStart w:id="1102" w:name="_Toc7881"/>
      <w:r>
        <w:rPr>
          <w:color w:val="000000" w:themeColor="text1"/>
          <w:highlight w:val="none"/>
          <w14:textFill>
            <w14:solidFill>
              <w14:schemeClr w14:val="tx1"/>
            </w14:solidFill>
          </w14:textFill>
        </w:rPr>
        <w:t>8.5环境保护竣工验收计划</w:t>
      </w:r>
      <w:bookmarkEnd w:id="1100"/>
      <w:bookmarkEnd w:id="1101"/>
      <w:bookmarkEnd w:id="1102"/>
    </w:p>
    <w:p w14:paraId="28CC72FA">
      <w:pPr>
        <w:overflowPunct w:val="0"/>
        <w:topLinePunct/>
        <w:ind w:firstLine="480"/>
        <w:rPr>
          <w:rFonts w:eastAsia="宋体"/>
          <w:color w:val="000000" w:themeColor="text1"/>
          <w:szCs w:val="21"/>
          <w:highlight w:val="none"/>
          <w14:textFill>
            <w14:solidFill>
              <w14:schemeClr w14:val="tx1"/>
            </w14:solidFill>
          </w14:textFill>
        </w:rPr>
      </w:pPr>
      <w:r>
        <w:rPr>
          <w:rFonts w:hint="eastAsia" w:eastAsia="宋体"/>
          <w:color w:val="000000" w:themeColor="text1"/>
          <w:szCs w:val="21"/>
          <w:highlight w:val="none"/>
          <w14:textFill>
            <w14:solidFill>
              <w14:schemeClr w14:val="tx1"/>
            </w14:solidFill>
          </w14:textFill>
        </w:rPr>
        <w:t>“</w:t>
      </w:r>
      <w:r>
        <w:rPr>
          <w:rFonts w:eastAsia="宋体"/>
          <w:color w:val="000000" w:themeColor="text1"/>
          <w:szCs w:val="21"/>
          <w:highlight w:val="none"/>
          <w14:textFill>
            <w14:solidFill>
              <w14:schemeClr w14:val="tx1"/>
            </w14:solidFill>
          </w14:textFill>
        </w:rPr>
        <w:t>三同时</w:t>
      </w:r>
      <w:r>
        <w:rPr>
          <w:rFonts w:hint="eastAsia" w:eastAsia="宋体"/>
          <w:color w:val="000000" w:themeColor="text1"/>
          <w:szCs w:val="21"/>
          <w:highlight w:val="none"/>
          <w14:textFill>
            <w14:solidFill>
              <w14:schemeClr w14:val="tx1"/>
            </w14:solidFill>
          </w14:textFill>
        </w:rPr>
        <w:t>”</w:t>
      </w:r>
      <w:r>
        <w:rPr>
          <w:rFonts w:eastAsia="宋体"/>
          <w:color w:val="000000" w:themeColor="text1"/>
          <w:szCs w:val="21"/>
          <w:highlight w:val="none"/>
          <w14:textFill>
            <w14:solidFill>
              <w14:schemeClr w14:val="tx1"/>
            </w14:solidFill>
          </w14:textFill>
        </w:rPr>
        <w:t>验收针对本项目环保设施进行验收，验收内容见表8.5-1。</w:t>
      </w:r>
    </w:p>
    <w:p w14:paraId="5BC0A8A3">
      <w:pPr>
        <w:ind w:firstLine="0" w:firstLineChars="0"/>
        <w:jc w:val="center"/>
        <w:rPr>
          <w:rFonts w:eastAsia="宋体"/>
          <w:b/>
          <w:color w:val="000000" w:themeColor="text1"/>
          <w:highlight w:val="none"/>
          <w14:textFill>
            <w14:solidFill>
              <w14:schemeClr w14:val="tx1"/>
            </w14:solidFill>
          </w14:textFill>
        </w:rPr>
      </w:pPr>
      <w:r>
        <w:rPr>
          <w:rFonts w:eastAsia="宋体"/>
          <w:b/>
          <w:color w:val="000000" w:themeColor="text1"/>
          <w:highlight w:val="none"/>
          <w14:textFill>
            <w14:solidFill>
              <w14:schemeClr w14:val="tx1"/>
            </w14:solidFill>
          </w14:textFill>
        </w:rPr>
        <w:t>表8.5-1    环境保护</w:t>
      </w:r>
      <w:r>
        <w:rPr>
          <w:rFonts w:hint="eastAsia" w:eastAsia="宋体"/>
          <w:b/>
          <w:color w:val="000000" w:themeColor="text1"/>
          <w:highlight w:val="none"/>
          <w14:textFill>
            <w14:solidFill>
              <w14:schemeClr w14:val="tx1"/>
            </w14:solidFill>
          </w14:textFill>
        </w:rPr>
        <w:t>“</w:t>
      </w:r>
      <w:r>
        <w:rPr>
          <w:rFonts w:eastAsia="宋体"/>
          <w:b/>
          <w:color w:val="000000" w:themeColor="text1"/>
          <w:highlight w:val="none"/>
          <w14:textFill>
            <w14:solidFill>
              <w14:schemeClr w14:val="tx1"/>
            </w14:solidFill>
          </w14:textFill>
        </w:rPr>
        <w:t>三同时</w:t>
      </w:r>
      <w:r>
        <w:rPr>
          <w:rFonts w:hint="eastAsia" w:eastAsia="宋体"/>
          <w:b/>
          <w:color w:val="000000" w:themeColor="text1"/>
          <w:highlight w:val="none"/>
          <w14:textFill>
            <w14:solidFill>
              <w14:schemeClr w14:val="tx1"/>
            </w14:solidFill>
          </w14:textFill>
        </w:rPr>
        <w:t>”</w:t>
      </w:r>
      <w:r>
        <w:rPr>
          <w:rFonts w:eastAsia="宋体"/>
          <w:b/>
          <w:color w:val="000000" w:themeColor="text1"/>
          <w:highlight w:val="none"/>
          <w14:textFill>
            <w14:solidFill>
              <w14:schemeClr w14:val="tx1"/>
            </w14:solidFill>
          </w14:textFill>
        </w:rPr>
        <w:t>验收一览表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92"/>
        <w:gridCol w:w="1474"/>
        <w:gridCol w:w="1589"/>
        <w:gridCol w:w="527"/>
        <w:gridCol w:w="999"/>
        <w:gridCol w:w="2911"/>
      </w:tblGrid>
      <w:tr w14:paraId="44337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0" w:type="pct"/>
            <w:tcBorders>
              <w:tl2br w:val="nil"/>
              <w:tr2bl w:val="nil"/>
            </w:tcBorders>
            <w:noWrap w:val="0"/>
            <w:vAlign w:val="center"/>
          </w:tcPr>
          <w:p w14:paraId="04AADE82">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工段</w:t>
            </w:r>
          </w:p>
        </w:tc>
        <w:tc>
          <w:tcPr>
            <w:tcW w:w="348" w:type="pct"/>
            <w:tcBorders>
              <w:tl2br w:val="nil"/>
              <w:tr2bl w:val="nil"/>
            </w:tcBorders>
            <w:noWrap w:val="0"/>
            <w:vAlign w:val="center"/>
          </w:tcPr>
          <w:p w14:paraId="46F62F4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类别</w:t>
            </w:r>
          </w:p>
        </w:tc>
        <w:tc>
          <w:tcPr>
            <w:tcW w:w="863" w:type="pct"/>
            <w:tcBorders>
              <w:tl2br w:val="nil"/>
              <w:tr2bl w:val="nil"/>
            </w:tcBorders>
            <w:noWrap w:val="0"/>
            <w:vAlign w:val="center"/>
          </w:tcPr>
          <w:p w14:paraId="5C27510B">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污染源</w:t>
            </w:r>
          </w:p>
        </w:tc>
        <w:tc>
          <w:tcPr>
            <w:tcW w:w="932" w:type="pct"/>
            <w:tcBorders>
              <w:tl2br w:val="nil"/>
              <w:tr2bl w:val="nil"/>
            </w:tcBorders>
            <w:noWrap w:val="0"/>
            <w:vAlign w:val="center"/>
          </w:tcPr>
          <w:p w14:paraId="04DD86FD">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环保设施</w:t>
            </w:r>
          </w:p>
        </w:tc>
        <w:tc>
          <w:tcPr>
            <w:tcW w:w="309" w:type="pct"/>
            <w:tcBorders>
              <w:tl2br w:val="nil"/>
              <w:tr2bl w:val="nil"/>
            </w:tcBorders>
            <w:noWrap w:val="0"/>
            <w:vAlign w:val="center"/>
          </w:tcPr>
          <w:p w14:paraId="0357C9AE">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数量</w:t>
            </w:r>
          </w:p>
        </w:tc>
        <w:tc>
          <w:tcPr>
            <w:tcW w:w="586" w:type="pct"/>
            <w:tcBorders>
              <w:tl2br w:val="nil"/>
              <w:tr2bl w:val="nil"/>
            </w:tcBorders>
            <w:noWrap w:val="0"/>
            <w:vAlign w:val="center"/>
          </w:tcPr>
          <w:p w14:paraId="7BC5EFE2">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治理对象</w:t>
            </w:r>
          </w:p>
        </w:tc>
        <w:tc>
          <w:tcPr>
            <w:tcW w:w="1708" w:type="pct"/>
            <w:tcBorders>
              <w:tl2br w:val="nil"/>
              <w:tr2bl w:val="nil"/>
            </w:tcBorders>
            <w:noWrap w:val="0"/>
            <w:vAlign w:val="center"/>
          </w:tcPr>
          <w:p w14:paraId="28EDCCDC">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效果及要求</w:t>
            </w:r>
          </w:p>
        </w:tc>
      </w:tr>
      <w:tr w14:paraId="4041C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restart"/>
            <w:tcBorders>
              <w:tl2br w:val="nil"/>
              <w:tr2bl w:val="nil"/>
            </w:tcBorders>
            <w:noWrap w:val="0"/>
            <w:vAlign w:val="center"/>
          </w:tcPr>
          <w:p w14:paraId="4E0C86F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运营期</w:t>
            </w:r>
          </w:p>
        </w:tc>
        <w:tc>
          <w:tcPr>
            <w:tcW w:w="348" w:type="pct"/>
            <w:vMerge w:val="restart"/>
            <w:tcBorders>
              <w:tl2br w:val="nil"/>
              <w:tr2bl w:val="nil"/>
            </w:tcBorders>
            <w:noWrap w:val="0"/>
            <w:vAlign w:val="center"/>
          </w:tcPr>
          <w:p w14:paraId="207964DF">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废气</w:t>
            </w:r>
          </w:p>
        </w:tc>
        <w:tc>
          <w:tcPr>
            <w:tcW w:w="863" w:type="pct"/>
            <w:tcBorders>
              <w:tl2br w:val="nil"/>
              <w:tr2bl w:val="nil"/>
            </w:tcBorders>
            <w:noWrap w:val="0"/>
            <w:vAlign w:val="center"/>
          </w:tcPr>
          <w:p w14:paraId="5B5768A8">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破碎筛分工序</w:t>
            </w:r>
            <w:r>
              <w:rPr>
                <w:rFonts w:hint="eastAsia"/>
                <w:color w:val="000000" w:themeColor="text1"/>
                <w:sz w:val="21"/>
                <w:szCs w:val="21"/>
                <w:highlight w:val="none"/>
                <w14:textFill>
                  <w14:solidFill>
                    <w14:schemeClr w14:val="tx1"/>
                  </w14:solidFill>
                </w14:textFill>
              </w:rPr>
              <w:t>排气筒（</w:t>
            </w:r>
            <w:r>
              <w:rPr>
                <w:rFonts w:hint="eastAsia"/>
                <w:color w:val="000000" w:themeColor="text1"/>
                <w:sz w:val="21"/>
                <w:szCs w:val="21"/>
                <w:highlight w:val="none"/>
                <w:lang w:val="en-US" w:eastAsia="zh-CN"/>
                <w14:textFill>
                  <w14:solidFill>
                    <w14:schemeClr w14:val="tx1"/>
                  </w14:solidFill>
                </w14:textFill>
              </w:rPr>
              <w:t>DA001</w:t>
            </w:r>
            <w:r>
              <w:rPr>
                <w:rFonts w:hint="eastAsia"/>
                <w:color w:val="000000" w:themeColor="text1"/>
                <w:sz w:val="21"/>
                <w:szCs w:val="21"/>
                <w:highlight w:val="none"/>
                <w14:textFill>
                  <w14:solidFill>
                    <w14:schemeClr w14:val="tx1"/>
                  </w14:solidFill>
                </w14:textFill>
              </w:rPr>
              <w:t>）</w:t>
            </w:r>
          </w:p>
        </w:tc>
        <w:tc>
          <w:tcPr>
            <w:tcW w:w="932" w:type="pct"/>
            <w:tcBorders>
              <w:tl2br w:val="nil"/>
              <w:tr2bl w:val="nil"/>
            </w:tcBorders>
            <w:noWrap w:val="0"/>
            <w:vAlign w:val="center"/>
          </w:tcPr>
          <w:p w14:paraId="1AC1C96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集气罩+布袋除尘器+</w:t>
            </w: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5m排气筒</w:t>
            </w:r>
          </w:p>
        </w:tc>
        <w:tc>
          <w:tcPr>
            <w:tcW w:w="309" w:type="pct"/>
            <w:tcBorders>
              <w:tl2br w:val="nil"/>
              <w:tr2bl w:val="nil"/>
            </w:tcBorders>
            <w:noWrap w:val="0"/>
            <w:vAlign w:val="center"/>
          </w:tcPr>
          <w:p w14:paraId="583DF25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套</w:t>
            </w:r>
          </w:p>
        </w:tc>
        <w:tc>
          <w:tcPr>
            <w:tcW w:w="586" w:type="pct"/>
            <w:tcBorders>
              <w:tl2br w:val="nil"/>
              <w:tr2bl w:val="nil"/>
            </w:tcBorders>
            <w:noWrap w:val="0"/>
            <w:vAlign w:val="center"/>
          </w:tcPr>
          <w:p w14:paraId="1A6EFC1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粉尘</w:t>
            </w:r>
          </w:p>
        </w:tc>
        <w:tc>
          <w:tcPr>
            <w:tcW w:w="1708" w:type="pct"/>
            <w:vMerge w:val="restart"/>
            <w:tcBorders>
              <w:tl2br w:val="nil"/>
              <w:tr2bl w:val="nil"/>
            </w:tcBorders>
            <w:noWrap w:val="0"/>
            <w:vAlign w:val="center"/>
          </w:tcPr>
          <w:p w14:paraId="4C291FB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《铁矿采选工业污染物排放标准》（GB28661-2012）</w:t>
            </w:r>
          </w:p>
        </w:tc>
      </w:tr>
      <w:tr w14:paraId="73C0F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49AD3BE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719739BE">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674F4A84">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bidi="ar"/>
                <w14:textFill>
                  <w14:solidFill>
                    <w14:schemeClr w14:val="tx1"/>
                  </w14:solidFill>
                </w14:textFill>
              </w:rPr>
              <w:t>磁选</w:t>
            </w: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工序</w:t>
            </w:r>
            <w:r>
              <w:rPr>
                <w:rFonts w:hint="eastAsia"/>
                <w:color w:val="000000" w:themeColor="text1"/>
                <w:sz w:val="21"/>
                <w:szCs w:val="21"/>
                <w:highlight w:val="none"/>
                <w14:textFill>
                  <w14:solidFill>
                    <w14:schemeClr w14:val="tx1"/>
                  </w14:solidFill>
                </w14:textFill>
              </w:rPr>
              <w:t>排气筒（</w:t>
            </w:r>
            <w:r>
              <w:rPr>
                <w:rFonts w:hint="eastAsia"/>
                <w:color w:val="000000" w:themeColor="text1"/>
                <w:sz w:val="21"/>
                <w:szCs w:val="21"/>
                <w:highlight w:val="none"/>
                <w:lang w:val="en-US" w:eastAsia="zh-CN"/>
                <w14:textFill>
                  <w14:solidFill>
                    <w14:schemeClr w14:val="tx1"/>
                  </w14:solidFill>
                </w14:textFill>
              </w:rPr>
              <w:t>DA00</w:t>
            </w:r>
            <w:r>
              <w:rPr>
                <w:rFonts w:hint="eastAsia"/>
                <w:color w:val="000000" w:themeColor="text1"/>
                <w:sz w:val="21"/>
                <w:szCs w:val="21"/>
                <w:highlight w:val="none"/>
                <w14:textFill>
                  <w14:solidFill>
                    <w14:schemeClr w14:val="tx1"/>
                  </w14:solidFill>
                </w14:textFill>
              </w:rPr>
              <w:t>2）</w:t>
            </w:r>
          </w:p>
        </w:tc>
        <w:tc>
          <w:tcPr>
            <w:tcW w:w="932" w:type="pct"/>
            <w:tcBorders>
              <w:tl2br w:val="nil"/>
              <w:tr2bl w:val="nil"/>
            </w:tcBorders>
            <w:noWrap w:val="0"/>
            <w:vAlign w:val="center"/>
          </w:tcPr>
          <w:p w14:paraId="100FDF3C">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集气罩+布袋除尘器+</w:t>
            </w: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5m排气筒</w:t>
            </w:r>
          </w:p>
        </w:tc>
        <w:tc>
          <w:tcPr>
            <w:tcW w:w="309" w:type="pct"/>
            <w:tcBorders>
              <w:tl2br w:val="nil"/>
              <w:tr2bl w:val="nil"/>
            </w:tcBorders>
            <w:noWrap w:val="0"/>
            <w:vAlign w:val="center"/>
          </w:tcPr>
          <w:p w14:paraId="7627BC19">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套</w:t>
            </w:r>
          </w:p>
        </w:tc>
        <w:tc>
          <w:tcPr>
            <w:tcW w:w="586" w:type="pct"/>
            <w:tcBorders>
              <w:tl2br w:val="nil"/>
              <w:tr2bl w:val="nil"/>
            </w:tcBorders>
            <w:noWrap w:val="0"/>
            <w:vAlign w:val="center"/>
          </w:tcPr>
          <w:p w14:paraId="6661B3D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粉尘</w:t>
            </w:r>
          </w:p>
        </w:tc>
        <w:tc>
          <w:tcPr>
            <w:tcW w:w="1708" w:type="pct"/>
            <w:vMerge w:val="continue"/>
            <w:tcBorders>
              <w:tl2br w:val="nil"/>
              <w:tr2bl w:val="nil"/>
            </w:tcBorders>
            <w:noWrap w:val="0"/>
            <w:vAlign w:val="center"/>
          </w:tcPr>
          <w:p w14:paraId="32B39179">
            <w:pPr>
              <w:spacing w:line="360" w:lineRule="exact"/>
              <w:ind w:firstLine="0" w:firstLineChars="0"/>
              <w:jc w:val="center"/>
              <w:rPr>
                <w:color w:val="000000" w:themeColor="text1"/>
                <w:sz w:val="21"/>
                <w:szCs w:val="21"/>
                <w:highlight w:val="none"/>
                <w14:textFill>
                  <w14:solidFill>
                    <w14:schemeClr w14:val="tx1"/>
                  </w14:solidFill>
                </w14:textFill>
              </w:rPr>
            </w:pPr>
          </w:p>
        </w:tc>
      </w:tr>
      <w:tr w14:paraId="73A7F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2925E20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5BC99A59">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1478DF9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运输扬尘</w:t>
            </w:r>
          </w:p>
        </w:tc>
        <w:tc>
          <w:tcPr>
            <w:tcW w:w="932" w:type="pct"/>
            <w:tcBorders>
              <w:tl2br w:val="nil"/>
              <w:tr2bl w:val="nil"/>
            </w:tcBorders>
            <w:noWrap w:val="0"/>
            <w:vAlign w:val="center"/>
          </w:tcPr>
          <w:p w14:paraId="3EB7F641">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洒水降尘</w:t>
            </w:r>
          </w:p>
        </w:tc>
        <w:tc>
          <w:tcPr>
            <w:tcW w:w="309" w:type="pct"/>
            <w:tcBorders>
              <w:tl2br w:val="nil"/>
              <w:tr2bl w:val="nil"/>
            </w:tcBorders>
            <w:noWrap w:val="0"/>
            <w:vAlign w:val="center"/>
          </w:tcPr>
          <w:p w14:paraId="79D69338">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86" w:type="pct"/>
            <w:tcBorders>
              <w:tl2br w:val="nil"/>
              <w:tr2bl w:val="nil"/>
            </w:tcBorders>
            <w:noWrap w:val="0"/>
            <w:vAlign w:val="center"/>
          </w:tcPr>
          <w:p w14:paraId="748C3F6A">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运输扬尘</w:t>
            </w:r>
          </w:p>
        </w:tc>
        <w:tc>
          <w:tcPr>
            <w:tcW w:w="1708" w:type="pct"/>
            <w:vMerge w:val="restart"/>
            <w:tcBorders>
              <w:tl2br w:val="nil"/>
              <w:tr2bl w:val="nil"/>
            </w:tcBorders>
            <w:noWrap w:val="0"/>
            <w:vAlign w:val="center"/>
          </w:tcPr>
          <w:p w14:paraId="4266A99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《铁矿采选工业污染物排放标准》（GB28661-2012）</w:t>
            </w:r>
          </w:p>
        </w:tc>
      </w:tr>
      <w:tr w14:paraId="40E9C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452D36BE">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01DC2462">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000F2D24">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破碎筛分车间、磁选车间</w:t>
            </w:r>
          </w:p>
        </w:tc>
        <w:tc>
          <w:tcPr>
            <w:tcW w:w="932" w:type="pct"/>
            <w:tcBorders>
              <w:tl2br w:val="nil"/>
              <w:tr2bl w:val="nil"/>
            </w:tcBorders>
            <w:noWrap w:val="0"/>
            <w:vAlign w:val="center"/>
          </w:tcPr>
          <w:p w14:paraId="3FD26FC2">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密闭设计</w:t>
            </w:r>
          </w:p>
        </w:tc>
        <w:tc>
          <w:tcPr>
            <w:tcW w:w="309" w:type="pct"/>
            <w:tcBorders>
              <w:tl2br w:val="nil"/>
              <w:tr2bl w:val="nil"/>
            </w:tcBorders>
            <w:noWrap w:val="0"/>
            <w:vAlign w:val="center"/>
          </w:tcPr>
          <w:p w14:paraId="42A8045E">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86" w:type="pct"/>
            <w:tcBorders>
              <w:tl2br w:val="nil"/>
              <w:tr2bl w:val="nil"/>
            </w:tcBorders>
            <w:noWrap w:val="0"/>
            <w:vAlign w:val="center"/>
          </w:tcPr>
          <w:p w14:paraId="42ECB08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无组织粉尘</w:t>
            </w:r>
          </w:p>
        </w:tc>
        <w:tc>
          <w:tcPr>
            <w:tcW w:w="1708" w:type="pct"/>
            <w:vMerge w:val="continue"/>
            <w:tcBorders>
              <w:tl2br w:val="nil"/>
              <w:tr2bl w:val="nil"/>
            </w:tcBorders>
            <w:noWrap w:val="0"/>
            <w:vAlign w:val="center"/>
          </w:tcPr>
          <w:p w14:paraId="490D7F51">
            <w:pPr>
              <w:spacing w:line="360" w:lineRule="exact"/>
              <w:ind w:firstLine="0" w:firstLineChars="0"/>
              <w:jc w:val="center"/>
              <w:rPr>
                <w:color w:val="000000" w:themeColor="text1"/>
                <w:sz w:val="21"/>
                <w:szCs w:val="21"/>
                <w:highlight w:val="none"/>
                <w14:textFill>
                  <w14:solidFill>
                    <w14:schemeClr w14:val="tx1"/>
                  </w14:solidFill>
                </w14:textFill>
              </w:rPr>
            </w:pPr>
          </w:p>
        </w:tc>
      </w:tr>
      <w:tr w14:paraId="3DC82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765D21E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5D41DE97">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6523B7D9">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尾矿库</w:t>
            </w:r>
            <w:r>
              <w:rPr>
                <w:rFonts w:hint="eastAsia"/>
                <w:color w:val="000000" w:themeColor="text1"/>
                <w:sz w:val="21"/>
                <w:szCs w:val="21"/>
                <w:highlight w:val="none"/>
                <w:lang w:val="en-US" w:eastAsia="zh-CN"/>
                <w14:textFill>
                  <w14:solidFill>
                    <w14:schemeClr w14:val="tx1"/>
                  </w14:solidFill>
                </w14:textFill>
              </w:rPr>
              <w:t>扬尘</w:t>
            </w:r>
          </w:p>
        </w:tc>
        <w:tc>
          <w:tcPr>
            <w:tcW w:w="932" w:type="pct"/>
            <w:tcBorders>
              <w:tl2br w:val="nil"/>
              <w:tr2bl w:val="nil"/>
            </w:tcBorders>
            <w:noWrap w:val="0"/>
            <w:vAlign w:val="center"/>
          </w:tcPr>
          <w:p w14:paraId="403D61A5">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半封闭、洒水抑尘等</w:t>
            </w:r>
          </w:p>
        </w:tc>
        <w:tc>
          <w:tcPr>
            <w:tcW w:w="309" w:type="pct"/>
            <w:tcBorders>
              <w:tl2br w:val="nil"/>
              <w:tr2bl w:val="nil"/>
            </w:tcBorders>
            <w:noWrap w:val="0"/>
            <w:vAlign w:val="center"/>
          </w:tcPr>
          <w:p w14:paraId="5064A90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86" w:type="pct"/>
            <w:tcBorders>
              <w:tl2br w:val="nil"/>
              <w:tr2bl w:val="nil"/>
            </w:tcBorders>
            <w:noWrap w:val="0"/>
            <w:vAlign w:val="center"/>
          </w:tcPr>
          <w:p w14:paraId="76F7D764">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无组织扬尘</w:t>
            </w:r>
          </w:p>
        </w:tc>
        <w:tc>
          <w:tcPr>
            <w:tcW w:w="1708" w:type="pct"/>
            <w:vMerge w:val="continue"/>
            <w:tcBorders>
              <w:tl2br w:val="nil"/>
              <w:tr2bl w:val="nil"/>
            </w:tcBorders>
            <w:noWrap w:val="0"/>
            <w:vAlign w:val="center"/>
          </w:tcPr>
          <w:p w14:paraId="662A6769">
            <w:pPr>
              <w:spacing w:line="360" w:lineRule="exact"/>
              <w:ind w:firstLine="0" w:firstLineChars="0"/>
              <w:jc w:val="center"/>
              <w:rPr>
                <w:color w:val="000000" w:themeColor="text1"/>
                <w:sz w:val="21"/>
                <w:szCs w:val="21"/>
                <w:highlight w:val="none"/>
                <w14:textFill>
                  <w14:solidFill>
                    <w14:schemeClr w14:val="tx1"/>
                  </w14:solidFill>
                </w14:textFill>
              </w:rPr>
            </w:pPr>
          </w:p>
        </w:tc>
      </w:tr>
      <w:tr w14:paraId="42971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1EFF6A6E">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505B5197">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6FD47A68">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原矿仓、精矿库</w:t>
            </w:r>
          </w:p>
        </w:tc>
        <w:tc>
          <w:tcPr>
            <w:tcW w:w="932" w:type="pct"/>
            <w:tcBorders>
              <w:tl2br w:val="nil"/>
              <w:tr2bl w:val="nil"/>
            </w:tcBorders>
            <w:noWrap w:val="0"/>
            <w:vAlign w:val="center"/>
          </w:tcPr>
          <w:p w14:paraId="24F12CCF">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密闭设计</w:t>
            </w:r>
          </w:p>
        </w:tc>
        <w:tc>
          <w:tcPr>
            <w:tcW w:w="309" w:type="pct"/>
            <w:tcBorders>
              <w:tl2br w:val="nil"/>
              <w:tr2bl w:val="nil"/>
            </w:tcBorders>
            <w:noWrap w:val="0"/>
            <w:vAlign w:val="center"/>
          </w:tcPr>
          <w:p w14:paraId="5C7ADE4F">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86" w:type="pct"/>
            <w:tcBorders>
              <w:tl2br w:val="nil"/>
              <w:tr2bl w:val="nil"/>
            </w:tcBorders>
            <w:noWrap w:val="0"/>
            <w:vAlign w:val="center"/>
          </w:tcPr>
          <w:p w14:paraId="7E72D92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无组织粉尘</w:t>
            </w:r>
          </w:p>
        </w:tc>
        <w:tc>
          <w:tcPr>
            <w:tcW w:w="1708" w:type="pct"/>
            <w:vMerge w:val="continue"/>
            <w:tcBorders>
              <w:tl2br w:val="nil"/>
              <w:tr2bl w:val="nil"/>
            </w:tcBorders>
            <w:noWrap w:val="0"/>
            <w:vAlign w:val="center"/>
          </w:tcPr>
          <w:p w14:paraId="655B631F">
            <w:pPr>
              <w:spacing w:line="360" w:lineRule="exact"/>
              <w:ind w:firstLine="0" w:firstLineChars="0"/>
              <w:jc w:val="center"/>
              <w:rPr>
                <w:color w:val="000000" w:themeColor="text1"/>
                <w:sz w:val="21"/>
                <w:szCs w:val="21"/>
                <w:highlight w:val="none"/>
                <w14:textFill>
                  <w14:solidFill>
                    <w14:schemeClr w14:val="tx1"/>
                  </w14:solidFill>
                </w14:textFill>
              </w:rPr>
            </w:pPr>
          </w:p>
        </w:tc>
      </w:tr>
      <w:tr w14:paraId="582D6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2952DF8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restart"/>
            <w:tcBorders>
              <w:tl2br w:val="nil"/>
              <w:tr2bl w:val="nil"/>
            </w:tcBorders>
            <w:noWrap w:val="0"/>
            <w:vAlign w:val="center"/>
          </w:tcPr>
          <w:p w14:paraId="1AB5FC1B">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w:t>
            </w:r>
          </w:p>
        </w:tc>
        <w:tc>
          <w:tcPr>
            <w:tcW w:w="863" w:type="pct"/>
            <w:tcBorders>
              <w:tl2br w:val="nil"/>
              <w:tr2bl w:val="nil"/>
            </w:tcBorders>
            <w:noWrap w:val="0"/>
            <w:vAlign w:val="center"/>
          </w:tcPr>
          <w:p w14:paraId="3A382A13">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选矿废水</w:t>
            </w:r>
          </w:p>
        </w:tc>
        <w:tc>
          <w:tcPr>
            <w:tcW w:w="932" w:type="pct"/>
            <w:tcBorders>
              <w:tl2br w:val="nil"/>
              <w:tr2bl w:val="nil"/>
            </w:tcBorders>
            <w:noWrap w:val="0"/>
            <w:vAlign w:val="center"/>
          </w:tcPr>
          <w:p w14:paraId="336E7D5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闭路循环</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不外排</w:t>
            </w:r>
          </w:p>
        </w:tc>
        <w:tc>
          <w:tcPr>
            <w:tcW w:w="309" w:type="pct"/>
            <w:tcBorders>
              <w:tl2br w:val="nil"/>
              <w:tr2bl w:val="nil"/>
            </w:tcBorders>
            <w:noWrap w:val="0"/>
            <w:vAlign w:val="center"/>
          </w:tcPr>
          <w:p w14:paraId="5CFDAFEE">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86" w:type="pct"/>
            <w:tcBorders>
              <w:tl2br w:val="nil"/>
              <w:tr2bl w:val="nil"/>
            </w:tcBorders>
            <w:noWrap w:val="0"/>
            <w:vAlign w:val="center"/>
          </w:tcPr>
          <w:p w14:paraId="64F8FE9B">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废水</w:t>
            </w:r>
          </w:p>
        </w:tc>
        <w:tc>
          <w:tcPr>
            <w:tcW w:w="1708" w:type="pct"/>
            <w:tcBorders>
              <w:tl2br w:val="nil"/>
              <w:tr2bl w:val="nil"/>
            </w:tcBorders>
            <w:noWrap w:val="0"/>
            <w:vAlign w:val="center"/>
          </w:tcPr>
          <w:p w14:paraId="0192B10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408C0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2C55678C">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4BF5DA5F">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2971E5C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生活污水</w:t>
            </w:r>
          </w:p>
        </w:tc>
        <w:tc>
          <w:tcPr>
            <w:tcW w:w="932" w:type="pct"/>
            <w:tcBorders>
              <w:tl2br w:val="nil"/>
              <w:tr2bl w:val="nil"/>
            </w:tcBorders>
            <w:noWrap w:val="0"/>
            <w:vAlign w:val="center"/>
          </w:tcPr>
          <w:p w14:paraId="518FF3B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地埋式一体化污水处理设施</w:t>
            </w:r>
          </w:p>
        </w:tc>
        <w:tc>
          <w:tcPr>
            <w:tcW w:w="309" w:type="pct"/>
            <w:tcBorders>
              <w:tl2br w:val="nil"/>
              <w:tr2bl w:val="nil"/>
            </w:tcBorders>
            <w:noWrap w:val="0"/>
            <w:vAlign w:val="center"/>
          </w:tcPr>
          <w:p w14:paraId="68694A47">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1套</w:t>
            </w:r>
          </w:p>
        </w:tc>
        <w:tc>
          <w:tcPr>
            <w:tcW w:w="586" w:type="pct"/>
            <w:tcBorders>
              <w:tl2br w:val="nil"/>
              <w:tr2bl w:val="nil"/>
            </w:tcBorders>
            <w:noWrap w:val="0"/>
            <w:vAlign w:val="center"/>
          </w:tcPr>
          <w:p w14:paraId="1D29E5D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w:t>
            </w:r>
          </w:p>
        </w:tc>
        <w:tc>
          <w:tcPr>
            <w:tcW w:w="1708" w:type="pct"/>
            <w:tcBorders>
              <w:tl2br w:val="nil"/>
              <w:tr2bl w:val="nil"/>
            </w:tcBorders>
            <w:noWrap w:val="0"/>
            <w:vAlign w:val="center"/>
          </w:tcPr>
          <w:p w14:paraId="05C3F20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生活污水经地埋式一体化污水处理设施处理</w:t>
            </w:r>
            <w:r>
              <w:rPr>
                <w:rFonts w:hint="eastAsia"/>
                <w:color w:val="000000" w:themeColor="text1"/>
                <w:sz w:val="21"/>
                <w:szCs w:val="21"/>
                <w:highlight w:val="none"/>
                <w14:textFill>
                  <w14:solidFill>
                    <w14:schemeClr w14:val="tx1"/>
                  </w14:solidFill>
                </w14:textFill>
              </w:rPr>
              <w:t>达到《农村生活污水处理排放标准》（DB65 4275-2019）表2规定的A级排放限值以及《城市污水再生利用 城市杂用水水质》（GB/T18920-2020）中的城市绿化、道路清扫、消防、建筑施工限值后用于选矿生产工序循环利用及绿化，不外排。</w:t>
            </w:r>
          </w:p>
        </w:tc>
      </w:tr>
      <w:tr w14:paraId="1C01E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7CE0661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tcBorders>
              <w:tl2br w:val="nil"/>
              <w:tr2bl w:val="nil"/>
            </w:tcBorders>
            <w:noWrap w:val="0"/>
            <w:vAlign w:val="center"/>
          </w:tcPr>
          <w:p w14:paraId="2D88C794">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w:t>
            </w:r>
          </w:p>
        </w:tc>
        <w:tc>
          <w:tcPr>
            <w:tcW w:w="863" w:type="pct"/>
            <w:tcBorders>
              <w:tl2br w:val="nil"/>
              <w:tr2bl w:val="nil"/>
            </w:tcBorders>
            <w:noWrap w:val="0"/>
            <w:vAlign w:val="center"/>
          </w:tcPr>
          <w:p w14:paraId="309056C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破碎</w:t>
            </w:r>
            <w:r>
              <w:rPr>
                <w:rFonts w:hint="eastAsia"/>
                <w:bCs/>
                <w:color w:val="000000" w:themeColor="text1"/>
                <w:sz w:val="21"/>
                <w:szCs w:val="21"/>
                <w:highlight w:val="none"/>
                <w14:textFill>
                  <w14:solidFill>
                    <w14:schemeClr w14:val="tx1"/>
                  </w14:solidFill>
                </w14:textFill>
              </w:rPr>
              <w:t>机</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筛分机、</w:t>
            </w:r>
            <w:r>
              <w:rPr>
                <w:rFonts w:hint="eastAsia"/>
                <w:bCs/>
                <w:color w:val="000000" w:themeColor="text1"/>
                <w:sz w:val="21"/>
                <w:szCs w:val="21"/>
                <w:highlight w:val="none"/>
                <w:lang w:val="en-US" w:eastAsia="zh-CN"/>
                <w14:textFill>
                  <w14:solidFill>
                    <w14:schemeClr w14:val="tx1"/>
                  </w14:solidFill>
                </w14:textFill>
              </w:rPr>
              <w:t>球磨机</w:t>
            </w:r>
            <w:r>
              <w:rPr>
                <w:color w:val="000000" w:themeColor="text1"/>
                <w:sz w:val="21"/>
                <w:szCs w:val="21"/>
                <w:highlight w:val="none"/>
                <w14:textFill>
                  <w14:solidFill>
                    <w14:schemeClr w14:val="tx1"/>
                  </w14:solidFill>
                </w14:textFill>
              </w:rPr>
              <w:t>等</w:t>
            </w:r>
          </w:p>
        </w:tc>
        <w:tc>
          <w:tcPr>
            <w:tcW w:w="932" w:type="pct"/>
            <w:tcBorders>
              <w:tl2br w:val="nil"/>
              <w:tr2bl w:val="nil"/>
            </w:tcBorders>
            <w:noWrap w:val="0"/>
            <w:vAlign w:val="center"/>
          </w:tcPr>
          <w:p w14:paraId="6A5F4F21">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置于室内隔声，出口安装消声器、基础减振，室内隔声</w:t>
            </w:r>
          </w:p>
        </w:tc>
        <w:tc>
          <w:tcPr>
            <w:tcW w:w="309" w:type="pct"/>
            <w:tcBorders>
              <w:tl2br w:val="nil"/>
              <w:tr2bl w:val="nil"/>
            </w:tcBorders>
            <w:noWrap w:val="0"/>
            <w:vAlign w:val="center"/>
          </w:tcPr>
          <w:p w14:paraId="37E05227">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586" w:type="pct"/>
            <w:tcBorders>
              <w:tl2br w:val="nil"/>
              <w:tr2bl w:val="nil"/>
            </w:tcBorders>
            <w:noWrap w:val="0"/>
            <w:vAlign w:val="center"/>
          </w:tcPr>
          <w:p w14:paraId="432BFB2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w:t>
            </w:r>
          </w:p>
        </w:tc>
        <w:tc>
          <w:tcPr>
            <w:tcW w:w="1708" w:type="pct"/>
            <w:tcBorders>
              <w:tl2br w:val="nil"/>
              <w:tr2bl w:val="nil"/>
            </w:tcBorders>
            <w:noWrap w:val="0"/>
            <w:vAlign w:val="center"/>
          </w:tcPr>
          <w:p w14:paraId="20E594BA">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厂界噪声达到《工业企业厂界环境噪声排放标准》</w:t>
            </w:r>
            <w:r>
              <w:rPr>
                <w:color w:val="000000" w:themeColor="text1"/>
                <w:sz w:val="21"/>
                <w:szCs w:val="21"/>
                <w:highlight w:val="none"/>
                <w:lang w:val="zh-CN"/>
                <w14:textFill>
                  <w14:solidFill>
                    <w14:schemeClr w14:val="tx1"/>
                  </w14:solidFill>
                </w14:textFill>
              </w:rPr>
              <w:t>（GB12348-2008）</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类标准</w:t>
            </w:r>
            <w:r>
              <w:rPr>
                <w:rFonts w:hint="eastAsia"/>
                <w:color w:val="000000" w:themeColor="text1"/>
                <w:sz w:val="21"/>
                <w:szCs w:val="21"/>
                <w:highlight w:val="none"/>
                <w:lang w:eastAsia="zh-CN"/>
                <w14:textFill>
                  <w14:solidFill>
                    <w14:schemeClr w14:val="tx1"/>
                  </w14:solidFill>
                </w14:textFill>
              </w:rPr>
              <w:t>。</w:t>
            </w:r>
          </w:p>
        </w:tc>
      </w:tr>
      <w:tr w14:paraId="066AB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154D296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restart"/>
            <w:tcBorders>
              <w:tl2br w:val="nil"/>
              <w:tr2bl w:val="nil"/>
            </w:tcBorders>
            <w:noWrap w:val="0"/>
            <w:vAlign w:val="center"/>
          </w:tcPr>
          <w:p w14:paraId="52074C9D">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固体废物</w:t>
            </w:r>
          </w:p>
        </w:tc>
        <w:tc>
          <w:tcPr>
            <w:tcW w:w="863" w:type="pct"/>
            <w:tcBorders>
              <w:tl2br w:val="nil"/>
              <w:tr2bl w:val="nil"/>
            </w:tcBorders>
            <w:noWrap w:val="0"/>
            <w:vAlign w:val="center"/>
          </w:tcPr>
          <w:p w14:paraId="5815A69A">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尾矿砂</w:t>
            </w:r>
          </w:p>
        </w:tc>
        <w:tc>
          <w:tcPr>
            <w:tcW w:w="932" w:type="pct"/>
            <w:tcBorders>
              <w:tl2br w:val="nil"/>
              <w:tr2bl w:val="nil"/>
            </w:tcBorders>
            <w:noWrap w:val="0"/>
            <w:vAlign w:val="center"/>
          </w:tcPr>
          <w:p w14:paraId="6E8FAF8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尾矿库</w:t>
            </w:r>
          </w:p>
        </w:tc>
        <w:tc>
          <w:tcPr>
            <w:tcW w:w="309" w:type="pct"/>
            <w:tcBorders>
              <w:tl2br w:val="nil"/>
              <w:tr2bl w:val="nil"/>
            </w:tcBorders>
            <w:noWrap w:val="0"/>
            <w:vAlign w:val="center"/>
          </w:tcPr>
          <w:p w14:paraId="6DBFEAB6">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86" w:type="pct"/>
            <w:tcBorders>
              <w:tl2br w:val="nil"/>
              <w:tr2bl w:val="nil"/>
            </w:tcBorders>
            <w:noWrap w:val="0"/>
            <w:vAlign w:val="center"/>
          </w:tcPr>
          <w:p w14:paraId="00421FE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一般工业固废</w:t>
            </w:r>
          </w:p>
        </w:tc>
        <w:tc>
          <w:tcPr>
            <w:tcW w:w="1708" w:type="pct"/>
            <w:tcBorders>
              <w:tl2br w:val="nil"/>
              <w:tr2bl w:val="nil"/>
            </w:tcBorders>
            <w:noWrap w:val="0"/>
            <w:vAlign w:val="center"/>
          </w:tcPr>
          <w:p w14:paraId="77D63935">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尾矿</w:t>
            </w:r>
            <w:r>
              <w:rPr>
                <w:rFonts w:hint="eastAsia"/>
                <w:color w:val="000000" w:themeColor="text1"/>
                <w:sz w:val="21"/>
                <w:szCs w:val="21"/>
                <w:highlight w:val="none"/>
                <w14:textFill>
                  <w14:solidFill>
                    <w14:schemeClr w14:val="tx1"/>
                  </w14:solidFill>
                </w14:textFill>
              </w:rPr>
              <w:t>砂</w:t>
            </w:r>
            <w:r>
              <w:rPr>
                <w:color w:val="000000" w:themeColor="text1"/>
                <w:sz w:val="21"/>
                <w:szCs w:val="21"/>
                <w:highlight w:val="none"/>
                <w14:textFill>
                  <w14:solidFill>
                    <w14:schemeClr w14:val="tx1"/>
                  </w14:solidFill>
                </w14:textFill>
              </w:rPr>
              <w:t>堆积于尾矿库</w:t>
            </w:r>
            <w:r>
              <w:rPr>
                <w:rFonts w:hint="eastAsia"/>
                <w:color w:val="000000" w:themeColor="text1"/>
                <w:sz w:val="21"/>
                <w:szCs w:val="21"/>
                <w:highlight w:val="none"/>
                <w14:textFill>
                  <w14:solidFill>
                    <w14:schemeClr w14:val="tx1"/>
                  </w14:solidFill>
                </w14:textFill>
              </w:rPr>
              <w:t>，满足</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一般工业固体废物贮存和填埋污染控制标准》</w:t>
            </w:r>
            <w:r>
              <w:rPr>
                <w:color w:val="000000" w:themeColor="text1"/>
                <w:sz w:val="21"/>
                <w:szCs w:val="21"/>
                <w:highlight w:val="none"/>
                <w14:textFill>
                  <w14:solidFill>
                    <w14:schemeClr w14:val="tx1"/>
                  </w14:solidFill>
                </w14:textFill>
              </w:rPr>
              <w:t>（GB18599-</w:t>
            </w:r>
            <w:r>
              <w:rPr>
                <w:rFonts w:hint="eastAsia"/>
                <w:color w:val="000000" w:themeColor="text1"/>
                <w:sz w:val="21"/>
                <w:szCs w:val="21"/>
                <w:highlight w:val="none"/>
                <w14:textFill>
                  <w14:solidFill>
                    <w14:schemeClr w14:val="tx1"/>
                  </w14:solidFill>
                </w14:textFill>
              </w:rPr>
              <w:t>2020</w:t>
            </w:r>
            <w:r>
              <w:rPr>
                <w:color w:val="000000" w:themeColor="text1"/>
                <w:sz w:val="21"/>
                <w:szCs w:val="21"/>
                <w:highlight w:val="none"/>
                <w14:textFill>
                  <w14:solidFill>
                    <w14:schemeClr w14:val="tx1"/>
                  </w14:solidFill>
                </w14:textFill>
              </w:rPr>
              <w:t>）中的固体废物执行标准</w:t>
            </w:r>
            <w:r>
              <w:rPr>
                <w:rFonts w:hint="eastAsia"/>
                <w:color w:val="000000" w:themeColor="text1"/>
                <w:sz w:val="21"/>
                <w:szCs w:val="21"/>
                <w:highlight w:val="none"/>
                <w:lang w:eastAsia="zh-CN"/>
                <w14:textFill>
                  <w14:solidFill>
                    <w14:schemeClr w14:val="tx1"/>
                  </w14:solidFill>
                </w14:textFill>
              </w:rPr>
              <w:t>。</w:t>
            </w:r>
          </w:p>
        </w:tc>
      </w:tr>
      <w:tr w14:paraId="6A0F7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3436091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4199CA0C">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3855F38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生活垃圾</w:t>
            </w:r>
          </w:p>
        </w:tc>
        <w:tc>
          <w:tcPr>
            <w:tcW w:w="932" w:type="pct"/>
            <w:tcBorders>
              <w:tl2br w:val="nil"/>
              <w:tr2bl w:val="nil"/>
            </w:tcBorders>
            <w:noWrap w:val="0"/>
            <w:vAlign w:val="center"/>
          </w:tcPr>
          <w:p w14:paraId="1B69A810">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生活垃圾桶</w:t>
            </w:r>
          </w:p>
        </w:tc>
        <w:tc>
          <w:tcPr>
            <w:tcW w:w="309" w:type="pct"/>
            <w:tcBorders>
              <w:tl2br w:val="nil"/>
              <w:tr2bl w:val="nil"/>
            </w:tcBorders>
            <w:noWrap w:val="0"/>
            <w:vAlign w:val="center"/>
          </w:tcPr>
          <w:p w14:paraId="78E74C7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1套</w:t>
            </w:r>
          </w:p>
        </w:tc>
        <w:tc>
          <w:tcPr>
            <w:tcW w:w="586" w:type="pct"/>
            <w:tcBorders>
              <w:tl2br w:val="nil"/>
              <w:tr2bl w:val="nil"/>
            </w:tcBorders>
            <w:noWrap w:val="0"/>
            <w:vAlign w:val="center"/>
          </w:tcPr>
          <w:p w14:paraId="5BFEFE3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生活垃圾</w:t>
            </w:r>
          </w:p>
        </w:tc>
        <w:tc>
          <w:tcPr>
            <w:tcW w:w="1708" w:type="pct"/>
            <w:tcBorders>
              <w:tl2br w:val="nil"/>
              <w:tr2bl w:val="nil"/>
            </w:tcBorders>
            <w:noWrap w:val="0"/>
            <w:vAlign w:val="center"/>
          </w:tcPr>
          <w:p w14:paraId="4324530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生活垃圾集中收集后定期清运。</w:t>
            </w:r>
          </w:p>
        </w:tc>
      </w:tr>
      <w:tr w14:paraId="06492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192970B3">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01DCC363">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vMerge w:val="restart"/>
            <w:tcBorders>
              <w:tl2br w:val="nil"/>
              <w:tr2bl w:val="nil"/>
            </w:tcBorders>
            <w:noWrap w:val="0"/>
            <w:vAlign w:val="center"/>
          </w:tcPr>
          <w:p w14:paraId="294BC96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废机油</w:t>
            </w:r>
            <w:r>
              <w:rPr>
                <w:rFonts w:hint="eastAsia"/>
                <w:color w:val="000000" w:themeColor="text1"/>
                <w:sz w:val="21"/>
                <w:szCs w:val="21"/>
                <w:highlight w:val="none"/>
                <w14:textFill>
                  <w14:solidFill>
                    <w14:schemeClr w14:val="tx1"/>
                  </w14:solidFill>
                </w14:textFill>
              </w:rPr>
              <w:t>及油桶</w:t>
            </w:r>
          </w:p>
        </w:tc>
        <w:tc>
          <w:tcPr>
            <w:tcW w:w="932" w:type="pct"/>
            <w:vMerge w:val="restart"/>
            <w:tcBorders>
              <w:tl2br w:val="nil"/>
              <w:tr2bl w:val="nil"/>
            </w:tcBorders>
            <w:noWrap w:val="0"/>
            <w:vAlign w:val="center"/>
          </w:tcPr>
          <w:p w14:paraId="5B1C6ADD">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危废贮存点</w:t>
            </w:r>
          </w:p>
        </w:tc>
        <w:tc>
          <w:tcPr>
            <w:tcW w:w="309" w:type="pct"/>
            <w:tcBorders>
              <w:tl2br w:val="nil"/>
              <w:tr2bl w:val="nil"/>
            </w:tcBorders>
            <w:noWrap w:val="0"/>
            <w:vAlign w:val="center"/>
          </w:tcPr>
          <w:p w14:paraId="01E2BFED">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86" w:type="pct"/>
            <w:vMerge w:val="restart"/>
            <w:tcBorders>
              <w:tl2br w:val="nil"/>
              <w:tr2bl w:val="nil"/>
            </w:tcBorders>
            <w:noWrap w:val="0"/>
            <w:vAlign w:val="center"/>
          </w:tcPr>
          <w:p w14:paraId="0F80BBE0">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危险废物</w:t>
            </w:r>
          </w:p>
        </w:tc>
        <w:tc>
          <w:tcPr>
            <w:tcW w:w="1708" w:type="pct"/>
            <w:vMerge w:val="restart"/>
            <w:tcBorders>
              <w:tl2br w:val="nil"/>
              <w:tr2bl w:val="nil"/>
            </w:tcBorders>
            <w:noWrap w:val="0"/>
            <w:vAlign w:val="center"/>
          </w:tcPr>
          <w:p w14:paraId="10AD73EF">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临时贮存于</w:t>
            </w:r>
            <w:r>
              <w:rPr>
                <w:rFonts w:hint="eastAsia"/>
                <w:color w:val="000000" w:themeColor="text1"/>
                <w:sz w:val="21"/>
                <w:szCs w:val="21"/>
                <w:highlight w:val="none"/>
                <w:lang w:eastAsia="zh-CN"/>
                <w14:textFill>
                  <w14:solidFill>
                    <w14:schemeClr w14:val="tx1"/>
                  </w14:solidFill>
                </w14:textFill>
              </w:rPr>
              <w:t>危废贮存点</w:t>
            </w:r>
            <w:r>
              <w:rPr>
                <w:color w:val="000000" w:themeColor="text1"/>
                <w:sz w:val="21"/>
                <w:szCs w:val="21"/>
                <w:highlight w:val="none"/>
                <w14:textFill>
                  <w14:solidFill>
                    <w14:schemeClr w14:val="tx1"/>
                  </w14:solidFill>
                </w14:textFill>
              </w:rPr>
              <w:t>，定期交由有资质单位处置</w:t>
            </w:r>
            <w:r>
              <w:rPr>
                <w:rFonts w:hint="eastAsia"/>
                <w:color w:val="000000" w:themeColor="text1"/>
                <w:sz w:val="21"/>
                <w:szCs w:val="21"/>
                <w:highlight w:val="none"/>
                <w:lang w:eastAsia="zh-CN"/>
                <w14:textFill>
                  <w14:solidFill>
                    <w14:schemeClr w14:val="tx1"/>
                  </w14:solidFill>
                </w14:textFill>
              </w:rPr>
              <w:t>。</w:t>
            </w:r>
          </w:p>
        </w:tc>
      </w:tr>
      <w:tr w14:paraId="4973B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6DB0D77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7F1353E0">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vMerge w:val="continue"/>
            <w:tcBorders>
              <w:tl2br w:val="nil"/>
              <w:tr2bl w:val="nil"/>
            </w:tcBorders>
            <w:noWrap w:val="0"/>
            <w:vAlign w:val="center"/>
          </w:tcPr>
          <w:p w14:paraId="6862FE1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32" w:type="pct"/>
            <w:vMerge w:val="continue"/>
            <w:tcBorders>
              <w:tl2br w:val="nil"/>
              <w:tr2bl w:val="nil"/>
            </w:tcBorders>
            <w:noWrap w:val="0"/>
            <w:vAlign w:val="center"/>
          </w:tcPr>
          <w:p w14:paraId="7B69998A">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09" w:type="pct"/>
            <w:tcBorders>
              <w:tl2br w:val="nil"/>
              <w:tr2bl w:val="nil"/>
            </w:tcBorders>
            <w:noWrap w:val="0"/>
            <w:vAlign w:val="center"/>
          </w:tcPr>
          <w:p w14:paraId="747461BE">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86" w:type="pct"/>
            <w:vMerge w:val="continue"/>
            <w:tcBorders>
              <w:tl2br w:val="nil"/>
              <w:tr2bl w:val="nil"/>
            </w:tcBorders>
            <w:noWrap w:val="0"/>
            <w:vAlign w:val="center"/>
          </w:tcPr>
          <w:p w14:paraId="10162F1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708" w:type="pct"/>
            <w:vMerge w:val="continue"/>
            <w:tcBorders>
              <w:tl2br w:val="nil"/>
              <w:tr2bl w:val="nil"/>
            </w:tcBorders>
            <w:noWrap w:val="0"/>
            <w:vAlign w:val="center"/>
          </w:tcPr>
          <w:p w14:paraId="0AD18EB3">
            <w:pPr>
              <w:spacing w:line="360" w:lineRule="exact"/>
              <w:ind w:firstLine="0" w:firstLineChars="0"/>
              <w:jc w:val="center"/>
              <w:rPr>
                <w:color w:val="000000" w:themeColor="text1"/>
                <w:sz w:val="21"/>
                <w:szCs w:val="21"/>
                <w:highlight w:val="none"/>
                <w14:textFill>
                  <w14:solidFill>
                    <w14:schemeClr w14:val="tx1"/>
                  </w14:solidFill>
                </w14:textFill>
              </w:rPr>
            </w:pPr>
          </w:p>
        </w:tc>
      </w:tr>
      <w:tr w14:paraId="5E25A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17073BFA">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30E8F130">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22FD80A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除尘灰</w:t>
            </w:r>
          </w:p>
        </w:tc>
        <w:tc>
          <w:tcPr>
            <w:tcW w:w="932" w:type="pct"/>
            <w:tcBorders>
              <w:tl2br w:val="nil"/>
              <w:tr2bl w:val="nil"/>
            </w:tcBorders>
            <w:noWrap w:val="0"/>
            <w:vAlign w:val="center"/>
          </w:tcPr>
          <w:p w14:paraId="01D43B8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309" w:type="pct"/>
            <w:tcBorders>
              <w:tl2br w:val="nil"/>
              <w:tr2bl w:val="nil"/>
            </w:tcBorders>
            <w:noWrap w:val="0"/>
            <w:vAlign w:val="center"/>
          </w:tcPr>
          <w:p w14:paraId="43689E38">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86" w:type="pct"/>
            <w:vMerge w:val="restart"/>
            <w:tcBorders>
              <w:tl2br w:val="nil"/>
              <w:tr2bl w:val="nil"/>
            </w:tcBorders>
            <w:noWrap w:val="0"/>
            <w:vAlign w:val="center"/>
          </w:tcPr>
          <w:p w14:paraId="6E1565F7">
            <w:pPr>
              <w:spacing w:line="360" w:lineRule="exact"/>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一般工业固废</w:t>
            </w:r>
          </w:p>
        </w:tc>
        <w:tc>
          <w:tcPr>
            <w:tcW w:w="1708" w:type="pct"/>
            <w:tcBorders>
              <w:tl2br w:val="nil"/>
              <w:tr2bl w:val="nil"/>
            </w:tcBorders>
            <w:noWrap w:val="0"/>
            <w:vAlign w:val="center"/>
          </w:tcPr>
          <w:p w14:paraId="3094A879">
            <w:pPr>
              <w:spacing w:line="360" w:lineRule="exact"/>
              <w:ind w:left="-120" w:leftChars="-50" w:right="-120" w:rightChars="-5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选矿除尘灰回用于选矿生产。</w:t>
            </w:r>
          </w:p>
        </w:tc>
      </w:tr>
      <w:tr w14:paraId="1DAD1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7E8ABA3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3D4175E5">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15214091">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干选废石</w:t>
            </w:r>
          </w:p>
        </w:tc>
        <w:tc>
          <w:tcPr>
            <w:tcW w:w="932" w:type="pct"/>
            <w:tcBorders>
              <w:tl2br w:val="nil"/>
              <w:tr2bl w:val="nil"/>
            </w:tcBorders>
            <w:noWrap w:val="0"/>
            <w:vAlign w:val="center"/>
          </w:tcPr>
          <w:p w14:paraId="601D3231">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09" w:type="pct"/>
            <w:tcBorders>
              <w:tl2br w:val="nil"/>
              <w:tr2bl w:val="nil"/>
            </w:tcBorders>
            <w:noWrap w:val="0"/>
            <w:vAlign w:val="center"/>
          </w:tcPr>
          <w:p w14:paraId="352B8D9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86" w:type="pct"/>
            <w:vMerge w:val="continue"/>
            <w:tcBorders>
              <w:tl2br w:val="nil"/>
              <w:tr2bl w:val="nil"/>
            </w:tcBorders>
            <w:noWrap w:val="0"/>
            <w:vAlign w:val="center"/>
          </w:tcPr>
          <w:p w14:paraId="38685867">
            <w:pPr>
              <w:spacing w:line="360" w:lineRule="exact"/>
              <w:ind w:firstLine="0" w:firstLineChars="0"/>
              <w:rPr>
                <w:rFonts w:hint="eastAsia"/>
                <w:color w:val="000000" w:themeColor="text1"/>
                <w:sz w:val="21"/>
                <w:szCs w:val="21"/>
                <w:highlight w:val="none"/>
                <w14:textFill>
                  <w14:solidFill>
                    <w14:schemeClr w14:val="tx1"/>
                  </w14:solidFill>
                </w14:textFill>
              </w:rPr>
            </w:pPr>
          </w:p>
        </w:tc>
        <w:tc>
          <w:tcPr>
            <w:tcW w:w="1708" w:type="pct"/>
            <w:tcBorders>
              <w:tl2br w:val="nil"/>
              <w:tr2bl w:val="nil"/>
            </w:tcBorders>
            <w:noWrap w:val="0"/>
            <w:vAlign w:val="center"/>
          </w:tcPr>
          <w:p w14:paraId="0E903A63">
            <w:pPr>
              <w:spacing w:line="360" w:lineRule="exact"/>
              <w:ind w:left="-120" w:leftChars="-50" w:right="-120" w:rightChars="-50"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堆存于采矿区废石堆场。</w:t>
            </w:r>
          </w:p>
        </w:tc>
      </w:tr>
      <w:tr w14:paraId="79247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4AEC6A17">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78798A85">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4E8D1C9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生活污水处理设施底泥</w:t>
            </w:r>
          </w:p>
        </w:tc>
        <w:tc>
          <w:tcPr>
            <w:tcW w:w="932" w:type="pct"/>
            <w:tcBorders>
              <w:tl2br w:val="nil"/>
              <w:tr2bl w:val="nil"/>
            </w:tcBorders>
            <w:noWrap w:val="0"/>
            <w:vAlign w:val="center"/>
          </w:tcPr>
          <w:p w14:paraId="572E3F9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309" w:type="pct"/>
            <w:tcBorders>
              <w:tl2br w:val="nil"/>
              <w:tr2bl w:val="nil"/>
            </w:tcBorders>
            <w:noWrap w:val="0"/>
            <w:vAlign w:val="center"/>
          </w:tcPr>
          <w:p w14:paraId="40F3F9F9">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86" w:type="pct"/>
            <w:vMerge w:val="continue"/>
            <w:tcBorders>
              <w:tl2br w:val="nil"/>
              <w:tr2bl w:val="nil"/>
            </w:tcBorders>
            <w:noWrap w:val="0"/>
            <w:vAlign w:val="center"/>
          </w:tcPr>
          <w:p w14:paraId="039ABB0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708" w:type="pct"/>
            <w:tcBorders>
              <w:tl2br w:val="nil"/>
              <w:tr2bl w:val="nil"/>
            </w:tcBorders>
            <w:noWrap w:val="0"/>
            <w:vAlign w:val="center"/>
          </w:tcPr>
          <w:p w14:paraId="0759435A">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定期拉运至</w:t>
            </w:r>
            <w:r>
              <w:rPr>
                <w:rFonts w:hint="eastAsia"/>
                <w:color w:val="000000" w:themeColor="text1"/>
                <w:sz w:val="21"/>
                <w:szCs w:val="21"/>
                <w:highlight w:val="none"/>
                <w:lang w:val="en-US" w:eastAsia="zh-CN"/>
                <w14:textFill>
                  <w14:solidFill>
                    <w14:schemeClr w14:val="tx1"/>
                  </w14:solidFill>
                </w14:textFill>
              </w:rPr>
              <w:t>周边</w:t>
            </w:r>
            <w:r>
              <w:rPr>
                <w:rFonts w:hint="eastAsia"/>
                <w:color w:val="000000" w:themeColor="text1"/>
                <w:sz w:val="21"/>
                <w:szCs w:val="21"/>
                <w:highlight w:val="none"/>
                <w14:textFill>
                  <w14:solidFill>
                    <w14:schemeClr w14:val="tx1"/>
                  </w14:solidFill>
                </w14:textFill>
              </w:rPr>
              <w:t>一般工业固体废物填埋场填埋处置</w:t>
            </w:r>
            <w:r>
              <w:rPr>
                <w:rFonts w:hint="eastAsia"/>
                <w:color w:val="000000" w:themeColor="text1"/>
                <w:sz w:val="21"/>
                <w:szCs w:val="21"/>
                <w:highlight w:val="none"/>
                <w:lang w:eastAsia="zh-CN"/>
                <w14:textFill>
                  <w14:solidFill>
                    <w14:schemeClr w14:val="tx1"/>
                  </w14:solidFill>
                </w14:textFill>
              </w:rPr>
              <w:t>。</w:t>
            </w:r>
          </w:p>
        </w:tc>
      </w:tr>
      <w:tr w14:paraId="40224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3377F113">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5413C23F">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344642AE">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循环水池底泥</w:t>
            </w:r>
          </w:p>
        </w:tc>
        <w:tc>
          <w:tcPr>
            <w:tcW w:w="932" w:type="pct"/>
            <w:tcBorders>
              <w:tl2br w:val="nil"/>
              <w:tr2bl w:val="nil"/>
            </w:tcBorders>
            <w:noWrap w:val="0"/>
            <w:vAlign w:val="center"/>
          </w:tcPr>
          <w:p w14:paraId="428BCDC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309" w:type="pct"/>
            <w:tcBorders>
              <w:tl2br w:val="nil"/>
              <w:tr2bl w:val="nil"/>
            </w:tcBorders>
            <w:noWrap w:val="0"/>
            <w:vAlign w:val="center"/>
          </w:tcPr>
          <w:p w14:paraId="499F4505">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86" w:type="pct"/>
            <w:vMerge w:val="continue"/>
            <w:tcBorders>
              <w:tl2br w:val="nil"/>
              <w:tr2bl w:val="nil"/>
            </w:tcBorders>
            <w:noWrap w:val="0"/>
            <w:vAlign w:val="center"/>
          </w:tcPr>
          <w:p w14:paraId="2410FECD">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708" w:type="pct"/>
            <w:tcBorders>
              <w:tl2br w:val="nil"/>
              <w:tr2bl w:val="nil"/>
            </w:tcBorders>
            <w:noWrap w:val="0"/>
            <w:vAlign w:val="center"/>
          </w:tcPr>
          <w:p w14:paraId="281DCAA7">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定期清理，返回生产</w:t>
            </w:r>
            <w:r>
              <w:rPr>
                <w:rFonts w:hint="eastAsia"/>
                <w:color w:val="000000" w:themeColor="text1"/>
                <w:sz w:val="21"/>
                <w:szCs w:val="21"/>
                <w:highlight w:val="none"/>
                <w:lang w:eastAsia="zh-CN"/>
                <w14:textFill>
                  <w14:solidFill>
                    <w14:schemeClr w14:val="tx1"/>
                  </w14:solidFill>
                </w14:textFill>
              </w:rPr>
              <w:t>工序</w:t>
            </w:r>
            <w:r>
              <w:rPr>
                <w:rFonts w:hint="eastAsia"/>
                <w:color w:val="000000" w:themeColor="text1"/>
                <w:sz w:val="21"/>
                <w:szCs w:val="21"/>
                <w:highlight w:val="none"/>
                <w14:textFill>
                  <w14:solidFill>
                    <w14:schemeClr w14:val="tx1"/>
                  </w14:solidFill>
                </w14:textFill>
              </w:rPr>
              <w:t>用于选矿</w:t>
            </w:r>
            <w:r>
              <w:rPr>
                <w:rFonts w:hint="eastAsia"/>
                <w:color w:val="000000" w:themeColor="text1"/>
                <w:sz w:val="21"/>
                <w:szCs w:val="21"/>
                <w:highlight w:val="none"/>
                <w:lang w:eastAsia="zh-CN"/>
                <w14:textFill>
                  <w14:solidFill>
                    <w14:schemeClr w14:val="tx1"/>
                  </w14:solidFill>
                </w14:textFill>
              </w:rPr>
              <w:t>。</w:t>
            </w:r>
          </w:p>
        </w:tc>
      </w:tr>
      <w:tr w14:paraId="49FB5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738BC98A">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3C588B97">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5F13C7D0">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废布袋</w:t>
            </w:r>
          </w:p>
        </w:tc>
        <w:tc>
          <w:tcPr>
            <w:tcW w:w="932" w:type="pct"/>
            <w:tcBorders>
              <w:tl2br w:val="nil"/>
              <w:tr2bl w:val="nil"/>
            </w:tcBorders>
            <w:noWrap w:val="0"/>
            <w:vAlign w:val="center"/>
          </w:tcPr>
          <w:p w14:paraId="765572A7">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w:t>
            </w:r>
          </w:p>
        </w:tc>
        <w:tc>
          <w:tcPr>
            <w:tcW w:w="309" w:type="pct"/>
            <w:tcBorders>
              <w:tl2br w:val="nil"/>
              <w:tr2bl w:val="nil"/>
            </w:tcBorders>
            <w:noWrap w:val="0"/>
            <w:vAlign w:val="center"/>
          </w:tcPr>
          <w:p w14:paraId="4231531E">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86" w:type="pct"/>
            <w:vMerge w:val="continue"/>
            <w:tcBorders>
              <w:tl2br w:val="nil"/>
              <w:tr2bl w:val="nil"/>
            </w:tcBorders>
            <w:noWrap w:val="0"/>
            <w:vAlign w:val="center"/>
          </w:tcPr>
          <w:p w14:paraId="5D2F6EE3">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708" w:type="pct"/>
            <w:tcBorders>
              <w:tl2br w:val="nil"/>
              <w:tr2bl w:val="nil"/>
            </w:tcBorders>
            <w:noWrap w:val="0"/>
            <w:vAlign w:val="center"/>
          </w:tcPr>
          <w:p w14:paraId="364BCC09">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bCs/>
                <w:color w:val="000000" w:themeColor="text1"/>
                <w:sz w:val="21"/>
                <w:szCs w:val="21"/>
                <w:highlight w:val="none"/>
                <w14:textFill>
                  <w14:solidFill>
                    <w14:schemeClr w14:val="tx1"/>
                  </w14:solidFill>
                </w14:textFill>
              </w:rPr>
              <w:t>集中收集后定期拉运至</w:t>
            </w:r>
            <w:r>
              <w:rPr>
                <w:rFonts w:hint="eastAsia"/>
                <w:bCs/>
                <w:color w:val="000000" w:themeColor="text1"/>
                <w:sz w:val="21"/>
                <w:szCs w:val="21"/>
                <w:highlight w:val="none"/>
                <w:lang w:val="en-US" w:eastAsia="zh-CN"/>
                <w14:textFill>
                  <w14:solidFill>
                    <w14:schemeClr w14:val="tx1"/>
                  </w14:solidFill>
                </w14:textFill>
              </w:rPr>
              <w:t>周边</w:t>
            </w:r>
            <w:r>
              <w:rPr>
                <w:rFonts w:hint="eastAsia"/>
                <w:bCs/>
                <w:color w:val="000000" w:themeColor="text1"/>
                <w:sz w:val="21"/>
                <w:szCs w:val="21"/>
                <w:highlight w:val="none"/>
                <w14:textFill>
                  <w14:solidFill>
                    <w14:schemeClr w14:val="tx1"/>
                  </w14:solidFill>
                </w14:textFill>
              </w:rPr>
              <w:t>一般工业固体废物填埋场进行处置</w:t>
            </w:r>
            <w:r>
              <w:rPr>
                <w:rFonts w:hint="eastAsia"/>
                <w:bCs/>
                <w:color w:val="000000" w:themeColor="text1"/>
                <w:sz w:val="21"/>
                <w:szCs w:val="21"/>
                <w:highlight w:val="none"/>
                <w:lang w:eastAsia="zh-CN"/>
                <w14:textFill>
                  <w14:solidFill>
                    <w14:schemeClr w14:val="tx1"/>
                  </w14:solidFill>
                </w14:textFill>
              </w:rPr>
              <w:t>。</w:t>
            </w:r>
          </w:p>
        </w:tc>
      </w:tr>
      <w:tr w14:paraId="5AC2E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2CBE4C5C">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26BA4376">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338009CB">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尾矿库溃坝废水</w:t>
            </w:r>
          </w:p>
        </w:tc>
        <w:tc>
          <w:tcPr>
            <w:tcW w:w="932" w:type="pct"/>
            <w:tcBorders>
              <w:tl2br w:val="nil"/>
              <w:tr2bl w:val="nil"/>
            </w:tcBorders>
            <w:noWrap w:val="0"/>
            <w:vAlign w:val="center"/>
          </w:tcPr>
          <w:p w14:paraId="565AC245">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尾矿库上游设置截洪沟</w:t>
            </w:r>
          </w:p>
        </w:tc>
        <w:tc>
          <w:tcPr>
            <w:tcW w:w="309" w:type="pct"/>
            <w:tcBorders>
              <w:tl2br w:val="nil"/>
              <w:tr2bl w:val="nil"/>
            </w:tcBorders>
            <w:noWrap w:val="0"/>
            <w:vAlign w:val="center"/>
          </w:tcPr>
          <w:p w14:paraId="6772AEF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1</w:t>
            </w:r>
          </w:p>
        </w:tc>
        <w:tc>
          <w:tcPr>
            <w:tcW w:w="586" w:type="pct"/>
            <w:tcBorders>
              <w:tl2br w:val="nil"/>
              <w:tr2bl w:val="nil"/>
            </w:tcBorders>
            <w:noWrap w:val="0"/>
            <w:vAlign w:val="center"/>
          </w:tcPr>
          <w:p w14:paraId="068AAB25">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w:t>
            </w:r>
          </w:p>
        </w:tc>
        <w:tc>
          <w:tcPr>
            <w:tcW w:w="1708" w:type="pct"/>
            <w:tcBorders>
              <w:tl2br w:val="nil"/>
              <w:tr2bl w:val="nil"/>
            </w:tcBorders>
            <w:noWrap w:val="0"/>
            <w:vAlign w:val="center"/>
          </w:tcPr>
          <w:p w14:paraId="74D95BBC">
            <w:pPr>
              <w:spacing w:line="360" w:lineRule="exact"/>
              <w:ind w:firstLine="0" w:firstLineChars="0"/>
              <w:jc w:val="center"/>
              <w:rPr>
                <w:rFonts w:hint="eastAsia" w:eastAsia="宋体"/>
                <w:bCs/>
                <w:color w:val="000000" w:themeColor="text1"/>
                <w:sz w:val="21"/>
                <w:szCs w:val="21"/>
                <w:highlight w:val="none"/>
                <w:lang w:eastAsia="zh-CN"/>
                <w14:textFill>
                  <w14:solidFill>
                    <w14:schemeClr w14:val="tx1"/>
                  </w14:solidFill>
                </w14:textFill>
              </w:rPr>
            </w:pPr>
            <w:r>
              <w:rPr>
                <w:rFonts w:hint="eastAsia"/>
                <w:bCs/>
                <w:color w:val="000000" w:themeColor="text1"/>
                <w:sz w:val="21"/>
                <w:szCs w:val="21"/>
                <w:highlight w:val="none"/>
                <w14:textFill>
                  <w14:solidFill>
                    <w14:schemeClr w14:val="tx1"/>
                  </w14:solidFill>
                </w14:textFill>
              </w:rPr>
              <w:t>确保在发生溃坝情况下，对周边环境的影响降到最低</w:t>
            </w:r>
            <w:r>
              <w:rPr>
                <w:rFonts w:hint="eastAsia"/>
                <w:bCs/>
                <w:color w:val="000000" w:themeColor="text1"/>
                <w:sz w:val="21"/>
                <w:szCs w:val="21"/>
                <w:highlight w:val="none"/>
                <w:lang w:eastAsia="zh-CN"/>
                <w14:textFill>
                  <w14:solidFill>
                    <w14:schemeClr w14:val="tx1"/>
                  </w14:solidFill>
                </w14:textFill>
              </w:rPr>
              <w:t>。</w:t>
            </w:r>
          </w:p>
        </w:tc>
      </w:tr>
      <w:tr w14:paraId="77277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2BB4F79E">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restart"/>
            <w:tcBorders>
              <w:tl2br w:val="nil"/>
              <w:tr2bl w:val="nil"/>
            </w:tcBorders>
            <w:noWrap w:val="0"/>
            <w:vAlign w:val="center"/>
          </w:tcPr>
          <w:p w14:paraId="703F931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生态</w:t>
            </w:r>
          </w:p>
        </w:tc>
        <w:tc>
          <w:tcPr>
            <w:tcW w:w="863" w:type="pct"/>
            <w:tcBorders>
              <w:tl2br w:val="nil"/>
              <w:tr2bl w:val="nil"/>
            </w:tcBorders>
            <w:noWrap w:val="0"/>
            <w:vAlign w:val="center"/>
          </w:tcPr>
          <w:p w14:paraId="02B08BCC">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绿化工程</w:t>
            </w:r>
          </w:p>
        </w:tc>
        <w:tc>
          <w:tcPr>
            <w:tcW w:w="932" w:type="pct"/>
            <w:tcBorders>
              <w:tl2br w:val="nil"/>
              <w:tr2bl w:val="nil"/>
            </w:tcBorders>
            <w:noWrap w:val="0"/>
            <w:vAlign w:val="center"/>
          </w:tcPr>
          <w:p w14:paraId="23B7B678">
            <w:pPr>
              <w:pStyle w:val="7"/>
              <w:snapToGrid w:val="0"/>
              <w:spacing w:line="360" w:lineRule="exact"/>
              <w:ind w:firstLine="0" w:firstLineChars="0"/>
              <w:contextualSpacing/>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利用施工期剥离表土对办公生活区进行绿化</w:t>
            </w:r>
          </w:p>
        </w:tc>
        <w:tc>
          <w:tcPr>
            <w:tcW w:w="309" w:type="pct"/>
            <w:tcBorders>
              <w:tl2br w:val="nil"/>
              <w:tr2bl w:val="nil"/>
            </w:tcBorders>
            <w:noWrap w:val="0"/>
            <w:vAlign w:val="center"/>
          </w:tcPr>
          <w:p w14:paraId="382C459D">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2294" w:type="pct"/>
            <w:gridSpan w:val="2"/>
            <w:tcBorders>
              <w:tl2br w:val="nil"/>
              <w:tr2bl w:val="nil"/>
            </w:tcBorders>
            <w:noWrap w:val="0"/>
            <w:vAlign w:val="center"/>
          </w:tcPr>
          <w:p w14:paraId="5EDDEB4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生活区周边绿化</w:t>
            </w:r>
          </w:p>
        </w:tc>
      </w:tr>
      <w:tr w14:paraId="6F95F0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noWrap w:val="0"/>
            <w:vAlign w:val="center"/>
          </w:tcPr>
          <w:p w14:paraId="7B9BDCA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348" w:type="pct"/>
            <w:vMerge w:val="continue"/>
            <w:tcBorders>
              <w:tl2br w:val="nil"/>
              <w:tr2bl w:val="nil"/>
            </w:tcBorders>
            <w:noWrap w:val="0"/>
            <w:vAlign w:val="center"/>
          </w:tcPr>
          <w:p w14:paraId="14629878">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p>
        </w:tc>
        <w:tc>
          <w:tcPr>
            <w:tcW w:w="863" w:type="pct"/>
            <w:tcBorders>
              <w:tl2br w:val="nil"/>
              <w:tr2bl w:val="nil"/>
            </w:tcBorders>
            <w:noWrap w:val="0"/>
            <w:vAlign w:val="center"/>
          </w:tcPr>
          <w:p w14:paraId="5ACBF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rFonts w:hint="default"/>
                <w:color w:val="000000" w:themeColor="text1"/>
                <w:sz w:val="21"/>
                <w:szCs w:val="21"/>
                <w:highlight w:val="none"/>
                <w:lang w:val="en-US"/>
                <w14:textFill>
                  <w14:solidFill>
                    <w14:schemeClr w14:val="tx1"/>
                  </w14:solidFill>
                </w14:textFill>
              </w:rPr>
            </w:pPr>
            <w:r>
              <w:rPr>
                <w:rFonts w:hint="eastAsia" w:cs="宋体"/>
                <w:color w:val="000000" w:themeColor="text1"/>
                <w:kern w:val="2"/>
                <w:sz w:val="21"/>
                <w:szCs w:val="21"/>
                <w:highlight w:val="none"/>
                <w:lang w:val="en-US" w:eastAsia="zh-CN" w:bidi="ar"/>
                <w14:textFill>
                  <w14:solidFill>
                    <w14:schemeClr w14:val="tx1"/>
                  </w14:solidFill>
                </w14:textFill>
              </w:rPr>
              <w:t>老尾矿库闭库</w:t>
            </w:r>
          </w:p>
        </w:tc>
        <w:tc>
          <w:tcPr>
            <w:tcW w:w="932" w:type="pct"/>
            <w:tcBorders>
              <w:tl2br w:val="nil"/>
              <w:tr2bl w:val="nil"/>
            </w:tcBorders>
            <w:noWrap w:val="0"/>
            <w:vAlign w:val="center"/>
          </w:tcPr>
          <w:p w14:paraId="5C7C5D4B">
            <w:pPr>
              <w:pStyle w:val="28"/>
              <w:keepNext w:val="0"/>
              <w:keepLines w:val="0"/>
              <w:widowControl/>
              <w:suppressLineNumbers w:val="0"/>
              <w:snapToGrid w:val="0"/>
              <w:spacing w:before="0" w:beforeAutospacing="0" w:after="0" w:afterAutospacing="0" w:line="360" w:lineRule="exact"/>
              <w:ind w:left="0" w:leftChars="0" w:right="0" w:rightChars="0"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做好老尾矿库的生态恢复措施</w:t>
            </w:r>
          </w:p>
        </w:tc>
        <w:tc>
          <w:tcPr>
            <w:tcW w:w="309" w:type="pct"/>
            <w:tcBorders>
              <w:tl2br w:val="nil"/>
              <w:tr2bl w:val="nil"/>
            </w:tcBorders>
            <w:noWrap w:val="0"/>
            <w:vAlign w:val="center"/>
          </w:tcPr>
          <w:p w14:paraId="7F5B6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w:t>
            </w:r>
          </w:p>
        </w:tc>
        <w:tc>
          <w:tcPr>
            <w:tcW w:w="2294" w:type="pct"/>
            <w:gridSpan w:val="2"/>
            <w:tcBorders>
              <w:tl2br w:val="nil"/>
              <w:tr2bl w:val="nil"/>
            </w:tcBorders>
            <w:noWrap w:val="0"/>
            <w:vAlign w:val="center"/>
          </w:tcPr>
          <w:p w14:paraId="092F5416">
            <w:pPr>
              <w:keepNext w:val="0"/>
              <w:keepLines w:val="0"/>
              <w:widowControl w:val="0"/>
              <w:suppressLineNumbers w:val="0"/>
              <w:spacing w:before="0" w:beforeAutospacing="0" w:after="0" w:afterAutospacing="0" w:line="360" w:lineRule="exact"/>
              <w:ind w:left="0" w:leftChars="0" w:right="0" w:rightChars="0" w:firstLine="0" w:firstLineChars="0"/>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kern w:val="2"/>
                <w:sz w:val="21"/>
                <w:szCs w:val="21"/>
                <w:highlight w:val="none"/>
                <w:lang w:val="en-US" w:eastAsia="zh-CN" w:bidi="ar"/>
                <w14:textFill>
                  <w14:solidFill>
                    <w14:schemeClr w14:val="tx1"/>
                  </w14:solidFill>
                </w14:textFill>
              </w:rPr>
              <w:t>老尾矿库进行土地复垦及生态恢复措施</w:t>
            </w:r>
          </w:p>
        </w:tc>
      </w:tr>
      <w:tr w14:paraId="574C3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4C83949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退役期</w:t>
            </w:r>
          </w:p>
        </w:tc>
        <w:tc>
          <w:tcPr>
            <w:tcW w:w="348" w:type="pct"/>
            <w:tcBorders>
              <w:tl2br w:val="nil"/>
              <w:tr2bl w:val="nil"/>
            </w:tcBorders>
            <w:noWrap w:val="0"/>
            <w:vAlign w:val="center"/>
          </w:tcPr>
          <w:p w14:paraId="6F7EF368">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生态</w:t>
            </w:r>
          </w:p>
        </w:tc>
        <w:tc>
          <w:tcPr>
            <w:tcW w:w="863" w:type="pct"/>
            <w:tcBorders>
              <w:tl2br w:val="nil"/>
              <w:tr2bl w:val="nil"/>
            </w:tcBorders>
            <w:noWrap w:val="0"/>
            <w:vAlign w:val="center"/>
          </w:tcPr>
          <w:p w14:paraId="0F237C72">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土地恢复</w:t>
            </w:r>
          </w:p>
        </w:tc>
        <w:tc>
          <w:tcPr>
            <w:tcW w:w="932" w:type="pct"/>
            <w:tcBorders>
              <w:tl2br w:val="nil"/>
              <w:tr2bl w:val="nil"/>
            </w:tcBorders>
            <w:noWrap w:val="0"/>
            <w:vAlign w:val="center"/>
          </w:tcPr>
          <w:p w14:paraId="58B5FE7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拆除不用的建筑，恢复土地原有功能</w:t>
            </w:r>
          </w:p>
        </w:tc>
        <w:tc>
          <w:tcPr>
            <w:tcW w:w="309" w:type="pct"/>
            <w:tcBorders>
              <w:tl2br w:val="nil"/>
              <w:tr2bl w:val="nil"/>
            </w:tcBorders>
            <w:noWrap w:val="0"/>
            <w:vAlign w:val="center"/>
          </w:tcPr>
          <w:p w14:paraId="53F25CF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2294" w:type="pct"/>
            <w:gridSpan w:val="2"/>
            <w:tcBorders>
              <w:tl2br w:val="nil"/>
              <w:tr2bl w:val="nil"/>
            </w:tcBorders>
            <w:noWrap w:val="0"/>
            <w:vAlign w:val="center"/>
          </w:tcPr>
          <w:p w14:paraId="7F359FD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pacing w:val="6"/>
                <w:sz w:val="21"/>
                <w:szCs w:val="21"/>
                <w:highlight w:val="none"/>
                <w14:textFill>
                  <w14:solidFill>
                    <w14:schemeClr w14:val="tx1"/>
                  </w14:solidFill>
                </w14:textFill>
              </w:rPr>
              <w:t>景观和植被恢复</w:t>
            </w:r>
          </w:p>
        </w:tc>
      </w:tr>
      <w:tr w14:paraId="3D412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pct"/>
            <w:gridSpan w:val="3"/>
            <w:vMerge w:val="restart"/>
            <w:tcBorders>
              <w:tl2br w:val="nil"/>
              <w:tr2bl w:val="nil"/>
            </w:tcBorders>
            <w:noWrap w:val="0"/>
            <w:vAlign w:val="center"/>
          </w:tcPr>
          <w:p w14:paraId="6A02741E">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以新带老措施</w:t>
            </w:r>
          </w:p>
        </w:tc>
        <w:tc>
          <w:tcPr>
            <w:tcW w:w="932" w:type="pct"/>
            <w:tcBorders>
              <w:tl2br w:val="nil"/>
              <w:tr2bl w:val="nil"/>
            </w:tcBorders>
            <w:noWrap w:val="0"/>
            <w:vAlign w:val="center"/>
          </w:tcPr>
          <w:p w14:paraId="7E66AE57">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现有选矿厂设置环保设施标识牌</w:t>
            </w:r>
          </w:p>
        </w:tc>
        <w:tc>
          <w:tcPr>
            <w:tcW w:w="309" w:type="pct"/>
            <w:tcBorders>
              <w:tl2br w:val="nil"/>
              <w:tr2bl w:val="nil"/>
            </w:tcBorders>
            <w:noWrap w:val="0"/>
            <w:vAlign w:val="center"/>
          </w:tcPr>
          <w:p w14:paraId="2BE13ADA">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294" w:type="pct"/>
            <w:gridSpan w:val="2"/>
            <w:tcBorders>
              <w:tl2br w:val="nil"/>
              <w:tr2bl w:val="nil"/>
            </w:tcBorders>
            <w:noWrap w:val="0"/>
            <w:vAlign w:val="center"/>
          </w:tcPr>
          <w:p w14:paraId="40F8202B">
            <w:pPr>
              <w:spacing w:line="360" w:lineRule="exact"/>
              <w:ind w:firstLine="0" w:firstLineChars="0"/>
              <w:jc w:val="center"/>
              <w:rPr>
                <w:color w:val="000000" w:themeColor="text1"/>
                <w:spacing w:val="6"/>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应尽快</w:t>
            </w:r>
            <w:r>
              <w:rPr>
                <w:color w:val="000000" w:themeColor="text1"/>
                <w:sz w:val="21"/>
                <w:szCs w:val="21"/>
                <w:highlight w:val="none"/>
                <w14:textFill>
                  <w14:solidFill>
                    <w14:schemeClr w14:val="tx1"/>
                  </w14:solidFill>
                </w14:textFill>
              </w:rPr>
              <w:t>安置各类环保标识牌</w:t>
            </w:r>
          </w:p>
        </w:tc>
      </w:tr>
      <w:tr w14:paraId="7860E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pct"/>
            <w:gridSpan w:val="3"/>
            <w:vMerge w:val="continue"/>
            <w:tcBorders>
              <w:tl2br w:val="nil"/>
              <w:tr2bl w:val="nil"/>
            </w:tcBorders>
            <w:noWrap w:val="0"/>
            <w:vAlign w:val="center"/>
          </w:tcPr>
          <w:p w14:paraId="7428EC4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32" w:type="pct"/>
            <w:tcBorders>
              <w:tl2br w:val="nil"/>
              <w:tr2bl w:val="nil"/>
            </w:tcBorders>
            <w:noWrap w:val="0"/>
            <w:vAlign w:val="center"/>
          </w:tcPr>
          <w:p w14:paraId="04C03C23">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矿区道路建设不规范</w:t>
            </w:r>
          </w:p>
        </w:tc>
        <w:tc>
          <w:tcPr>
            <w:tcW w:w="309" w:type="pct"/>
            <w:tcBorders>
              <w:tl2br w:val="nil"/>
              <w:tr2bl w:val="nil"/>
            </w:tcBorders>
            <w:noWrap w:val="0"/>
            <w:vAlign w:val="center"/>
          </w:tcPr>
          <w:p w14:paraId="31EDA909">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2294" w:type="pct"/>
            <w:gridSpan w:val="2"/>
            <w:tcBorders>
              <w:tl2br w:val="nil"/>
              <w:tr2bl w:val="nil"/>
            </w:tcBorders>
            <w:noWrap w:val="0"/>
            <w:vAlign w:val="center"/>
          </w:tcPr>
          <w:p w14:paraId="6E5B7DCD">
            <w:pPr>
              <w:spacing w:line="360" w:lineRule="exact"/>
              <w:ind w:firstLine="0" w:firstLineChars="0"/>
              <w:jc w:val="center"/>
              <w:rPr>
                <w:rFonts w:hint="eastAsia" w:eastAsia="宋体"/>
                <w:color w:val="000000" w:themeColor="text1"/>
                <w:spacing w:val="6"/>
                <w:sz w:val="21"/>
                <w:szCs w:val="21"/>
                <w:highlight w:val="none"/>
                <w:lang w:val="en-US" w:eastAsia="zh-CN"/>
                <w14:textFill>
                  <w14:solidFill>
                    <w14:schemeClr w14:val="tx1"/>
                  </w14:solidFill>
                </w14:textFill>
              </w:rPr>
            </w:pPr>
            <w:r>
              <w:rPr>
                <w:rFonts w:hint="eastAsia"/>
                <w:color w:val="000000" w:themeColor="text1"/>
                <w:spacing w:val="6"/>
                <w:sz w:val="21"/>
                <w:szCs w:val="21"/>
                <w:highlight w:val="none"/>
                <w:lang w:val="en-US" w:eastAsia="zh-CN"/>
                <w14:textFill>
                  <w14:solidFill>
                    <w14:schemeClr w14:val="tx1"/>
                  </w14:solidFill>
                </w14:textFill>
              </w:rPr>
              <w:t>设置硬化道路</w:t>
            </w:r>
          </w:p>
        </w:tc>
      </w:tr>
      <w:tr w14:paraId="43D69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pct"/>
            <w:gridSpan w:val="3"/>
            <w:vMerge w:val="continue"/>
            <w:tcBorders>
              <w:tl2br w:val="nil"/>
              <w:tr2bl w:val="nil"/>
            </w:tcBorders>
            <w:noWrap w:val="0"/>
            <w:vAlign w:val="center"/>
          </w:tcPr>
          <w:p w14:paraId="00BD93F4">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32" w:type="pct"/>
            <w:tcBorders>
              <w:tl2br w:val="nil"/>
              <w:tr2bl w:val="nil"/>
            </w:tcBorders>
            <w:noWrap w:val="0"/>
            <w:vAlign w:val="center"/>
          </w:tcPr>
          <w:p w14:paraId="4D6A2849">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老</w:t>
            </w:r>
            <w:r>
              <w:rPr>
                <w:rFonts w:hint="eastAsia" w:ascii="Times New Roman" w:hAnsi="Times New Roman" w:cs="Times New Roman"/>
                <w:bCs/>
                <w:color w:val="000000" w:themeColor="text1"/>
                <w:sz w:val="21"/>
                <w:szCs w:val="21"/>
                <w:highlight w:val="none"/>
                <w14:textFill>
                  <w14:solidFill>
                    <w14:schemeClr w14:val="tx1"/>
                  </w14:solidFill>
                </w14:textFill>
              </w:rPr>
              <w:t>尾矿库</w:t>
            </w:r>
            <w:r>
              <w:rPr>
                <w:rFonts w:hint="eastAsia" w:cs="Times New Roman"/>
                <w:bCs/>
                <w:color w:val="000000" w:themeColor="text1"/>
                <w:sz w:val="21"/>
                <w:szCs w:val="21"/>
                <w:highlight w:val="none"/>
                <w:lang w:val="en-US" w:eastAsia="zh-CN"/>
                <w14:textFill>
                  <w14:solidFill>
                    <w14:schemeClr w14:val="tx1"/>
                  </w14:solidFill>
                </w14:textFill>
              </w:rPr>
              <w:t>修建时间早、设施落后，</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不符合</w:t>
            </w:r>
            <w:r>
              <w:rPr>
                <w:rFonts w:hint="eastAsia" w:cs="Times New Roman"/>
                <w:bCs/>
                <w:color w:val="000000" w:themeColor="text1"/>
                <w:sz w:val="21"/>
                <w:szCs w:val="21"/>
                <w:highlight w:val="none"/>
                <w:lang w:val="en-US" w:eastAsia="zh-CN"/>
                <w14:textFill>
                  <w14:solidFill>
                    <w14:schemeClr w14:val="tx1"/>
                  </w14:solidFill>
                </w14:textFill>
              </w:rPr>
              <w:t>现有</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规范</w:t>
            </w:r>
          </w:p>
        </w:tc>
        <w:tc>
          <w:tcPr>
            <w:tcW w:w="309" w:type="pct"/>
            <w:tcBorders>
              <w:tl2br w:val="nil"/>
              <w:tr2bl w:val="nil"/>
            </w:tcBorders>
            <w:noWrap w:val="0"/>
            <w:vAlign w:val="center"/>
          </w:tcPr>
          <w:p w14:paraId="6D0C6242">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294" w:type="pct"/>
            <w:gridSpan w:val="2"/>
            <w:tcBorders>
              <w:tl2br w:val="nil"/>
              <w:tr2bl w:val="nil"/>
            </w:tcBorders>
            <w:noWrap w:val="0"/>
            <w:vAlign w:val="center"/>
          </w:tcPr>
          <w:p w14:paraId="6C77AED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老</w:t>
            </w:r>
            <w:r>
              <w:rPr>
                <w:color w:val="000000" w:themeColor="text1"/>
                <w:sz w:val="21"/>
                <w:szCs w:val="21"/>
                <w:highlight w:val="none"/>
                <w14:textFill>
                  <w14:solidFill>
                    <w14:schemeClr w14:val="tx1"/>
                  </w14:solidFill>
                </w14:textFill>
              </w:rPr>
              <w:t>尾矿库</w:t>
            </w:r>
            <w:r>
              <w:rPr>
                <w:rFonts w:hint="eastAsia"/>
                <w:color w:val="000000" w:themeColor="text1"/>
                <w:sz w:val="21"/>
                <w:szCs w:val="21"/>
                <w:highlight w:val="none"/>
                <w:lang w:val="en-US" w:eastAsia="zh-CN"/>
                <w14:textFill>
                  <w14:solidFill>
                    <w14:schemeClr w14:val="tx1"/>
                  </w14:solidFill>
                </w14:textFill>
              </w:rPr>
              <w:t>闭库，</w:t>
            </w:r>
            <w:r>
              <w:rPr>
                <w:color w:val="000000" w:themeColor="text1"/>
                <w:sz w:val="21"/>
                <w:szCs w:val="21"/>
                <w:highlight w:val="none"/>
                <w14:textFill>
                  <w14:solidFill>
                    <w14:schemeClr w14:val="tx1"/>
                  </w14:solidFill>
                </w14:textFill>
              </w:rPr>
              <w:t>进行</w:t>
            </w:r>
            <w:r>
              <w:rPr>
                <w:rFonts w:hint="eastAsia"/>
                <w:color w:val="000000" w:themeColor="text1"/>
                <w:sz w:val="21"/>
                <w:szCs w:val="21"/>
                <w:highlight w:val="none"/>
                <w14:textFill>
                  <w14:solidFill>
                    <w14:schemeClr w14:val="tx1"/>
                  </w14:solidFill>
                </w14:textFill>
              </w:rPr>
              <w:t>土地复垦及生态恢复</w:t>
            </w:r>
            <w:r>
              <w:rPr>
                <w:color w:val="000000" w:themeColor="text1"/>
                <w:sz w:val="21"/>
                <w:szCs w:val="21"/>
                <w:highlight w:val="none"/>
                <w14:textFill>
                  <w14:solidFill>
                    <w14:schemeClr w14:val="tx1"/>
                  </w14:solidFill>
                </w14:textFill>
              </w:rPr>
              <w:t>措施</w:t>
            </w:r>
          </w:p>
        </w:tc>
      </w:tr>
      <w:tr w14:paraId="531AE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pct"/>
            <w:gridSpan w:val="3"/>
            <w:vMerge w:val="continue"/>
            <w:tcBorders>
              <w:tl2br w:val="nil"/>
              <w:tr2bl w:val="nil"/>
            </w:tcBorders>
            <w:noWrap w:val="0"/>
            <w:vAlign w:val="center"/>
          </w:tcPr>
          <w:p w14:paraId="05F1C02C">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32" w:type="pct"/>
            <w:tcBorders>
              <w:tl2br w:val="nil"/>
              <w:tr2bl w:val="nil"/>
            </w:tcBorders>
            <w:noWrap w:val="0"/>
            <w:vAlign w:val="center"/>
          </w:tcPr>
          <w:p w14:paraId="3A84BD28">
            <w:pPr>
              <w:spacing w:line="360" w:lineRule="exact"/>
              <w:ind w:firstLine="0" w:firstLineChars="0"/>
              <w:jc w:val="center"/>
              <w:rPr>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企业</w:t>
            </w:r>
            <w:r>
              <w:rPr>
                <w:rFonts w:hint="eastAsia" w:cs="Times New Roman"/>
                <w:color w:val="000000" w:themeColor="text1"/>
                <w:sz w:val="21"/>
                <w:szCs w:val="21"/>
                <w:highlight w:val="none"/>
                <w:lang w:eastAsia="zh-CN"/>
                <w14:textFill>
                  <w14:solidFill>
                    <w14:schemeClr w14:val="tx1"/>
                  </w14:solidFill>
                </w14:textFill>
              </w:rPr>
              <w:t>环境管理不规范，未开展</w:t>
            </w:r>
            <w:r>
              <w:rPr>
                <w:rFonts w:cs="Times New Roman"/>
                <w:color w:val="000000" w:themeColor="text1"/>
                <w:sz w:val="21"/>
                <w:szCs w:val="21"/>
                <w:highlight w:val="none"/>
                <w14:textFill>
                  <w14:solidFill>
                    <w14:schemeClr w14:val="tx1"/>
                  </w14:solidFill>
                </w14:textFill>
              </w:rPr>
              <w:t>例行监测</w:t>
            </w:r>
            <w:r>
              <w:rPr>
                <w:rFonts w:hint="eastAsia" w:cs="Times New Roman"/>
                <w:color w:val="000000" w:themeColor="text1"/>
                <w:sz w:val="21"/>
                <w:szCs w:val="21"/>
                <w:highlight w:val="none"/>
                <w:lang w:eastAsia="zh-CN"/>
                <w14:textFill>
                  <w14:solidFill>
                    <w14:schemeClr w14:val="tx1"/>
                  </w14:solidFill>
                </w14:textFill>
              </w:rPr>
              <w:t>，未编制突发环境事件应急预案，未申请排污许可证</w:t>
            </w:r>
          </w:p>
        </w:tc>
        <w:tc>
          <w:tcPr>
            <w:tcW w:w="309" w:type="pct"/>
            <w:tcBorders>
              <w:tl2br w:val="nil"/>
              <w:tr2bl w:val="nil"/>
            </w:tcBorders>
            <w:noWrap w:val="0"/>
            <w:vAlign w:val="center"/>
          </w:tcPr>
          <w:p w14:paraId="6221A18F">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294" w:type="pct"/>
            <w:gridSpan w:val="2"/>
            <w:tcBorders>
              <w:tl2br w:val="nil"/>
              <w:tr2bl w:val="nil"/>
            </w:tcBorders>
            <w:noWrap w:val="0"/>
            <w:vAlign w:val="center"/>
          </w:tcPr>
          <w:p w14:paraId="4764F523">
            <w:pPr>
              <w:spacing w:line="360" w:lineRule="exact"/>
              <w:ind w:firstLine="0" w:firstLineChars="0"/>
              <w:jc w:val="center"/>
              <w:rPr>
                <w:color w:val="000000" w:themeColor="text1"/>
                <w:spacing w:val="6"/>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建设单位应根据《排污单位自行监测技术指南 总则》（HJ819-2017）中相关监测要求，结合项目特点，制定整改计划，实施整改</w:t>
            </w:r>
          </w:p>
        </w:tc>
      </w:tr>
      <w:tr w14:paraId="1BF12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pct"/>
            <w:gridSpan w:val="3"/>
            <w:vMerge w:val="continue"/>
            <w:tcBorders>
              <w:tl2br w:val="nil"/>
              <w:tr2bl w:val="nil"/>
            </w:tcBorders>
            <w:noWrap w:val="0"/>
            <w:vAlign w:val="center"/>
          </w:tcPr>
          <w:p w14:paraId="7433358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32" w:type="pct"/>
            <w:tcBorders>
              <w:tl2br w:val="nil"/>
              <w:tr2bl w:val="nil"/>
            </w:tcBorders>
            <w:noWrap w:val="0"/>
            <w:vAlign w:val="center"/>
          </w:tcPr>
          <w:p w14:paraId="6D40239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生活污水处理设施建设</w:t>
            </w:r>
          </w:p>
        </w:tc>
        <w:tc>
          <w:tcPr>
            <w:tcW w:w="309" w:type="pct"/>
            <w:tcBorders>
              <w:tl2br w:val="nil"/>
              <w:tr2bl w:val="nil"/>
            </w:tcBorders>
            <w:noWrap w:val="0"/>
            <w:vAlign w:val="center"/>
          </w:tcPr>
          <w:p w14:paraId="6B102991">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294" w:type="pct"/>
            <w:gridSpan w:val="2"/>
            <w:tcBorders>
              <w:tl2br w:val="nil"/>
              <w:tr2bl w:val="nil"/>
            </w:tcBorders>
            <w:noWrap w:val="0"/>
            <w:vAlign w:val="center"/>
          </w:tcPr>
          <w:p w14:paraId="21A66A6D">
            <w:pPr>
              <w:spacing w:line="360" w:lineRule="exact"/>
              <w:ind w:firstLine="0" w:firstLineChars="0"/>
              <w:jc w:val="center"/>
              <w:rPr>
                <w:color w:val="000000" w:themeColor="text1"/>
                <w:spacing w:val="6"/>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新建一座生活污水处理站，</w:t>
            </w:r>
            <w:r>
              <w:rPr>
                <w:color w:val="000000" w:themeColor="text1"/>
                <w:sz w:val="21"/>
                <w:szCs w:val="21"/>
                <w:highlight w:val="none"/>
                <w14:textFill>
                  <w14:solidFill>
                    <w14:schemeClr w14:val="tx1"/>
                  </w14:solidFill>
                </w14:textFill>
              </w:rPr>
              <w:t>确保生活污水排放量与</w:t>
            </w:r>
            <w:r>
              <w:rPr>
                <w:rFonts w:hint="eastAsia"/>
                <w:color w:val="000000" w:themeColor="text1"/>
                <w:sz w:val="21"/>
                <w:szCs w:val="21"/>
                <w:highlight w:val="none"/>
                <w14:textFill>
                  <w14:solidFill>
                    <w14:schemeClr w14:val="tx1"/>
                  </w14:solidFill>
                </w14:textFill>
              </w:rPr>
              <w:t>生活</w:t>
            </w:r>
            <w:r>
              <w:rPr>
                <w:color w:val="000000" w:themeColor="text1"/>
                <w:sz w:val="21"/>
                <w:szCs w:val="21"/>
                <w:highlight w:val="none"/>
                <w14:textFill>
                  <w14:solidFill>
                    <w14:schemeClr w14:val="tx1"/>
                  </w14:solidFill>
                </w14:textFill>
              </w:rPr>
              <w:t>污水处理规模相匹配</w:t>
            </w:r>
            <w:r>
              <w:rPr>
                <w:rFonts w:hint="eastAsia"/>
                <w:color w:val="000000" w:themeColor="text1"/>
                <w:sz w:val="21"/>
                <w:szCs w:val="21"/>
                <w:highlight w:val="none"/>
                <w14:textFill>
                  <w14:solidFill>
                    <w14:schemeClr w14:val="tx1"/>
                  </w14:solidFill>
                </w14:textFill>
              </w:rPr>
              <w:t>。</w:t>
            </w:r>
          </w:p>
        </w:tc>
      </w:tr>
      <w:tr w14:paraId="50747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pct"/>
            <w:gridSpan w:val="3"/>
            <w:vMerge w:val="continue"/>
            <w:tcBorders>
              <w:tl2br w:val="nil"/>
              <w:tr2bl w:val="nil"/>
            </w:tcBorders>
            <w:noWrap w:val="0"/>
            <w:vAlign w:val="center"/>
          </w:tcPr>
          <w:p w14:paraId="2F7EA7B6">
            <w:pPr>
              <w:spacing w:line="360" w:lineRule="exact"/>
              <w:ind w:firstLine="0" w:firstLineChars="0"/>
              <w:jc w:val="center"/>
              <w:rPr>
                <w:color w:val="000000" w:themeColor="text1"/>
                <w:sz w:val="21"/>
                <w:szCs w:val="21"/>
                <w:highlight w:val="none"/>
                <w14:textFill>
                  <w14:solidFill>
                    <w14:schemeClr w14:val="tx1"/>
                  </w14:solidFill>
                </w14:textFill>
              </w:rPr>
            </w:pPr>
          </w:p>
        </w:tc>
        <w:tc>
          <w:tcPr>
            <w:tcW w:w="932" w:type="pct"/>
            <w:tcBorders>
              <w:tl2br w:val="nil"/>
              <w:tr2bl w:val="nil"/>
            </w:tcBorders>
            <w:noWrap w:val="0"/>
            <w:vAlign w:val="center"/>
          </w:tcPr>
          <w:p w14:paraId="4E8E3D17">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按照要求，尽快完成对现有工程临时占地的复垦工作</w:t>
            </w:r>
          </w:p>
        </w:tc>
        <w:tc>
          <w:tcPr>
            <w:tcW w:w="309" w:type="pct"/>
            <w:tcBorders>
              <w:tl2br w:val="nil"/>
              <w:tr2bl w:val="nil"/>
            </w:tcBorders>
            <w:noWrap w:val="0"/>
            <w:vAlign w:val="center"/>
          </w:tcPr>
          <w:p w14:paraId="3D5CC452">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294" w:type="pct"/>
            <w:gridSpan w:val="2"/>
            <w:tcBorders>
              <w:tl2br w:val="nil"/>
              <w:tr2bl w:val="nil"/>
            </w:tcBorders>
            <w:noWrap w:val="0"/>
            <w:vAlign w:val="center"/>
          </w:tcPr>
          <w:p w14:paraId="358B548C">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尽快完成临时占地的土地平整及植被恢复工作</w:t>
            </w:r>
          </w:p>
        </w:tc>
      </w:tr>
    </w:tbl>
    <w:p w14:paraId="5ED051E4">
      <w:pPr>
        <w:pStyle w:val="3"/>
        <w:rPr>
          <w:color w:val="000000" w:themeColor="text1"/>
          <w:szCs w:val="24"/>
          <w:highlight w:val="none"/>
          <w14:textFill>
            <w14:solidFill>
              <w14:schemeClr w14:val="tx1"/>
            </w14:solidFill>
          </w14:textFill>
        </w:rPr>
      </w:pPr>
      <w:bookmarkStart w:id="1103" w:name="_Toc29482"/>
      <w:bookmarkStart w:id="1104" w:name="_Toc107413915"/>
      <w:bookmarkStart w:id="1105" w:name="_Toc107414682"/>
      <w:r>
        <w:rPr>
          <w:color w:val="000000" w:themeColor="text1"/>
          <w:szCs w:val="24"/>
          <w:highlight w:val="none"/>
          <w14:textFill>
            <w14:solidFill>
              <w14:schemeClr w14:val="tx1"/>
            </w14:solidFill>
          </w14:textFill>
        </w:rPr>
        <w:t>8.6排污清单</w:t>
      </w:r>
      <w:bookmarkEnd w:id="1103"/>
      <w:bookmarkEnd w:id="1104"/>
      <w:bookmarkEnd w:id="1105"/>
    </w:p>
    <w:p w14:paraId="672FFB39">
      <w:pPr>
        <w:overflowPunct w:val="0"/>
        <w:topLinePunct/>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本项目排污清单见表8.6-1。</w:t>
      </w:r>
    </w:p>
    <w:p w14:paraId="7013670C">
      <w:pPr>
        <w:widowControl/>
        <w:ind w:firstLine="0" w:firstLineChars="0"/>
        <w:jc w:val="center"/>
        <w:rPr>
          <w:rFonts w:eastAsia="宋体"/>
          <w:b/>
          <w:color w:val="000000" w:themeColor="text1"/>
          <w:kern w:val="0"/>
          <w:szCs w:val="21"/>
          <w:highlight w:val="none"/>
          <w14:textFill>
            <w14:solidFill>
              <w14:schemeClr w14:val="tx1"/>
            </w14:solidFill>
          </w14:textFill>
        </w:rPr>
      </w:pPr>
      <w:r>
        <w:rPr>
          <w:rFonts w:eastAsia="宋体"/>
          <w:b/>
          <w:color w:val="000000" w:themeColor="text1"/>
          <w:kern w:val="0"/>
          <w:szCs w:val="21"/>
          <w:highlight w:val="none"/>
          <w14:textFill>
            <w14:solidFill>
              <w14:schemeClr w14:val="tx1"/>
            </w14:solidFill>
          </w14:textFill>
        </w:rPr>
        <w:t>表8.6-1    项目排污清单一览表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6"/>
        <w:gridCol w:w="426"/>
        <w:gridCol w:w="723"/>
        <w:gridCol w:w="683"/>
        <w:gridCol w:w="1130"/>
        <w:gridCol w:w="1007"/>
        <w:gridCol w:w="1992"/>
        <w:gridCol w:w="2132"/>
      </w:tblGrid>
      <w:tr w14:paraId="62420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blHeader/>
          <w:jc w:val="center"/>
        </w:trPr>
        <w:tc>
          <w:tcPr>
            <w:tcW w:w="500" w:type="pct"/>
            <w:gridSpan w:val="2"/>
            <w:shd w:val="clear" w:color="auto" w:fill="auto"/>
            <w:noWrap w:val="0"/>
            <w:vAlign w:val="center"/>
          </w:tcPr>
          <w:p w14:paraId="64BC5694">
            <w:pPr>
              <w:spacing w:line="360" w:lineRule="exact"/>
              <w:ind w:firstLine="0" w:firstLineChars="0"/>
              <w:jc w:val="center"/>
              <w:rPr>
                <w:b/>
                <w:bCs/>
                <w:color w:val="000000" w:themeColor="text1"/>
                <w:sz w:val="21"/>
                <w:szCs w:val="21"/>
                <w:highlight w:val="none"/>
                <w:lang w:val="zh-CN"/>
                <w14:textFill>
                  <w14:solidFill>
                    <w14:schemeClr w14:val="tx1"/>
                  </w14:solidFill>
                </w14:textFill>
              </w:rPr>
            </w:pPr>
            <w:r>
              <w:rPr>
                <w:b/>
                <w:bCs/>
                <w:color w:val="000000" w:themeColor="text1"/>
                <w:sz w:val="21"/>
                <w:szCs w:val="21"/>
                <w:highlight w:val="none"/>
                <w:lang w:val="zh-CN"/>
                <w14:textFill>
                  <w14:solidFill>
                    <w14:schemeClr w14:val="tx1"/>
                  </w14:solidFill>
                </w14:textFill>
              </w:rPr>
              <w:t>污染</w:t>
            </w:r>
          </w:p>
          <w:p w14:paraId="596CD056">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lang w:val="zh-CN"/>
                <w14:textFill>
                  <w14:solidFill>
                    <w14:schemeClr w14:val="tx1"/>
                  </w14:solidFill>
                </w14:textFill>
              </w:rPr>
              <w:t>类别</w:t>
            </w:r>
          </w:p>
        </w:tc>
        <w:tc>
          <w:tcPr>
            <w:tcW w:w="825" w:type="pct"/>
            <w:gridSpan w:val="2"/>
            <w:shd w:val="clear" w:color="auto" w:fill="auto"/>
            <w:noWrap w:val="0"/>
            <w:vAlign w:val="center"/>
          </w:tcPr>
          <w:p w14:paraId="6F23D693">
            <w:pPr>
              <w:spacing w:line="360" w:lineRule="exact"/>
              <w:ind w:firstLine="0" w:firstLineChars="0"/>
              <w:jc w:val="center"/>
              <w:rPr>
                <w:b/>
                <w:bCs/>
                <w:color w:val="000000" w:themeColor="text1"/>
                <w:sz w:val="21"/>
                <w:szCs w:val="21"/>
                <w:highlight w:val="none"/>
                <w:lang w:val="zh-CN"/>
                <w14:textFill>
                  <w14:solidFill>
                    <w14:schemeClr w14:val="tx1"/>
                  </w14:solidFill>
                </w14:textFill>
              </w:rPr>
            </w:pPr>
            <w:r>
              <w:rPr>
                <w:b/>
                <w:bCs/>
                <w:color w:val="000000" w:themeColor="text1"/>
                <w:sz w:val="21"/>
                <w:szCs w:val="21"/>
                <w:highlight w:val="none"/>
                <w:lang w:val="zh-CN"/>
                <w14:textFill>
                  <w14:solidFill>
                    <w14:schemeClr w14:val="tx1"/>
                  </w14:solidFill>
                </w14:textFill>
              </w:rPr>
              <w:t>污染源</w:t>
            </w:r>
          </w:p>
        </w:tc>
        <w:tc>
          <w:tcPr>
            <w:tcW w:w="663" w:type="pct"/>
            <w:shd w:val="clear" w:color="auto" w:fill="auto"/>
            <w:noWrap w:val="0"/>
            <w:vAlign w:val="center"/>
          </w:tcPr>
          <w:p w14:paraId="52D39291">
            <w:pPr>
              <w:spacing w:line="360" w:lineRule="exact"/>
              <w:ind w:firstLine="0" w:firstLineChars="0"/>
              <w:jc w:val="center"/>
              <w:rPr>
                <w:b/>
                <w:bCs/>
                <w:color w:val="000000" w:themeColor="text1"/>
                <w:sz w:val="21"/>
                <w:szCs w:val="21"/>
                <w:highlight w:val="none"/>
                <w:lang w:val="zh-CN"/>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污染物名称</w:t>
            </w:r>
          </w:p>
        </w:tc>
        <w:tc>
          <w:tcPr>
            <w:tcW w:w="591" w:type="pct"/>
            <w:shd w:val="clear" w:color="auto" w:fill="auto"/>
            <w:noWrap w:val="0"/>
            <w:vAlign w:val="center"/>
          </w:tcPr>
          <w:p w14:paraId="40AAB07E">
            <w:pPr>
              <w:spacing w:line="36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lang w:val="zh-CN"/>
                <w14:textFill>
                  <w14:solidFill>
                    <w14:schemeClr w14:val="tx1"/>
                  </w14:solidFill>
                </w14:textFill>
              </w:rPr>
              <w:t>排放量</w:t>
            </w:r>
          </w:p>
        </w:tc>
        <w:tc>
          <w:tcPr>
            <w:tcW w:w="1169" w:type="pct"/>
            <w:shd w:val="clear" w:color="auto" w:fill="auto"/>
            <w:noWrap w:val="0"/>
            <w:vAlign w:val="center"/>
          </w:tcPr>
          <w:p w14:paraId="0BC14A81">
            <w:pPr>
              <w:spacing w:line="360" w:lineRule="exact"/>
              <w:ind w:firstLine="0" w:firstLineChars="0"/>
              <w:jc w:val="center"/>
              <w:rPr>
                <w:b/>
                <w:bCs/>
                <w:color w:val="000000" w:themeColor="text1"/>
                <w:sz w:val="21"/>
                <w:szCs w:val="21"/>
                <w:highlight w:val="none"/>
                <w:lang w:val="zh-CN"/>
                <w14:textFill>
                  <w14:solidFill>
                    <w14:schemeClr w14:val="tx1"/>
                  </w14:solidFill>
                </w14:textFill>
              </w:rPr>
            </w:pPr>
            <w:r>
              <w:rPr>
                <w:b/>
                <w:bCs/>
                <w:color w:val="000000" w:themeColor="text1"/>
                <w:sz w:val="21"/>
                <w:szCs w:val="21"/>
                <w:highlight w:val="none"/>
                <w:lang w:val="zh-CN"/>
                <w14:textFill>
                  <w14:solidFill>
                    <w14:schemeClr w14:val="tx1"/>
                  </w14:solidFill>
                </w14:textFill>
              </w:rPr>
              <w:t>环保措施</w:t>
            </w:r>
          </w:p>
        </w:tc>
        <w:tc>
          <w:tcPr>
            <w:tcW w:w="1251" w:type="pct"/>
            <w:shd w:val="clear" w:color="auto" w:fill="auto"/>
            <w:noWrap w:val="0"/>
            <w:vAlign w:val="center"/>
          </w:tcPr>
          <w:p w14:paraId="09420320">
            <w:pPr>
              <w:spacing w:line="360" w:lineRule="exact"/>
              <w:ind w:firstLine="0" w:firstLineChars="0"/>
              <w:jc w:val="center"/>
              <w:rPr>
                <w:b/>
                <w:bCs/>
                <w:color w:val="000000" w:themeColor="text1"/>
                <w:sz w:val="21"/>
                <w:szCs w:val="21"/>
                <w:highlight w:val="none"/>
                <w:lang w:val="zh-CN"/>
                <w14:textFill>
                  <w14:solidFill>
                    <w14:schemeClr w14:val="tx1"/>
                  </w14:solidFill>
                </w14:textFill>
              </w:rPr>
            </w:pPr>
            <w:r>
              <w:rPr>
                <w:b/>
                <w:bCs/>
                <w:color w:val="000000" w:themeColor="text1"/>
                <w:sz w:val="21"/>
                <w:szCs w:val="21"/>
                <w:highlight w:val="none"/>
                <w:lang w:val="zh-CN"/>
                <w14:textFill>
                  <w14:solidFill>
                    <w14:schemeClr w14:val="tx1"/>
                  </w14:solidFill>
                </w14:textFill>
              </w:rPr>
              <w:t>排放标准</w:t>
            </w:r>
          </w:p>
        </w:tc>
      </w:tr>
      <w:tr w14:paraId="3DCE8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50" w:type="pct"/>
            <w:vMerge w:val="restart"/>
            <w:shd w:val="clear" w:color="auto" w:fill="auto"/>
            <w:noWrap w:val="0"/>
            <w:vAlign w:val="center"/>
          </w:tcPr>
          <w:p w14:paraId="2660813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废气</w:t>
            </w:r>
          </w:p>
        </w:tc>
        <w:tc>
          <w:tcPr>
            <w:tcW w:w="250" w:type="pct"/>
            <w:vMerge w:val="restart"/>
            <w:shd w:val="clear" w:color="auto" w:fill="auto"/>
            <w:noWrap w:val="0"/>
            <w:vAlign w:val="center"/>
          </w:tcPr>
          <w:p w14:paraId="54C18E1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有组织</w:t>
            </w:r>
          </w:p>
        </w:tc>
        <w:tc>
          <w:tcPr>
            <w:tcW w:w="825" w:type="pct"/>
            <w:gridSpan w:val="2"/>
            <w:shd w:val="clear" w:color="auto" w:fill="auto"/>
            <w:noWrap w:val="0"/>
            <w:vAlign w:val="center"/>
          </w:tcPr>
          <w:p w14:paraId="077633BF">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破碎筛分工序</w:t>
            </w:r>
            <w:r>
              <w:rPr>
                <w:rFonts w:hint="eastAsia"/>
                <w:color w:val="000000" w:themeColor="text1"/>
                <w:sz w:val="21"/>
                <w:szCs w:val="21"/>
                <w:highlight w:val="none"/>
                <w14:textFill>
                  <w14:solidFill>
                    <w14:schemeClr w14:val="tx1"/>
                  </w14:solidFill>
                </w14:textFill>
              </w:rPr>
              <w:t>排气筒</w:t>
            </w:r>
            <w:r>
              <w:rPr>
                <w:rFonts w:hint="eastAsia"/>
                <w:color w:val="000000" w:themeColor="text1"/>
                <w:sz w:val="21"/>
                <w:szCs w:val="21"/>
                <w:highlight w:val="none"/>
                <w:lang w:val="en-US" w:eastAsia="zh-CN"/>
                <w14:textFill>
                  <w14:solidFill>
                    <w14:schemeClr w14:val="tx1"/>
                  </w14:solidFill>
                </w14:textFill>
              </w:rPr>
              <w:t>DA001</w:t>
            </w:r>
          </w:p>
        </w:tc>
        <w:tc>
          <w:tcPr>
            <w:tcW w:w="663" w:type="pct"/>
            <w:shd w:val="clear" w:color="auto" w:fill="auto"/>
            <w:noWrap w:val="0"/>
            <w:vAlign w:val="center"/>
          </w:tcPr>
          <w:p w14:paraId="7D7063D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591" w:type="pct"/>
            <w:shd w:val="clear" w:color="auto" w:fill="auto"/>
            <w:noWrap w:val="0"/>
            <w:vAlign w:val="center"/>
          </w:tcPr>
          <w:p w14:paraId="7D13FDB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0.45</w:t>
            </w:r>
            <w:r>
              <w:rPr>
                <w:color w:val="000000" w:themeColor="text1"/>
                <w:sz w:val="21"/>
                <w:szCs w:val="21"/>
                <w:highlight w:val="none"/>
                <w14:textFill>
                  <w14:solidFill>
                    <w14:schemeClr w14:val="tx1"/>
                  </w14:solidFill>
                </w14:textFill>
              </w:rPr>
              <w:t>t/a</w:t>
            </w:r>
          </w:p>
        </w:tc>
        <w:tc>
          <w:tcPr>
            <w:tcW w:w="1169" w:type="pct"/>
            <w:shd w:val="clear" w:color="auto" w:fill="auto"/>
            <w:noWrap w:val="0"/>
            <w:vAlign w:val="center"/>
          </w:tcPr>
          <w:p w14:paraId="4D904F2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集气罩+</w:t>
            </w:r>
            <w:r>
              <w:rPr>
                <w:rFonts w:hint="eastAsia" w:eastAsia="宋体"/>
                <w:color w:val="000000" w:themeColor="text1"/>
                <w:sz w:val="21"/>
                <w:szCs w:val="21"/>
                <w:highlight w:val="none"/>
                <w14:textFill>
                  <w14:solidFill>
                    <w14:schemeClr w14:val="tx1"/>
                  </w14:solidFill>
                </w14:textFill>
              </w:rPr>
              <w:t>布袋</w:t>
            </w:r>
            <w:r>
              <w:rPr>
                <w:color w:val="000000" w:themeColor="text1"/>
                <w:kern w:val="0"/>
                <w:sz w:val="21"/>
                <w:szCs w:val="21"/>
                <w:highlight w:val="none"/>
                <w14:textFill>
                  <w14:solidFill>
                    <w14:schemeClr w14:val="tx1"/>
                  </w14:solidFill>
                </w14:textFill>
              </w:rPr>
              <w:t>除尘器+</w:t>
            </w:r>
            <w:r>
              <w:rPr>
                <w:rFonts w:hint="eastAsia"/>
                <w:color w:val="000000" w:themeColor="text1"/>
                <w:kern w:val="0"/>
                <w:sz w:val="21"/>
                <w:szCs w:val="21"/>
                <w:highlight w:val="none"/>
                <w:lang w:val="en-US" w:eastAsia="zh-CN"/>
                <w14:textFill>
                  <w14:solidFill>
                    <w14:schemeClr w14:val="tx1"/>
                  </w14:solidFill>
                </w14:textFill>
              </w:rPr>
              <w:t>1</w:t>
            </w:r>
            <w:r>
              <w:rPr>
                <w:rFonts w:hint="eastAsia"/>
                <w:color w:val="000000" w:themeColor="text1"/>
                <w:kern w:val="0"/>
                <w:sz w:val="21"/>
                <w:szCs w:val="21"/>
                <w:highlight w:val="none"/>
                <w14:textFill>
                  <w14:solidFill>
                    <w14:schemeClr w14:val="tx1"/>
                  </w14:solidFill>
                </w14:textFill>
              </w:rPr>
              <w:t>5</w:t>
            </w:r>
            <w:r>
              <w:rPr>
                <w:color w:val="000000" w:themeColor="text1"/>
                <w:kern w:val="0"/>
                <w:sz w:val="21"/>
                <w:szCs w:val="21"/>
                <w:highlight w:val="none"/>
                <w14:textFill>
                  <w14:solidFill>
                    <w14:schemeClr w14:val="tx1"/>
                  </w14:solidFill>
                </w14:textFill>
              </w:rPr>
              <w:t>m排气筒</w:t>
            </w:r>
          </w:p>
        </w:tc>
        <w:tc>
          <w:tcPr>
            <w:tcW w:w="1251" w:type="pct"/>
            <w:vMerge w:val="restart"/>
            <w:shd w:val="clear" w:color="auto" w:fill="auto"/>
            <w:noWrap w:val="0"/>
            <w:vAlign w:val="center"/>
          </w:tcPr>
          <w:p w14:paraId="65724F4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《铁矿采选工业污染物排放标准》</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GB28661-2012</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（20mg/m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w:t>
            </w:r>
          </w:p>
        </w:tc>
      </w:tr>
      <w:tr w14:paraId="64ECC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50" w:type="pct"/>
            <w:vMerge w:val="continue"/>
            <w:shd w:val="clear" w:color="auto" w:fill="auto"/>
            <w:noWrap w:val="0"/>
            <w:vAlign w:val="center"/>
          </w:tcPr>
          <w:p w14:paraId="2779010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50" w:type="pct"/>
            <w:vMerge w:val="continue"/>
            <w:shd w:val="clear" w:color="auto" w:fill="auto"/>
            <w:noWrap w:val="0"/>
            <w:vAlign w:val="center"/>
          </w:tcPr>
          <w:p w14:paraId="412D56A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25" w:type="pct"/>
            <w:gridSpan w:val="2"/>
            <w:shd w:val="clear" w:color="auto" w:fill="auto"/>
            <w:noWrap w:val="0"/>
            <w:vAlign w:val="center"/>
          </w:tcPr>
          <w:p w14:paraId="1CF4EDBC">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磁选工序排气筒DA002</w:t>
            </w:r>
          </w:p>
        </w:tc>
        <w:tc>
          <w:tcPr>
            <w:tcW w:w="663" w:type="pct"/>
            <w:shd w:val="clear" w:color="auto" w:fill="auto"/>
            <w:noWrap w:val="0"/>
            <w:vAlign w:val="center"/>
          </w:tcPr>
          <w:p w14:paraId="2C22043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591" w:type="pct"/>
            <w:shd w:val="clear" w:color="auto" w:fill="auto"/>
            <w:noWrap w:val="0"/>
            <w:vAlign w:val="center"/>
          </w:tcPr>
          <w:p w14:paraId="500D6315">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1.16</w:t>
            </w:r>
            <w:r>
              <w:rPr>
                <w:color w:val="000000" w:themeColor="text1"/>
                <w:sz w:val="21"/>
                <w:szCs w:val="21"/>
                <w:highlight w:val="none"/>
                <w14:textFill>
                  <w14:solidFill>
                    <w14:schemeClr w14:val="tx1"/>
                  </w14:solidFill>
                </w14:textFill>
              </w:rPr>
              <w:t>t/a</w:t>
            </w:r>
          </w:p>
        </w:tc>
        <w:tc>
          <w:tcPr>
            <w:tcW w:w="1169" w:type="pct"/>
            <w:shd w:val="clear" w:color="auto" w:fill="auto"/>
            <w:noWrap w:val="0"/>
            <w:vAlign w:val="center"/>
          </w:tcPr>
          <w:p w14:paraId="7CAFD7CD">
            <w:pPr>
              <w:spacing w:line="360" w:lineRule="exact"/>
              <w:ind w:firstLine="0" w:firstLineChars="0"/>
              <w:jc w:val="center"/>
              <w:rPr>
                <w:color w:val="000000" w:themeColor="text1"/>
                <w:kern w:val="0"/>
                <w:sz w:val="21"/>
                <w:szCs w:val="21"/>
                <w:highlight w:val="none"/>
                <w14:textFill>
                  <w14:solidFill>
                    <w14:schemeClr w14:val="tx1"/>
                  </w14:solidFill>
                </w14:textFill>
              </w:rPr>
            </w:pPr>
            <w:r>
              <w:rPr>
                <w:color w:val="000000" w:themeColor="text1"/>
                <w:kern w:val="0"/>
                <w:sz w:val="21"/>
                <w:szCs w:val="21"/>
                <w:highlight w:val="none"/>
                <w14:textFill>
                  <w14:solidFill>
                    <w14:schemeClr w14:val="tx1"/>
                  </w14:solidFill>
                </w14:textFill>
              </w:rPr>
              <w:t>集气罩+</w:t>
            </w:r>
            <w:r>
              <w:rPr>
                <w:rFonts w:hint="eastAsia" w:eastAsia="宋体"/>
                <w:color w:val="000000" w:themeColor="text1"/>
                <w:sz w:val="21"/>
                <w:szCs w:val="21"/>
                <w:highlight w:val="none"/>
                <w14:textFill>
                  <w14:solidFill>
                    <w14:schemeClr w14:val="tx1"/>
                  </w14:solidFill>
                </w14:textFill>
              </w:rPr>
              <w:t>布袋</w:t>
            </w:r>
            <w:r>
              <w:rPr>
                <w:color w:val="000000" w:themeColor="text1"/>
                <w:kern w:val="0"/>
                <w:sz w:val="21"/>
                <w:szCs w:val="21"/>
                <w:highlight w:val="none"/>
                <w14:textFill>
                  <w14:solidFill>
                    <w14:schemeClr w14:val="tx1"/>
                  </w14:solidFill>
                </w14:textFill>
              </w:rPr>
              <w:t>除尘器+</w:t>
            </w:r>
            <w:r>
              <w:rPr>
                <w:rFonts w:hint="eastAsia"/>
                <w:color w:val="000000" w:themeColor="text1"/>
                <w:kern w:val="0"/>
                <w:sz w:val="21"/>
                <w:szCs w:val="21"/>
                <w:highlight w:val="none"/>
                <w:lang w:val="en-US" w:eastAsia="zh-CN"/>
                <w14:textFill>
                  <w14:solidFill>
                    <w14:schemeClr w14:val="tx1"/>
                  </w14:solidFill>
                </w14:textFill>
              </w:rPr>
              <w:t>1</w:t>
            </w:r>
            <w:r>
              <w:rPr>
                <w:rFonts w:hint="eastAsia"/>
                <w:color w:val="000000" w:themeColor="text1"/>
                <w:kern w:val="0"/>
                <w:sz w:val="21"/>
                <w:szCs w:val="21"/>
                <w:highlight w:val="none"/>
                <w14:textFill>
                  <w14:solidFill>
                    <w14:schemeClr w14:val="tx1"/>
                  </w14:solidFill>
                </w14:textFill>
              </w:rPr>
              <w:t>5</w:t>
            </w:r>
            <w:r>
              <w:rPr>
                <w:color w:val="000000" w:themeColor="text1"/>
                <w:kern w:val="0"/>
                <w:sz w:val="21"/>
                <w:szCs w:val="21"/>
                <w:highlight w:val="none"/>
                <w14:textFill>
                  <w14:solidFill>
                    <w14:schemeClr w14:val="tx1"/>
                  </w14:solidFill>
                </w14:textFill>
              </w:rPr>
              <w:t>m排气筒</w:t>
            </w:r>
          </w:p>
        </w:tc>
        <w:tc>
          <w:tcPr>
            <w:tcW w:w="1251" w:type="pct"/>
            <w:vMerge w:val="continue"/>
            <w:shd w:val="clear" w:color="auto" w:fill="auto"/>
            <w:noWrap w:val="0"/>
            <w:vAlign w:val="center"/>
          </w:tcPr>
          <w:p w14:paraId="4AF99DEF">
            <w:pPr>
              <w:spacing w:line="360" w:lineRule="exact"/>
              <w:ind w:firstLine="0" w:firstLineChars="0"/>
              <w:jc w:val="center"/>
              <w:rPr>
                <w:color w:val="000000" w:themeColor="text1"/>
                <w:sz w:val="21"/>
                <w:szCs w:val="21"/>
                <w:highlight w:val="none"/>
                <w14:textFill>
                  <w14:solidFill>
                    <w14:schemeClr w14:val="tx1"/>
                  </w14:solidFill>
                </w14:textFill>
              </w:rPr>
            </w:pPr>
          </w:p>
        </w:tc>
      </w:tr>
      <w:tr w14:paraId="19F0D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shd w:val="clear" w:color="auto" w:fill="auto"/>
            <w:noWrap w:val="0"/>
            <w:vAlign w:val="center"/>
          </w:tcPr>
          <w:p w14:paraId="1B18F7F3">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50" w:type="pct"/>
            <w:vMerge w:val="restart"/>
            <w:shd w:val="clear" w:color="auto" w:fill="auto"/>
            <w:noWrap w:val="0"/>
            <w:vAlign w:val="center"/>
          </w:tcPr>
          <w:p w14:paraId="0BAC360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无组织</w:t>
            </w:r>
          </w:p>
        </w:tc>
        <w:tc>
          <w:tcPr>
            <w:tcW w:w="1406" w:type="dxa"/>
            <w:gridSpan w:val="2"/>
            <w:shd w:val="clear" w:color="auto" w:fill="auto"/>
            <w:noWrap w:val="0"/>
            <w:vAlign w:val="center"/>
          </w:tcPr>
          <w:p w14:paraId="1639276A">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破碎筛分</w:t>
            </w:r>
            <w:r>
              <w:rPr>
                <w:rFonts w:hint="eastAsia"/>
                <w:color w:val="000000" w:themeColor="text1"/>
                <w:sz w:val="21"/>
                <w:szCs w:val="21"/>
                <w:highlight w:val="none"/>
                <w14:textFill>
                  <w14:solidFill>
                    <w14:schemeClr w14:val="tx1"/>
                  </w14:solidFill>
                </w14:textFill>
              </w:rPr>
              <w:t>车间</w:t>
            </w:r>
          </w:p>
        </w:tc>
        <w:tc>
          <w:tcPr>
            <w:tcW w:w="663" w:type="pct"/>
            <w:shd w:val="clear" w:color="auto" w:fill="auto"/>
            <w:noWrap w:val="0"/>
            <w:vAlign w:val="center"/>
          </w:tcPr>
          <w:p w14:paraId="4B0E4363">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591" w:type="pct"/>
            <w:shd w:val="clear" w:color="auto" w:fill="auto"/>
            <w:noWrap w:val="0"/>
            <w:vAlign w:val="center"/>
          </w:tcPr>
          <w:p w14:paraId="3E4EB8C3">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0.50</w:t>
            </w:r>
            <w:r>
              <w:rPr>
                <w:color w:val="000000" w:themeColor="text1"/>
                <w:sz w:val="21"/>
                <w:szCs w:val="21"/>
                <w:highlight w:val="none"/>
                <w14:textFill>
                  <w14:solidFill>
                    <w14:schemeClr w14:val="tx1"/>
                  </w14:solidFill>
                </w14:textFill>
              </w:rPr>
              <w:t>t/a</w:t>
            </w:r>
          </w:p>
        </w:tc>
        <w:tc>
          <w:tcPr>
            <w:tcW w:w="1169" w:type="pct"/>
            <w:shd w:val="clear" w:color="auto" w:fill="auto"/>
            <w:noWrap w:val="0"/>
            <w:vAlign w:val="center"/>
          </w:tcPr>
          <w:p w14:paraId="14F4912F">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车间封闭，</w:t>
            </w:r>
            <w:r>
              <w:rPr>
                <w:rFonts w:hint="eastAsia"/>
                <w:color w:val="000000" w:themeColor="text1"/>
                <w:kern w:val="0"/>
                <w:sz w:val="21"/>
                <w:szCs w:val="21"/>
                <w:highlight w:val="none"/>
                <w:lang w:val="en-US" w:eastAsia="zh-CN"/>
                <w14:textFill>
                  <w14:solidFill>
                    <w14:schemeClr w14:val="tx1"/>
                  </w14:solidFill>
                </w14:textFill>
              </w:rPr>
              <w:t>喷雾抑尘</w:t>
            </w:r>
          </w:p>
        </w:tc>
        <w:tc>
          <w:tcPr>
            <w:tcW w:w="1251" w:type="pct"/>
            <w:vMerge w:val="restart"/>
            <w:shd w:val="clear" w:color="auto" w:fill="auto"/>
            <w:noWrap w:val="0"/>
            <w:vAlign w:val="center"/>
          </w:tcPr>
          <w:p w14:paraId="3132A6B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《铁矿采选工业污染物排放标准》</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GB28661-2012</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（1.0mg/m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w:t>
            </w:r>
          </w:p>
        </w:tc>
      </w:tr>
      <w:tr w14:paraId="02611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shd w:val="clear" w:color="auto" w:fill="auto"/>
            <w:noWrap w:val="0"/>
            <w:vAlign w:val="center"/>
          </w:tcPr>
          <w:p w14:paraId="7B9B4B8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50" w:type="pct"/>
            <w:vMerge w:val="continue"/>
            <w:shd w:val="clear" w:color="auto" w:fill="auto"/>
            <w:noWrap w:val="0"/>
            <w:vAlign w:val="center"/>
          </w:tcPr>
          <w:p w14:paraId="2EFDE8CE">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406" w:type="dxa"/>
            <w:gridSpan w:val="2"/>
            <w:shd w:val="clear" w:color="auto" w:fill="auto"/>
            <w:noWrap w:val="0"/>
            <w:vAlign w:val="center"/>
          </w:tcPr>
          <w:p w14:paraId="21E62D61">
            <w:pPr>
              <w:spacing w:line="360" w:lineRule="exact"/>
              <w:ind w:firstLine="0" w:firstLineChars="0"/>
              <w:jc w:val="center"/>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磁选</w:t>
            </w:r>
            <w:r>
              <w:rPr>
                <w:rFonts w:hint="eastAsia"/>
                <w:color w:val="000000" w:themeColor="text1"/>
                <w:sz w:val="21"/>
                <w:szCs w:val="21"/>
                <w:highlight w:val="none"/>
                <w14:textFill>
                  <w14:solidFill>
                    <w14:schemeClr w14:val="tx1"/>
                  </w14:solidFill>
                </w14:textFill>
              </w:rPr>
              <w:t>车间</w:t>
            </w:r>
          </w:p>
        </w:tc>
        <w:tc>
          <w:tcPr>
            <w:tcW w:w="663" w:type="pct"/>
            <w:shd w:val="clear" w:color="auto" w:fill="auto"/>
            <w:noWrap w:val="0"/>
            <w:vAlign w:val="center"/>
          </w:tcPr>
          <w:p w14:paraId="04EA99FA">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591" w:type="pct"/>
            <w:shd w:val="clear" w:color="auto" w:fill="auto"/>
            <w:noWrap w:val="0"/>
            <w:vAlign w:val="center"/>
          </w:tcPr>
          <w:p w14:paraId="6F6D459A">
            <w:pPr>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1.29</w:t>
            </w:r>
            <w:r>
              <w:rPr>
                <w:color w:val="000000" w:themeColor="text1"/>
                <w:sz w:val="21"/>
                <w:szCs w:val="21"/>
                <w:highlight w:val="none"/>
                <w14:textFill>
                  <w14:solidFill>
                    <w14:schemeClr w14:val="tx1"/>
                  </w14:solidFill>
                </w14:textFill>
              </w:rPr>
              <w:t>t/a</w:t>
            </w:r>
          </w:p>
        </w:tc>
        <w:tc>
          <w:tcPr>
            <w:tcW w:w="1169" w:type="pct"/>
            <w:shd w:val="clear" w:color="auto" w:fill="auto"/>
            <w:noWrap w:val="0"/>
            <w:vAlign w:val="center"/>
          </w:tcPr>
          <w:p w14:paraId="4DFCAF72">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车间封闭，</w:t>
            </w:r>
            <w:r>
              <w:rPr>
                <w:rFonts w:hint="eastAsia"/>
                <w:color w:val="000000" w:themeColor="text1"/>
                <w:kern w:val="0"/>
                <w:sz w:val="21"/>
                <w:szCs w:val="21"/>
                <w:highlight w:val="none"/>
                <w:lang w:val="en-US" w:eastAsia="zh-CN"/>
                <w14:textFill>
                  <w14:solidFill>
                    <w14:schemeClr w14:val="tx1"/>
                  </w14:solidFill>
                </w14:textFill>
              </w:rPr>
              <w:t>喷雾抑尘</w:t>
            </w:r>
          </w:p>
        </w:tc>
        <w:tc>
          <w:tcPr>
            <w:tcW w:w="1251" w:type="pct"/>
            <w:vMerge w:val="continue"/>
            <w:shd w:val="clear" w:color="auto" w:fill="auto"/>
            <w:noWrap w:val="0"/>
            <w:vAlign w:val="center"/>
          </w:tcPr>
          <w:p w14:paraId="3D75933D">
            <w:pPr>
              <w:spacing w:line="360" w:lineRule="exact"/>
              <w:ind w:firstLine="0" w:firstLineChars="0"/>
              <w:jc w:val="center"/>
              <w:rPr>
                <w:color w:val="000000" w:themeColor="text1"/>
                <w:sz w:val="21"/>
                <w:szCs w:val="21"/>
                <w:highlight w:val="none"/>
                <w14:textFill>
                  <w14:solidFill>
                    <w14:schemeClr w14:val="tx1"/>
                  </w14:solidFill>
                </w14:textFill>
              </w:rPr>
            </w:pPr>
          </w:p>
        </w:tc>
      </w:tr>
      <w:tr w14:paraId="00FF0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0" w:type="pct"/>
            <w:vMerge w:val="continue"/>
            <w:shd w:val="clear" w:color="auto" w:fill="auto"/>
            <w:noWrap w:val="0"/>
            <w:vAlign w:val="center"/>
          </w:tcPr>
          <w:p w14:paraId="7DB446A1">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50" w:type="pct"/>
            <w:vMerge w:val="continue"/>
            <w:shd w:val="clear" w:color="auto" w:fill="auto"/>
            <w:noWrap w:val="0"/>
            <w:vAlign w:val="center"/>
          </w:tcPr>
          <w:p w14:paraId="1AB50CA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406" w:type="dxa"/>
            <w:gridSpan w:val="2"/>
            <w:shd w:val="clear" w:color="auto" w:fill="auto"/>
            <w:noWrap w:val="0"/>
            <w:vAlign w:val="center"/>
          </w:tcPr>
          <w:p w14:paraId="6AB644F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尾矿库</w:t>
            </w:r>
          </w:p>
        </w:tc>
        <w:tc>
          <w:tcPr>
            <w:tcW w:w="663" w:type="pct"/>
            <w:shd w:val="clear" w:color="auto" w:fill="auto"/>
            <w:noWrap w:val="0"/>
            <w:vAlign w:val="center"/>
          </w:tcPr>
          <w:p w14:paraId="4739407E">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591" w:type="pct"/>
            <w:shd w:val="clear" w:color="auto" w:fill="auto"/>
            <w:noWrap w:val="0"/>
            <w:vAlign w:val="center"/>
          </w:tcPr>
          <w:p w14:paraId="14F28B7B">
            <w:pPr>
              <w:kinsoku w:val="0"/>
              <w:overflowPunct w:val="0"/>
              <w:autoSpaceDE w:val="0"/>
              <w:autoSpaceDN w:val="0"/>
              <w:adjustRightInd w:val="0"/>
              <w:snapToGrid w:val="0"/>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w:t>
            </w:r>
            <w:r>
              <w:rPr>
                <w:color w:val="000000" w:themeColor="text1"/>
                <w:sz w:val="21"/>
                <w:szCs w:val="21"/>
                <w:highlight w:val="none"/>
                <w14:textFill>
                  <w14:solidFill>
                    <w14:schemeClr w14:val="tx1"/>
                  </w14:solidFill>
                </w14:textFill>
              </w:rPr>
              <w:t>t/a</w:t>
            </w:r>
          </w:p>
        </w:tc>
        <w:tc>
          <w:tcPr>
            <w:tcW w:w="1169" w:type="pct"/>
            <w:shd w:val="clear" w:color="auto" w:fill="auto"/>
            <w:noWrap w:val="0"/>
            <w:vAlign w:val="center"/>
          </w:tcPr>
          <w:p w14:paraId="15CE661A">
            <w:pPr>
              <w:spacing w:line="360" w:lineRule="exact"/>
              <w:ind w:firstLine="0" w:firstLineChars="0"/>
              <w:jc w:val="center"/>
              <w:rPr>
                <w:color w:val="000000" w:themeColor="text1"/>
                <w:spacing w:val="-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定期洒水降尘</w:t>
            </w:r>
          </w:p>
        </w:tc>
        <w:tc>
          <w:tcPr>
            <w:tcW w:w="1251" w:type="pct"/>
            <w:vMerge w:val="continue"/>
            <w:shd w:val="clear" w:color="auto" w:fill="auto"/>
            <w:noWrap w:val="0"/>
            <w:vAlign w:val="center"/>
          </w:tcPr>
          <w:p w14:paraId="5CAFC621">
            <w:pPr>
              <w:spacing w:line="360" w:lineRule="exact"/>
              <w:ind w:firstLine="0" w:firstLineChars="0"/>
              <w:jc w:val="center"/>
              <w:rPr>
                <w:color w:val="000000" w:themeColor="text1"/>
                <w:sz w:val="21"/>
                <w:szCs w:val="21"/>
                <w:highlight w:val="none"/>
                <w14:textFill>
                  <w14:solidFill>
                    <w14:schemeClr w14:val="tx1"/>
                  </w14:solidFill>
                </w14:textFill>
              </w:rPr>
            </w:pPr>
          </w:p>
        </w:tc>
      </w:tr>
      <w:tr w14:paraId="069D7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0" w:type="pct"/>
            <w:vMerge w:val="continue"/>
            <w:shd w:val="clear" w:color="auto" w:fill="auto"/>
            <w:noWrap w:val="0"/>
            <w:vAlign w:val="center"/>
          </w:tcPr>
          <w:p w14:paraId="692944E6">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50" w:type="pct"/>
            <w:vMerge w:val="continue"/>
            <w:shd w:val="clear" w:color="auto" w:fill="auto"/>
            <w:noWrap w:val="0"/>
            <w:vAlign w:val="center"/>
          </w:tcPr>
          <w:p w14:paraId="25E68F84">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406" w:type="dxa"/>
            <w:gridSpan w:val="2"/>
            <w:shd w:val="clear" w:color="auto" w:fill="auto"/>
            <w:noWrap w:val="0"/>
            <w:vAlign w:val="center"/>
          </w:tcPr>
          <w:p w14:paraId="62E35DDA">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原矿仓</w:t>
            </w:r>
          </w:p>
        </w:tc>
        <w:tc>
          <w:tcPr>
            <w:tcW w:w="663" w:type="pct"/>
            <w:shd w:val="clear" w:color="auto" w:fill="auto"/>
            <w:noWrap w:val="0"/>
            <w:vAlign w:val="center"/>
          </w:tcPr>
          <w:p w14:paraId="1415605A">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591" w:type="pct"/>
            <w:shd w:val="clear" w:color="auto" w:fill="auto"/>
            <w:noWrap w:val="0"/>
            <w:vAlign w:val="center"/>
          </w:tcPr>
          <w:p w14:paraId="63893E89">
            <w:pPr>
              <w:kinsoku w:val="0"/>
              <w:overflowPunct w:val="0"/>
              <w:autoSpaceDE w:val="0"/>
              <w:autoSpaceDN w:val="0"/>
              <w:adjustRightInd w:val="0"/>
              <w:snapToGrid w:val="0"/>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0.35</w:t>
            </w:r>
            <w:r>
              <w:rPr>
                <w:color w:val="000000" w:themeColor="text1"/>
                <w:sz w:val="21"/>
                <w:szCs w:val="21"/>
                <w:highlight w:val="none"/>
                <w14:textFill>
                  <w14:solidFill>
                    <w14:schemeClr w14:val="tx1"/>
                  </w14:solidFill>
                </w14:textFill>
              </w:rPr>
              <w:t>t/a</w:t>
            </w:r>
          </w:p>
        </w:tc>
        <w:tc>
          <w:tcPr>
            <w:tcW w:w="1169" w:type="pct"/>
            <w:shd w:val="clear" w:color="auto" w:fill="auto"/>
            <w:noWrap w:val="0"/>
            <w:vAlign w:val="center"/>
          </w:tcPr>
          <w:p w14:paraId="4AA57D3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封闭设计</w:t>
            </w:r>
            <w:r>
              <w:rPr>
                <w:rFonts w:hint="eastAsia"/>
                <w:color w:val="000000" w:themeColor="text1"/>
                <w:kern w:val="0"/>
                <w:sz w:val="21"/>
                <w:szCs w:val="21"/>
                <w:highlight w:val="none"/>
                <w14:textFill>
                  <w14:solidFill>
                    <w14:schemeClr w14:val="tx1"/>
                  </w14:solidFill>
                </w14:textFill>
              </w:rPr>
              <w:t>，</w:t>
            </w:r>
            <w:r>
              <w:rPr>
                <w:color w:val="000000" w:themeColor="text1"/>
                <w:kern w:val="0"/>
                <w:sz w:val="21"/>
                <w:szCs w:val="21"/>
                <w:highlight w:val="none"/>
                <w14:textFill>
                  <w14:solidFill>
                    <w14:schemeClr w14:val="tx1"/>
                  </w14:solidFill>
                </w14:textFill>
              </w:rPr>
              <w:t>洒水抑尘</w:t>
            </w:r>
          </w:p>
        </w:tc>
        <w:tc>
          <w:tcPr>
            <w:tcW w:w="1251" w:type="pct"/>
            <w:vMerge w:val="continue"/>
            <w:shd w:val="clear" w:color="auto" w:fill="auto"/>
            <w:noWrap w:val="0"/>
            <w:vAlign w:val="center"/>
          </w:tcPr>
          <w:p w14:paraId="6E34D1D9">
            <w:pPr>
              <w:spacing w:line="360" w:lineRule="exact"/>
              <w:ind w:firstLine="0" w:firstLineChars="0"/>
              <w:jc w:val="center"/>
              <w:rPr>
                <w:color w:val="000000" w:themeColor="text1"/>
                <w:sz w:val="21"/>
                <w:szCs w:val="21"/>
                <w:highlight w:val="none"/>
                <w14:textFill>
                  <w14:solidFill>
                    <w14:schemeClr w14:val="tx1"/>
                  </w14:solidFill>
                </w14:textFill>
              </w:rPr>
            </w:pPr>
          </w:p>
        </w:tc>
      </w:tr>
      <w:tr w14:paraId="0B68C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0" w:type="pct"/>
            <w:vMerge w:val="continue"/>
            <w:shd w:val="clear" w:color="auto" w:fill="auto"/>
            <w:noWrap w:val="0"/>
            <w:vAlign w:val="center"/>
          </w:tcPr>
          <w:p w14:paraId="1F1856E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50" w:type="pct"/>
            <w:vMerge w:val="continue"/>
            <w:shd w:val="clear" w:color="auto" w:fill="auto"/>
            <w:noWrap w:val="0"/>
            <w:vAlign w:val="center"/>
          </w:tcPr>
          <w:p w14:paraId="2FF8AE5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406" w:type="dxa"/>
            <w:gridSpan w:val="2"/>
            <w:shd w:val="clear" w:color="auto" w:fill="auto"/>
            <w:noWrap w:val="0"/>
            <w:vAlign w:val="center"/>
          </w:tcPr>
          <w:p w14:paraId="4FFB6AC6">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精矿库</w:t>
            </w:r>
          </w:p>
        </w:tc>
        <w:tc>
          <w:tcPr>
            <w:tcW w:w="663" w:type="pct"/>
            <w:shd w:val="clear" w:color="auto" w:fill="auto"/>
            <w:noWrap w:val="0"/>
            <w:vAlign w:val="center"/>
          </w:tcPr>
          <w:p w14:paraId="092F87A7">
            <w:pPr>
              <w:spacing w:line="360" w:lineRule="exact"/>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591" w:type="pct"/>
            <w:shd w:val="clear" w:color="auto" w:fill="auto"/>
            <w:noWrap w:val="0"/>
            <w:vAlign w:val="center"/>
          </w:tcPr>
          <w:p w14:paraId="11D7E786">
            <w:pPr>
              <w:kinsoku w:val="0"/>
              <w:overflowPunct w:val="0"/>
              <w:autoSpaceDE w:val="0"/>
              <w:autoSpaceDN w:val="0"/>
              <w:adjustRightInd w:val="0"/>
              <w:snapToGrid w:val="0"/>
              <w:spacing w:line="360" w:lineRule="exact"/>
              <w:ind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0.22</w:t>
            </w:r>
            <w:r>
              <w:rPr>
                <w:color w:val="000000" w:themeColor="text1"/>
                <w:sz w:val="21"/>
                <w:szCs w:val="21"/>
                <w:highlight w:val="none"/>
                <w14:textFill>
                  <w14:solidFill>
                    <w14:schemeClr w14:val="tx1"/>
                  </w14:solidFill>
                </w14:textFill>
              </w:rPr>
              <w:t>t/a</w:t>
            </w:r>
          </w:p>
        </w:tc>
        <w:tc>
          <w:tcPr>
            <w:tcW w:w="1169" w:type="pct"/>
            <w:shd w:val="clear" w:color="auto" w:fill="auto"/>
            <w:noWrap w:val="0"/>
            <w:vAlign w:val="center"/>
          </w:tcPr>
          <w:p w14:paraId="02AE4C9A">
            <w:pPr>
              <w:spacing w:line="360" w:lineRule="exact"/>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采用封闭式精矿库</w:t>
            </w:r>
          </w:p>
        </w:tc>
        <w:tc>
          <w:tcPr>
            <w:tcW w:w="1251" w:type="pct"/>
            <w:vMerge w:val="continue"/>
            <w:shd w:val="clear" w:color="auto" w:fill="auto"/>
            <w:noWrap w:val="0"/>
            <w:vAlign w:val="center"/>
          </w:tcPr>
          <w:p w14:paraId="2CA1F2CC">
            <w:pPr>
              <w:spacing w:line="360" w:lineRule="exact"/>
              <w:ind w:firstLine="0" w:firstLineChars="0"/>
              <w:jc w:val="center"/>
              <w:rPr>
                <w:color w:val="000000" w:themeColor="text1"/>
                <w:sz w:val="21"/>
                <w:szCs w:val="21"/>
                <w:highlight w:val="none"/>
                <w14:textFill>
                  <w14:solidFill>
                    <w14:schemeClr w14:val="tx1"/>
                  </w14:solidFill>
                </w14:textFill>
              </w:rPr>
            </w:pPr>
          </w:p>
        </w:tc>
      </w:tr>
      <w:tr w14:paraId="5283A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0" w:type="pct"/>
            <w:vMerge w:val="continue"/>
            <w:shd w:val="clear" w:color="auto" w:fill="auto"/>
            <w:noWrap w:val="0"/>
            <w:vAlign w:val="center"/>
          </w:tcPr>
          <w:p w14:paraId="313B6098">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50" w:type="pct"/>
            <w:vMerge w:val="continue"/>
            <w:shd w:val="clear" w:color="auto" w:fill="auto"/>
            <w:noWrap w:val="0"/>
            <w:vAlign w:val="center"/>
          </w:tcPr>
          <w:p w14:paraId="2F97494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25" w:type="pct"/>
            <w:gridSpan w:val="2"/>
            <w:shd w:val="clear" w:color="auto" w:fill="auto"/>
            <w:noWrap w:val="0"/>
            <w:vAlign w:val="center"/>
          </w:tcPr>
          <w:p w14:paraId="27AE904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道路扬尘</w:t>
            </w:r>
          </w:p>
        </w:tc>
        <w:tc>
          <w:tcPr>
            <w:tcW w:w="663" w:type="pct"/>
            <w:shd w:val="clear" w:color="auto" w:fill="auto"/>
            <w:noWrap w:val="0"/>
            <w:vAlign w:val="center"/>
          </w:tcPr>
          <w:p w14:paraId="4E15B199">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粉尘</w:t>
            </w:r>
          </w:p>
        </w:tc>
        <w:tc>
          <w:tcPr>
            <w:tcW w:w="591" w:type="pct"/>
            <w:shd w:val="clear" w:color="auto" w:fill="auto"/>
            <w:noWrap w:val="0"/>
            <w:vAlign w:val="center"/>
          </w:tcPr>
          <w:p w14:paraId="6C167971">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5.16</w:t>
            </w:r>
            <w:r>
              <w:rPr>
                <w:color w:val="000000" w:themeColor="text1"/>
                <w:sz w:val="21"/>
                <w:szCs w:val="21"/>
                <w:highlight w:val="none"/>
                <w14:textFill>
                  <w14:solidFill>
                    <w14:schemeClr w14:val="tx1"/>
                  </w14:solidFill>
                </w14:textFill>
              </w:rPr>
              <w:t>t/a</w:t>
            </w:r>
          </w:p>
        </w:tc>
        <w:tc>
          <w:tcPr>
            <w:tcW w:w="1169" w:type="pct"/>
            <w:shd w:val="clear" w:color="auto" w:fill="auto"/>
            <w:noWrap w:val="0"/>
            <w:vAlign w:val="center"/>
          </w:tcPr>
          <w:p w14:paraId="6F0CF81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定期洒水降尘</w:t>
            </w:r>
          </w:p>
        </w:tc>
        <w:tc>
          <w:tcPr>
            <w:tcW w:w="1251" w:type="pct"/>
            <w:vMerge w:val="continue"/>
            <w:shd w:val="clear" w:color="auto" w:fill="auto"/>
            <w:noWrap w:val="0"/>
            <w:vAlign w:val="center"/>
          </w:tcPr>
          <w:p w14:paraId="3BB64B29">
            <w:pPr>
              <w:spacing w:line="360" w:lineRule="exact"/>
              <w:ind w:firstLine="0" w:firstLineChars="0"/>
              <w:jc w:val="center"/>
              <w:rPr>
                <w:color w:val="000000" w:themeColor="text1"/>
                <w:sz w:val="21"/>
                <w:szCs w:val="21"/>
                <w:highlight w:val="none"/>
                <w14:textFill>
                  <w14:solidFill>
                    <w14:schemeClr w14:val="tx1"/>
                  </w14:solidFill>
                </w14:textFill>
              </w:rPr>
            </w:pPr>
          </w:p>
        </w:tc>
      </w:tr>
      <w:tr w14:paraId="2CB09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50" w:type="pct"/>
            <w:vMerge w:val="continue"/>
            <w:shd w:val="clear" w:color="auto" w:fill="auto"/>
            <w:noWrap w:val="0"/>
            <w:vAlign w:val="center"/>
          </w:tcPr>
          <w:p w14:paraId="707D8A9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50" w:type="pct"/>
            <w:vMerge w:val="continue"/>
            <w:shd w:val="clear" w:color="auto" w:fill="auto"/>
            <w:noWrap w:val="0"/>
            <w:vAlign w:val="center"/>
          </w:tcPr>
          <w:p w14:paraId="5844CFC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424" w:type="pct"/>
            <w:vMerge w:val="restart"/>
            <w:shd w:val="clear" w:color="auto" w:fill="auto"/>
            <w:noWrap w:val="0"/>
            <w:vAlign w:val="center"/>
          </w:tcPr>
          <w:p w14:paraId="3DFB265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汽车尾气</w:t>
            </w:r>
          </w:p>
        </w:tc>
        <w:tc>
          <w:tcPr>
            <w:tcW w:w="400" w:type="pct"/>
            <w:shd w:val="clear" w:color="auto" w:fill="auto"/>
            <w:noWrap w:val="0"/>
            <w:vAlign w:val="center"/>
          </w:tcPr>
          <w:p w14:paraId="38CF31B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w:t>
            </w:r>
          </w:p>
        </w:tc>
        <w:tc>
          <w:tcPr>
            <w:tcW w:w="663" w:type="pct"/>
            <w:shd w:val="clear" w:color="auto" w:fill="auto"/>
            <w:noWrap w:val="0"/>
            <w:vAlign w:val="center"/>
          </w:tcPr>
          <w:p w14:paraId="54B57388">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w:t>
            </w:r>
          </w:p>
        </w:tc>
        <w:tc>
          <w:tcPr>
            <w:tcW w:w="591" w:type="pct"/>
            <w:shd w:val="clear" w:color="auto" w:fill="auto"/>
            <w:noWrap w:val="0"/>
            <w:vAlign w:val="center"/>
          </w:tcPr>
          <w:p w14:paraId="0F8B1C03">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2.15</w:t>
            </w:r>
            <w:r>
              <w:rPr>
                <w:color w:val="000000" w:themeColor="text1"/>
                <w:sz w:val="21"/>
                <w:szCs w:val="21"/>
                <w:highlight w:val="none"/>
                <w14:textFill>
                  <w14:solidFill>
                    <w14:schemeClr w14:val="tx1"/>
                  </w14:solidFill>
                </w14:textFill>
              </w:rPr>
              <w:t>t/a</w:t>
            </w:r>
          </w:p>
        </w:tc>
        <w:tc>
          <w:tcPr>
            <w:tcW w:w="1169" w:type="pct"/>
            <w:vMerge w:val="restart"/>
            <w:shd w:val="clear" w:color="auto" w:fill="auto"/>
            <w:noWrap w:val="0"/>
            <w:vAlign w:val="center"/>
          </w:tcPr>
          <w:p w14:paraId="2E70B531">
            <w:pPr>
              <w:pStyle w:val="80"/>
              <w:spacing w:line="360" w:lineRule="exact"/>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251" w:type="pct"/>
            <w:vMerge w:val="restart"/>
            <w:shd w:val="clear" w:color="auto" w:fill="auto"/>
            <w:noWrap w:val="0"/>
            <w:vAlign w:val="center"/>
          </w:tcPr>
          <w:p w14:paraId="746AC935">
            <w:pPr>
              <w:pStyle w:val="80"/>
              <w:spacing w:line="360" w:lineRule="exact"/>
              <w:ind w:firstLine="0" w:firstLineChars="0"/>
              <w:rPr>
                <w:color w:val="000000" w:themeColor="text1"/>
                <w:kern w:val="2"/>
                <w:sz w:val="21"/>
                <w:szCs w:val="21"/>
                <w:highlight w:val="none"/>
                <w14:textFill>
                  <w14:solidFill>
                    <w14:schemeClr w14:val="tx1"/>
                  </w14:solidFill>
                </w14:textFill>
              </w:rPr>
            </w:pPr>
            <w:r>
              <w:rPr>
                <w:color w:val="000000" w:themeColor="text1"/>
                <w:kern w:val="2"/>
                <w:sz w:val="21"/>
                <w:szCs w:val="21"/>
                <w:highlight w:val="none"/>
                <w14:textFill>
                  <w14:solidFill>
                    <w14:schemeClr w14:val="tx1"/>
                  </w14:solidFill>
                </w14:textFill>
              </w:rPr>
              <w:t>/</w:t>
            </w:r>
          </w:p>
        </w:tc>
      </w:tr>
      <w:tr w14:paraId="40406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50" w:type="pct"/>
            <w:vMerge w:val="continue"/>
            <w:shd w:val="clear" w:color="auto" w:fill="auto"/>
            <w:noWrap w:val="0"/>
            <w:vAlign w:val="center"/>
          </w:tcPr>
          <w:p w14:paraId="04B31AF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50" w:type="pct"/>
            <w:vMerge w:val="continue"/>
            <w:shd w:val="clear" w:color="auto" w:fill="auto"/>
            <w:noWrap w:val="0"/>
            <w:vAlign w:val="center"/>
          </w:tcPr>
          <w:p w14:paraId="4CF8152B">
            <w:pPr>
              <w:spacing w:line="360" w:lineRule="exact"/>
              <w:ind w:firstLine="0" w:firstLineChars="0"/>
              <w:jc w:val="center"/>
              <w:rPr>
                <w:color w:val="000000" w:themeColor="text1"/>
                <w:sz w:val="21"/>
                <w:szCs w:val="21"/>
                <w:highlight w:val="none"/>
                <w14:textFill>
                  <w14:solidFill>
                    <w14:schemeClr w14:val="tx1"/>
                  </w14:solidFill>
                </w14:textFill>
              </w:rPr>
            </w:pPr>
          </w:p>
        </w:tc>
        <w:tc>
          <w:tcPr>
            <w:tcW w:w="424" w:type="pct"/>
            <w:vMerge w:val="continue"/>
            <w:shd w:val="clear" w:color="auto" w:fill="auto"/>
            <w:noWrap w:val="0"/>
            <w:vAlign w:val="center"/>
          </w:tcPr>
          <w:p w14:paraId="732C4DE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400" w:type="pct"/>
            <w:shd w:val="clear" w:color="auto" w:fill="auto"/>
            <w:noWrap w:val="0"/>
            <w:vAlign w:val="center"/>
          </w:tcPr>
          <w:p w14:paraId="6970DCD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n</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m</w:t>
            </w:r>
          </w:p>
        </w:tc>
        <w:tc>
          <w:tcPr>
            <w:tcW w:w="663" w:type="pct"/>
            <w:shd w:val="clear" w:color="auto" w:fill="auto"/>
            <w:noWrap w:val="0"/>
            <w:vAlign w:val="center"/>
          </w:tcPr>
          <w:p w14:paraId="3DE9E5BF">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n</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m</w:t>
            </w:r>
          </w:p>
        </w:tc>
        <w:tc>
          <w:tcPr>
            <w:tcW w:w="591" w:type="pct"/>
            <w:shd w:val="clear" w:color="auto" w:fill="auto"/>
            <w:noWrap w:val="0"/>
            <w:vAlign w:val="center"/>
          </w:tcPr>
          <w:p w14:paraId="3647A85B">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w:t>
            </w:r>
            <w:r>
              <w:rPr>
                <w:color w:val="000000" w:themeColor="text1"/>
                <w:sz w:val="21"/>
                <w:szCs w:val="21"/>
                <w:highlight w:val="none"/>
                <w14:textFill>
                  <w14:solidFill>
                    <w14:schemeClr w14:val="tx1"/>
                  </w14:solidFill>
                </w14:textFill>
              </w:rPr>
              <w:t>t/a</w:t>
            </w:r>
          </w:p>
        </w:tc>
        <w:tc>
          <w:tcPr>
            <w:tcW w:w="1169" w:type="pct"/>
            <w:vMerge w:val="continue"/>
            <w:shd w:val="clear" w:color="auto" w:fill="auto"/>
            <w:noWrap w:val="0"/>
            <w:vAlign w:val="center"/>
          </w:tcPr>
          <w:p w14:paraId="013DB6AF">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251" w:type="pct"/>
            <w:vMerge w:val="continue"/>
            <w:shd w:val="clear" w:color="auto" w:fill="auto"/>
            <w:noWrap w:val="0"/>
            <w:vAlign w:val="center"/>
          </w:tcPr>
          <w:p w14:paraId="6CA76C25">
            <w:pPr>
              <w:spacing w:line="360" w:lineRule="exact"/>
              <w:ind w:firstLine="0" w:firstLineChars="0"/>
              <w:jc w:val="center"/>
              <w:rPr>
                <w:color w:val="000000" w:themeColor="text1"/>
                <w:sz w:val="21"/>
                <w:szCs w:val="21"/>
                <w:highlight w:val="none"/>
                <w14:textFill>
                  <w14:solidFill>
                    <w14:schemeClr w14:val="tx1"/>
                  </w14:solidFill>
                </w14:textFill>
              </w:rPr>
            </w:pPr>
          </w:p>
        </w:tc>
      </w:tr>
      <w:tr w14:paraId="6B50F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50" w:type="pct"/>
            <w:vMerge w:val="continue"/>
            <w:shd w:val="clear" w:color="auto" w:fill="auto"/>
            <w:noWrap w:val="0"/>
            <w:vAlign w:val="center"/>
          </w:tcPr>
          <w:p w14:paraId="1C42C094">
            <w:pPr>
              <w:spacing w:line="360" w:lineRule="exact"/>
              <w:ind w:firstLine="0" w:firstLineChars="0"/>
              <w:jc w:val="center"/>
              <w:rPr>
                <w:color w:val="000000" w:themeColor="text1"/>
                <w:sz w:val="21"/>
                <w:szCs w:val="21"/>
                <w:highlight w:val="none"/>
                <w14:textFill>
                  <w14:solidFill>
                    <w14:schemeClr w14:val="tx1"/>
                  </w14:solidFill>
                </w14:textFill>
              </w:rPr>
            </w:pPr>
          </w:p>
        </w:tc>
        <w:tc>
          <w:tcPr>
            <w:tcW w:w="250" w:type="pct"/>
            <w:vMerge w:val="continue"/>
            <w:shd w:val="clear" w:color="auto" w:fill="auto"/>
            <w:noWrap w:val="0"/>
            <w:vAlign w:val="center"/>
          </w:tcPr>
          <w:p w14:paraId="1B538902">
            <w:pPr>
              <w:spacing w:line="360" w:lineRule="exact"/>
              <w:ind w:firstLine="0" w:firstLineChars="0"/>
              <w:jc w:val="center"/>
              <w:rPr>
                <w:color w:val="000000" w:themeColor="text1"/>
                <w:sz w:val="21"/>
                <w:szCs w:val="21"/>
                <w:highlight w:val="none"/>
                <w14:textFill>
                  <w14:solidFill>
                    <w14:schemeClr w14:val="tx1"/>
                  </w14:solidFill>
                </w14:textFill>
              </w:rPr>
            </w:pPr>
          </w:p>
        </w:tc>
        <w:tc>
          <w:tcPr>
            <w:tcW w:w="424" w:type="pct"/>
            <w:vMerge w:val="continue"/>
            <w:shd w:val="clear" w:color="auto" w:fill="auto"/>
            <w:noWrap w:val="0"/>
            <w:vAlign w:val="center"/>
          </w:tcPr>
          <w:p w14:paraId="474CD976">
            <w:pPr>
              <w:spacing w:line="360" w:lineRule="exact"/>
              <w:ind w:firstLine="0" w:firstLineChars="0"/>
              <w:jc w:val="center"/>
              <w:rPr>
                <w:color w:val="000000" w:themeColor="text1"/>
                <w:sz w:val="21"/>
                <w:szCs w:val="21"/>
                <w:highlight w:val="none"/>
                <w14:textFill>
                  <w14:solidFill>
                    <w14:schemeClr w14:val="tx1"/>
                  </w14:solidFill>
                </w14:textFill>
              </w:rPr>
            </w:pPr>
          </w:p>
        </w:tc>
        <w:tc>
          <w:tcPr>
            <w:tcW w:w="400" w:type="pct"/>
            <w:shd w:val="clear" w:color="auto" w:fill="auto"/>
            <w:noWrap w:val="0"/>
            <w:vAlign w:val="center"/>
          </w:tcPr>
          <w:p w14:paraId="30767CAA">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NOx</w:t>
            </w:r>
          </w:p>
        </w:tc>
        <w:tc>
          <w:tcPr>
            <w:tcW w:w="663" w:type="pct"/>
            <w:shd w:val="clear" w:color="auto" w:fill="auto"/>
            <w:noWrap w:val="0"/>
            <w:vAlign w:val="center"/>
          </w:tcPr>
          <w:p w14:paraId="69A21B06">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NOx</w:t>
            </w:r>
          </w:p>
        </w:tc>
        <w:tc>
          <w:tcPr>
            <w:tcW w:w="591" w:type="pct"/>
            <w:shd w:val="clear" w:color="auto" w:fill="auto"/>
            <w:noWrap w:val="0"/>
            <w:vAlign w:val="center"/>
          </w:tcPr>
          <w:p w14:paraId="5C2AA75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0</w:t>
            </w:r>
            <w:r>
              <w:rPr>
                <w:rFonts w:hint="eastAsia"/>
                <w:color w:val="000000" w:themeColor="text1"/>
                <w:sz w:val="21"/>
                <w:szCs w:val="21"/>
                <w:highlight w:val="none"/>
                <w14:textFill>
                  <w14:solidFill>
                    <w14:schemeClr w14:val="tx1"/>
                  </w14:solidFill>
                </w14:textFill>
              </w:rPr>
              <w:t>7</w:t>
            </w:r>
            <w:r>
              <w:rPr>
                <w:color w:val="000000" w:themeColor="text1"/>
                <w:sz w:val="21"/>
                <w:szCs w:val="21"/>
                <w:highlight w:val="none"/>
                <w14:textFill>
                  <w14:solidFill>
                    <w14:schemeClr w14:val="tx1"/>
                  </w14:solidFill>
                </w14:textFill>
              </w:rPr>
              <w:t>t/a</w:t>
            </w:r>
          </w:p>
        </w:tc>
        <w:tc>
          <w:tcPr>
            <w:tcW w:w="1169" w:type="pct"/>
            <w:vMerge w:val="continue"/>
            <w:shd w:val="clear" w:color="auto" w:fill="auto"/>
            <w:noWrap w:val="0"/>
            <w:vAlign w:val="center"/>
          </w:tcPr>
          <w:p w14:paraId="7E703641">
            <w:pPr>
              <w:spacing w:line="360" w:lineRule="exact"/>
              <w:ind w:firstLine="0" w:firstLineChars="0"/>
              <w:jc w:val="center"/>
              <w:rPr>
                <w:color w:val="000000" w:themeColor="text1"/>
                <w:sz w:val="21"/>
                <w:szCs w:val="21"/>
                <w:highlight w:val="none"/>
                <w14:textFill>
                  <w14:solidFill>
                    <w14:schemeClr w14:val="tx1"/>
                  </w14:solidFill>
                </w14:textFill>
              </w:rPr>
            </w:pPr>
          </w:p>
        </w:tc>
        <w:tc>
          <w:tcPr>
            <w:tcW w:w="1251" w:type="pct"/>
            <w:vMerge w:val="continue"/>
            <w:shd w:val="clear" w:color="auto" w:fill="auto"/>
            <w:noWrap w:val="0"/>
            <w:vAlign w:val="center"/>
          </w:tcPr>
          <w:p w14:paraId="26488561">
            <w:pPr>
              <w:spacing w:line="360" w:lineRule="exact"/>
              <w:ind w:firstLine="0" w:firstLineChars="0"/>
              <w:jc w:val="center"/>
              <w:rPr>
                <w:color w:val="000000" w:themeColor="text1"/>
                <w:sz w:val="21"/>
                <w:szCs w:val="21"/>
                <w:highlight w:val="none"/>
                <w14:textFill>
                  <w14:solidFill>
                    <w14:schemeClr w14:val="tx1"/>
                  </w14:solidFill>
                </w14:textFill>
              </w:rPr>
            </w:pPr>
          </w:p>
        </w:tc>
      </w:tr>
      <w:tr w14:paraId="23AC9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500" w:type="pct"/>
            <w:gridSpan w:val="2"/>
            <w:vMerge w:val="restart"/>
            <w:shd w:val="clear" w:color="auto" w:fill="auto"/>
            <w:noWrap w:val="0"/>
            <w:vAlign w:val="center"/>
          </w:tcPr>
          <w:p w14:paraId="08FE692D">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w:t>
            </w:r>
          </w:p>
        </w:tc>
        <w:tc>
          <w:tcPr>
            <w:tcW w:w="825" w:type="pct"/>
            <w:gridSpan w:val="2"/>
            <w:shd w:val="clear" w:color="auto" w:fill="auto"/>
            <w:noWrap w:val="0"/>
            <w:vAlign w:val="center"/>
          </w:tcPr>
          <w:p w14:paraId="43C2EE84">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选矿废水</w:t>
            </w:r>
          </w:p>
        </w:tc>
        <w:tc>
          <w:tcPr>
            <w:tcW w:w="663" w:type="pct"/>
            <w:shd w:val="clear" w:color="auto" w:fill="auto"/>
            <w:noWrap w:val="0"/>
            <w:vAlign w:val="center"/>
          </w:tcPr>
          <w:p w14:paraId="743877AE">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91" w:type="pct"/>
            <w:shd w:val="clear" w:color="auto" w:fill="auto"/>
            <w:noWrap w:val="0"/>
            <w:vAlign w:val="center"/>
          </w:tcPr>
          <w:p w14:paraId="4A078096">
            <w:pPr>
              <w:spacing w:line="360" w:lineRule="exact"/>
              <w:ind w:left="-120" w:leftChars="-50" w:right="-120" w:rightChars="-50" w:firstLine="0" w:firstLineChars="0"/>
              <w:jc w:val="center"/>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131.14</w:t>
            </w:r>
            <w:r>
              <w:rPr>
                <w:rFonts w:hint="eastAsia"/>
                <w:color w:val="000000" w:themeColor="text1"/>
                <w:kern w:val="0"/>
                <w:sz w:val="21"/>
                <w:szCs w:val="21"/>
                <w:highlight w:val="none"/>
                <w:lang w:bidi="ar"/>
                <w14:textFill>
                  <w14:solidFill>
                    <w14:schemeClr w14:val="tx1"/>
                  </w14:solidFill>
                </w14:textFill>
              </w:rPr>
              <w:t>万m</w:t>
            </w:r>
            <w:r>
              <w:rPr>
                <w:rFonts w:hint="eastAsia"/>
                <w:color w:val="000000" w:themeColor="text1"/>
                <w:kern w:val="0"/>
                <w:sz w:val="21"/>
                <w:szCs w:val="21"/>
                <w:highlight w:val="none"/>
                <w:vertAlign w:val="superscript"/>
                <w:lang w:bidi="ar"/>
                <w14:textFill>
                  <w14:solidFill>
                    <w14:schemeClr w14:val="tx1"/>
                  </w14:solidFill>
                </w14:textFill>
              </w:rPr>
              <w:t>3</w:t>
            </w:r>
            <w:r>
              <w:rPr>
                <w:rFonts w:hint="eastAsia"/>
                <w:color w:val="000000" w:themeColor="text1"/>
                <w:kern w:val="0"/>
                <w:sz w:val="21"/>
                <w:szCs w:val="21"/>
                <w:highlight w:val="none"/>
                <w:lang w:bidi="ar"/>
                <w14:textFill>
                  <w14:solidFill>
                    <w14:schemeClr w14:val="tx1"/>
                  </w14:solidFill>
                </w14:textFill>
              </w:rPr>
              <w:t>/a</w:t>
            </w:r>
          </w:p>
        </w:tc>
        <w:tc>
          <w:tcPr>
            <w:tcW w:w="1169" w:type="pct"/>
            <w:shd w:val="clear" w:color="auto" w:fill="auto"/>
            <w:noWrap w:val="0"/>
            <w:vAlign w:val="center"/>
          </w:tcPr>
          <w:p w14:paraId="63A8C479">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循环使用，不外排。</w:t>
            </w:r>
          </w:p>
        </w:tc>
        <w:tc>
          <w:tcPr>
            <w:tcW w:w="1251" w:type="pct"/>
            <w:shd w:val="clear" w:color="auto" w:fill="auto"/>
            <w:noWrap w:val="0"/>
            <w:vAlign w:val="center"/>
          </w:tcPr>
          <w:p w14:paraId="42CA69C6">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625EF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auto"/>
            <w:noWrap w:val="0"/>
            <w:vAlign w:val="center"/>
          </w:tcPr>
          <w:p w14:paraId="57DFF417">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25" w:type="pct"/>
            <w:gridSpan w:val="2"/>
            <w:shd w:val="clear" w:color="auto" w:fill="auto"/>
            <w:noWrap w:val="0"/>
            <w:vAlign w:val="center"/>
          </w:tcPr>
          <w:p w14:paraId="56504CD5">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生活污水</w:t>
            </w:r>
          </w:p>
        </w:tc>
        <w:tc>
          <w:tcPr>
            <w:tcW w:w="663" w:type="pct"/>
            <w:shd w:val="clear" w:color="auto" w:fill="auto"/>
            <w:noWrap w:val="0"/>
            <w:vAlign w:val="center"/>
          </w:tcPr>
          <w:p w14:paraId="3BCDCB10">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591" w:type="pct"/>
            <w:shd w:val="clear" w:color="auto" w:fill="auto"/>
            <w:noWrap w:val="0"/>
            <w:vAlign w:val="center"/>
          </w:tcPr>
          <w:p w14:paraId="7CC0E4BC">
            <w:pPr>
              <w:spacing w:line="360" w:lineRule="exact"/>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1275</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a</w:t>
            </w:r>
          </w:p>
        </w:tc>
        <w:tc>
          <w:tcPr>
            <w:tcW w:w="1169" w:type="pct"/>
            <w:shd w:val="clear" w:color="auto" w:fill="auto"/>
            <w:noWrap w:val="0"/>
            <w:vAlign w:val="center"/>
          </w:tcPr>
          <w:p w14:paraId="5AA9F3F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新建地埋式一体化污水处理装置，处理达标后用于选矿生产工序循环利用及绿化，不外排。</w:t>
            </w:r>
          </w:p>
        </w:tc>
        <w:tc>
          <w:tcPr>
            <w:tcW w:w="1251" w:type="pct"/>
            <w:shd w:val="clear" w:color="auto" w:fill="auto"/>
            <w:noWrap w:val="0"/>
            <w:vAlign w:val="center"/>
          </w:tcPr>
          <w:p w14:paraId="06602BB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《农村生活污水处理排放标准》（DB65 4275-2019）表2规定的A级排放限值以及《城市污水再生利用 城市杂用水水质》（GB/T18920-2020）</w:t>
            </w:r>
          </w:p>
        </w:tc>
      </w:tr>
      <w:tr w14:paraId="1656E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 w:type="pct"/>
            <w:gridSpan w:val="2"/>
            <w:vMerge w:val="restart"/>
            <w:shd w:val="clear" w:color="auto" w:fill="auto"/>
            <w:noWrap w:val="0"/>
            <w:vAlign w:val="center"/>
          </w:tcPr>
          <w:p w14:paraId="04FAE92E">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固废</w:t>
            </w:r>
          </w:p>
        </w:tc>
        <w:tc>
          <w:tcPr>
            <w:tcW w:w="825" w:type="pct"/>
            <w:gridSpan w:val="2"/>
            <w:shd w:val="clear" w:color="auto" w:fill="auto"/>
            <w:noWrap w:val="0"/>
            <w:vAlign w:val="center"/>
          </w:tcPr>
          <w:p w14:paraId="6FED93DA">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尾矿砂</w:t>
            </w:r>
          </w:p>
        </w:tc>
        <w:tc>
          <w:tcPr>
            <w:tcW w:w="663" w:type="pct"/>
            <w:shd w:val="clear" w:color="auto" w:fill="auto"/>
            <w:noWrap w:val="0"/>
            <w:vAlign w:val="center"/>
          </w:tcPr>
          <w:p w14:paraId="4C38397D">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w:t>
            </w:r>
          </w:p>
        </w:tc>
        <w:tc>
          <w:tcPr>
            <w:tcW w:w="591" w:type="pct"/>
            <w:shd w:val="clear" w:color="auto" w:fill="auto"/>
            <w:noWrap w:val="0"/>
            <w:vAlign w:val="center"/>
          </w:tcPr>
          <w:p w14:paraId="6629C813">
            <w:pPr>
              <w:widowControl/>
              <w:spacing w:line="360" w:lineRule="exact"/>
              <w:ind w:firstLine="0" w:firstLineChars="0"/>
              <w:jc w:val="center"/>
              <w:rPr>
                <w:b/>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45.25</w:t>
            </w:r>
            <w:r>
              <w:rPr>
                <w:color w:val="000000" w:themeColor="text1"/>
                <w:kern w:val="0"/>
                <w:sz w:val="21"/>
                <w:szCs w:val="21"/>
                <w:highlight w:val="none"/>
                <w14:textFill>
                  <w14:solidFill>
                    <w14:schemeClr w14:val="tx1"/>
                  </w14:solidFill>
                </w14:textFill>
              </w:rPr>
              <w:t>万t/a</w:t>
            </w:r>
          </w:p>
        </w:tc>
        <w:tc>
          <w:tcPr>
            <w:tcW w:w="1169" w:type="pct"/>
            <w:shd w:val="clear" w:color="auto" w:fill="auto"/>
            <w:noWrap w:val="0"/>
            <w:vAlign w:val="center"/>
          </w:tcPr>
          <w:p w14:paraId="02FB3BB8">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全部排入尾矿库中，服役期满后进行闭库处置</w:t>
            </w:r>
          </w:p>
        </w:tc>
        <w:tc>
          <w:tcPr>
            <w:tcW w:w="1251" w:type="pct"/>
            <w:vMerge w:val="restart"/>
            <w:shd w:val="clear" w:color="auto" w:fill="auto"/>
            <w:noWrap w:val="0"/>
            <w:vAlign w:val="center"/>
          </w:tcPr>
          <w:p w14:paraId="3ABC08EB">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合理处置，不外排</w:t>
            </w:r>
          </w:p>
        </w:tc>
      </w:tr>
      <w:tr w14:paraId="308A1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500" w:type="pct"/>
            <w:gridSpan w:val="2"/>
            <w:vMerge w:val="continue"/>
            <w:shd w:val="clear" w:color="auto" w:fill="auto"/>
            <w:noWrap w:val="0"/>
            <w:vAlign w:val="center"/>
          </w:tcPr>
          <w:p w14:paraId="3CF27F76">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25" w:type="pct"/>
            <w:gridSpan w:val="2"/>
            <w:shd w:val="clear" w:color="auto" w:fill="auto"/>
            <w:noWrap w:val="0"/>
            <w:vAlign w:val="center"/>
          </w:tcPr>
          <w:p w14:paraId="7D50D4F3">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生活垃圾</w:t>
            </w:r>
          </w:p>
        </w:tc>
        <w:tc>
          <w:tcPr>
            <w:tcW w:w="663" w:type="pct"/>
            <w:shd w:val="clear" w:color="auto" w:fill="auto"/>
            <w:noWrap w:val="0"/>
            <w:vAlign w:val="center"/>
          </w:tcPr>
          <w:p w14:paraId="1CC40510">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w:t>
            </w:r>
          </w:p>
        </w:tc>
        <w:tc>
          <w:tcPr>
            <w:tcW w:w="591" w:type="pct"/>
            <w:shd w:val="clear" w:color="auto" w:fill="auto"/>
            <w:noWrap w:val="0"/>
            <w:vAlign w:val="center"/>
          </w:tcPr>
          <w:p w14:paraId="3467B39F">
            <w:pPr>
              <w:widowControl/>
              <w:spacing w:line="360" w:lineRule="exact"/>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15</w:t>
            </w:r>
            <w:r>
              <w:rPr>
                <w:rFonts w:hint="eastAsia"/>
                <w:color w:val="000000" w:themeColor="text1"/>
                <w:kern w:val="0"/>
                <w:sz w:val="21"/>
                <w:szCs w:val="21"/>
                <w:highlight w:val="none"/>
                <w14:textFill>
                  <w14:solidFill>
                    <w14:schemeClr w14:val="tx1"/>
                  </w14:solidFill>
                </w14:textFill>
              </w:rPr>
              <w:t>t/a</w:t>
            </w:r>
          </w:p>
        </w:tc>
        <w:tc>
          <w:tcPr>
            <w:tcW w:w="1169" w:type="pct"/>
            <w:shd w:val="clear" w:color="auto" w:fill="auto"/>
            <w:noWrap w:val="0"/>
            <w:vAlign w:val="center"/>
          </w:tcPr>
          <w:p w14:paraId="6BFD1218">
            <w:pPr>
              <w:spacing w:line="360" w:lineRule="exact"/>
              <w:ind w:firstLine="0" w:firstLineChars="0"/>
              <w:jc w:val="center"/>
              <w:rPr>
                <w:bCs/>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集中收集后，定期清运</w:t>
            </w:r>
          </w:p>
        </w:tc>
        <w:tc>
          <w:tcPr>
            <w:tcW w:w="1251" w:type="pct"/>
            <w:vMerge w:val="continue"/>
            <w:shd w:val="clear" w:color="auto" w:fill="auto"/>
            <w:noWrap w:val="0"/>
            <w:vAlign w:val="center"/>
          </w:tcPr>
          <w:p w14:paraId="42CF5776">
            <w:pPr>
              <w:spacing w:line="360" w:lineRule="exact"/>
              <w:ind w:firstLine="0" w:firstLineChars="0"/>
              <w:jc w:val="center"/>
              <w:rPr>
                <w:color w:val="000000" w:themeColor="text1"/>
                <w:sz w:val="21"/>
                <w:szCs w:val="21"/>
                <w:highlight w:val="none"/>
                <w14:textFill>
                  <w14:solidFill>
                    <w14:schemeClr w14:val="tx1"/>
                  </w14:solidFill>
                </w14:textFill>
              </w:rPr>
            </w:pPr>
          </w:p>
        </w:tc>
      </w:tr>
      <w:tr w14:paraId="2214A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500" w:type="pct"/>
            <w:gridSpan w:val="2"/>
            <w:vMerge w:val="continue"/>
            <w:shd w:val="clear" w:color="auto" w:fill="auto"/>
            <w:noWrap w:val="0"/>
            <w:vAlign w:val="center"/>
          </w:tcPr>
          <w:p w14:paraId="671ABD99">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25" w:type="pct"/>
            <w:gridSpan w:val="2"/>
            <w:shd w:val="clear" w:color="auto" w:fill="auto"/>
            <w:noWrap w:val="0"/>
            <w:vAlign w:val="center"/>
          </w:tcPr>
          <w:p w14:paraId="39AEF637">
            <w:pPr>
              <w:spacing w:line="36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废机油</w:t>
            </w:r>
            <w:r>
              <w:rPr>
                <w:rFonts w:hint="eastAsia"/>
                <w:color w:val="000000" w:themeColor="text1"/>
                <w:sz w:val="21"/>
                <w:szCs w:val="21"/>
                <w:highlight w:val="none"/>
                <w14:textFill>
                  <w14:solidFill>
                    <w14:schemeClr w14:val="tx1"/>
                  </w14:solidFill>
                </w14:textFill>
              </w:rPr>
              <w:t>及油桶</w:t>
            </w:r>
          </w:p>
        </w:tc>
        <w:tc>
          <w:tcPr>
            <w:tcW w:w="663" w:type="pct"/>
            <w:shd w:val="clear" w:color="auto" w:fill="auto"/>
            <w:noWrap w:val="0"/>
            <w:vAlign w:val="center"/>
          </w:tcPr>
          <w:p w14:paraId="345DDCA2">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w:t>
            </w:r>
          </w:p>
        </w:tc>
        <w:tc>
          <w:tcPr>
            <w:tcW w:w="591" w:type="pct"/>
            <w:shd w:val="clear" w:color="auto" w:fill="auto"/>
            <w:noWrap w:val="0"/>
            <w:vAlign w:val="center"/>
          </w:tcPr>
          <w:p w14:paraId="5FB3EC4C">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2.7</w:t>
            </w:r>
            <w:r>
              <w:rPr>
                <w:bCs/>
                <w:color w:val="000000" w:themeColor="text1"/>
                <w:sz w:val="21"/>
                <w:szCs w:val="21"/>
                <w:highlight w:val="none"/>
                <w14:textFill>
                  <w14:solidFill>
                    <w14:schemeClr w14:val="tx1"/>
                  </w14:solidFill>
                </w14:textFill>
              </w:rPr>
              <w:t>t/a</w:t>
            </w:r>
          </w:p>
        </w:tc>
        <w:tc>
          <w:tcPr>
            <w:tcW w:w="1169" w:type="pct"/>
            <w:shd w:val="clear" w:color="auto" w:fill="auto"/>
            <w:noWrap w:val="0"/>
            <w:vAlign w:val="center"/>
          </w:tcPr>
          <w:p w14:paraId="518E5B33">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临时贮存于</w:t>
            </w:r>
            <w:r>
              <w:rPr>
                <w:rFonts w:hint="eastAsia"/>
                <w:color w:val="000000" w:themeColor="text1"/>
                <w:sz w:val="21"/>
                <w:szCs w:val="21"/>
                <w:highlight w:val="none"/>
                <w:lang w:eastAsia="zh-CN"/>
                <w14:textFill>
                  <w14:solidFill>
                    <w14:schemeClr w14:val="tx1"/>
                  </w14:solidFill>
                </w14:textFill>
              </w:rPr>
              <w:t>危废贮存点</w:t>
            </w:r>
            <w:r>
              <w:rPr>
                <w:rFonts w:hint="eastAsia"/>
                <w:color w:val="000000" w:themeColor="text1"/>
                <w:sz w:val="21"/>
                <w:szCs w:val="21"/>
                <w:highlight w:val="none"/>
                <w14:textFill>
                  <w14:solidFill>
                    <w14:schemeClr w14:val="tx1"/>
                  </w14:solidFill>
                </w14:textFill>
              </w:rPr>
              <w:t>，定期交有资质单位处置</w:t>
            </w:r>
          </w:p>
        </w:tc>
        <w:tc>
          <w:tcPr>
            <w:tcW w:w="1251" w:type="pct"/>
            <w:vMerge w:val="continue"/>
            <w:shd w:val="clear" w:color="auto" w:fill="auto"/>
            <w:noWrap w:val="0"/>
            <w:vAlign w:val="center"/>
          </w:tcPr>
          <w:p w14:paraId="130BAAEF">
            <w:pPr>
              <w:spacing w:line="360" w:lineRule="exact"/>
              <w:ind w:firstLine="0" w:firstLineChars="0"/>
              <w:jc w:val="center"/>
              <w:rPr>
                <w:color w:val="000000" w:themeColor="text1"/>
                <w:sz w:val="21"/>
                <w:szCs w:val="21"/>
                <w:highlight w:val="none"/>
                <w14:textFill>
                  <w14:solidFill>
                    <w14:schemeClr w14:val="tx1"/>
                  </w14:solidFill>
                </w14:textFill>
              </w:rPr>
            </w:pPr>
          </w:p>
        </w:tc>
      </w:tr>
      <w:tr w14:paraId="1B5C8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auto"/>
            <w:noWrap w:val="0"/>
            <w:vAlign w:val="center"/>
          </w:tcPr>
          <w:p w14:paraId="5EDBFAF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25" w:type="pct"/>
            <w:gridSpan w:val="2"/>
            <w:shd w:val="clear" w:color="auto" w:fill="auto"/>
            <w:noWrap w:val="0"/>
            <w:vAlign w:val="center"/>
          </w:tcPr>
          <w:p w14:paraId="5DF37F96">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除尘灰</w:t>
            </w:r>
          </w:p>
        </w:tc>
        <w:tc>
          <w:tcPr>
            <w:tcW w:w="663" w:type="pct"/>
            <w:shd w:val="clear" w:color="auto" w:fill="auto"/>
            <w:noWrap w:val="0"/>
            <w:vAlign w:val="center"/>
          </w:tcPr>
          <w:p w14:paraId="23C2F9B0">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w:t>
            </w:r>
          </w:p>
        </w:tc>
        <w:tc>
          <w:tcPr>
            <w:tcW w:w="591" w:type="pct"/>
            <w:shd w:val="clear" w:color="auto" w:fill="auto"/>
            <w:noWrap w:val="0"/>
            <w:vAlign w:val="center"/>
          </w:tcPr>
          <w:p w14:paraId="197D2B00">
            <w:pPr>
              <w:keepNext w:val="0"/>
              <w:keepLines w:val="0"/>
              <w:pageBreakBefore w:val="0"/>
              <w:widowControl w:val="0"/>
              <w:kinsoku/>
              <w:wordWrap/>
              <w:overflowPunct/>
              <w:topLinePunct w:val="0"/>
              <w:autoSpaceDE/>
              <w:autoSpaceDN/>
              <w:bidi w:val="0"/>
              <w:adjustRightInd/>
              <w:snapToGrid/>
              <w:spacing w:line="360" w:lineRule="exact"/>
              <w:ind w:left="-120" w:leftChars="-50" w:right="-120" w:rightChars="-50" w:firstLine="0" w:firstLineChars="0"/>
              <w:jc w:val="center"/>
              <w:textAlignment w:val="auto"/>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1603.37</w:t>
            </w:r>
            <w:r>
              <w:rPr>
                <w:rFonts w:hint="eastAsia"/>
                <w:bCs/>
                <w:color w:val="000000" w:themeColor="text1"/>
                <w:sz w:val="21"/>
                <w:szCs w:val="21"/>
                <w:highlight w:val="none"/>
                <w14:textFill>
                  <w14:solidFill>
                    <w14:schemeClr w14:val="tx1"/>
                  </w14:solidFill>
                </w14:textFill>
              </w:rPr>
              <w:t>t/a</w:t>
            </w:r>
          </w:p>
        </w:tc>
        <w:tc>
          <w:tcPr>
            <w:tcW w:w="1169" w:type="pct"/>
            <w:shd w:val="clear" w:color="auto" w:fill="auto"/>
            <w:noWrap w:val="0"/>
            <w:vAlign w:val="center"/>
          </w:tcPr>
          <w:p w14:paraId="3315E1D1">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选矿除尘灰回用于选矿生产</w:t>
            </w:r>
          </w:p>
        </w:tc>
        <w:tc>
          <w:tcPr>
            <w:tcW w:w="1251" w:type="pct"/>
            <w:vMerge w:val="continue"/>
            <w:shd w:val="clear" w:color="auto" w:fill="auto"/>
            <w:noWrap w:val="0"/>
            <w:vAlign w:val="center"/>
          </w:tcPr>
          <w:p w14:paraId="659C6D00">
            <w:pPr>
              <w:spacing w:line="360" w:lineRule="exact"/>
              <w:ind w:firstLine="0" w:firstLineChars="0"/>
              <w:jc w:val="center"/>
              <w:rPr>
                <w:color w:val="000000" w:themeColor="text1"/>
                <w:sz w:val="21"/>
                <w:szCs w:val="21"/>
                <w:highlight w:val="none"/>
                <w14:textFill>
                  <w14:solidFill>
                    <w14:schemeClr w14:val="tx1"/>
                  </w14:solidFill>
                </w14:textFill>
              </w:rPr>
            </w:pPr>
          </w:p>
        </w:tc>
      </w:tr>
      <w:tr w14:paraId="33437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auto"/>
            <w:noWrap w:val="0"/>
            <w:vAlign w:val="center"/>
          </w:tcPr>
          <w:p w14:paraId="1F6B13D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25" w:type="pct"/>
            <w:gridSpan w:val="2"/>
            <w:shd w:val="clear" w:color="auto" w:fill="auto"/>
            <w:noWrap w:val="0"/>
            <w:vAlign w:val="center"/>
          </w:tcPr>
          <w:p w14:paraId="480041C9">
            <w:pPr>
              <w:spacing w:line="360" w:lineRule="exact"/>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干选废石</w:t>
            </w:r>
          </w:p>
        </w:tc>
        <w:tc>
          <w:tcPr>
            <w:tcW w:w="663" w:type="pct"/>
            <w:shd w:val="clear" w:color="auto" w:fill="auto"/>
            <w:noWrap w:val="0"/>
            <w:vAlign w:val="center"/>
          </w:tcPr>
          <w:p w14:paraId="3F9E4C84">
            <w:pPr>
              <w:spacing w:line="360" w:lineRule="exact"/>
              <w:ind w:firstLine="0" w:firstLineChars="0"/>
              <w:jc w:val="center"/>
              <w:rPr>
                <w:rFonts w:hint="eastAsia"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c>
          <w:tcPr>
            <w:tcW w:w="591" w:type="pct"/>
            <w:shd w:val="clear" w:color="auto" w:fill="auto"/>
            <w:noWrap w:val="0"/>
            <w:vAlign w:val="center"/>
          </w:tcPr>
          <w:p w14:paraId="7C687EEF">
            <w:pPr>
              <w:spacing w:line="360" w:lineRule="exact"/>
              <w:ind w:firstLine="0" w:firstLineChars="0"/>
              <w:jc w:val="center"/>
              <w:rPr>
                <w:rFonts w:hint="eastAsia"/>
                <w:bCs/>
                <w:color w:val="000000" w:themeColor="text1"/>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14.75</w:t>
            </w:r>
            <w:r>
              <w:rPr>
                <w:color w:val="000000" w:themeColor="text1"/>
                <w:kern w:val="0"/>
                <w:sz w:val="21"/>
                <w:szCs w:val="21"/>
                <w:highlight w:val="none"/>
                <w14:textFill>
                  <w14:solidFill>
                    <w14:schemeClr w14:val="tx1"/>
                  </w14:solidFill>
                </w14:textFill>
              </w:rPr>
              <w:t>万t/a</w:t>
            </w:r>
          </w:p>
        </w:tc>
        <w:tc>
          <w:tcPr>
            <w:tcW w:w="1169" w:type="pct"/>
            <w:shd w:val="clear" w:color="auto" w:fill="auto"/>
            <w:noWrap w:val="0"/>
            <w:vAlign w:val="center"/>
          </w:tcPr>
          <w:p w14:paraId="71B9FE97">
            <w:pPr>
              <w:spacing w:line="360" w:lineRule="exact"/>
              <w:ind w:firstLine="0" w:firstLineChars="0"/>
              <w:jc w:val="center"/>
              <w:rPr>
                <w:rFonts w:hint="eastAsia" w:eastAsia="宋体"/>
                <w:color w:val="000000" w:themeColor="text1"/>
                <w:sz w:val="21"/>
                <w:highlight w:val="none"/>
                <w:lang w:val="en-US"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堆存于采矿区废石堆场</w:t>
            </w:r>
          </w:p>
        </w:tc>
        <w:tc>
          <w:tcPr>
            <w:tcW w:w="1251" w:type="pct"/>
            <w:vMerge w:val="continue"/>
            <w:shd w:val="clear" w:color="auto" w:fill="auto"/>
            <w:noWrap w:val="0"/>
            <w:vAlign w:val="center"/>
          </w:tcPr>
          <w:p w14:paraId="0D98DDD1">
            <w:pPr>
              <w:spacing w:line="360" w:lineRule="exact"/>
              <w:ind w:firstLine="0" w:firstLineChars="0"/>
              <w:jc w:val="center"/>
              <w:rPr>
                <w:color w:val="000000" w:themeColor="text1"/>
                <w:sz w:val="21"/>
                <w:szCs w:val="21"/>
                <w:highlight w:val="none"/>
                <w14:textFill>
                  <w14:solidFill>
                    <w14:schemeClr w14:val="tx1"/>
                  </w14:solidFill>
                </w14:textFill>
              </w:rPr>
            </w:pPr>
          </w:p>
        </w:tc>
      </w:tr>
      <w:tr w14:paraId="7CD02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auto"/>
            <w:noWrap w:val="0"/>
            <w:vAlign w:val="center"/>
          </w:tcPr>
          <w:p w14:paraId="1C315970">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25" w:type="pct"/>
            <w:gridSpan w:val="2"/>
            <w:shd w:val="clear" w:color="auto" w:fill="auto"/>
            <w:noWrap w:val="0"/>
            <w:vAlign w:val="center"/>
          </w:tcPr>
          <w:p w14:paraId="771E847B">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生活污水处理设施底泥</w:t>
            </w:r>
          </w:p>
        </w:tc>
        <w:tc>
          <w:tcPr>
            <w:tcW w:w="663" w:type="pct"/>
            <w:shd w:val="clear" w:color="auto" w:fill="auto"/>
            <w:noWrap w:val="0"/>
            <w:vAlign w:val="center"/>
          </w:tcPr>
          <w:p w14:paraId="0A305F6A">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w:t>
            </w:r>
          </w:p>
        </w:tc>
        <w:tc>
          <w:tcPr>
            <w:tcW w:w="591" w:type="pct"/>
            <w:shd w:val="clear" w:color="auto" w:fill="auto"/>
            <w:noWrap w:val="0"/>
            <w:vAlign w:val="center"/>
          </w:tcPr>
          <w:p w14:paraId="4B52C1A5">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1.05</w:t>
            </w:r>
            <w:r>
              <w:rPr>
                <w:rFonts w:hint="eastAsia"/>
                <w:color w:val="000000" w:themeColor="text1"/>
                <w:sz w:val="21"/>
                <w:szCs w:val="21"/>
                <w:highlight w:val="none"/>
                <w14:textFill>
                  <w14:solidFill>
                    <w14:schemeClr w14:val="tx1"/>
                  </w14:solidFill>
                </w14:textFill>
              </w:rPr>
              <w:t>t/a</w:t>
            </w:r>
          </w:p>
        </w:tc>
        <w:tc>
          <w:tcPr>
            <w:tcW w:w="1169" w:type="pct"/>
            <w:shd w:val="clear" w:color="auto" w:fill="auto"/>
            <w:noWrap w:val="0"/>
            <w:vAlign w:val="center"/>
          </w:tcPr>
          <w:p w14:paraId="2187F151">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定期拉运至</w:t>
            </w:r>
            <w:r>
              <w:rPr>
                <w:rFonts w:hint="eastAsia"/>
                <w:color w:val="000000" w:themeColor="text1"/>
                <w:sz w:val="21"/>
                <w:szCs w:val="21"/>
                <w:highlight w:val="none"/>
                <w:lang w:val="en-US" w:eastAsia="zh-CN"/>
                <w14:textFill>
                  <w14:solidFill>
                    <w14:schemeClr w14:val="tx1"/>
                  </w14:solidFill>
                </w14:textFill>
              </w:rPr>
              <w:t>周边</w:t>
            </w:r>
            <w:r>
              <w:rPr>
                <w:rFonts w:hint="eastAsia"/>
                <w:color w:val="000000" w:themeColor="text1"/>
                <w:sz w:val="21"/>
                <w:szCs w:val="21"/>
                <w:highlight w:val="none"/>
                <w14:textFill>
                  <w14:solidFill>
                    <w14:schemeClr w14:val="tx1"/>
                  </w14:solidFill>
                </w14:textFill>
              </w:rPr>
              <w:t>一般工业固体废物填埋场填埋处置</w:t>
            </w:r>
          </w:p>
        </w:tc>
        <w:tc>
          <w:tcPr>
            <w:tcW w:w="1251" w:type="pct"/>
            <w:vMerge w:val="continue"/>
            <w:shd w:val="clear" w:color="auto" w:fill="auto"/>
            <w:noWrap w:val="0"/>
            <w:vAlign w:val="center"/>
          </w:tcPr>
          <w:p w14:paraId="060F9730">
            <w:pPr>
              <w:spacing w:line="360" w:lineRule="exact"/>
              <w:ind w:firstLine="0" w:firstLineChars="0"/>
              <w:jc w:val="center"/>
              <w:rPr>
                <w:color w:val="000000" w:themeColor="text1"/>
                <w:sz w:val="21"/>
                <w:szCs w:val="21"/>
                <w:highlight w:val="none"/>
                <w14:textFill>
                  <w14:solidFill>
                    <w14:schemeClr w14:val="tx1"/>
                  </w14:solidFill>
                </w14:textFill>
              </w:rPr>
            </w:pPr>
          </w:p>
        </w:tc>
      </w:tr>
      <w:tr w14:paraId="45732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auto"/>
            <w:noWrap w:val="0"/>
            <w:vAlign w:val="center"/>
          </w:tcPr>
          <w:p w14:paraId="3F16EAC5">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25" w:type="pct"/>
            <w:gridSpan w:val="2"/>
            <w:shd w:val="clear" w:color="auto" w:fill="auto"/>
            <w:noWrap w:val="0"/>
            <w:vAlign w:val="center"/>
          </w:tcPr>
          <w:p w14:paraId="41A181D0">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循环水池底泥</w:t>
            </w:r>
          </w:p>
        </w:tc>
        <w:tc>
          <w:tcPr>
            <w:tcW w:w="663" w:type="pct"/>
            <w:shd w:val="clear" w:color="auto" w:fill="auto"/>
            <w:noWrap w:val="0"/>
            <w:vAlign w:val="center"/>
          </w:tcPr>
          <w:p w14:paraId="138ADCBA">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w:t>
            </w:r>
          </w:p>
        </w:tc>
        <w:tc>
          <w:tcPr>
            <w:tcW w:w="591" w:type="pct"/>
            <w:shd w:val="clear" w:color="auto" w:fill="auto"/>
            <w:noWrap w:val="0"/>
            <w:vAlign w:val="center"/>
          </w:tcPr>
          <w:p w14:paraId="5963553F">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92</w:t>
            </w:r>
            <w:r>
              <w:rPr>
                <w:rFonts w:hint="eastAsia"/>
                <w:color w:val="000000" w:themeColor="text1"/>
                <w:sz w:val="21"/>
                <w:szCs w:val="21"/>
                <w:highlight w:val="none"/>
                <w14:textFill>
                  <w14:solidFill>
                    <w14:schemeClr w14:val="tx1"/>
                  </w14:solidFill>
                </w14:textFill>
              </w:rPr>
              <w:t>t/a</w:t>
            </w:r>
          </w:p>
        </w:tc>
        <w:tc>
          <w:tcPr>
            <w:tcW w:w="1169" w:type="pct"/>
            <w:shd w:val="clear" w:color="auto" w:fill="auto"/>
            <w:noWrap w:val="0"/>
            <w:vAlign w:val="center"/>
          </w:tcPr>
          <w:p w14:paraId="1FDD4B84">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定期清理，底泥可返回生产工序回用于选矿</w:t>
            </w:r>
          </w:p>
        </w:tc>
        <w:tc>
          <w:tcPr>
            <w:tcW w:w="1251" w:type="pct"/>
            <w:vMerge w:val="continue"/>
            <w:shd w:val="clear" w:color="auto" w:fill="auto"/>
            <w:noWrap w:val="0"/>
            <w:vAlign w:val="center"/>
          </w:tcPr>
          <w:p w14:paraId="32EA2B62">
            <w:pPr>
              <w:spacing w:line="360" w:lineRule="exact"/>
              <w:ind w:firstLine="0" w:firstLineChars="0"/>
              <w:jc w:val="center"/>
              <w:rPr>
                <w:color w:val="000000" w:themeColor="text1"/>
                <w:sz w:val="21"/>
                <w:szCs w:val="21"/>
                <w:highlight w:val="none"/>
                <w14:textFill>
                  <w14:solidFill>
                    <w14:schemeClr w14:val="tx1"/>
                  </w14:solidFill>
                </w14:textFill>
              </w:rPr>
            </w:pPr>
          </w:p>
        </w:tc>
      </w:tr>
      <w:tr w14:paraId="67D18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00" w:type="pct"/>
            <w:gridSpan w:val="2"/>
            <w:vMerge w:val="continue"/>
            <w:shd w:val="clear" w:color="auto" w:fill="auto"/>
            <w:noWrap w:val="0"/>
            <w:vAlign w:val="top"/>
          </w:tcPr>
          <w:p w14:paraId="69A635E3">
            <w:pPr>
              <w:spacing w:line="360" w:lineRule="exact"/>
              <w:ind w:firstLine="0" w:firstLineChars="0"/>
              <w:jc w:val="center"/>
              <w:rPr>
                <w:color w:val="000000" w:themeColor="text1"/>
                <w:sz w:val="21"/>
                <w:szCs w:val="21"/>
                <w:highlight w:val="none"/>
                <w14:textFill>
                  <w14:solidFill>
                    <w14:schemeClr w14:val="tx1"/>
                  </w14:solidFill>
                </w14:textFill>
              </w:rPr>
            </w:pPr>
          </w:p>
        </w:tc>
        <w:tc>
          <w:tcPr>
            <w:tcW w:w="825" w:type="pct"/>
            <w:gridSpan w:val="2"/>
            <w:shd w:val="clear" w:color="auto" w:fill="auto"/>
            <w:noWrap w:val="0"/>
            <w:vAlign w:val="center"/>
          </w:tcPr>
          <w:p w14:paraId="4B0F7D6B">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废布袋</w:t>
            </w:r>
          </w:p>
        </w:tc>
        <w:tc>
          <w:tcPr>
            <w:tcW w:w="663" w:type="pct"/>
            <w:shd w:val="clear" w:color="auto" w:fill="auto"/>
            <w:noWrap w:val="0"/>
            <w:vAlign w:val="center"/>
          </w:tcPr>
          <w:p w14:paraId="2726EEC7">
            <w:pPr>
              <w:spacing w:line="360" w:lineRule="exact"/>
              <w:ind w:firstLine="0" w:firstLineChars="0"/>
              <w:jc w:val="center"/>
              <w:rPr>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w:t>
            </w:r>
          </w:p>
        </w:tc>
        <w:tc>
          <w:tcPr>
            <w:tcW w:w="591" w:type="pct"/>
            <w:shd w:val="clear" w:color="auto" w:fill="auto"/>
            <w:noWrap w:val="0"/>
            <w:vAlign w:val="center"/>
          </w:tcPr>
          <w:p w14:paraId="205DD8EE">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0.5t/a</w:t>
            </w:r>
          </w:p>
        </w:tc>
        <w:tc>
          <w:tcPr>
            <w:tcW w:w="1169" w:type="pct"/>
            <w:shd w:val="clear" w:color="auto" w:fill="auto"/>
            <w:noWrap w:val="0"/>
            <w:vAlign w:val="top"/>
          </w:tcPr>
          <w:p w14:paraId="7A991BF3">
            <w:pPr>
              <w:spacing w:line="36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定期拉运至</w:t>
            </w:r>
            <w:r>
              <w:rPr>
                <w:rFonts w:hint="eastAsia"/>
                <w:color w:val="000000" w:themeColor="text1"/>
                <w:sz w:val="21"/>
                <w:szCs w:val="21"/>
                <w:highlight w:val="none"/>
                <w:lang w:val="en-US" w:eastAsia="zh-CN"/>
                <w14:textFill>
                  <w14:solidFill>
                    <w14:schemeClr w14:val="tx1"/>
                  </w14:solidFill>
                </w14:textFill>
              </w:rPr>
              <w:t>周边</w:t>
            </w:r>
            <w:r>
              <w:rPr>
                <w:rFonts w:hint="eastAsia"/>
                <w:color w:val="000000" w:themeColor="text1"/>
                <w:sz w:val="21"/>
                <w:szCs w:val="21"/>
                <w:highlight w:val="none"/>
                <w14:textFill>
                  <w14:solidFill>
                    <w14:schemeClr w14:val="tx1"/>
                  </w14:solidFill>
                </w14:textFill>
              </w:rPr>
              <w:t>一般工业固体废物填埋场进行处置</w:t>
            </w:r>
          </w:p>
        </w:tc>
        <w:tc>
          <w:tcPr>
            <w:tcW w:w="1251" w:type="pct"/>
            <w:vMerge w:val="continue"/>
            <w:shd w:val="clear" w:color="auto" w:fill="auto"/>
            <w:noWrap w:val="0"/>
            <w:vAlign w:val="top"/>
          </w:tcPr>
          <w:p w14:paraId="1392285C">
            <w:pPr>
              <w:spacing w:line="360" w:lineRule="exact"/>
              <w:ind w:firstLine="0" w:firstLineChars="0"/>
              <w:jc w:val="center"/>
              <w:rPr>
                <w:color w:val="000000" w:themeColor="text1"/>
                <w:sz w:val="21"/>
                <w:szCs w:val="21"/>
                <w:highlight w:val="none"/>
                <w14:textFill>
                  <w14:solidFill>
                    <w14:schemeClr w14:val="tx1"/>
                  </w14:solidFill>
                </w14:textFill>
              </w:rPr>
            </w:pPr>
          </w:p>
        </w:tc>
      </w:tr>
    </w:tbl>
    <w:p w14:paraId="28289787">
      <w:pPr>
        <w:pStyle w:val="3"/>
        <w:rPr>
          <w:color w:val="000000" w:themeColor="text1"/>
          <w:highlight w:val="none"/>
          <w14:textFill>
            <w14:solidFill>
              <w14:schemeClr w14:val="tx1"/>
            </w14:solidFill>
          </w14:textFill>
        </w:rPr>
      </w:pPr>
      <w:bookmarkStart w:id="1106" w:name="_Toc18264"/>
      <w:bookmarkStart w:id="1107" w:name="_Toc107413916"/>
      <w:bookmarkStart w:id="1108" w:name="_Toc107414683"/>
      <w:r>
        <w:rPr>
          <w:rFonts w:hint="eastAsia"/>
          <w:color w:val="000000" w:themeColor="text1"/>
          <w:szCs w:val="24"/>
          <w:highlight w:val="none"/>
          <w14:textFill>
            <w14:solidFill>
              <w14:schemeClr w14:val="tx1"/>
            </w14:solidFill>
          </w14:textFill>
        </w:rPr>
        <w:t>8.7</w:t>
      </w:r>
      <w:r>
        <w:rPr>
          <w:color w:val="000000" w:themeColor="text1"/>
          <w:highlight w:val="none"/>
          <w14:textFill>
            <w14:solidFill>
              <w14:schemeClr w14:val="tx1"/>
            </w14:solidFill>
          </w14:textFill>
        </w:rPr>
        <w:t>总量控制</w:t>
      </w:r>
      <w:bookmarkEnd w:id="1106"/>
      <w:bookmarkEnd w:id="1107"/>
      <w:bookmarkEnd w:id="1108"/>
    </w:p>
    <w:p w14:paraId="50044954">
      <w:pPr>
        <w:pStyle w:val="41"/>
        <w:overflowPunct w:val="0"/>
        <w:topLinePunct/>
        <w:spacing w:line="480" w:lineRule="exact"/>
        <w:ind w:firstLine="480"/>
        <w:rPr>
          <w:color w:val="000000" w:themeColor="text1"/>
          <w:highlight w:val="none"/>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根据《关于印发新疆维吾尔自治区加强涉重金属行业污染防控工作方案的通知》，铁矿采选不属于重金属行业，本项目原矿石鉴定涉重金属为微量，可不申请重金属总量指标</w:t>
      </w:r>
      <w:r>
        <w:rPr>
          <w:rFonts w:cs="Times New Roman"/>
          <w:color w:val="000000" w:themeColor="text1"/>
          <w:kern w:val="0"/>
          <w:szCs w:val="21"/>
          <w:highlight w:val="none"/>
          <w14:textFill>
            <w14:solidFill>
              <w14:schemeClr w14:val="tx1"/>
            </w14:solidFill>
          </w14:textFill>
        </w:rPr>
        <w:t>。</w:t>
      </w:r>
    </w:p>
    <w:p w14:paraId="5240757D">
      <w:pPr>
        <w:pStyle w:val="2"/>
        <w:spacing w:line="720" w:lineRule="exact"/>
        <w:rPr>
          <w:color w:val="000000" w:themeColor="text1"/>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F8CC5A3">
      <w:pPr>
        <w:pStyle w:val="2"/>
        <w:keepNext/>
        <w:keepLines/>
        <w:spacing w:line="720" w:lineRule="exact"/>
        <w:ind w:left="0" w:firstLine="0" w:firstLineChars="0"/>
        <w:rPr>
          <w:rFonts w:ascii="Times New Roman" w:hAnsi="Times New Roman" w:eastAsia="宋体" w:cs="Times New Roman"/>
          <w:color w:val="000000" w:themeColor="text1"/>
          <w:kern w:val="44"/>
          <w:sz w:val="36"/>
          <w:szCs w:val="36"/>
          <w:highlight w:val="none"/>
          <w:lang w:val="en-US" w:bidi="ar-SA"/>
          <w14:textFill>
            <w14:solidFill>
              <w14:schemeClr w14:val="tx1"/>
            </w14:solidFill>
          </w14:textFill>
        </w:rPr>
      </w:pPr>
      <w:bookmarkStart w:id="1109" w:name="_Toc13936"/>
      <w:bookmarkStart w:id="1110" w:name="_Toc32647"/>
      <w:bookmarkStart w:id="1111" w:name="_Toc32718"/>
      <w:bookmarkStart w:id="1112" w:name="_Toc20735"/>
      <w:bookmarkStart w:id="1113" w:name="_Toc107413917"/>
      <w:bookmarkStart w:id="1114" w:name="_Toc1997"/>
      <w:bookmarkStart w:id="1115" w:name="_Toc107414684"/>
      <w:r>
        <w:rPr>
          <w:rFonts w:ascii="Times New Roman" w:hAnsi="Times New Roman" w:eastAsia="宋体" w:cs="Times New Roman"/>
          <w:color w:val="000000" w:themeColor="text1"/>
          <w:kern w:val="44"/>
          <w:sz w:val="36"/>
          <w:szCs w:val="36"/>
          <w:highlight w:val="none"/>
          <w:lang w:val="en-US" w:bidi="ar-SA"/>
          <w14:textFill>
            <w14:solidFill>
              <w14:schemeClr w14:val="tx1"/>
            </w14:solidFill>
          </w14:textFill>
        </w:rPr>
        <w:t>9环境影响评价结论</w:t>
      </w:r>
      <w:bookmarkEnd w:id="1109"/>
      <w:bookmarkEnd w:id="1110"/>
      <w:bookmarkEnd w:id="1111"/>
      <w:bookmarkEnd w:id="1112"/>
      <w:bookmarkEnd w:id="1113"/>
      <w:bookmarkEnd w:id="1114"/>
      <w:bookmarkEnd w:id="1115"/>
    </w:p>
    <w:p w14:paraId="7781B817">
      <w:pPr>
        <w:pStyle w:val="3"/>
        <w:keepNext/>
        <w:keepLines/>
        <w:spacing w:before="120" w:after="120" w:line="560" w:lineRule="exact"/>
        <w:ind w:left="0" w:right="0" w:firstLine="0" w:firstLineChars="0"/>
        <w:jc w:val="both"/>
        <w:rPr>
          <w:rFonts w:ascii="Times New Roman" w:hAnsi="Times New Roman" w:eastAsia="宋体" w:cs="Times New Roman"/>
          <w:color w:val="000000" w:themeColor="text1"/>
          <w:sz w:val="32"/>
          <w:szCs w:val="32"/>
          <w:highlight w:val="none"/>
          <w:lang w:val="en-US" w:bidi="ar-SA"/>
          <w14:textFill>
            <w14:solidFill>
              <w14:schemeClr w14:val="tx1"/>
            </w14:solidFill>
          </w14:textFill>
        </w:rPr>
      </w:pPr>
      <w:bookmarkStart w:id="1116" w:name="_Toc32449"/>
      <w:bookmarkStart w:id="1117" w:name="_Toc107414685"/>
      <w:bookmarkStart w:id="1118" w:name="_Toc26917"/>
      <w:bookmarkStart w:id="1119" w:name="_Toc16689"/>
      <w:bookmarkStart w:id="1120" w:name="_Toc12518"/>
      <w:bookmarkStart w:id="1121" w:name="_Toc2440"/>
      <w:bookmarkStart w:id="1122" w:name="_Toc107413918"/>
      <w:r>
        <w:rPr>
          <w:rFonts w:hint="eastAsia" w:ascii="Times New Roman" w:hAnsi="Times New Roman" w:eastAsia="宋体" w:cs="Times New Roman"/>
          <w:color w:val="000000" w:themeColor="text1"/>
          <w:sz w:val="32"/>
          <w:szCs w:val="32"/>
          <w:highlight w:val="none"/>
          <w:lang w:val="en-US" w:bidi="ar-SA"/>
          <w14:textFill>
            <w14:solidFill>
              <w14:schemeClr w14:val="tx1"/>
            </w14:solidFill>
          </w14:textFill>
        </w:rPr>
        <w:t>9.1项目概况</w:t>
      </w:r>
      <w:bookmarkEnd w:id="1116"/>
      <w:bookmarkEnd w:id="1117"/>
      <w:bookmarkEnd w:id="1118"/>
      <w:bookmarkEnd w:id="1119"/>
      <w:bookmarkEnd w:id="1120"/>
      <w:bookmarkEnd w:id="1121"/>
      <w:bookmarkEnd w:id="1122"/>
    </w:p>
    <w:p w14:paraId="177B3606">
      <w:pPr>
        <w:pStyle w:val="55"/>
        <w:overflowPunct w:val="0"/>
        <w:topLinePunct/>
        <w:snapToGrid w:val="0"/>
        <w:ind w:firstLine="480" w:firstLineChars="200"/>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项目名称：</w:t>
      </w:r>
      <w:r>
        <w:rPr>
          <w:rFonts w:hint="eastAsia"/>
          <w:color w:val="000000" w:themeColor="text1"/>
          <w:highlight w:val="none"/>
          <w:lang w:eastAsia="zh-CN"/>
          <w14:textFill>
            <w14:solidFill>
              <w14:schemeClr w14:val="tx1"/>
            </w14:solidFill>
          </w14:textFill>
        </w:rPr>
        <w:t>哈密市西成矿业有限责任公司年产30万吨铁精粉建设项目（重大变动）</w:t>
      </w:r>
    </w:p>
    <w:p w14:paraId="64E55A70">
      <w:pPr>
        <w:pStyle w:val="55"/>
        <w:overflowPunct w:val="0"/>
        <w:topLinePunct/>
        <w:snapToGrid w:val="0"/>
        <w:ind w:firstLine="480" w:firstLineChars="20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建设单位：</w:t>
      </w:r>
      <w:r>
        <w:rPr>
          <w:rFonts w:hint="eastAsia"/>
          <w:color w:val="000000" w:themeColor="text1"/>
          <w:highlight w:val="none"/>
          <w:lang w:eastAsia="zh-CN"/>
          <w14:textFill>
            <w14:solidFill>
              <w14:schemeClr w14:val="tx1"/>
            </w14:solidFill>
          </w14:textFill>
        </w:rPr>
        <w:t>哈密市西成矿业有限责任公司</w:t>
      </w:r>
    </w:p>
    <w:p w14:paraId="50997D2A">
      <w:pPr>
        <w:pStyle w:val="55"/>
        <w:overflowPunct w:val="0"/>
        <w:topLinePunct/>
        <w:snapToGrid w:val="0"/>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建设性质：</w:t>
      </w:r>
      <w:r>
        <w:rPr>
          <w:rFonts w:hint="eastAsia"/>
          <w:color w:val="000000" w:themeColor="text1"/>
          <w:highlight w:val="none"/>
          <w:lang w:val="en-US" w:eastAsia="zh-CN"/>
          <w14:textFill>
            <w14:solidFill>
              <w14:schemeClr w14:val="tx1"/>
            </w14:solidFill>
          </w14:textFill>
        </w:rPr>
        <w:t>新建（重大变动重新报批）</w:t>
      </w:r>
    </w:p>
    <w:p w14:paraId="0DDD1B42">
      <w:pPr>
        <w:pStyle w:val="55"/>
        <w:overflowPunct w:val="0"/>
        <w:topLinePunct/>
        <w:snapToGrid w:val="0"/>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建设规模：年</w:t>
      </w:r>
      <w:r>
        <w:rPr>
          <w:rFonts w:hint="eastAsia"/>
          <w:color w:val="000000" w:themeColor="text1"/>
          <w:highlight w:val="none"/>
          <w:lang w:val="en-US" w:eastAsia="zh-CN"/>
          <w14:textFill>
            <w14:solidFill>
              <w14:schemeClr w14:val="tx1"/>
            </w14:solidFill>
          </w14:textFill>
        </w:rPr>
        <w:t>产</w:t>
      </w:r>
      <w:r>
        <w:rPr>
          <w:rFonts w:hint="eastAsia"/>
          <w:color w:val="000000" w:themeColor="text1"/>
          <w:highlight w:val="none"/>
          <w14:textFill>
            <w14:solidFill>
              <w14:schemeClr w14:val="tx1"/>
            </w14:solidFill>
          </w14:textFill>
        </w:rPr>
        <w:t>铁</w:t>
      </w:r>
      <w:r>
        <w:rPr>
          <w:rFonts w:hint="eastAsia"/>
          <w:color w:val="000000" w:themeColor="text1"/>
          <w:highlight w:val="none"/>
          <w:lang w:eastAsia="zh-CN"/>
          <w14:textFill>
            <w14:solidFill>
              <w14:schemeClr w14:val="tx1"/>
            </w14:solidFill>
          </w14:textFill>
        </w:rPr>
        <w:t>精粉</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0万t/a。</w:t>
      </w:r>
    </w:p>
    <w:p w14:paraId="13329D9B">
      <w:pPr>
        <w:pStyle w:val="55"/>
        <w:overflowPunct w:val="0"/>
        <w:topLinePunct/>
        <w:snapToGrid w:val="0"/>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建设地点：本项目位于新疆维吾尔自治区</w:t>
      </w:r>
      <w:r>
        <w:rPr>
          <w:rFonts w:hint="eastAsia"/>
          <w:color w:val="000000" w:themeColor="text1"/>
          <w:highlight w:val="none"/>
          <w:lang w:val="en-US" w:eastAsia="zh-CN"/>
          <w14:textFill>
            <w14:solidFill>
              <w14:schemeClr w14:val="tx1"/>
            </w14:solidFill>
          </w14:textFill>
        </w:rPr>
        <w:t>哈密市东南方向，距离哈密市中心城区直线距离约179km，配套的M1033铁矿位于选矿厂东侧，属哈密市伊州区雅满苏镇管辖</w:t>
      </w:r>
      <w:r>
        <w:rPr>
          <w:rFonts w:hint="eastAsia"/>
          <w:color w:val="000000" w:themeColor="text1"/>
          <w:highlight w:val="none"/>
          <w14:textFill>
            <w14:solidFill>
              <w14:schemeClr w14:val="tx1"/>
            </w14:solidFill>
          </w14:textFill>
        </w:rPr>
        <w:t>。</w:t>
      </w:r>
    </w:p>
    <w:p w14:paraId="7B22644A">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服务年限：选矿厂、尾矿库服务年限为</w:t>
      </w:r>
      <w:r>
        <w:rPr>
          <w:rFonts w:hint="eastAsia"/>
          <w:color w:val="000000" w:themeColor="text1"/>
          <w:highlight w:val="none"/>
          <w:lang w:val="en-US" w:eastAsia="zh-CN"/>
          <w14:textFill>
            <w14:solidFill>
              <w14:schemeClr w14:val="tx1"/>
            </w14:solidFill>
          </w14:textFill>
        </w:rPr>
        <w:t>19</w:t>
      </w:r>
      <w:r>
        <w:rPr>
          <w:rFonts w:hint="eastAsia"/>
          <w:color w:val="000000" w:themeColor="text1"/>
          <w:highlight w:val="none"/>
          <w14:textFill>
            <w14:solidFill>
              <w14:schemeClr w14:val="tx1"/>
            </w14:solidFill>
          </w14:textFill>
        </w:rPr>
        <w:t>年。</w:t>
      </w:r>
    </w:p>
    <w:p w14:paraId="2A260918">
      <w:pPr>
        <w:overflowPunct w:val="0"/>
        <w:topLinePunct/>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项目建设周期：计划开工时间为2</w:t>
      </w:r>
      <w:r>
        <w:rPr>
          <w:color w:val="000000" w:themeColor="text1"/>
          <w:highlight w:val="none"/>
          <w14:textFill>
            <w14:solidFill>
              <w14:schemeClr w14:val="tx1"/>
            </w14:solidFill>
          </w14:textFill>
        </w:rPr>
        <w:t>02</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月，计划建设周期为</w:t>
      </w:r>
      <w:r>
        <w:rPr>
          <w:rFonts w:hint="eastAsia"/>
          <w:color w:val="000000" w:themeColor="text1"/>
          <w:highlight w:val="none"/>
          <w:lang w:val="en-US" w:eastAsia="zh-CN"/>
          <w14:textFill>
            <w14:solidFill>
              <w14:schemeClr w14:val="tx1"/>
            </w14:solidFill>
          </w14:textFill>
        </w:rPr>
        <w:t>24</w:t>
      </w:r>
      <w:r>
        <w:rPr>
          <w:rFonts w:hint="eastAsia"/>
          <w:color w:val="000000" w:themeColor="text1"/>
          <w:highlight w:val="none"/>
          <w14:textFill>
            <w14:solidFill>
              <w14:schemeClr w14:val="tx1"/>
            </w14:solidFill>
          </w14:textFill>
        </w:rPr>
        <w:t>个月。</w:t>
      </w:r>
    </w:p>
    <w:p w14:paraId="345E31C8">
      <w:pPr>
        <w:pStyle w:val="55"/>
        <w:overflowPunct w:val="0"/>
        <w:topLinePunct/>
        <w:snapToGrid w:val="0"/>
        <w:ind w:firstLine="480" w:firstLineChars="20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总</w:t>
      </w:r>
      <w:r>
        <w:rPr>
          <w:color w:val="000000" w:themeColor="text1"/>
          <w:highlight w:val="none"/>
          <w14:textFill>
            <w14:solidFill>
              <w14:schemeClr w14:val="tx1"/>
            </w14:solidFill>
          </w14:textFill>
        </w:rPr>
        <w:t>投资：</w:t>
      </w:r>
      <w:r>
        <w:rPr>
          <w:rFonts w:hint="eastAsia"/>
          <w:color w:val="000000" w:themeColor="text1"/>
          <w:highlight w:val="none"/>
          <w14:textFill>
            <w14:solidFill>
              <w14:schemeClr w14:val="tx1"/>
            </w14:solidFill>
          </w14:textFill>
        </w:rPr>
        <w:t>本项目总投资为</w:t>
      </w:r>
      <w:r>
        <w:rPr>
          <w:rFonts w:hint="eastAsia"/>
          <w:color w:val="000000" w:themeColor="text1"/>
          <w:highlight w:val="none"/>
          <w:lang w:val="en-US" w:eastAsia="zh-CN"/>
          <w14:textFill>
            <w14:solidFill>
              <w14:schemeClr w14:val="tx1"/>
            </w14:solidFill>
          </w14:textFill>
        </w:rPr>
        <w:t>5939.21</w:t>
      </w:r>
      <w:r>
        <w:rPr>
          <w:rFonts w:hint="eastAsia"/>
          <w:color w:val="000000" w:themeColor="text1"/>
          <w:highlight w:val="none"/>
          <w14:textFill>
            <w14:solidFill>
              <w14:schemeClr w14:val="tx1"/>
            </w14:solidFill>
          </w14:textFill>
        </w:rPr>
        <w:t>万元，其中：工程费用</w:t>
      </w:r>
      <w:r>
        <w:rPr>
          <w:rFonts w:hint="eastAsia"/>
          <w:color w:val="000000" w:themeColor="text1"/>
          <w:highlight w:val="none"/>
          <w:lang w:val="en-US" w:eastAsia="zh-CN"/>
          <w14:textFill>
            <w14:solidFill>
              <w14:schemeClr w14:val="tx1"/>
            </w14:solidFill>
          </w14:textFill>
        </w:rPr>
        <w:t>5018.53</w:t>
      </w:r>
      <w:r>
        <w:rPr>
          <w:rFonts w:hint="eastAsia"/>
          <w:color w:val="000000" w:themeColor="text1"/>
          <w:highlight w:val="none"/>
          <w14:textFill>
            <w14:solidFill>
              <w14:schemeClr w14:val="tx1"/>
            </w14:solidFill>
          </w14:textFill>
        </w:rPr>
        <w:t>万元，工程建设其他费用</w:t>
      </w:r>
      <w:r>
        <w:rPr>
          <w:rFonts w:hint="eastAsia"/>
          <w:color w:val="000000" w:themeColor="text1"/>
          <w:highlight w:val="none"/>
          <w:lang w:val="en-US" w:eastAsia="zh-CN"/>
          <w14:textFill>
            <w14:solidFill>
              <w14:schemeClr w14:val="tx1"/>
            </w14:solidFill>
          </w14:textFill>
        </w:rPr>
        <w:t>173.09</w:t>
      </w:r>
      <w:r>
        <w:rPr>
          <w:rFonts w:hint="eastAsia"/>
          <w:color w:val="000000" w:themeColor="text1"/>
          <w:highlight w:val="none"/>
          <w14:textFill>
            <w14:solidFill>
              <w14:schemeClr w14:val="tx1"/>
            </w14:solidFill>
          </w14:textFill>
        </w:rPr>
        <w:t>万元，预备费</w:t>
      </w:r>
      <w:r>
        <w:rPr>
          <w:rFonts w:hint="eastAsia"/>
          <w:color w:val="000000" w:themeColor="text1"/>
          <w:highlight w:val="none"/>
          <w:lang w:val="en-US" w:eastAsia="zh-CN"/>
          <w14:textFill>
            <w14:solidFill>
              <w14:schemeClr w14:val="tx1"/>
            </w14:solidFill>
          </w14:textFill>
        </w:rPr>
        <w:t>622.99</w:t>
      </w:r>
      <w:r>
        <w:rPr>
          <w:rFonts w:hint="eastAsia"/>
          <w:color w:val="000000" w:themeColor="text1"/>
          <w:highlight w:val="none"/>
          <w14:textFill>
            <w14:solidFill>
              <w14:schemeClr w14:val="tx1"/>
            </w14:solidFill>
          </w14:textFill>
        </w:rPr>
        <w:t>万元</w:t>
      </w:r>
      <w:r>
        <w:rPr>
          <w:rFonts w:hint="eastAsia"/>
          <w:color w:val="000000" w:themeColor="text1"/>
          <w:highlight w:val="none"/>
          <w:lang w:eastAsia="zh-CN"/>
          <w14:textFill>
            <w14:solidFill>
              <w14:schemeClr w14:val="tx1"/>
            </w14:solidFill>
          </w14:textFill>
        </w:rPr>
        <w:t>，流动资金</w:t>
      </w:r>
      <w:r>
        <w:rPr>
          <w:rFonts w:hint="eastAsia"/>
          <w:color w:val="000000" w:themeColor="text1"/>
          <w:highlight w:val="none"/>
          <w:lang w:val="en-US" w:eastAsia="zh-CN"/>
          <w14:textFill>
            <w14:solidFill>
              <w14:schemeClr w14:val="tx1"/>
            </w14:solidFill>
          </w14:textFill>
        </w:rPr>
        <w:t>124.6万元</w:t>
      </w:r>
      <w:r>
        <w:rPr>
          <w:rFonts w:hint="eastAsia"/>
          <w:color w:val="000000" w:themeColor="text1"/>
          <w:highlight w:val="none"/>
          <w14:textFill>
            <w14:solidFill>
              <w14:schemeClr w14:val="tx1"/>
            </w14:solidFill>
          </w14:textFill>
        </w:rPr>
        <w:t>。均为企业自筹。</w:t>
      </w:r>
      <w:r>
        <w:rPr>
          <w:color w:val="000000" w:themeColor="text1"/>
          <w:sz w:val="24"/>
          <w:szCs w:val="24"/>
          <w:highlight w:val="none"/>
          <w14:textFill>
            <w14:solidFill>
              <w14:schemeClr w14:val="tx1"/>
            </w14:solidFill>
          </w14:textFill>
        </w:rPr>
        <w:t>其中环保投资为</w:t>
      </w:r>
      <w:r>
        <w:rPr>
          <w:rFonts w:hint="eastAsia" w:cs="Times New Roman"/>
          <w:b w:val="0"/>
          <w:color w:val="000000" w:themeColor="text1"/>
          <w:sz w:val="24"/>
          <w:szCs w:val="24"/>
          <w:highlight w:val="none"/>
          <w:lang w:val="en-US" w:eastAsia="zh-CN"/>
          <w14:textFill>
            <w14:solidFill>
              <w14:schemeClr w14:val="tx1"/>
            </w14:solidFill>
          </w14:textFill>
        </w:rPr>
        <w:t>1580</w:t>
      </w:r>
      <w:r>
        <w:rPr>
          <w:color w:val="000000" w:themeColor="text1"/>
          <w:sz w:val="24"/>
          <w:szCs w:val="24"/>
          <w:highlight w:val="none"/>
          <w14:textFill>
            <w14:solidFill>
              <w14:schemeClr w14:val="tx1"/>
            </w14:solidFill>
          </w14:textFill>
        </w:rPr>
        <w:t>万元，占总投资的</w:t>
      </w:r>
      <w:r>
        <w:rPr>
          <w:rFonts w:hint="eastAsia"/>
          <w:color w:val="000000" w:themeColor="text1"/>
          <w:sz w:val="24"/>
          <w:szCs w:val="24"/>
          <w:highlight w:val="none"/>
          <w:lang w:val="en-US" w:eastAsia="zh-CN"/>
          <w14:textFill>
            <w14:solidFill>
              <w14:schemeClr w14:val="tx1"/>
            </w14:solidFill>
          </w14:textFill>
        </w:rPr>
        <w:t>26.60</w:t>
      </w:r>
      <w:r>
        <w:rPr>
          <w:color w:val="000000" w:themeColor="text1"/>
          <w:sz w:val="24"/>
          <w:szCs w:val="24"/>
          <w:highlight w:val="none"/>
          <w14:textFill>
            <w14:solidFill>
              <w14:schemeClr w14:val="tx1"/>
            </w14:solidFill>
          </w14:textFill>
        </w:rPr>
        <w:t>%。</w:t>
      </w:r>
    </w:p>
    <w:p w14:paraId="47F1AFB8">
      <w:pPr>
        <w:pStyle w:val="55"/>
        <w:overflowPunct w:val="0"/>
        <w:topLinePunct/>
        <w:snapToGrid w:val="0"/>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建设内容：建设内容包括</w:t>
      </w:r>
      <w:r>
        <w:rPr>
          <w:rFonts w:hint="eastAsia"/>
          <w:color w:val="000000" w:themeColor="text1"/>
          <w:highlight w:val="none"/>
          <w:lang w:val="en-US" w:eastAsia="zh-CN"/>
          <w14:textFill>
            <w14:solidFill>
              <w14:schemeClr w14:val="tx1"/>
            </w14:solidFill>
          </w14:textFill>
        </w:rPr>
        <w:t>新建</w:t>
      </w:r>
      <w:r>
        <w:rPr>
          <w:rFonts w:hint="eastAsia"/>
          <w:color w:val="000000" w:themeColor="text1"/>
          <w:highlight w:val="none"/>
          <w14:textFill>
            <w14:solidFill>
              <w14:schemeClr w14:val="tx1"/>
            </w14:solidFill>
          </w14:textFill>
        </w:rPr>
        <w:t>选矿厂</w:t>
      </w:r>
      <w:r>
        <w:rPr>
          <w:rFonts w:hint="eastAsia"/>
          <w:color w:val="000000" w:themeColor="text1"/>
          <w:highlight w:val="none"/>
          <w:lang w:eastAsia="zh-CN"/>
          <w14:textFill>
            <w14:solidFill>
              <w14:schemeClr w14:val="tx1"/>
            </w14:solidFill>
          </w14:textFill>
        </w:rPr>
        <w:t>生产车间、新建</w:t>
      </w:r>
      <w:r>
        <w:rPr>
          <w:rFonts w:hint="eastAsia"/>
          <w:color w:val="000000" w:themeColor="text1"/>
          <w:highlight w:val="none"/>
          <w:lang w:val="en-US" w:eastAsia="zh-CN"/>
          <w14:textFill>
            <w14:solidFill>
              <w14:schemeClr w14:val="tx1"/>
            </w14:solidFill>
          </w14:textFill>
        </w:rPr>
        <w:t>破碎筛分系统、</w:t>
      </w:r>
      <w:r>
        <w:rPr>
          <w:rFonts w:hint="eastAsia"/>
          <w:color w:val="000000" w:themeColor="text1"/>
          <w:highlight w:val="none"/>
          <w:lang w:eastAsia="zh-CN"/>
          <w14:textFill>
            <w14:solidFill>
              <w14:schemeClr w14:val="tx1"/>
            </w14:solidFill>
          </w14:textFill>
        </w:rPr>
        <w:t>新建干排车间</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新建尾矿库</w:t>
      </w:r>
      <w:r>
        <w:rPr>
          <w:rFonts w:hint="eastAsia"/>
          <w:color w:val="000000" w:themeColor="text1"/>
          <w:highlight w:val="none"/>
          <w14:textFill>
            <w14:solidFill>
              <w14:schemeClr w14:val="tx1"/>
            </w14:solidFill>
          </w14:textFill>
        </w:rPr>
        <w:t>及尾矿输送系统，</w:t>
      </w:r>
      <w:r>
        <w:rPr>
          <w:rFonts w:hint="eastAsia"/>
          <w:color w:val="000000" w:themeColor="text1"/>
          <w:szCs w:val="28"/>
          <w:highlight w:val="none"/>
          <w14:textFill>
            <w14:solidFill>
              <w14:schemeClr w14:val="tx1"/>
            </w14:solidFill>
          </w14:textFill>
        </w:rPr>
        <w:t>在充分利用现有设施的基础上</w:t>
      </w:r>
      <w:r>
        <w:rPr>
          <w:rFonts w:hint="eastAsia"/>
          <w:color w:val="000000" w:themeColor="text1"/>
          <w:highlight w:val="none"/>
          <w14:textFill>
            <w14:solidFill>
              <w14:schemeClr w14:val="tx1"/>
            </w14:solidFill>
          </w14:textFill>
        </w:rPr>
        <w:t>配套给水、排水、供热、供电、道路及环保设施等。</w:t>
      </w:r>
      <w:r>
        <w:rPr>
          <w:color w:val="000000" w:themeColor="text1"/>
          <w:highlight w:val="none"/>
          <w14:textFill>
            <w14:solidFill>
              <w14:schemeClr w14:val="tx1"/>
            </w14:solidFill>
          </w14:textFill>
        </w:rPr>
        <w:t>新建</w:t>
      </w:r>
      <w:r>
        <w:rPr>
          <w:rFonts w:hint="eastAsia"/>
          <w:color w:val="000000" w:themeColor="text1"/>
          <w:highlight w:val="none"/>
          <w14:textFill>
            <w14:solidFill>
              <w14:schemeClr w14:val="tx1"/>
            </w14:solidFill>
          </w14:textFill>
        </w:rPr>
        <w:t>的</w:t>
      </w:r>
      <w:r>
        <w:rPr>
          <w:color w:val="000000" w:themeColor="text1"/>
          <w:highlight w:val="none"/>
          <w14:textFill>
            <w14:solidFill>
              <w14:schemeClr w14:val="tx1"/>
            </w14:solidFill>
          </w14:textFill>
        </w:rPr>
        <w:t>尾矿库</w:t>
      </w:r>
      <w:r>
        <w:rPr>
          <w:color w:val="000000" w:themeColor="text1"/>
          <w:szCs w:val="28"/>
          <w:highlight w:val="none"/>
          <w14:textFill>
            <w14:solidFill>
              <w14:schemeClr w14:val="tx1"/>
            </w14:solidFill>
          </w14:textFill>
        </w:rPr>
        <w:t>最终堆积标高</w:t>
      </w:r>
      <w:r>
        <w:rPr>
          <w:rFonts w:hint="eastAsia"/>
          <w:color w:val="000000" w:themeColor="text1"/>
          <w:szCs w:val="28"/>
          <w:highlight w:val="none"/>
          <w:lang w:val="en-US" w:eastAsia="zh-CN"/>
          <w14:textFill>
            <w14:solidFill>
              <w14:schemeClr w14:val="tx1"/>
            </w14:solidFill>
          </w14:textFill>
        </w:rPr>
        <w:t>1264.0</w:t>
      </w:r>
      <w:r>
        <w:rPr>
          <w:color w:val="000000" w:themeColor="text1"/>
          <w:szCs w:val="28"/>
          <w:highlight w:val="none"/>
          <w14:textFill>
            <w14:solidFill>
              <w14:schemeClr w14:val="tx1"/>
            </w14:solidFill>
          </w14:textFill>
        </w:rPr>
        <w:t>m，尾矿堆积坝总高度为</w:t>
      </w:r>
      <w:r>
        <w:rPr>
          <w:rFonts w:hint="eastAsia"/>
          <w:color w:val="000000" w:themeColor="text1"/>
          <w:szCs w:val="28"/>
          <w:highlight w:val="none"/>
          <w:lang w:val="en-US" w:eastAsia="zh-CN"/>
          <w14:textFill>
            <w14:solidFill>
              <w14:schemeClr w14:val="tx1"/>
            </w14:solidFill>
          </w14:textFill>
        </w:rPr>
        <w:t>30</w:t>
      </w:r>
      <w:r>
        <w:rPr>
          <w:color w:val="000000" w:themeColor="text1"/>
          <w:szCs w:val="28"/>
          <w:highlight w:val="none"/>
          <w14:textFill>
            <w14:solidFill>
              <w14:schemeClr w14:val="tx1"/>
            </w14:solidFill>
          </w14:textFill>
        </w:rPr>
        <w:t>m，总库容</w:t>
      </w:r>
      <w:r>
        <w:rPr>
          <w:rFonts w:hint="eastAsia"/>
          <w:color w:val="000000" w:themeColor="text1"/>
          <w:szCs w:val="28"/>
          <w:highlight w:val="none"/>
          <w:lang w:val="en-US" w:eastAsia="zh-CN"/>
          <w14:textFill>
            <w14:solidFill>
              <w14:schemeClr w14:val="tx1"/>
            </w14:solidFill>
          </w14:textFill>
        </w:rPr>
        <w:t>527.55</w:t>
      </w:r>
      <w:r>
        <w:rPr>
          <w:color w:val="000000" w:themeColor="text1"/>
          <w:szCs w:val="28"/>
          <w:highlight w:val="none"/>
          <w14:textFill>
            <w14:solidFill>
              <w14:schemeClr w14:val="tx1"/>
            </w14:solidFill>
          </w14:textFill>
        </w:rPr>
        <w:t>万m</w:t>
      </w:r>
      <w:r>
        <w:rPr>
          <w:color w:val="000000" w:themeColor="text1"/>
          <w:szCs w:val="28"/>
          <w:highlight w:val="none"/>
          <w:vertAlign w:val="superscript"/>
          <w14:textFill>
            <w14:solidFill>
              <w14:schemeClr w14:val="tx1"/>
            </w14:solidFill>
          </w14:textFill>
        </w:rPr>
        <w:t>3</w:t>
      </w:r>
      <w:r>
        <w:rPr>
          <w:color w:val="000000" w:themeColor="text1"/>
          <w:szCs w:val="28"/>
          <w:highlight w:val="none"/>
          <w14:textFill>
            <w14:solidFill>
              <w14:schemeClr w14:val="tx1"/>
            </w14:solidFill>
          </w14:textFill>
        </w:rPr>
        <w:t>，总有效库容约为</w:t>
      </w:r>
      <w:r>
        <w:rPr>
          <w:rFonts w:hint="eastAsia"/>
          <w:color w:val="000000" w:themeColor="text1"/>
          <w:szCs w:val="28"/>
          <w:highlight w:val="none"/>
          <w:lang w:val="en-US" w:eastAsia="zh-CN"/>
          <w14:textFill>
            <w14:solidFill>
              <w14:schemeClr w14:val="tx1"/>
            </w14:solidFill>
          </w14:textFill>
        </w:rPr>
        <w:t>501.17</w:t>
      </w:r>
      <w:r>
        <w:rPr>
          <w:color w:val="000000" w:themeColor="text1"/>
          <w:szCs w:val="28"/>
          <w:highlight w:val="none"/>
          <w14:textFill>
            <w14:solidFill>
              <w14:schemeClr w14:val="tx1"/>
            </w14:solidFill>
          </w14:textFill>
        </w:rPr>
        <w:t>万m</w:t>
      </w:r>
      <w:r>
        <w:rPr>
          <w:color w:val="000000" w:themeColor="text1"/>
          <w:szCs w:val="28"/>
          <w:highlight w:val="none"/>
          <w:vertAlign w:val="superscript"/>
          <w14:textFill>
            <w14:solidFill>
              <w14:schemeClr w14:val="tx1"/>
            </w14:solidFill>
          </w14:textFill>
        </w:rPr>
        <w:t>3</w:t>
      </w:r>
      <w:r>
        <w:rPr>
          <w:color w:val="000000" w:themeColor="text1"/>
          <w:szCs w:val="28"/>
          <w:highlight w:val="none"/>
          <w14:textFill>
            <w14:solidFill>
              <w14:schemeClr w14:val="tx1"/>
            </w14:solidFill>
          </w14:textFill>
        </w:rPr>
        <w:t>，尾矿库等别为</w:t>
      </w:r>
      <w:r>
        <w:rPr>
          <w:rFonts w:hint="eastAsia"/>
          <w:color w:val="000000" w:themeColor="text1"/>
          <w:szCs w:val="28"/>
          <w:highlight w:val="none"/>
          <w:lang w:eastAsia="zh-CN"/>
          <w14:textFill>
            <w14:solidFill>
              <w14:schemeClr w14:val="tx1"/>
            </w14:solidFill>
          </w14:textFill>
        </w:rPr>
        <w:t>四</w:t>
      </w:r>
      <w:r>
        <w:rPr>
          <w:color w:val="000000" w:themeColor="text1"/>
          <w:szCs w:val="28"/>
          <w:highlight w:val="none"/>
          <w14:textFill>
            <w14:solidFill>
              <w14:schemeClr w14:val="tx1"/>
            </w14:solidFill>
          </w14:textFill>
        </w:rPr>
        <w:t>等，尾矿库可服务约</w:t>
      </w:r>
      <w:r>
        <w:rPr>
          <w:rFonts w:hint="eastAsia"/>
          <w:color w:val="000000" w:themeColor="text1"/>
          <w:szCs w:val="28"/>
          <w:highlight w:val="none"/>
          <w:lang w:val="en-US" w:eastAsia="zh-CN"/>
          <w14:textFill>
            <w14:solidFill>
              <w14:schemeClr w14:val="tx1"/>
            </w14:solidFill>
          </w14:textFill>
        </w:rPr>
        <w:t>19</w:t>
      </w:r>
      <w:r>
        <w:rPr>
          <w:color w:val="000000" w:themeColor="text1"/>
          <w:szCs w:val="28"/>
          <w:highlight w:val="none"/>
          <w14:textFill>
            <w14:solidFill>
              <w14:schemeClr w14:val="tx1"/>
            </w14:solidFill>
          </w14:textFill>
        </w:rPr>
        <w:t>年。</w:t>
      </w:r>
    </w:p>
    <w:p w14:paraId="40DB06E3">
      <w:pPr>
        <w:pStyle w:val="41"/>
        <w:overflowPunct w:val="0"/>
        <w:topLinePunct/>
        <w:spacing w:line="480" w:lineRule="exact"/>
        <w:ind w:firstLine="480"/>
        <w:rPr>
          <w:rFonts w:cs="Times New Roman"/>
          <w:color w:val="000000" w:themeColor="text1"/>
          <w:kern w:val="0"/>
          <w:highlight w:val="none"/>
          <w14:textFill>
            <w14:solidFill>
              <w14:schemeClr w14:val="tx1"/>
            </w14:solidFill>
          </w14:textFill>
        </w:rPr>
      </w:pPr>
      <w:r>
        <w:rPr>
          <w:rFonts w:cs="Times New Roman"/>
          <w:color w:val="000000" w:themeColor="text1"/>
          <w:highlight w:val="none"/>
          <w14:textFill>
            <w14:solidFill>
              <w14:schemeClr w14:val="tx1"/>
            </w14:solidFill>
          </w14:textFill>
        </w:rPr>
        <w:t>本项目</w:t>
      </w:r>
      <w:r>
        <w:rPr>
          <w:rFonts w:hint="eastAsia" w:cs="Times New Roman"/>
          <w:color w:val="000000" w:themeColor="text1"/>
          <w:highlight w:val="none"/>
          <w14:textFill>
            <w14:solidFill>
              <w14:schemeClr w14:val="tx1"/>
            </w14:solidFill>
          </w14:textFill>
        </w:rPr>
        <w:t>选矿产品方案为</w:t>
      </w:r>
      <w:r>
        <w:rPr>
          <w:rFonts w:hint="eastAsia" w:cs="Times New Roman"/>
          <w:color w:val="000000" w:themeColor="text1"/>
          <w:highlight w:val="none"/>
          <w:lang w:eastAsia="zh-CN"/>
          <w14:textFill>
            <w14:solidFill>
              <w14:schemeClr w14:val="tx1"/>
            </w14:solidFill>
          </w14:textFill>
        </w:rPr>
        <w:t>铁精粉</w:t>
      </w:r>
      <w:r>
        <w:rPr>
          <w:rFonts w:hint="eastAsia" w:cs="Times New Roman"/>
          <w:color w:val="000000" w:themeColor="text1"/>
          <w:highlight w:val="none"/>
          <w14:textFill>
            <w14:solidFill>
              <w14:schemeClr w14:val="tx1"/>
            </w14:solidFill>
          </w14:textFill>
        </w:rPr>
        <w:t>。</w:t>
      </w:r>
    </w:p>
    <w:p w14:paraId="7BDA6CE4">
      <w:pPr>
        <w:pStyle w:val="3"/>
        <w:keepNext/>
        <w:keepLines/>
        <w:spacing w:before="120" w:after="120" w:line="560" w:lineRule="exact"/>
        <w:ind w:left="0" w:right="0" w:firstLine="0" w:firstLineChars="0"/>
        <w:jc w:val="both"/>
        <w:rPr>
          <w:rFonts w:ascii="Times New Roman" w:hAnsi="Times New Roman" w:eastAsia="宋体" w:cs="Times New Roman"/>
          <w:color w:val="000000" w:themeColor="text1"/>
          <w:sz w:val="32"/>
          <w:szCs w:val="32"/>
          <w:highlight w:val="none"/>
          <w:lang w:val="en-US" w:bidi="ar-SA"/>
          <w14:textFill>
            <w14:solidFill>
              <w14:schemeClr w14:val="tx1"/>
            </w14:solidFill>
          </w14:textFill>
        </w:rPr>
      </w:pPr>
      <w:bookmarkStart w:id="1123" w:name="_Toc8222"/>
      <w:bookmarkStart w:id="1124" w:name="_Toc3962"/>
      <w:bookmarkStart w:id="1125" w:name="_Toc13836"/>
      <w:bookmarkStart w:id="1126" w:name="_Toc5630"/>
      <w:bookmarkStart w:id="1127" w:name="_Toc1618"/>
      <w:bookmarkStart w:id="1128" w:name="_Toc4550"/>
      <w:bookmarkStart w:id="1129" w:name="_Toc7960"/>
      <w:bookmarkStart w:id="1130" w:name="_Toc15679"/>
      <w:bookmarkStart w:id="1131" w:name="_Toc5604"/>
      <w:bookmarkStart w:id="1132" w:name="_Toc492457108"/>
      <w:bookmarkStart w:id="1133" w:name="_Toc23250"/>
      <w:bookmarkStart w:id="1134" w:name="_Toc107414686"/>
      <w:bookmarkStart w:id="1135" w:name="_Toc30707"/>
      <w:bookmarkStart w:id="1136" w:name="_Toc2326"/>
      <w:bookmarkStart w:id="1137" w:name="_Toc27524"/>
      <w:bookmarkStart w:id="1138" w:name="_Toc789"/>
      <w:bookmarkStart w:id="1139" w:name="_Toc107413919"/>
      <w:bookmarkStart w:id="1140" w:name="_Toc18333"/>
      <w:bookmarkStart w:id="1141" w:name="_Toc16927"/>
      <w:bookmarkStart w:id="1142" w:name="_Toc482784728"/>
      <w:r>
        <w:rPr>
          <w:rFonts w:ascii="Times New Roman" w:hAnsi="Times New Roman" w:eastAsia="宋体" w:cs="Times New Roman"/>
          <w:color w:val="000000" w:themeColor="text1"/>
          <w:sz w:val="32"/>
          <w:szCs w:val="32"/>
          <w:highlight w:val="none"/>
          <w:lang w:val="en-US" w:bidi="ar-SA"/>
          <w14:textFill>
            <w14:solidFill>
              <w14:schemeClr w14:val="tx1"/>
            </w14:solidFill>
          </w14:textFill>
        </w:rPr>
        <w:t>9.2符合性分析</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7B5C4518">
      <w:pPr>
        <w:pStyle w:val="41"/>
        <w:overflowPunct w:val="0"/>
        <w:topLinePunct/>
        <w:spacing w:line="480" w:lineRule="exact"/>
        <w:ind w:firstLine="480"/>
        <w:rPr>
          <w:rFonts w:cs="Times New Roman"/>
          <w:color w:val="000000" w:themeColor="text1"/>
          <w:kern w:val="0"/>
          <w:highlight w:val="none"/>
          <w14:textFill>
            <w14:solidFill>
              <w14:schemeClr w14:val="tx1"/>
            </w14:solidFill>
          </w14:textFill>
        </w:rPr>
      </w:pPr>
      <w:r>
        <w:rPr>
          <w:rFonts w:hint="eastAsia" w:cs="Times New Roman"/>
          <w:color w:val="000000" w:themeColor="text1"/>
          <w:kern w:val="0"/>
          <w:highlight w:val="none"/>
          <w14:textFill>
            <w14:solidFill>
              <w14:schemeClr w14:val="tx1"/>
            </w14:solidFill>
          </w14:textFill>
        </w:rPr>
        <w:t>本项目为铁矿采选改扩建工程，根据《国民经济行业分类》（</w:t>
      </w:r>
      <w:r>
        <w:rPr>
          <w:rFonts w:cs="Times New Roman"/>
          <w:color w:val="000000" w:themeColor="text1"/>
          <w:kern w:val="0"/>
          <w:highlight w:val="none"/>
          <w14:textFill>
            <w14:solidFill>
              <w14:schemeClr w14:val="tx1"/>
            </w14:solidFill>
          </w14:textFill>
        </w:rPr>
        <w:t>GB/T4754-2017</w:t>
      </w:r>
      <w:r>
        <w:rPr>
          <w:rFonts w:hint="eastAsia" w:cs="Times New Roman"/>
          <w:color w:val="000000" w:themeColor="text1"/>
          <w:kern w:val="0"/>
          <w:highlight w:val="none"/>
          <w14:textFill>
            <w14:solidFill>
              <w14:schemeClr w14:val="tx1"/>
            </w14:solidFill>
          </w14:textFill>
        </w:rPr>
        <w:t>），</w:t>
      </w:r>
      <w:r>
        <w:rPr>
          <w:rFonts w:cs="Times New Roman"/>
          <w:color w:val="000000" w:themeColor="text1"/>
          <w:kern w:val="0"/>
          <w:highlight w:val="none"/>
          <w14:textFill>
            <w14:solidFill>
              <w14:schemeClr w14:val="tx1"/>
            </w14:solidFill>
          </w14:textFill>
        </w:rPr>
        <w:t>本项目属于黑色金属矿采选业（B0810）；根据《建设项目环境影响评价分类管理名录》</w:t>
      </w:r>
      <w:r>
        <w:rPr>
          <w:rFonts w:hint="eastAsia" w:cs="Times New Roman"/>
          <w:color w:val="000000" w:themeColor="text1"/>
          <w:kern w:val="0"/>
          <w:highlight w:val="none"/>
          <w14:textFill>
            <w14:solidFill>
              <w14:schemeClr w14:val="tx1"/>
            </w14:solidFill>
          </w14:textFill>
        </w:rPr>
        <w:t>（2021年版）</w:t>
      </w:r>
      <w:r>
        <w:rPr>
          <w:rFonts w:cs="Times New Roman"/>
          <w:color w:val="000000" w:themeColor="text1"/>
          <w:kern w:val="0"/>
          <w:highlight w:val="none"/>
          <w14:textFill>
            <w14:solidFill>
              <w14:schemeClr w14:val="tx1"/>
            </w14:solidFill>
          </w14:textFill>
        </w:rPr>
        <w:t>，本项目属于</w:t>
      </w:r>
      <w:r>
        <w:rPr>
          <w:rFonts w:hint="eastAsia" w:cs="Times New Roman"/>
          <w:color w:val="000000" w:themeColor="text1"/>
          <w:kern w:val="0"/>
          <w:highlight w:val="none"/>
          <w:lang w:eastAsia="zh-CN"/>
          <w14:textFill>
            <w14:solidFill>
              <w14:schemeClr w14:val="tx1"/>
            </w14:solidFill>
          </w14:textFill>
        </w:rPr>
        <w:t>“</w:t>
      </w:r>
      <w:r>
        <w:rPr>
          <w:rFonts w:hint="eastAsia" w:cs="Times New Roman"/>
          <w:color w:val="000000" w:themeColor="text1"/>
          <w:kern w:val="0"/>
          <w:highlight w:val="none"/>
          <w14:textFill>
            <w14:solidFill>
              <w14:schemeClr w14:val="tx1"/>
            </w14:solidFill>
          </w14:textFill>
        </w:rPr>
        <w:t>六</w:t>
      </w:r>
      <w:r>
        <w:rPr>
          <w:rFonts w:cs="Times New Roman"/>
          <w:color w:val="000000" w:themeColor="text1"/>
          <w:kern w:val="0"/>
          <w:highlight w:val="none"/>
          <w14:textFill>
            <w14:solidFill>
              <w14:schemeClr w14:val="tx1"/>
            </w14:solidFill>
          </w14:textFill>
        </w:rPr>
        <w:t>、黑色金属矿采选业</w:t>
      </w:r>
      <w:r>
        <w:rPr>
          <w:rFonts w:hint="eastAsia" w:cs="Times New Roman"/>
          <w:color w:val="000000" w:themeColor="text1"/>
          <w:kern w:val="0"/>
          <w:highlight w:val="none"/>
          <w:lang w:eastAsia="zh-CN"/>
          <w14:textFill>
            <w14:solidFill>
              <w14:schemeClr w14:val="tx1"/>
            </w14:solidFill>
          </w14:textFill>
        </w:rPr>
        <w:t>”</w:t>
      </w:r>
      <w:r>
        <w:rPr>
          <w:rFonts w:cs="Times New Roman"/>
          <w:color w:val="000000" w:themeColor="text1"/>
          <w:kern w:val="0"/>
          <w:highlight w:val="none"/>
          <w14:textFill>
            <w14:solidFill>
              <w14:schemeClr w14:val="tx1"/>
            </w14:solidFill>
          </w14:textFill>
        </w:rPr>
        <w:t>。根据</w:t>
      </w:r>
      <w:r>
        <w:rPr>
          <w:rFonts w:hint="eastAsia" w:cs="Times New Roman"/>
          <w:color w:val="000000" w:themeColor="text1"/>
          <w:kern w:val="0"/>
          <w:highlight w:val="none"/>
          <w14:textFill>
            <w14:solidFill>
              <w14:schemeClr w14:val="tx1"/>
            </w14:solidFill>
          </w14:textFill>
        </w:rPr>
        <w:t>《产业结构调整指导目录（2024年本）》，本项目属于名录中的鼓励类“八、钢铁1．黑色金属矿山开采、选矿及共伴生矿产综合开发利用，黑色金属矿山尾矿充填采矿工艺、技术及装备”，符合国家产业政策。</w:t>
      </w:r>
    </w:p>
    <w:p w14:paraId="55CD6A29">
      <w:pPr>
        <w:pStyle w:val="41"/>
        <w:overflowPunct w:val="0"/>
        <w:topLinePunct/>
        <w:spacing w:line="480" w:lineRule="exact"/>
        <w:ind w:firstLine="480"/>
        <w:rPr>
          <w:rFonts w:cs="Times New Roman"/>
          <w:color w:val="000000" w:themeColor="text1"/>
          <w:kern w:val="0"/>
          <w:highlight w:val="none"/>
          <w14:textFill>
            <w14:solidFill>
              <w14:schemeClr w14:val="tx1"/>
            </w14:solidFill>
          </w14:textFill>
        </w:rPr>
      </w:pPr>
      <w:r>
        <w:rPr>
          <w:rFonts w:cs="Times New Roman"/>
          <w:color w:val="000000" w:themeColor="text1"/>
          <w:kern w:val="0"/>
          <w:highlight w:val="none"/>
          <w14:textFill>
            <w14:solidFill>
              <w14:schemeClr w14:val="tx1"/>
            </w14:solidFill>
          </w14:textFill>
        </w:rPr>
        <w:t>项目选址与空间布局符合性及污染防治与环境影响符合性，满足</w:t>
      </w:r>
      <w:r>
        <w:rPr>
          <w:rFonts w:hint="default" w:ascii="Times New Roman" w:hAnsi="Times New Roman" w:eastAsia="宋体" w:cs="Times New Roman"/>
          <w:color w:val="000000" w:themeColor="text1"/>
          <w:spacing w:val="0"/>
          <w:w w:val="100"/>
          <w:position w:val="0"/>
          <w:sz w:val="24"/>
          <w:highlight w:val="none"/>
          <w:shd w:val="clear" w:color="auto" w:fill="auto"/>
          <w:lang w:val="en-US" w:eastAsia="zh-CN"/>
          <w14:textFill>
            <w14:solidFill>
              <w14:schemeClr w14:val="tx1"/>
            </w14:solidFill>
          </w14:textFill>
        </w:rPr>
        <w:t>《新疆维吾尔自治区重点行业生态环境准入条件（2024年）》</w:t>
      </w:r>
      <w:r>
        <w:rPr>
          <w:rFonts w:hint="eastAsia" w:cs="Times New Roman"/>
          <w:color w:val="000000" w:themeColor="text1"/>
          <w:spacing w:val="0"/>
          <w:w w:val="100"/>
          <w:position w:val="0"/>
          <w:sz w:val="24"/>
          <w:highlight w:val="none"/>
          <w:shd w:val="clear" w:color="auto" w:fill="auto"/>
          <w:lang w:val="en-US" w:eastAsia="zh-CN"/>
          <w14:textFill>
            <w14:solidFill>
              <w14:schemeClr w14:val="tx1"/>
            </w14:solidFill>
          </w14:textFill>
        </w:rPr>
        <w:t>及生态环境分区管控</w:t>
      </w:r>
      <w:r>
        <w:rPr>
          <w:rFonts w:cs="Times New Roman"/>
          <w:color w:val="000000" w:themeColor="text1"/>
          <w:kern w:val="0"/>
          <w:highlight w:val="none"/>
          <w14:textFill>
            <w14:solidFill>
              <w14:schemeClr w14:val="tx1"/>
            </w14:solidFill>
          </w14:textFill>
        </w:rPr>
        <w:t>的有关要求。</w:t>
      </w:r>
    </w:p>
    <w:p w14:paraId="22D4AC24">
      <w:pPr>
        <w:pStyle w:val="3"/>
        <w:keepNext/>
        <w:keepLines/>
        <w:spacing w:before="120" w:after="120" w:line="560" w:lineRule="exact"/>
        <w:ind w:left="0" w:right="0" w:firstLine="0" w:firstLineChars="0"/>
        <w:jc w:val="both"/>
        <w:rPr>
          <w:rFonts w:ascii="Times New Roman" w:hAnsi="Times New Roman" w:eastAsia="宋体" w:cs="Times New Roman"/>
          <w:color w:val="000000" w:themeColor="text1"/>
          <w:sz w:val="32"/>
          <w:szCs w:val="32"/>
          <w:highlight w:val="none"/>
          <w:lang w:val="en-US" w:bidi="ar-SA"/>
          <w14:textFill>
            <w14:solidFill>
              <w14:schemeClr w14:val="tx1"/>
            </w14:solidFill>
          </w14:textFill>
        </w:rPr>
      </w:pPr>
      <w:bookmarkStart w:id="1143" w:name="_Toc107413920"/>
      <w:bookmarkStart w:id="1144" w:name="_Toc21105"/>
      <w:bookmarkStart w:id="1145" w:name="_Toc18653"/>
      <w:bookmarkStart w:id="1146" w:name="_Toc2869"/>
      <w:bookmarkStart w:id="1147" w:name="_Toc28824"/>
      <w:bookmarkStart w:id="1148" w:name="_Toc482784729"/>
      <w:bookmarkStart w:id="1149" w:name="_Toc3682"/>
      <w:bookmarkStart w:id="1150" w:name="_Toc1072"/>
      <w:bookmarkStart w:id="1151" w:name="_Toc7473"/>
      <w:bookmarkStart w:id="1152" w:name="_Toc492457109"/>
      <w:bookmarkStart w:id="1153" w:name="_Toc107414687"/>
      <w:bookmarkStart w:id="1154" w:name="_Toc31142"/>
      <w:bookmarkStart w:id="1155" w:name="_Toc16233"/>
      <w:bookmarkStart w:id="1156" w:name="_Toc27324"/>
      <w:bookmarkStart w:id="1157" w:name="_Toc19452"/>
      <w:bookmarkStart w:id="1158" w:name="_Toc29814"/>
      <w:bookmarkStart w:id="1159" w:name="_Toc30278"/>
      <w:bookmarkStart w:id="1160" w:name="_Toc22747"/>
      <w:bookmarkStart w:id="1161" w:name="_Toc26156"/>
      <w:bookmarkStart w:id="1162" w:name="_Toc6144"/>
      <w:r>
        <w:rPr>
          <w:rFonts w:ascii="Times New Roman" w:hAnsi="Times New Roman" w:eastAsia="宋体" w:cs="Times New Roman"/>
          <w:color w:val="000000" w:themeColor="text1"/>
          <w:sz w:val="32"/>
          <w:szCs w:val="32"/>
          <w:highlight w:val="none"/>
          <w:lang w:val="en-US" w:bidi="ar-SA"/>
          <w14:textFill>
            <w14:solidFill>
              <w14:schemeClr w14:val="tx1"/>
            </w14:solidFill>
          </w14:textFill>
        </w:rPr>
        <w:t>9.3环境质量现状</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59347E4D">
      <w:pPr>
        <w:pStyle w:val="4"/>
        <w:keepNext/>
        <w:keepLines/>
        <w:spacing w:before="60" w:after="60" w:line="480" w:lineRule="exact"/>
        <w:ind w:left="0" w:firstLineChars="0"/>
        <w:rPr>
          <w:rFonts w:ascii="Times New Roman" w:hAnsi="Times New Roman" w:eastAsia="宋体" w:cs="Times New Roman"/>
          <w:color w:val="000000" w:themeColor="text1"/>
          <w:sz w:val="30"/>
          <w:szCs w:val="32"/>
          <w:highlight w:val="none"/>
          <w:lang w:val="en-US" w:bidi="ar-SA"/>
          <w14:textFill>
            <w14:solidFill>
              <w14:schemeClr w14:val="tx1"/>
            </w14:solidFill>
          </w14:textFill>
        </w:rPr>
      </w:pPr>
      <w:bookmarkStart w:id="1163" w:name="_Toc32381"/>
      <w:bookmarkStart w:id="1164" w:name="_Toc14059"/>
      <w:bookmarkStart w:id="1165" w:name="_Toc10108"/>
      <w:bookmarkStart w:id="1166" w:name="_Toc15657"/>
      <w:bookmarkStart w:id="1167" w:name="_Toc30636"/>
      <w:bookmarkStart w:id="1168" w:name="_Toc18924"/>
      <w:bookmarkStart w:id="1169" w:name="_Toc7322"/>
      <w:bookmarkStart w:id="1170" w:name="_Toc16219"/>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9.3.1环境空气质量现状</w:t>
      </w:r>
      <w:bookmarkEnd w:id="1163"/>
      <w:bookmarkEnd w:id="1164"/>
      <w:bookmarkEnd w:id="1165"/>
      <w:bookmarkEnd w:id="1166"/>
      <w:bookmarkEnd w:id="1167"/>
      <w:bookmarkEnd w:id="1168"/>
      <w:bookmarkEnd w:id="1169"/>
      <w:bookmarkEnd w:id="1170"/>
    </w:p>
    <w:p w14:paraId="015FA036">
      <w:pPr>
        <w:spacing w:line="480" w:lineRule="exact"/>
        <w:ind w:firstLine="480" w:firstLineChars="200"/>
        <w:rPr>
          <w:color w:val="000000" w:themeColor="text1"/>
          <w:highlight w:val="none"/>
          <w:lang w:bidi="ar"/>
          <w14:textFill>
            <w14:solidFill>
              <w14:schemeClr w14:val="tx1"/>
            </w14:solidFill>
          </w14:textFill>
        </w:rPr>
      </w:pPr>
      <w:r>
        <w:rPr>
          <w:color w:val="000000" w:themeColor="text1"/>
          <w:kern w:val="0"/>
          <w:highlight w:val="none"/>
          <w14:textFill>
            <w14:solidFill>
              <w14:schemeClr w14:val="tx1"/>
            </w14:solidFill>
          </w14:textFill>
        </w:rPr>
        <w:t>根据</w:t>
      </w:r>
      <w:r>
        <w:rPr>
          <w:rFonts w:hint="eastAsia"/>
          <w:color w:val="000000" w:themeColor="text1"/>
          <w:sz w:val="24"/>
          <w:szCs w:val="24"/>
          <w:highlight w:val="none"/>
          <w14:textFill>
            <w14:solidFill>
              <w14:schemeClr w14:val="tx1"/>
            </w14:solidFill>
          </w14:textFill>
        </w:rPr>
        <w:t>哈密</w:t>
      </w:r>
      <w:r>
        <w:rPr>
          <w:rFonts w:hint="eastAsia"/>
          <w:color w:val="000000" w:themeColor="text1"/>
          <w:sz w:val="24"/>
          <w:szCs w:val="24"/>
          <w:highlight w:val="none"/>
          <w:lang w:val="en-US" w:eastAsia="zh-CN"/>
          <w14:textFill>
            <w14:solidFill>
              <w14:schemeClr w14:val="tx1"/>
            </w14:solidFill>
          </w14:textFill>
        </w:rPr>
        <w:t>市2024年</w:t>
      </w:r>
      <w:r>
        <w:rPr>
          <w:rFonts w:hint="eastAsia"/>
          <w:color w:val="000000" w:themeColor="text1"/>
          <w:sz w:val="24"/>
          <w:szCs w:val="24"/>
          <w:highlight w:val="none"/>
          <w14:textFill>
            <w14:solidFill>
              <w14:schemeClr w14:val="tx1"/>
            </w14:solidFill>
          </w14:textFill>
        </w:rPr>
        <w:t>环境质量数据</w:t>
      </w:r>
      <w:r>
        <w:rPr>
          <w:color w:val="000000" w:themeColor="text1"/>
          <w:highlight w:val="none"/>
          <w:lang w:bidi="ar"/>
          <w14:textFill>
            <w14:solidFill>
              <w14:schemeClr w14:val="tx1"/>
            </w14:solidFill>
          </w14:textFill>
        </w:rPr>
        <w:t>可知，</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哈密市SO</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、NO</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年均浓度分别为6</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、26</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、62</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；CO 24小时第95百分位数为1000</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，O</w:t>
      </w:r>
      <w:r>
        <w:rPr>
          <w:rFonts w:hint="eastAsia" w:ascii="Times New Roman" w:hAnsi="Times New Roman" w:eastAsia="宋体" w:cs="Times New Roman"/>
          <w:color w:val="000000" w:themeColor="text1"/>
          <w:sz w:val="24"/>
          <w:szCs w:val="22"/>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日最大8小时平均第90百分位数为140</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μ</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g/m</w:t>
      </w:r>
      <w:r>
        <w:rPr>
          <w:rFonts w:hint="eastAsia" w:ascii="Times New Roman" w:hAnsi="Times New Roman" w:eastAsia="宋体" w:cs="Times New Roman"/>
          <w:color w:val="000000" w:themeColor="text1"/>
          <w:sz w:val="24"/>
          <w:szCs w:val="2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w:t>
      </w:r>
      <w:r>
        <w:rPr>
          <w:rFonts w:hint="eastAsia" w:cs="Times New Roman"/>
          <w:color w:val="000000" w:themeColor="text1"/>
          <w:sz w:val="24"/>
          <w:szCs w:val="22"/>
          <w:lang w:val="en-US" w:eastAsia="zh-CN"/>
          <w14:textFill>
            <w14:solidFill>
              <w14:schemeClr w14:val="tx1"/>
            </w14:solidFill>
          </w14:textFill>
        </w:rPr>
        <w:t>其中，PM</w:t>
      </w:r>
      <w:r>
        <w:rPr>
          <w:rFonts w:hint="eastAsia" w:cs="Times New Roman"/>
          <w:color w:val="000000" w:themeColor="text1"/>
          <w:sz w:val="24"/>
          <w:szCs w:val="22"/>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年均浓度</w:t>
      </w:r>
      <w:r>
        <w:rPr>
          <w:rFonts w:hint="eastAsia" w:cs="Times New Roman"/>
          <w:color w:val="000000" w:themeColor="text1"/>
          <w:sz w:val="24"/>
          <w:szCs w:val="22"/>
          <w:lang w:val="en-US" w:eastAsia="zh-CN"/>
          <w14:textFill>
            <w14:solidFill>
              <w14:schemeClr w14:val="tx1"/>
            </w14:solidFill>
          </w14:textFill>
        </w:rPr>
        <w:t>超过</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《环境空气质量标准》（GB3095-20</w:t>
      </w:r>
      <w:r>
        <w:rPr>
          <w:rFonts w:hint="eastAsia" w:cs="Times New Roman"/>
          <w:color w:val="000000" w:themeColor="text1"/>
          <w:sz w:val="24"/>
          <w:szCs w:val="22"/>
          <w:lang w:val="en-US" w:eastAsia="zh-CN"/>
          <w14:textFill>
            <w14:solidFill>
              <w14:schemeClr w14:val="tx1"/>
            </w14:solidFill>
          </w14:textFill>
        </w:rPr>
        <w:t>26</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w:t>
      </w:r>
      <w:r>
        <w:rPr>
          <w:rFonts w:hint="eastAsia" w:cs="Times New Roman"/>
          <w:color w:val="000000" w:themeColor="text1"/>
          <w:sz w:val="24"/>
          <w:szCs w:val="22"/>
          <w:lang w:val="en-US" w:eastAsia="zh-CN"/>
          <w14:textFill>
            <w14:solidFill>
              <w14:schemeClr w14:val="tx1"/>
            </w14:solidFill>
          </w14:textFill>
        </w:rPr>
        <w:t>过渡阶段</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二级</w:t>
      </w:r>
      <w:r>
        <w:rPr>
          <w:rFonts w:hint="eastAsia" w:cs="Times New Roman"/>
          <w:color w:val="000000" w:themeColor="text1"/>
          <w:sz w:val="24"/>
          <w:szCs w:val="22"/>
          <w:lang w:val="en-US" w:eastAsia="zh-CN"/>
          <w14:textFill>
            <w14:solidFill>
              <w14:schemeClr w14:val="tx1"/>
            </w14:solidFill>
          </w14:textFill>
        </w:rPr>
        <w:t>浓度</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限值</w:t>
      </w:r>
      <w:r>
        <w:rPr>
          <w:rFonts w:hint="default"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要求</w:t>
      </w:r>
      <w:r>
        <w:rPr>
          <w:rFonts w:hint="eastAsia"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w:t>
      </w:r>
      <w:r>
        <w:rPr>
          <w:rFonts w:hint="eastAsia"/>
          <w:color w:val="000000" w:themeColor="text1"/>
          <w:sz w:val="24"/>
          <w:szCs w:val="24"/>
          <w14:textFill>
            <w14:solidFill>
              <w14:schemeClr w14:val="tx1"/>
            </w14:solidFill>
          </w14:textFill>
        </w:rPr>
        <w:t>由此判定，</w:t>
      </w:r>
      <w:r>
        <w:rPr>
          <w:rFonts w:hint="default"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项目所在区域为</w:t>
      </w:r>
      <w:r>
        <w:rPr>
          <w:rFonts w:hint="default" w:ascii="Times New Roman" w:hAnsi="Times New Roman" w:eastAsia="宋体" w:cs="Times New Roman"/>
          <w:color w:val="000000" w:themeColor="text1"/>
          <w:sz w:val="24"/>
          <w:szCs w:val="24"/>
          <w:highlight w:val="none"/>
          <w14:textFill>
            <w14:solidFill>
              <w14:schemeClr w14:val="tx1"/>
            </w14:solidFill>
          </w14:textFill>
        </w:rPr>
        <w:t>环境空气质量</w:t>
      </w:r>
      <w:r>
        <w:rPr>
          <w:rFonts w:hint="eastAsia" w:cs="Times New Roman"/>
          <w:color w:val="000000" w:themeColor="text1"/>
          <w:spacing w:val="-4"/>
          <w:kern w:val="2"/>
          <w:sz w:val="24"/>
          <w:szCs w:val="24"/>
          <w:lang w:val="en-US" w:eastAsia="zh-CN" w:bidi="ar-SA"/>
          <w14:textFill>
            <w14:solidFill>
              <w14:schemeClr w14:val="tx1"/>
            </w14:solidFill>
          </w14:textFill>
        </w:rPr>
        <w:t>不达标区</w:t>
      </w:r>
      <w:r>
        <w:rPr>
          <w:rFonts w:hint="default" w:ascii="Times New Roman" w:hAnsi="Times New Roman" w:eastAsia="宋体" w:cs="Times New Roman"/>
          <w:color w:val="000000" w:themeColor="text1"/>
          <w:spacing w:val="-4"/>
          <w:kern w:val="2"/>
          <w:sz w:val="24"/>
          <w:szCs w:val="24"/>
          <w:lang w:val="en-US" w:eastAsia="zh-CN" w:bidi="ar-SA"/>
          <w14:textFill>
            <w14:solidFill>
              <w14:schemeClr w14:val="tx1"/>
            </w14:solidFill>
          </w14:textFill>
        </w:rPr>
        <w:t>。</w:t>
      </w:r>
    </w:p>
    <w:p w14:paraId="3973EED4">
      <w:pPr>
        <w:pStyle w:val="41"/>
        <w:overflowPunct w:val="0"/>
        <w:topLinePunct/>
        <w:spacing w:line="480" w:lineRule="exact"/>
        <w:ind w:firstLine="480"/>
        <w:rPr>
          <w:rFonts w:cs="Times New Roman"/>
          <w:color w:val="000000" w:themeColor="text1"/>
          <w:kern w:val="0"/>
          <w:highlight w:val="none"/>
          <w14:textFill>
            <w14:solidFill>
              <w14:schemeClr w14:val="tx1"/>
            </w14:solidFill>
          </w14:textFill>
        </w:rPr>
      </w:pPr>
      <w:r>
        <w:rPr>
          <w:rFonts w:hint="eastAsia" w:cs="Times New Roman"/>
          <w:color w:val="000000" w:themeColor="text1"/>
          <w:szCs w:val="24"/>
          <w:highlight w:val="none"/>
          <w14:textFill>
            <w14:solidFill>
              <w14:schemeClr w14:val="tx1"/>
            </w14:solidFill>
          </w14:textFill>
        </w:rPr>
        <w:t>根据</w:t>
      </w:r>
      <w:r>
        <w:rPr>
          <w:rFonts w:cs="Times New Roman"/>
          <w:color w:val="000000" w:themeColor="text1"/>
          <w:szCs w:val="24"/>
          <w:highlight w:val="none"/>
          <w14:textFill>
            <w14:solidFill>
              <w14:schemeClr w14:val="tx1"/>
            </w14:solidFill>
          </w14:textFill>
        </w:rPr>
        <w:t>现场补充监测</w:t>
      </w:r>
      <w:r>
        <w:rPr>
          <w:rFonts w:hint="eastAsia" w:cs="Times New Roman"/>
          <w:color w:val="000000" w:themeColor="text1"/>
          <w:szCs w:val="24"/>
          <w:highlight w:val="none"/>
          <w14:textFill>
            <w14:solidFill>
              <w14:schemeClr w14:val="tx1"/>
            </w14:solidFill>
          </w14:textFill>
        </w:rPr>
        <w:t>结果，</w:t>
      </w:r>
      <w:r>
        <w:rPr>
          <w:rFonts w:hint="eastAsia"/>
          <w:color w:val="000000" w:themeColor="text1"/>
          <w:sz w:val="24"/>
          <w:szCs w:val="24"/>
          <w:lang w:bidi="ar"/>
          <w14:textFill>
            <w14:solidFill>
              <w14:schemeClr w14:val="tx1"/>
            </w14:solidFill>
          </w14:textFill>
        </w:rPr>
        <w:t>评价区域环境空气中污染物TSP浓度满足</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《环境空气质量标准》（GB3095-20</w:t>
      </w:r>
      <w:r>
        <w:rPr>
          <w:rFonts w:hint="eastAsia" w:cs="Times New Roman"/>
          <w:color w:val="000000" w:themeColor="text1"/>
          <w:sz w:val="24"/>
          <w:szCs w:val="22"/>
          <w:lang w:val="en-US" w:eastAsia="zh-CN"/>
          <w14:textFill>
            <w14:solidFill>
              <w14:schemeClr w14:val="tx1"/>
            </w14:solidFill>
          </w14:textFill>
        </w:rPr>
        <w:t>26</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w:t>
      </w:r>
      <w:r>
        <w:rPr>
          <w:rFonts w:hint="eastAsia"/>
          <w:color w:val="000000" w:themeColor="text1"/>
          <w:sz w:val="24"/>
          <w:szCs w:val="24"/>
          <w:lang w:bidi="ar"/>
          <w14:textFill>
            <w14:solidFill>
              <w14:schemeClr w14:val="tx1"/>
            </w14:solidFill>
          </w14:textFill>
        </w:rPr>
        <w:t>二级标准浓度限值要求。</w:t>
      </w:r>
    </w:p>
    <w:p w14:paraId="60DBDD48">
      <w:pPr>
        <w:pStyle w:val="4"/>
        <w:keepNext/>
        <w:keepLines/>
        <w:spacing w:before="60" w:after="60" w:line="480" w:lineRule="exact"/>
        <w:ind w:left="0" w:firstLineChars="0"/>
        <w:rPr>
          <w:rFonts w:ascii="Times New Roman" w:hAnsi="Times New Roman" w:eastAsia="宋体" w:cs="Times New Roman"/>
          <w:color w:val="000000" w:themeColor="text1"/>
          <w:sz w:val="30"/>
          <w:szCs w:val="32"/>
          <w:highlight w:val="none"/>
          <w:lang w:val="en-US" w:bidi="ar-SA"/>
          <w14:textFill>
            <w14:solidFill>
              <w14:schemeClr w14:val="tx1"/>
            </w14:solidFill>
          </w14:textFill>
        </w:rPr>
      </w:pPr>
      <w:bookmarkStart w:id="1171" w:name="_Toc13535"/>
      <w:bookmarkStart w:id="1172" w:name="_Toc15121"/>
      <w:bookmarkStart w:id="1173" w:name="_Toc11095"/>
      <w:bookmarkStart w:id="1174" w:name="_Toc25270"/>
      <w:bookmarkStart w:id="1175" w:name="_Toc17200"/>
      <w:bookmarkStart w:id="1176" w:name="_Toc2266"/>
      <w:bookmarkStart w:id="1177" w:name="_Toc21865"/>
      <w:bookmarkStart w:id="1178" w:name="_Toc26387"/>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9.3.2水环境现状</w:t>
      </w:r>
      <w:bookmarkEnd w:id="1171"/>
      <w:bookmarkEnd w:id="1172"/>
      <w:bookmarkEnd w:id="1173"/>
      <w:bookmarkEnd w:id="1174"/>
      <w:bookmarkEnd w:id="1175"/>
      <w:bookmarkEnd w:id="1176"/>
      <w:bookmarkEnd w:id="1177"/>
      <w:bookmarkEnd w:id="1178"/>
    </w:p>
    <w:p w14:paraId="75F68599">
      <w:pPr>
        <w:spacing w:line="480" w:lineRule="exact"/>
        <w:ind w:firstLine="480" w:firstLineChars="200"/>
        <w:rPr>
          <w:rFonts w:hint="eastAsia" w:eastAsia="宋体" w:cs="Times New Roman"/>
          <w:color w:val="000000" w:themeColor="text1"/>
          <w:kern w:val="0"/>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项目区</w:t>
      </w:r>
      <w:r>
        <w:rPr>
          <w:rFonts w:hint="eastAsia"/>
          <w:color w:val="000000" w:themeColor="text1"/>
          <w:highlight w:val="none"/>
          <w14:textFill>
            <w14:solidFill>
              <w14:schemeClr w14:val="tx1"/>
            </w14:solidFill>
          </w14:textFill>
        </w:rPr>
        <w:t>及附近地区地表水体不发育，无常年性流水，仅在6～8月份雨季，暴雨时期在地表形成暂时性水流在低洼地汇集蒸发，区内沟谷不发育</w:t>
      </w:r>
      <w:r>
        <w:rPr>
          <w:color w:val="000000" w:themeColor="text1"/>
          <w:highlight w:val="none"/>
          <w14:textFill>
            <w14:solidFill>
              <w14:schemeClr w14:val="tx1"/>
            </w14:solidFill>
          </w14:textFill>
        </w:rPr>
        <w:t>。</w:t>
      </w:r>
      <w:r>
        <w:rPr>
          <w:rFonts w:hint="eastAsia"/>
          <w:color w:val="000000" w:themeColor="text1"/>
          <w:sz w:val="24"/>
          <w:szCs w:val="24"/>
          <w14:textFill>
            <w14:solidFill>
              <w14:schemeClr w14:val="tx1"/>
            </w14:solidFill>
          </w14:textFill>
        </w:rPr>
        <w:t>距项目区最近的地表水体库如克郭勒河约153.8km</w:t>
      </w:r>
      <w:r>
        <w:rPr>
          <w:rFonts w:hint="eastAsia"/>
          <w:color w:val="000000" w:themeColor="text1"/>
          <w:sz w:val="24"/>
          <w:szCs w:val="24"/>
          <w:lang w:eastAsia="zh-CN"/>
          <w14:textFill>
            <w14:solidFill>
              <w14:schemeClr w14:val="tx1"/>
            </w14:solidFill>
          </w14:textFill>
        </w:rPr>
        <w:t>。</w:t>
      </w:r>
    </w:p>
    <w:p w14:paraId="52D054FF">
      <w:pPr>
        <w:spacing w:line="480" w:lineRule="exact"/>
        <w:ind w:firstLine="480" w:firstLineChars="200"/>
        <w:rPr>
          <w:rFonts w:cs="Times New Roman"/>
          <w:color w:val="000000" w:themeColor="text1"/>
          <w:kern w:val="0"/>
          <w:highlight w:val="none"/>
          <w14:textFill>
            <w14:solidFill>
              <w14:schemeClr w14:val="tx1"/>
            </w14:solidFill>
          </w14:textFill>
        </w:rPr>
      </w:pPr>
      <w:r>
        <w:rPr>
          <w:rFonts w:hint="eastAsia" w:eastAsia="宋体"/>
          <w:color w:val="000000" w:themeColor="text1"/>
          <w:sz w:val="24"/>
          <w:szCs w:val="24"/>
          <w14:textFill>
            <w14:solidFill>
              <w14:schemeClr w14:val="tx1"/>
            </w14:solidFill>
          </w14:textFill>
        </w:rPr>
        <w:t>根据评价结果，各点位</w:t>
      </w:r>
      <w:r>
        <w:rPr>
          <w:rFonts w:hint="eastAsia"/>
          <w:color w:val="000000" w:themeColor="text1"/>
          <w:sz w:val="24"/>
          <w:szCs w:val="24"/>
          <w:lang w:val="en-US" w:eastAsia="zh-CN"/>
          <w14:textFill>
            <w14:solidFill>
              <w14:schemeClr w14:val="tx1"/>
            </w14:solidFill>
          </w14:textFill>
        </w:rPr>
        <w:t>地下水中</w:t>
      </w:r>
      <w:r>
        <w:rPr>
          <w:rFonts w:hint="eastAsia" w:eastAsia="宋体"/>
          <w:color w:val="000000" w:themeColor="text1"/>
          <w:sz w:val="24"/>
          <w:szCs w:val="24"/>
          <w14:textFill>
            <w14:solidFill>
              <w14:schemeClr w14:val="tx1"/>
            </w14:solidFill>
          </w14:textFill>
        </w:rPr>
        <w:t>溶解性总固体、总硬度、硫酸盐、氯化物、钠、铁等指标均超过《地下水质量标准》（GB/T14848-2017）Ⅲ类标准限值，锰在1#点位达标外，其余点位已超过《地下水质量标准》（GB/T14848-2017）Ⅲ类标准限值。本次监测地下水超标指标主要为常规无机盐类和硬度指标，其超标原因是区域天然地质背景及干旱气候条件下地下水长期蒸发浓缩所致</w:t>
      </w:r>
      <w:r>
        <w:rPr>
          <w:rFonts w:hint="eastAsia" w:eastAsia="宋体"/>
          <w:color w:val="000000" w:themeColor="text1"/>
          <w:sz w:val="24"/>
          <w:szCs w:val="24"/>
          <w:lang w:eastAsia="zh-CN"/>
          <w14:textFill>
            <w14:solidFill>
              <w14:schemeClr w14:val="tx1"/>
            </w14:solidFill>
          </w14:textFill>
        </w:rPr>
        <w:t>。</w:t>
      </w:r>
    </w:p>
    <w:p w14:paraId="36716CBC">
      <w:pPr>
        <w:pStyle w:val="4"/>
        <w:keepNext/>
        <w:keepLines/>
        <w:spacing w:before="60" w:after="60" w:line="480" w:lineRule="exact"/>
        <w:ind w:left="0" w:firstLineChars="0"/>
        <w:rPr>
          <w:rFonts w:ascii="Times New Roman" w:hAnsi="Times New Roman" w:eastAsia="宋体" w:cs="Times New Roman"/>
          <w:color w:val="000000" w:themeColor="text1"/>
          <w:sz w:val="30"/>
          <w:szCs w:val="32"/>
          <w:highlight w:val="none"/>
          <w:lang w:val="en-US" w:bidi="ar-SA"/>
          <w14:textFill>
            <w14:solidFill>
              <w14:schemeClr w14:val="tx1"/>
            </w14:solidFill>
          </w14:textFill>
        </w:rPr>
      </w:pPr>
      <w:bookmarkStart w:id="1179" w:name="_Toc1615"/>
      <w:bookmarkStart w:id="1180" w:name="_Toc26961"/>
      <w:bookmarkStart w:id="1181" w:name="_Toc8103"/>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9.3.</w:t>
      </w:r>
      <w:r>
        <w:rPr>
          <w:rFonts w:hint="eastAsia" w:ascii="Times New Roman" w:hAnsi="Times New Roman" w:eastAsia="宋体" w:cs="Times New Roman"/>
          <w:color w:val="000000" w:themeColor="text1"/>
          <w:sz w:val="30"/>
          <w:szCs w:val="32"/>
          <w:highlight w:val="none"/>
          <w:lang w:val="en-US" w:bidi="ar-SA"/>
          <w14:textFill>
            <w14:solidFill>
              <w14:schemeClr w14:val="tx1"/>
            </w14:solidFill>
          </w14:textFill>
        </w:rPr>
        <w:t>3声</w:t>
      </w:r>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环境现状</w:t>
      </w:r>
      <w:bookmarkEnd w:id="1179"/>
      <w:bookmarkEnd w:id="1180"/>
      <w:bookmarkEnd w:id="1181"/>
    </w:p>
    <w:p w14:paraId="6EABA204">
      <w:pPr>
        <w:overflowPunct w:val="0"/>
        <w:topLinePunct/>
        <w:ind w:firstLine="480"/>
        <w:rPr>
          <w:color w:val="000000" w:themeColor="text1"/>
          <w:highlight w:val="none"/>
          <w14:textFill>
            <w14:solidFill>
              <w14:schemeClr w14:val="tx1"/>
            </w14:solidFill>
          </w14:textFill>
        </w:rPr>
      </w:pPr>
      <w:bookmarkStart w:id="1182" w:name="_Toc27415"/>
      <w:bookmarkStart w:id="1183" w:name="_Toc4205"/>
      <w:bookmarkStart w:id="1184" w:name="_Toc4246"/>
      <w:r>
        <w:rPr>
          <w:rFonts w:hint="eastAsia" w:eastAsia="宋体"/>
          <w:bCs/>
          <w:color w:val="000000" w:themeColor="text1"/>
          <w:sz w:val="24"/>
          <w:szCs w:val="22"/>
          <w14:textFill>
            <w14:solidFill>
              <w14:schemeClr w14:val="tx1"/>
            </w14:solidFill>
          </w14:textFill>
        </w:rPr>
        <w:t>项目区厂界四周及项目区中心的</w:t>
      </w:r>
      <w:r>
        <w:rPr>
          <w:rFonts w:eastAsia="宋体"/>
          <w:bCs/>
          <w:color w:val="000000" w:themeColor="text1"/>
          <w:sz w:val="24"/>
          <w:szCs w:val="22"/>
          <w14:textFill>
            <w14:solidFill>
              <w14:schemeClr w14:val="tx1"/>
            </w14:solidFill>
          </w14:textFill>
        </w:rPr>
        <w:t>昼间、夜间声环境质量</w:t>
      </w:r>
      <w:r>
        <w:rPr>
          <w:rFonts w:eastAsia="宋体"/>
          <w:color w:val="000000" w:themeColor="text1"/>
          <w:sz w:val="24"/>
          <w:szCs w:val="22"/>
          <w14:textFill>
            <w14:solidFill>
              <w14:schemeClr w14:val="tx1"/>
            </w14:solidFill>
          </w14:textFill>
        </w:rPr>
        <w:t>均能达到《</w:t>
      </w:r>
      <w:r>
        <w:rPr>
          <w:rFonts w:eastAsia="宋体"/>
          <w:color w:val="000000" w:themeColor="text1"/>
          <w:sz w:val="24"/>
          <w:szCs w:val="24"/>
          <w14:textFill>
            <w14:solidFill>
              <w14:schemeClr w14:val="tx1"/>
            </w14:solidFill>
          </w14:textFill>
        </w:rPr>
        <w:t>声环境质量标准》（GB3096-2008）</w:t>
      </w:r>
      <w:r>
        <w:rPr>
          <w:rFonts w:hint="eastAsia" w:eastAsia="宋体"/>
          <w:color w:val="000000" w:themeColor="text1"/>
          <w:sz w:val="24"/>
          <w:szCs w:val="24"/>
          <w14:textFill>
            <w14:solidFill>
              <w14:schemeClr w14:val="tx1"/>
            </w14:solidFill>
          </w14:textFill>
        </w:rPr>
        <w:t>2类</w:t>
      </w:r>
      <w:r>
        <w:rPr>
          <w:rFonts w:eastAsia="宋体"/>
          <w:color w:val="000000" w:themeColor="text1"/>
          <w:sz w:val="24"/>
          <w:szCs w:val="24"/>
          <w14:textFill>
            <w14:solidFill>
              <w14:schemeClr w14:val="tx1"/>
            </w14:solidFill>
          </w14:textFill>
        </w:rPr>
        <w:t>区标准</w:t>
      </w:r>
      <w:r>
        <w:rPr>
          <w:rFonts w:eastAsia="宋体"/>
          <w:color w:val="000000" w:themeColor="text1"/>
          <w:sz w:val="24"/>
          <w:szCs w:val="22"/>
          <w14:textFill>
            <w14:solidFill>
              <w14:schemeClr w14:val="tx1"/>
            </w14:solidFill>
          </w14:textFill>
        </w:rPr>
        <w:t>要求</w:t>
      </w:r>
      <w:r>
        <w:rPr>
          <w:color w:val="000000" w:themeColor="text1"/>
          <w:highlight w:val="none"/>
          <w14:textFill>
            <w14:solidFill>
              <w14:schemeClr w14:val="tx1"/>
            </w14:solidFill>
          </w14:textFill>
        </w:rPr>
        <w:t>。</w:t>
      </w:r>
    </w:p>
    <w:p w14:paraId="5E92828D">
      <w:pPr>
        <w:pStyle w:val="4"/>
        <w:keepNext/>
        <w:keepLines/>
        <w:spacing w:before="60" w:after="60" w:line="480" w:lineRule="exact"/>
        <w:ind w:left="0" w:firstLineChars="0"/>
        <w:rPr>
          <w:rFonts w:ascii="Times New Roman" w:hAnsi="Times New Roman" w:eastAsia="宋体" w:cs="Times New Roman"/>
          <w:color w:val="000000" w:themeColor="text1"/>
          <w:sz w:val="30"/>
          <w:szCs w:val="32"/>
          <w:highlight w:val="none"/>
          <w:lang w:val="en-US" w:bidi="ar-SA"/>
          <w14:textFill>
            <w14:solidFill>
              <w14:schemeClr w14:val="tx1"/>
            </w14:solidFill>
          </w14:textFill>
        </w:rPr>
      </w:pPr>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9.3.</w:t>
      </w:r>
      <w:r>
        <w:rPr>
          <w:rFonts w:hint="eastAsia" w:ascii="Times New Roman" w:hAnsi="Times New Roman" w:eastAsia="宋体" w:cs="Times New Roman"/>
          <w:color w:val="000000" w:themeColor="text1"/>
          <w:sz w:val="30"/>
          <w:szCs w:val="32"/>
          <w:highlight w:val="none"/>
          <w:lang w:val="en-US" w:bidi="ar-SA"/>
          <w14:textFill>
            <w14:solidFill>
              <w14:schemeClr w14:val="tx1"/>
            </w14:solidFill>
          </w14:textFill>
        </w:rPr>
        <w:t>4土壤</w:t>
      </w:r>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环境现状</w:t>
      </w:r>
      <w:bookmarkEnd w:id="1182"/>
      <w:bookmarkEnd w:id="1183"/>
      <w:bookmarkEnd w:id="1184"/>
    </w:p>
    <w:p w14:paraId="0D9A3EB8">
      <w:pPr>
        <w:pStyle w:val="41"/>
        <w:overflowPunct w:val="0"/>
        <w:topLinePunct/>
        <w:spacing w:line="480" w:lineRule="exact"/>
        <w:ind w:firstLine="480"/>
        <w:rPr>
          <w:rFonts w:cs="Times New Roman"/>
          <w:color w:val="000000" w:themeColor="text1"/>
          <w:kern w:val="0"/>
          <w:highlight w:val="none"/>
          <w14:textFill>
            <w14:solidFill>
              <w14:schemeClr w14:val="tx1"/>
            </w14:solidFill>
          </w14:textFill>
        </w:rPr>
      </w:pPr>
      <w:r>
        <w:rPr>
          <w:rFonts w:cs="Times New Roman"/>
          <w:color w:val="000000" w:themeColor="text1"/>
          <w:kern w:val="0"/>
          <w:highlight w:val="none"/>
          <w14:textFill>
            <w14:solidFill>
              <w14:schemeClr w14:val="tx1"/>
            </w14:solidFill>
          </w14:textFill>
        </w:rPr>
        <w:t>土壤监测结果表明：</w:t>
      </w:r>
      <w:r>
        <w:rPr>
          <w:color w:val="000000" w:themeColor="text1"/>
          <w:sz w:val="24"/>
          <w:szCs w:val="24"/>
          <w:highlight w:val="none"/>
          <w14:textFill>
            <w14:solidFill>
              <w14:schemeClr w14:val="tx1"/>
            </w14:solidFill>
          </w14:textFill>
        </w:rPr>
        <w:t>各监测点监测结果均能达到《土壤环境质量建设用地土壤污染风险管控标准（试行）》（GB36600-2018）第二类用地筛选值要求。</w:t>
      </w:r>
    </w:p>
    <w:p w14:paraId="6FCFB15C">
      <w:pPr>
        <w:pStyle w:val="3"/>
        <w:keepNext/>
        <w:keepLines/>
        <w:spacing w:before="120" w:after="120" w:line="560" w:lineRule="exact"/>
        <w:ind w:left="0" w:right="0" w:firstLine="0" w:firstLineChars="0"/>
        <w:jc w:val="both"/>
        <w:rPr>
          <w:rFonts w:ascii="Times New Roman" w:hAnsi="Times New Roman" w:eastAsia="宋体" w:cs="Times New Roman"/>
          <w:color w:val="000000" w:themeColor="text1"/>
          <w:sz w:val="32"/>
          <w:szCs w:val="32"/>
          <w:highlight w:val="none"/>
          <w:lang w:val="en-US" w:bidi="ar-SA"/>
          <w14:textFill>
            <w14:solidFill>
              <w14:schemeClr w14:val="tx1"/>
            </w14:solidFill>
          </w14:textFill>
        </w:rPr>
      </w:pPr>
      <w:bookmarkStart w:id="1185" w:name="_Toc282074159"/>
      <w:bookmarkStart w:id="1186" w:name="_Toc17832"/>
      <w:bookmarkStart w:id="1187" w:name="_Toc318298695"/>
      <w:bookmarkStart w:id="1188" w:name="_Toc361840113"/>
      <w:bookmarkStart w:id="1189" w:name="_Toc8118"/>
      <w:bookmarkStart w:id="1190" w:name="_Toc25951"/>
      <w:bookmarkStart w:id="1191" w:name="_Toc107414688"/>
      <w:bookmarkStart w:id="1192" w:name="_Toc360205164"/>
      <w:bookmarkStart w:id="1193" w:name="_Toc4197"/>
      <w:bookmarkStart w:id="1194" w:name="_Toc28962"/>
      <w:bookmarkStart w:id="1195" w:name="_Toc338153326"/>
      <w:bookmarkStart w:id="1196" w:name="_Toc8060"/>
      <w:bookmarkStart w:id="1197" w:name="_Toc492457110"/>
      <w:bookmarkStart w:id="1198" w:name="_Toc15613"/>
      <w:bookmarkStart w:id="1199" w:name="_Toc5251"/>
      <w:bookmarkStart w:id="1200" w:name="_Toc17148"/>
      <w:bookmarkStart w:id="1201" w:name="_Toc16977"/>
      <w:bookmarkStart w:id="1202" w:name="_Toc120683074"/>
      <w:bookmarkStart w:id="1203" w:name="_Toc27089"/>
      <w:bookmarkStart w:id="1204" w:name="_Toc278281234"/>
      <w:bookmarkStart w:id="1205" w:name="_Toc23209"/>
      <w:bookmarkStart w:id="1206" w:name="_Toc242"/>
      <w:bookmarkStart w:id="1207" w:name="_Toc30815"/>
      <w:bookmarkStart w:id="1208" w:name="_Toc355715735"/>
      <w:bookmarkStart w:id="1209" w:name="_Toc10848"/>
      <w:bookmarkStart w:id="1210" w:name="_Toc107413921"/>
      <w:bookmarkStart w:id="1211" w:name="_Toc31043"/>
      <w:bookmarkStart w:id="1212" w:name="_Toc482784730"/>
      <w:r>
        <w:rPr>
          <w:rFonts w:ascii="Times New Roman" w:hAnsi="Times New Roman" w:eastAsia="宋体" w:cs="Times New Roman"/>
          <w:color w:val="000000" w:themeColor="text1"/>
          <w:sz w:val="32"/>
          <w:szCs w:val="32"/>
          <w:highlight w:val="none"/>
          <w:lang w:val="en-US" w:bidi="ar-SA"/>
          <w14:textFill>
            <w14:solidFill>
              <w14:schemeClr w14:val="tx1"/>
            </w14:solidFill>
          </w14:textFill>
        </w:rPr>
        <w:t>9.4环境影响评价</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5BAFBF9A">
      <w:pPr>
        <w:pStyle w:val="4"/>
        <w:keepNext/>
        <w:keepLines/>
        <w:spacing w:before="60" w:after="60" w:line="480" w:lineRule="exact"/>
        <w:ind w:left="0" w:firstLineChars="0"/>
        <w:rPr>
          <w:rFonts w:ascii="Times New Roman" w:hAnsi="Times New Roman" w:eastAsia="宋体" w:cs="Times New Roman"/>
          <w:color w:val="000000" w:themeColor="text1"/>
          <w:sz w:val="30"/>
          <w:szCs w:val="32"/>
          <w:highlight w:val="none"/>
          <w:lang w:val="en-US" w:bidi="ar-SA"/>
          <w14:textFill>
            <w14:solidFill>
              <w14:schemeClr w14:val="tx1"/>
            </w14:solidFill>
          </w14:textFill>
        </w:rPr>
      </w:pPr>
      <w:bookmarkStart w:id="1213" w:name="_Toc6124"/>
      <w:bookmarkStart w:id="1214" w:name="_Toc2287"/>
      <w:bookmarkStart w:id="1215" w:name="_Toc14678"/>
      <w:bookmarkStart w:id="1216" w:name="_Toc28282"/>
      <w:bookmarkStart w:id="1217" w:name="_Toc12680"/>
      <w:bookmarkStart w:id="1218" w:name="_Toc12184"/>
      <w:bookmarkStart w:id="1219" w:name="_Toc2073"/>
      <w:bookmarkStart w:id="1220" w:name="_Toc31433"/>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9.4.1大气环境影响评价</w:t>
      </w:r>
      <w:bookmarkEnd w:id="1213"/>
      <w:bookmarkEnd w:id="1214"/>
      <w:bookmarkEnd w:id="1215"/>
      <w:bookmarkEnd w:id="1216"/>
      <w:bookmarkEnd w:id="1217"/>
      <w:bookmarkEnd w:id="1218"/>
      <w:bookmarkEnd w:id="1219"/>
      <w:bookmarkEnd w:id="1220"/>
    </w:p>
    <w:p w14:paraId="3CECAE74">
      <w:pPr>
        <w:pStyle w:val="54"/>
        <w:keepNext w:val="0"/>
        <w:keepLines w:val="0"/>
        <w:pageBreakBefore w:val="0"/>
        <w:widowControl/>
        <w:kinsoku/>
        <w:wordWrap/>
        <w:overflowPunct/>
        <w:topLinePunct w:val="0"/>
        <w:autoSpaceDE/>
        <w:autoSpaceDN/>
        <w:bidi w:val="0"/>
        <w:adjustRightInd w:val="0"/>
        <w:snapToGrid w:val="0"/>
        <w:spacing w:after="0" w:line="48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1221" w:name="_Toc6154"/>
      <w:bookmarkStart w:id="1222" w:name="_Toc10249"/>
      <w:bookmarkStart w:id="1223" w:name="_Toc12705"/>
      <w:bookmarkStart w:id="1224" w:name="_Toc10434"/>
      <w:bookmarkStart w:id="1225" w:name="_Toc22647"/>
      <w:bookmarkStart w:id="1226" w:name="_Toc5891"/>
      <w:bookmarkStart w:id="1227" w:name="_Toc24973"/>
      <w:bookmarkStart w:id="1228" w:name="_Toc32573"/>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根据估算</w:t>
      </w:r>
      <w:r>
        <w:rPr>
          <w:rFonts w:hint="eastAsia" w:cs="Times New Roman"/>
          <w:b w:val="0"/>
          <w:bCs w:val="0"/>
          <w:color w:val="000000" w:themeColor="text1"/>
          <w:sz w:val="24"/>
          <w:szCs w:val="24"/>
          <w:highlight w:val="none"/>
          <w:lang w:val="en-US" w:eastAsia="zh-CN"/>
          <w14:textFill>
            <w14:solidFill>
              <w14:schemeClr w14:val="tx1"/>
            </w14:solidFill>
          </w14:textFill>
        </w:rPr>
        <w:t>结果</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可知，</w:t>
      </w:r>
      <w:r>
        <w:rPr>
          <w:rFonts w:hint="eastAsia"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大气污染物厂界贡献浓度无超标点，因此不设置大气环境防护距离。本项目在落实环评提出的大气污染物控制措施后，对周边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大气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环境影响较小。</w:t>
      </w:r>
    </w:p>
    <w:p w14:paraId="4D490281">
      <w:pPr>
        <w:pStyle w:val="4"/>
        <w:keepNext/>
        <w:keepLines/>
        <w:spacing w:before="60" w:after="60" w:line="480" w:lineRule="exact"/>
        <w:ind w:left="0" w:firstLineChars="0"/>
        <w:rPr>
          <w:rFonts w:ascii="Times New Roman" w:hAnsi="Times New Roman" w:eastAsia="宋体" w:cs="Times New Roman"/>
          <w:color w:val="000000" w:themeColor="text1"/>
          <w:sz w:val="30"/>
          <w:szCs w:val="32"/>
          <w:highlight w:val="none"/>
          <w:lang w:val="en-US" w:bidi="ar-SA"/>
          <w14:textFill>
            <w14:solidFill>
              <w14:schemeClr w14:val="tx1"/>
            </w14:solidFill>
          </w14:textFill>
        </w:rPr>
      </w:pPr>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9.4.2</w:t>
      </w:r>
      <w:r>
        <w:rPr>
          <w:rFonts w:hint="eastAsia" w:cs="Times New Roman"/>
          <w:color w:val="000000" w:themeColor="text1"/>
          <w:sz w:val="30"/>
          <w:szCs w:val="32"/>
          <w:highlight w:val="none"/>
          <w:lang w:val="en-US" w:eastAsia="zh-CN" w:bidi="ar-SA"/>
          <w14:textFill>
            <w14:solidFill>
              <w14:schemeClr w14:val="tx1"/>
            </w14:solidFill>
          </w14:textFill>
        </w:rPr>
        <w:t>地表</w:t>
      </w:r>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水环境影响评价</w:t>
      </w:r>
      <w:bookmarkEnd w:id="1221"/>
      <w:bookmarkEnd w:id="1222"/>
      <w:bookmarkEnd w:id="1223"/>
      <w:bookmarkEnd w:id="1224"/>
      <w:bookmarkEnd w:id="1225"/>
      <w:bookmarkEnd w:id="1226"/>
      <w:bookmarkEnd w:id="1227"/>
      <w:bookmarkEnd w:id="1228"/>
    </w:p>
    <w:p w14:paraId="0FC23A95">
      <w:pPr>
        <w:keepNext w:val="0"/>
        <w:keepLines w:val="0"/>
        <w:pageBreakBefore w:val="0"/>
        <w:widowControl w:val="0"/>
        <w:kinsoku/>
        <w:wordWrap/>
        <w:overflowPunct w:val="0"/>
        <w:topLinePunct/>
        <w:autoSpaceDE/>
        <w:autoSpaceDN/>
        <w:bidi w:val="0"/>
        <w:adjustRightInd/>
        <w:snapToGrid/>
        <w:ind w:firstLine="480"/>
        <w:jc w:val="both"/>
        <w:textAlignment w:val="auto"/>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正常工况下：项目选矿废水“闭路循环”，全部回用，不外排；生活污水经地埋式一体化生活污水处理设施处理达到</w:t>
      </w:r>
      <w:r>
        <w:rPr>
          <w:rFonts w:hint="eastAsia"/>
          <w:color w:val="000000" w:themeColor="text1"/>
          <w:highlight w:val="none"/>
          <w14:textFill>
            <w14:solidFill>
              <w14:schemeClr w14:val="tx1"/>
            </w14:solidFill>
          </w14:textFill>
        </w:rPr>
        <w:t>《农村生活污水处理排放标准》（DB65 4275-2019）表2规定的A级排放限值以及《城市污水再生利用 城市杂用水水质》（GB/T18920-2020）中的城市绿化、道路清扫、消防、建筑施工限值后</w:t>
      </w:r>
      <w:r>
        <w:rPr>
          <w:rFonts w:hint="eastAsia" w:ascii="宋体" w:hAnsi="宋体"/>
          <w:color w:val="000000" w:themeColor="text1"/>
          <w:spacing w:val="-1"/>
          <w:highlight w:val="none"/>
          <w14:textFill>
            <w14:solidFill>
              <w14:schemeClr w14:val="tx1"/>
            </w14:solidFill>
          </w14:textFill>
        </w:rPr>
        <w:t>用于选矿生产工序循环利用及绿化</w:t>
      </w:r>
      <w:r>
        <w:rPr>
          <w:rFonts w:hint="eastAsia"/>
          <w:color w:val="000000" w:themeColor="text1"/>
          <w:kern w:val="0"/>
          <w:highlight w:val="none"/>
          <w14:textFill>
            <w14:solidFill>
              <w14:schemeClr w14:val="tx1"/>
            </w14:solidFill>
          </w14:textFill>
        </w:rPr>
        <w:t>，不外排。</w:t>
      </w:r>
      <w:r>
        <w:rPr>
          <w:rFonts w:hint="eastAsia"/>
          <w:color w:val="000000" w:themeColor="text1"/>
          <w:kern w:val="0"/>
          <w:highlight w:val="none"/>
          <w:lang w:val="en-US" w:eastAsia="zh-CN"/>
          <w14:textFill>
            <w14:solidFill>
              <w14:schemeClr w14:val="tx1"/>
            </w14:solidFill>
          </w14:textFill>
        </w:rPr>
        <w:t>由于矿区及附近地区地表水体不发育、无天然地表水体，且本项目产生的生产废水、生活污水均妥善处理，不外排，因此，本项目产生的生产废水、生活污水对项目区周边地表水环境基本无影响。</w:t>
      </w:r>
    </w:p>
    <w:p w14:paraId="1A255E63">
      <w:pPr>
        <w:pStyle w:val="10"/>
        <w:keepNext w:val="0"/>
        <w:keepLines w:val="0"/>
        <w:pageBreakBefore w:val="0"/>
        <w:widowControl w:val="0"/>
        <w:kinsoku/>
        <w:wordWrap/>
        <w:overflowPunct w:val="0"/>
        <w:topLinePunct/>
        <w:autoSpaceDE/>
        <w:autoSpaceDN/>
        <w:bidi w:val="0"/>
        <w:adjustRightInd/>
        <w:snapToGrid/>
        <w:spacing w:after="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bookmarkStart w:id="1229" w:name="_Toc26325"/>
      <w:bookmarkStart w:id="1230" w:name="_Toc23232"/>
      <w:bookmarkStart w:id="1231" w:name="_Toc31320"/>
      <w:bookmarkStart w:id="1232" w:name="_Toc1867"/>
      <w:bookmarkStart w:id="1233" w:name="_Toc31165"/>
      <w:bookmarkStart w:id="1234" w:name="_Toc113"/>
      <w:bookmarkStart w:id="1235" w:name="_Toc20444"/>
      <w:bookmarkStart w:id="1236" w:name="_Toc628"/>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非正常工况下，选矿水溢出，立即停止生产，溢出水排入车间排水沟，最终由车间回水泵排入选矿车间外800m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防渗事故池，保证不外排。若库区发生洪水，洪水沿冲沟流至尾矿库以西和南方向，在尾矿库设有防洪、事故池的前提下，</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非正常工况废水、洪水对项目区周边地表水环境基本无影响。</w:t>
      </w:r>
    </w:p>
    <w:p w14:paraId="1E3CFEF5">
      <w:pPr>
        <w:pStyle w:val="4"/>
        <w:keepNext/>
        <w:keepLines/>
        <w:spacing w:before="60" w:after="60" w:line="480" w:lineRule="exact"/>
        <w:ind w:left="0" w:firstLineChars="0"/>
        <w:rPr>
          <w:rFonts w:hint="default" w:ascii="Times New Roman" w:hAnsi="Times New Roman" w:eastAsia="宋体" w:cs="Times New Roman"/>
          <w:color w:val="000000" w:themeColor="text1"/>
          <w:sz w:val="30"/>
          <w:szCs w:val="32"/>
          <w:highlight w:val="none"/>
          <w:lang w:val="en-US" w:bidi="ar-SA"/>
          <w14:textFill>
            <w14:solidFill>
              <w14:schemeClr w14:val="tx1"/>
            </w14:solidFill>
          </w14:textFill>
        </w:rPr>
      </w:pPr>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9.4.</w:t>
      </w:r>
      <w:r>
        <w:rPr>
          <w:rFonts w:hint="eastAsia" w:cs="Times New Roman"/>
          <w:color w:val="000000" w:themeColor="text1"/>
          <w:sz w:val="30"/>
          <w:szCs w:val="32"/>
          <w:highlight w:val="none"/>
          <w:lang w:val="en-US" w:eastAsia="zh-CN" w:bidi="ar-SA"/>
          <w14:textFill>
            <w14:solidFill>
              <w14:schemeClr w14:val="tx1"/>
            </w14:solidFill>
          </w14:textFill>
        </w:rPr>
        <w:t>3地下水环境影响预测与评价</w:t>
      </w:r>
    </w:p>
    <w:p w14:paraId="0E5DC13B">
      <w:pPr>
        <w:keepNext w:val="0"/>
        <w:keepLines w:val="0"/>
        <w:pageBreakBefore w:val="0"/>
        <w:widowControl w:val="0"/>
        <w:kinsoku/>
        <w:wordWrap/>
        <w:overflowPunct w:val="0"/>
        <w:topLinePunct/>
        <w:autoSpaceDE/>
        <w:autoSpaceDN/>
        <w:bidi w:val="0"/>
        <w:adjustRightInd/>
        <w:snapToGrid/>
        <w:ind w:firstLine="480"/>
        <w:jc w:val="both"/>
        <w:textAlignment w:val="auto"/>
        <w:rPr>
          <w:rFonts w:hint="eastAsia"/>
          <w:color w:val="000000" w:themeColor="text1"/>
          <w:kern w:val="0"/>
          <w:highlight w:val="none"/>
          <w:lang w:val="en-US" w:eastAsia="zh-CN"/>
          <w14:textFill>
            <w14:solidFill>
              <w14:schemeClr w14:val="tx1"/>
            </w14:solidFill>
          </w14:textFill>
        </w:rPr>
      </w:pPr>
      <w:r>
        <w:rPr>
          <w:rFonts w:hint="eastAsia"/>
          <w:color w:val="000000" w:themeColor="text1"/>
          <w:kern w:val="0"/>
          <w:highlight w:val="none"/>
          <w14:textFill>
            <w14:solidFill>
              <w14:schemeClr w14:val="tx1"/>
            </w14:solidFill>
          </w14:textFill>
        </w:rPr>
        <w:t>正常工况下：项目选矿废水“闭路循环”，全部回用，不外排</w:t>
      </w:r>
      <w:r>
        <w:rPr>
          <w:rFonts w:hint="eastAsia"/>
          <w:color w:val="000000" w:themeColor="text1"/>
          <w:highlight w:val="none"/>
          <w14:textFill>
            <w14:solidFill>
              <w14:schemeClr w14:val="tx1"/>
            </w14:solidFill>
          </w14:textFill>
        </w:rPr>
        <w:t>，</w:t>
      </w:r>
      <w:r>
        <w:rPr>
          <w:color w:val="000000" w:themeColor="text1"/>
          <w:kern w:val="0"/>
          <w:highlight w:val="none"/>
          <w14:textFill>
            <w14:solidFill>
              <w14:schemeClr w14:val="tx1"/>
            </w14:solidFill>
          </w14:textFill>
        </w:rPr>
        <w:t>对</w:t>
      </w:r>
      <w:r>
        <w:rPr>
          <w:rFonts w:hint="eastAsia"/>
          <w:color w:val="000000" w:themeColor="text1"/>
          <w:kern w:val="0"/>
          <w:highlight w:val="none"/>
          <w14:textFill>
            <w14:solidFill>
              <w14:schemeClr w14:val="tx1"/>
            </w14:solidFill>
          </w14:textFill>
        </w:rPr>
        <w:t>区域</w:t>
      </w:r>
      <w:r>
        <w:rPr>
          <w:color w:val="000000" w:themeColor="text1"/>
          <w:kern w:val="0"/>
          <w:highlight w:val="none"/>
          <w14:textFill>
            <w14:solidFill>
              <w14:schemeClr w14:val="tx1"/>
            </w14:solidFill>
          </w14:textFill>
        </w:rPr>
        <w:t>地下水水质影响较轻。</w:t>
      </w:r>
      <w:r>
        <w:rPr>
          <w:rFonts w:hint="eastAsia"/>
          <w:color w:val="000000" w:themeColor="text1"/>
          <w:kern w:val="0"/>
          <w:highlight w:val="none"/>
          <w14:textFill>
            <w14:solidFill>
              <w14:schemeClr w14:val="tx1"/>
            </w14:solidFill>
          </w14:textFill>
        </w:rPr>
        <w:t>生活污水经地埋式一体化生活污水处理设施处理达到</w:t>
      </w:r>
      <w:r>
        <w:rPr>
          <w:rFonts w:hint="eastAsia"/>
          <w:color w:val="000000" w:themeColor="text1"/>
          <w:highlight w:val="none"/>
          <w14:textFill>
            <w14:solidFill>
              <w14:schemeClr w14:val="tx1"/>
            </w14:solidFill>
          </w14:textFill>
        </w:rPr>
        <w:t>《农村生活污水处理排放标准》（DB65 4275-2019）表2规定的A级排放限值以及《城市污水再生利用 城市杂用水水质》（GB/T18920-2020）中的城市绿化、道路清扫、消防、建筑施工限值后</w:t>
      </w:r>
      <w:r>
        <w:rPr>
          <w:rFonts w:hint="eastAsia" w:ascii="宋体" w:hAnsi="宋体"/>
          <w:color w:val="000000" w:themeColor="text1"/>
          <w:spacing w:val="-1"/>
          <w:highlight w:val="none"/>
          <w14:textFill>
            <w14:solidFill>
              <w14:schemeClr w14:val="tx1"/>
            </w14:solidFill>
          </w14:textFill>
        </w:rPr>
        <w:t>用于选矿生产工序循环利用及绿化</w:t>
      </w:r>
      <w:r>
        <w:rPr>
          <w:rFonts w:hint="eastAsia"/>
          <w:color w:val="000000" w:themeColor="text1"/>
          <w:kern w:val="0"/>
          <w:highlight w:val="none"/>
          <w14:textFill>
            <w14:solidFill>
              <w14:schemeClr w14:val="tx1"/>
            </w14:solidFill>
          </w14:textFill>
        </w:rPr>
        <w:t>，不外排</w:t>
      </w:r>
      <w:r>
        <w:rPr>
          <w:rFonts w:hint="eastAsia"/>
          <w:color w:val="000000" w:themeColor="text1"/>
          <w:highlight w:val="none"/>
          <w14:textFill>
            <w14:solidFill>
              <w14:schemeClr w14:val="tx1"/>
            </w14:solidFill>
          </w14:textFill>
        </w:rPr>
        <w:t>，对区域地下水水质影响较轻。</w:t>
      </w:r>
      <w:r>
        <w:rPr>
          <w:rFonts w:hint="eastAsia" w:ascii="Times New Roman" w:hAnsi="Times New Roman" w:cs="Times New Roman"/>
          <w:color w:val="000000" w:themeColor="text1"/>
          <w:kern w:val="2"/>
          <w:highlight w:val="none"/>
          <w:lang w:val="en-US" w:eastAsia="zh-CN"/>
          <w14:textFill>
            <w14:solidFill>
              <w14:schemeClr w14:val="tx1"/>
            </w14:solidFill>
          </w14:textFill>
        </w:rPr>
        <w:t>尾矿库在按照</w:t>
      </w:r>
      <w:r>
        <w:rPr>
          <w:rFonts w:hint="eastAsia" w:ascii="Times New Roman" w:hAnsi="Times New Roman" w:cs="Times New Roman"/>
          <w:color w:val="000000" w:themeColor="text1"/>
          <w:kern w:val="2"/>
          <w:highlight w:val="none"/>
          <w14:textFill>
            <w14:solidFill>
              <w14:schemeClr w14:val="tx1"/>
            </w14:solidFill>
          </w14:textFill>
        </w:rPr>
        <w:t>《一般工业固体废物贮存和填埋污染控制标准》（GB18599-2020）</w:t>
      </w:r>
      <w:r>
        <w:rPr>
          <w:rFonts w:ascii="Times New Roman" w:hAnsi="Times New Roman" w:cs="Times New Roman"/>
          <w:color w:val="000000" w:themeColor="text1"/>
          <w:kern w:val="2"/>
          <w:highlight w:val="none"/>
          <w14:textFill>
            <w14:solidFill>
              <w14:schemeClr w14:val="tx1"/>
            </w14:solidFill>
          </w14:textFill>
        </w:rPr>
        <w:t>规定</w:t>
      </w:r>
      <w:r>
        <w:rPr>
          <w:rFonts w:hint="eastAsia" w:ascii="Times New Roman" w:hAnsi="Times New Roman" w:cs="Times New Roman"/>
          <w:color w:val="000000" w:themeColor="text1"/>
          <w:kern w:val="2"/>
          <w:highlight w:val="none"/>
          <w:lang w:val="en-US" w:eastAsia="zh-CN"/>
          <w14:textFill>
            <w14:solidFill>
              <w14:schemeClr w14:val="tx1"/>
            </w14:solidFill>
          </w14:textFill>
        </w:rPr>
        <w:t>采取防渗措施的前提下，对地下水环境影响可接受。</w:t>
      </w:r>
    </w:p>
    <w:p w14:paraId="33A88D6F">
      <w:pPr>
        <w:keepNext w:val="0"/>
        <w:keepLines w:val="0"/>
        <w:pageBreakBefore w:val="0"/>
        <w:widowControl w:val="0"/>
        <w:kinsoku/>
        <w:wordWrap/>
        <w:overflowPunct w:val="0"/>
        <w:topLinePunct/>
        <w:autoSpaceDE/>
        <w:autoSpaceDN/>
        <w:bidi w:val="0"/>
        <w:adjustRightInd/>
        <w:snapToGrid/>
        <w:ind w:firstLine="480"/>
        <w:jc w:val="both"/>
        <w:textAlignment w:val="auto"/>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非正常工况下：</w:t>
      </w:r>
      <w:r>
        <w:rPr>
          <w:rFonts w:hint="eastAsia" w:eastAsia="宋体" w:cs="Times New Roman"/>
          <w:color w:val="000000" w:themeColor="text1"/>
          <w:spacing w:val="0"/>
          <w:sz w:val="24"/>
          <w:highlight w:val="none"/>
          <w:lang w:val="en-US" w:eastAsia="zh-CN"/>
          <w14:textFill>
            <w14:solidFill>
              <w14:schemeClr w14:val="tx1"/>
            </w14:solidFill>
          </w14:textFill>
        </w:rPr>
        <w:t>假定尾矿库底部出现破损，导致较长时间内废水通过裂口渗入地下影响地下水水质</w:t>
      </w:r>
      <w:r>
        <w:rPr>
          <w:rFonts w:hint="eastAsia" w:cs="Times New Roman"/>
          <w:color w:val="000000" w:themeColor="text1"/>
          <w:spacing w:val="0"/>
          <w:sz w:val="24"/>
          <w:highlight w:val="none"/>
          <w:lang w:val="en-US"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根据预测结果，</w:t>
      </w:r>
      <w:r>
        <w:rPr>
          <w:rFonts w:ascii="Times New Roman" w:hAnsi="Times New Roman" w:cs="Times New Roman"/>
          <w:color w:val="000000" w:themeColor="text1"/>
          <w:kern w:val="2"/>
          <w:sz w:val="24"/>
          <w:highlight w:val="none"/>
          <w14:textFill>
            <w14:solidFill>
              <w14:schemeClr w14:val="tx1"/>
            </w14:solidFill>
          </w14:textFill>
        </w:rPr>
        <w:t>1</w:t>
      </w:r>
      <w:r>
        <w:rPr>
          <w:rFonts w:hint="eastAsia" w:ascii="Times New Roman" w:hAnsi="Times New Roman" w:cs="Times New Roman"/>
          <w:color w:val="000000" w:themeColor="text1"/>
          <w:kern w:val="2"/>
          <w:sz w:val="24"/>
          <w:highlight w:val="none"/>
          <w14:textFill>
            <w14:solidFill>
              <w14:schemeClr w14:val="tx1"/>
            </w14:solidFill>
          </w14:textFill>
        </w:rPr>
        <w:t>0</w:t>
      </w:r>
      <w:r>
        <w:rPr>
          <w:rFonts w:ascii="Times New Roman" w:hAnsi="Times New Roman" w:cs="Times New Roman"/>
          <w:color w:val="000000" w:themeColor="text1"/>
          <w:kern w:val="2"/>
          <w:sz w:val="24"/>
          <w:highlight w:val="none"/>
          <w14:textFill>
            <w14:solidFill>
              <w14:schemeClr w14:val="tx1"/>
            </w14:solidFill>
          </w14:textFill>
        </w:rPr>
        <w:t>0天后，尾矿库特征因子</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砷</w:t>
      </w:r>
      <w:r>
        <w:rPr>
          <w:rFonts w:hint="eastAsia" w:ascii="Times New Roman" w:hAnsi="Times New Roman" w:cs="Times New Roman"/>
          <w:color w:val="000000" w:themeColor="text1"/>
          <w:kern w:val="2"/>
          <w:sz w:val="24"/>
          <w:highlight w:val="none"/>
          <w14:textFill>
            <w14:solidFill>
              <w14:schemeClr w14:val="tx1"/>
            </w14:solidFill>
          </w14:textFill>
        </w:rPr>
        <w:t>预测最大浓度值约为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0.0002</w:t>
      </w:r>
      <w:r>
        <w:rPr>
          <w:rFonts w:hint="eastAsia" w:ascii="Times New Roman" w:hAnsi="Times New Roman" w:cs="Times New Roman"/>
          <w:color w:val="000000" w:themeColor="text1"/>
          <w:kern w:val="2"/>
          <w:sz w:val="24"/>
          <w:highlight w:val="none"/>
          <w14:textFill>
            <w14:solidFill>
              <w14:schemeClr w14:val="tx1"/>
            </w14:solidFill>
          </w14:textFill>
        </w:rPr>
        <w:t>mg/L</w:t>
      </w:r>
      <w:r>
        <w:rPr>
          <w:rFonts w:ascii="Times New Roman" w:hAnsi="Times New Roman" w:cs="Times New Roman"/>
          <w:color w:val="000000" w:themeColor="text1"/>
          <w:kern w:val="2"/>
          <w:sz w:val="24"/>
          <w:highlight w:val="none"/>
          <w14:textFill>
            <w14:solidFill>
              <w14:schemeClr w14:val="tx1"/>
            </w14:solidFill>
          </w14:textFill>
        </w:rPr>
        <w:t>，最大影响距离为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52</w:t>
      </w:r>
      <w:r>
        <w:rPr>
          <w:rFonts w:ascii="Times New Roman" w:hAnsi="Times New Roman" w:cs="Times New Roman"/>
          <w:color w:val="000000" w:themeColor="text1"/>
          <w:kern w:val="2"/>
          <w:sz w:val="24"/>
          <w:highlight w:val="none"/>
          <w14:textFill>
            <w14:solidFill>
              <w14:schemeClr w14:val="tx1"/>
            </w14:solidFill>
          </w14:textFill>
        </w:rPr>
        <w:t>m；1000天后，尾矿库特征因子</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砷</w:t>
      </w:r>
      <w:r>
        <w:rPr>
          <w:rFonts w:hint="eastAsia" w:ascii="Times New Roman" w:hAnsi="Times New Roman" w:cs="Times New Roman"/>
          <w:color w:val="000000" w:themeColor="text1"/>
          <w:kern w:val="2"/>
          <w:sz w:val="24"/>
          <w:highlight w:val="none"/>
          <w14:textFill>
            <w14:solidFill>
              <w14:schemeClr w14:val="tx1"/>
            </w14:solidFill>
          </w14:textFill>
        </w:rPr>
        <w:t>预测最大浓度值约为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0.0002</w:t>
      </w:r>
      <w:r>
        <w:rPr>
          <w:rFonts w:hint="eastAsia" w:ascii="Times New Roman" w:hAnsi="Times New Roman" w:cs="Times New Roman"/>
          <w:color w:val="000000" w:themeColor="text1"/>
          <w:kern w:val="2"/>
          <w:sz w:val="24"/>
          <w:highlight w:val="none"/>
          <w14:textFill>
            <w14:solidFill>
              <w14:schemeClr w14:val="tx1"/>
            </w14:solidFill>
          </w14:textFill>
        </w:rPr>
        <w:t>mg/L</w:t>
      </w:r>
      <w:r>
        <w:rPr>
          <w:rFonts w:ascii="Times New Roman" w:hAnsi="Times New Roman" w:cs="Times New Roman"/>
          <w:color w:val="000000" w:themeColor="text1"/>
          <w:kern w:val="2"/>
          <w:sz w:val="24"/>
          <w:highlight w:val="none"/>
          <w14:textFill>
            <w14:solidFill>
              <w14:schemeClr w14:val="tx1"/>
            </w14:solidFill>
          </w14:textFill>
        </w:rPr>
        <w:t>，最大影响距离为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345</w:t>
      </w:r>
      <w:r>
        <w:rPr>
          <w:rFonts w:ascii="Times New Roman" w:hAnsi="Times New Roman" w:cs="Times New Roman"/>
          <w:color w:val="000000" w:themeColor="text1"/>
          <w:kern w:val="2"/>
          <w:sz w:val="24"/>
          <w:highlight w:val="none"/>
          <w14:textFill>
            <w14:solidFill>
              <w14:schemeClr w14:val="tx1"/>
            </w14:solidFill>
          </w14:textFill>
        </w:rPr>
        <w:t>m；</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365</w:t>
      </w:r>
      <w:r>
        <w:rPr>
          <w:rFonts w:ascii="Times New Roman" w:hAnsi="Times New Roman" w:cs="Times New Roman"/>
          <w:color w:val="000000" w:themeColor="text1"/>
          <w:kern w:val="2"/>
          <w:sz w:val="24"/>
          <w:highlight w:val="none"/>
          <w14:textFill>
            <w14:solidFill>
              <w14:schemeClr w14:val="tx1"/>
            </w14:solidFill>
          </w14:textFill>
        </w:rPr>
        <w:t>0天后，尾矿库特征因子</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砷</w:t>
      </w:r>
      <w:r>
        <w:rPr>
          <w:rFonts w:hint="eastAsia" w:ascii="Times New Roman" w:hAnsi="Times New Roman" w:cs="Times New Roman"/>
          <w:color w:val="000000" w:themeColor="text1"/>
          <w:kern w:val="2"/>
          <w:sz w:val="24"/>
          <w:highlight w:val="none"/>
          <w14:textFill>
            <w14:solidFill>
              <w14:schemeClr w14:val="tx1"/>
            </w14:solidFill>
          </w14:textFill>
        </w:rPr>
        <w:t>预测最大浓度值约为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0.0002</w:t>
      </w:r>
      <w:r>
        <w:rPr>
          <w:rFonts w:hint="eastAsia" w:ascii="Times New Roman" w:hAnsi="Times New Roman" w:cs="Times New Roman"/>
          <w:color w:val="000000" w:themeColor="text1"/>
          <w:kern w:val="2"/>
          <w:sz w:val="24"/>
          <w:highlight w:val="none"/>
          <w14:textFill>
            <w14:solidFill>
              <w14:schemeClr w14:val="tx1"/>
            </w14:solidFill>
          </w14:textFill>
        </w:rPr>
        <w:t>mg/L</w:t>
      </w:r>
      <w:r>
        <w:rPr>
          <w:rFonts w:ascii="Times New Roman" w:hAnsi="Times New Roman" w:cs="Times New Roman"/>
          <w:color w:val="000000" w:themeColor="text1"/>
          <w:kern w:val="2"/>
          <w:sz w:val="24"/>
          <w:highlight w:val="none"/>
          <w14:textFill>
            <w14:solidFill>
              <w14:schemeClr w14:val="tx1"/>
            </w14:solidFill>
          </w14:textFill>
        </w:rPr>
        <w:t>，最大影响距离为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1132</w:t>
      </w:r>
      <w:r>
        <w:rPr>
          <w:rFonts w:ascii="Times New Roman" w:hAnsi="Times New Roman" w:cs="Times New Roman"/>
          <w:color w:val="000000" w:themeColor="text1"/>
          <w:kern w:val="2"/>
          <w:sz w:val="24"/>
          <w:highlight w:val="none"/>
          <w14:textFill>
            <w14:solidFill>
              <w14:schemeClr w14:val="tx1"/>
            </w14:solidFill>
          </w14:textFill>
        </w:rPr>
        <w:t>m；</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5000</w:t>
      </w:r>
      <w:r>
        <w:rPr>
          <w:rFonts w:ascii="Times New Roman" w:hAnsi="Times New Roman" w:cs="Times New Roman"/>
          <w:color w:val="000000" w:themeColor="text1"/>
          <w:kern w:val="2"/>
          <w:sz w:val="24"/>
          <w:highlight w:val="none"/>
          <w14:textFill>
            <w14:solidFill>
              <w14:schemeClr w14:val="tx1"/>
            </w14:solidFill>
          </w14:textFill>
        </w:rPr>
        <w:t>天后，尾矿库特征因子</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砷</w:t>
      </w:r>
      <w:r>
        <w:rPr>
          <w:rFonts w:hint="eastAsia" w:ascii="Times New Roman" w:hAnsi="Times New Roman" w:cs="Times New Roman"/>
          <w:color w:val="000000" w:themeColor="text1"/>
          <w:kern w:val="2"/>
          <w:sz w:val="24"/>
          <w:highlight w:val="none"/>
          <w14:textFill>
            <w14:solidFill>
              <w14:schemeClr w14:val="tx1"/>
            </w14:solidFill>
          </w14:textFill>
        </w:rPr>
        <w:t>预测最大浓度值约为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0.0002</w:t>
      </w:r>
      <w:r>
        <w:rPr>
          <w:rFonts w:hint="eastAsia" w:ascii="Times New Roman" w:hAnsi="Times New Roman" w:cs="Times New Roman"/>
          <w:color w:val="000000" w:themeColor="text1"/>
          <w:kern w:val="2"/>
          <w:sz w:val="24"/>
          <w:highlight w:val="none"/>
          <w14:textFill>
            <w14:solidFill>
              <w14:schemeClr w14:val="tx1"/>
            </w14:solidFill>
          </w14:textFill>
        </w:rPr>
        <w:t>mg/L</w:t>
      </w:r>
      <w:r>
        <w:rPr>
          <w:rFonts w:ascii="Times New Roman" w:hAnsi="Times New Roman" w:cs="Times New Roman"/>
          <w:color w:val="000000" w:themeColor="text1"/>
          <w:kern w:val="2"/>
          <w:sz w:val="24"/>
          <w:highlight w:val="none"/>
          <w14:textFill>
            <w14:solidFill>
              <w14:schemeClr w14:val="tx1"/>
            </w14:solidFill>
          </w14:textFill>
        </w:rPr>
        <w:t>，最大影响距离为</w:t>
      </w:r>
      <w:r>
        <w:rPr>
          <w:rFonts w:hint="eastAsia" w:ascii="Times New Roman" w:hAnsi="Times New Roman" w:cs="Times New Roman"/>
          <w:color w:val="000000" w:themeColor="text1"/>
          <w:kern w:val="2"/>
          <w:sz w:val="24"/>
          <w:highlight w:val="none"/>
          <w:lang w:val="en-US" w:eastAsia="zh-CN"/>
          <w14:textFill>
            <w14:solidFill>
              <w14:schemeClr w14:val="tx1"/>
            </w14:solidFill>
          </w14:textFill>
        </w:rPr>
        <w:t>1532</w:t>
      </w:r>
      <w:r>
        <w:rPr>
          <w:rFonts w:ascii="Times New Roman" w:hAnsi="Times New Roman" w:cs="Times New Roman"/>
          <w:color w:val="000000" w:themeColor="text1"/>
          <w:kern w:val="2"/>
          <w:sz w:val="24"/>
          <w:highlight w:val="none"/>
          <w14:textFill>
            <w14:solidFill>
              <w14:schemeClr w14:val="tx1"/>
            </w14:solidFill>
          </w14:textFill>
        </w:rPr>
        <w:t>m</w:t>
      </w:r>
      <w:r>
        <w:rPr>
          <w:rFonts w:hint="eastAsia" w:ascii="Times New Roman" w:hAnsi="Times New Roman" w:cs="Times New Roman"/>
          <w:color w:val="000000" w:themeColor="text1"/>
          <w:kern w:val="2"/>
          <w:sz w:val="24"/>
          <w:highlight w:val="none"/>
          <w:lang w:eastAsia="zh-CN"/>
          <w14:textFill>
            <w14:solidFill>
              <w14:schemeClr w14:val="tx1"/>
            </w14:solidFill>
          </w14:textFill>
        </w:rPr>
        <w:t>。评价范围内污染物浓度贡献值均满足地下水环境质量《地下水质量标准》（GB/T14848-2017）Ⅲ类标准。从预测结果可以看出，尾矿淋滤液渗漏溢流到坝下区域砷预测最大浓度值均为0.0002mg/L，位于下游0m处，污染物运移到下游污染浓度满足《地下水质量标准》（GB/T14848-2017）中的Ⅲ类标准。根据项目区块地形，下游2km范围内无耕地和村落、乡镇分布，项目非正常状况对周边环境无明显影响。</w:t>
      </w:r>
    </w:p>
    <w:p w14:paraId="61677346">
      <w:pPr>
        <w:pStyle w:val="4"/>
        <w:keepNext/>
        <w:keepLines/>
        <w:spacing w:before="60" w:after="60" w:line="480" w:lineRule="exact"/>
        <w:ind w:left="0" w:firstLineChars="0"/>
        <w:rPr>
          <w:rFonts w:ascii="Times New Roman" w:hAnsi="Times New Roman" w:eastAsia="宋体" w:cs="Times New Roman"/>
          <w:color w:val="000000" w:themeColor="text1"/>
          <w:sz w:val="30"/>
          <w:szCs w:val="32"/>
          <w:highlight w:val="none"/>
          <w:lang w:val="en-US" w:bidi="ar-SA"/>
          <w14:textFill>
            <w14:solidFill>
              <w14:schemeClr w14:val="tx1"/>
            </w14:solidFill>
          </w14:textFill>
        </w:rPr>
      </w:pPr>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9.4.</w:t>
      </w:r>
      <w:r>
        <w:rPr>
          <w:rFonts w:hint="eastAsia" w:cs="Times New Roman"/>
          <w:color w:val="000000" w:themeColor="text1"/>
          <w:sz w:val="30"/>
          <w:szCs w:val="32"/>
          <w:highlight w:val="none"/>
          <w:lang w:val="en-US" w:eastAsia="zh-CN" w:bidi="ar-SA"/>
          <w14:textFill>
            <w14:solidFill>
              <w14:schemeClr w14:val="tx1"/>
            </w14:solidFill>
          </w14:textFill>
        </w:rPr>
        <w:t>4</w:t>
      </w:r>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声环境影响评价</w:t>
      </w:r>
      <w:bookmarkEnd w:id="1229"/>
      <w:bookmarkEnd w:id="1230"/>
      <w:bookmarkEnd w:id="1231"/>
      <w:bookmarkEnd w:id="1232"/>
      <w:bookmarkEnd w:id="1233"/>
      <w:bookmarkEnd w:id="1234"/>
      <w:bookmarkEnd w:id="1235"/>
      <w:bookmarkEnd w:id="1236"/>
    </w:p>
    <w:p w14:paraId="3D8500F9">
      <w:pPr>
        <w:pStyle w:val="41"/>
        <w:overflowPunct w:val="0"/>
        <w:topLinePunct/>
        <w:spacing w:line="480" w:lineRule="exact"/>
        <w:ind w:firstLine="480"/>
        <w:rPr>
          <w:rFonts w:cs="Times New Roman"/>
          <w:color w:val="000000" w:themeColor="text1"/>
          <w:kern w:val="0"/>
          <w:highlight w:val="none"/>
          <w:lang w:val="zh-CN"/>
          <w14:textFill>
            <w14:solidFill>
              <w14:schemeClr w14:val="tx1"/>
            </w14:solidFill>
          </w14:textFill>
        </w:rPr>
      </w:pPr>
      <w:bookmarkStart w:id="1237" w:name="_Toc4221"/>
      <w:bookmarkStart w:id="1238" w:name="_Toc24937"/>
      <w:bookmarkStart w:id="1239" w:name="_Toc21283"/>
      <w:bookmarkStart w:id="1240" w:name="_Toc2757"/>
      <w:bookmarkStart w:id="1241" w:name="_Toc7410"/>
      <w:bookmarkStart w:id="1242" w:name="_Toc2198"/>
      <w:bookmarkStart w:id="1243" w:name="_Toc12140"/>
      <w:bookmarkStart w:id="1244" w:name="_Toc24346"/>
      <w:r>
        <w:rPr>
          <w:rFonts w:cs="Times New Roman"/>
          <w:color w:val="000000" w:themeColor="text1"/>
          <w:kern w:val="0"/>
          <w:szCs w:val="24"/>
          <w:highlight w:val="none"/>
          <w:lang w:val="zh-CN"/>
          <w14:textFill>
            <w14:solidFill>
              <w14:schemeClr w14:val="tx1"/>
            </w14:solidFill>
          </w14:textFill>
        </w:rPr>
        <w:t>由预测结果可知，项目运营后，噪声源厂界</w:t>
      </w:r>
      <w:r>
        <w:rPr>
          <w:rFonts w:hint="eastAsia" w:cs="Times New Roman"/>
          <w:color w:val="000000" w:themeColor="text1"/>
          <w:kern w:val="0"/>
          <w:szCs w:val="24"/>
          <w:highlight w:val="none"/>
          <w14:textFill>
            <w14:solidFill>
              <w14:schemeClr w14:val="tx1"/>
            </w14:solidFill>
          </w14:textFill>
        </w:rPr>
        <w:t>昼间</w:t>
      </w:r>
      <w:r>
        <w:rPr>
          <w:rFonts w:cs="Times New Roman"/>
          <w:color w:val="000000" w:themeColor="text1"/>
          <w:kern w:val="0"/>
          <w:szCs w:val="24"/>
          <w:highlight w:val="none"/>
          <w:lang w:val="zh-CN"/>
          <w14:textFill>
            <w14:solidFill>
              <w14:schemeClr w14:val="tx1"/>
            </w14:solidFill>
          </w14:textFill>
        </w:rPr>
        <w:t>噪声</w:t>
      </w:r>
      <w:r>
        <w:rPr>
          <w:rFonts w:hint="eastAsia" w:cs="Times New Roman"/>
          <w:color w:val="000000" w:themeColor="text1"/>
          <w:kern w:val="0"/>
          <w:szCs w:val="24"/>
          <w:highlight w:val="none"/>
          <w14:textFill>
            <w14:solidFill>
              <w14:schemeClr w14:val="tx1"/>
            </w14:solidFill>
          </w14:textFill>
        </w:rPr>
        <w:t>预测</w:t>
      </w:r>
      <w:r>
        <w:rPr>
          <w:rFonts w:cs="Times New Roman"/>
          <w:color w:val="000000" w:themeColor="text1"/>
          <w:kern w:val="0"/>
          <w:szCs w:val="24"/>
          <w:highlight w:val="none"/>
          <w:lang w:val="zh-CN"/>
          <w14:textFill>
            <w14:solidFill>
              <w14:schemeClr w14:val="tx1"/>
            </w14:solidFill>
          </w14:textFill>
        </w:rPr>
        <w:t>值可满足《工业企业厂界环境噪声排放标准》（GB12348-2008）中</w:t>
      </w:r>
      <w:r>
        <w:rPr>
          <w:rFonts w:cs="Times New Roman"/>
          <w:color w:val="000000" w:themeColor="text1"/>
          <w:kern w:val="0"/>
          <w:szCs w:val="24"/>
          <w:highlight w:val="none"/>
          <w14:textFill>
            <w14:solidFill>
              <w14:schemeClr w14:val="tx1"/>
            </w14:solidFill>
          </w14:textFill>
        </w:rPr>
        <w:t>2</w:t>
      </w:r>
      <w:r>
        <w:rPr>
          <w:rFonts w:cs="Times New Roman"/>
          <w:color w:val="000000" w:themeColor="text1"/>
          <w:kern w:val="0"/>
          <w:szCs w:val="24"/>
          <w:highlight w:val="none"/>
          <w:lang w:val="zh-CN"/>
          <w14:textFill>
            <w14:solidFill>
              <w14:schemeClr w14:val="tx1"/>
            </w14:solidFill>
          </w14:textFill>
        </w:rPr>
        <w:t>类排放标准要求，环评建议建设单位尽可能将产生噪声的设备置于厂区中心，远离厂界，且选用低噪声设备。选矿厂附近200m范围内无居民区等声环境敏感点，经采取隔声、减震等措施后，运营期选矿厂噪声对周围声环境影响较小</w:t>
      </w:r>
      <w:r>
        <w:rPr>
          <w:rFonts w:hint="eastAsia" w:cs="Times New Roman"/>
          <w:color w:val="000000" w:themeColor="text1"/>
          <w:kern w:val="0"/>
          <w:highlight w:val="none"/>
          <w:lang w:val="zh-CN"/>
          <w14:textFill>
            <w14:solidFill>
              <w14:schemeClr w14:val="tx1"/>
            </w14:solidFill>
          </w14:textFill>
        </w:rPr>
        <w:t>。</w:t>
      </w:r>
    </w:p>
    <w:p w14:paraId="790C02E2">
      <w:pPr>
        <w:pStyle w:val="4"/>
        <w:keepNext/>
        <w:keepLines/>
        <w:spacing w:before="60" w:after="60" w:line="480" w:lineRule="exact"/>
        <w:ind w:left="0" w:firstLineChars="0"/>
        <w:rPr>
          <w:rFonts w:ascii="Times New Roman" w:hAnsi="Times New Roman" w:eastAsia="宋体" w:cs="Times New Roman"/>
          <w:color w:val="000000" w:themeColor="text1"/>
          <w:sz w:val="30"/>
          <w:szCs w:val="32"/>
          <w:highlight w:val="none"/>
          <w:lang w:val="en-US" w:bidi="ar-SA"/>
          <w14:textFill>
            <w14:solidFill>
              <w14:schemeClr w14:val="tx1"/>
            </w14:solidFill>
          </w14:textFill>
        </w:rPr>
      </w:pPr>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9.4.</w:t>
      </w:r>
      <w:r>
        <w:rPr>
          <w:rFonts w:hint="eastAsia" w:cs="Times New Roman"/>
          <w:color w:val="000000" w:themeColor="text1"/>
          <w:sz w:val="30"/>
          <w:szCs w:val="32"/>
          <w:highlight w:val="none"/>
          <w:lang w:val="en-US" w:eastAsia="zh-CN" w:bidi="ar-SA"/>
          <w14:textFill>
            <w14:solidFill>
              <w14:schemeClr w14:val="tx1"/>
            </w14:solidFill>
          </w14:textFill>
        </w:rPr>
        <w:t>5</w:t>
      </w:r>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固体废物影响评价</w:t>
      </w:r>
      <w:bookmarkEnd w:id="1237"/>
      <w:bookmarkEnd w:id="1238"/>
      <w:bookmarkEnd w:id="1239"/>
      <w:bookmarkEnd w:id="1240"/>
      <w:bookmarkEnd w:id="1241"/>
      <w:bookmarkEnd w:id="1242"/>
      <w:bookmarkEnd w:id="1243"/>
      <w:bookmarkEnd w:id="1244"/>
    </w:p>
    <w:p w14:paraId="0957656F">
      <w:pPr>
        <w:pStyle w:val="41"/>
        <w:overflowPunct w:val="0"/>
        <w:topLinePunct/>
        <w:spacing w:line="480" w:lineRule="exact"/>
        <w:ind w:firstLine="480"/>
        <w:rPr>
          <w:rFonts w:hint="eastAsia"/>
          <w:color w:val="000000" w:themeColor="text1"/>
          <w:kern w:val="0"/>
          <w:highlight w:val="none"/>
          <w:lang w:val="en-US" w:eastAsia="zh-CN"/>
          <w14:textFill>
            <w14:solidFill>
              <w14:schemeClr w14:val="tx1"/>
            </w14:solidFill>
          </w14:textFill>
        </w:rPr>
      </w:pPr>
      <w:r>
        <w:rPr>
          <w:rFonts w:hint="eastAsia"/>
          <w:color w:val="000000" w:themeColor="text1"/>
          <w:kern w:val="0"/>
          <w:highlight w:val="none"/>
          <w14:textFill>
            <w14:solidFill>
              <w14:schemeClr w14:val="tx1"/>
            </w14:solidFill>
          </w14:textFill>
        </w:rPr>
        <w:t>运营期固体废物主要来源于选矿工序产生的尾矿砂、</w:t>
      </w:r>
      <w:r>
        <w:rPr>
          <w:rFonts w:hint="eastAsia"/>
          <w:color w:val="000000" w:themeColor="text1"/>
          <w:kern w:val="0"/>
          <w:highlight w:val="none"/>
          <w:lang w:eastAsia="zh-CN"/>
          <w14:textFill>
            <w14:solidFill>
              <w14:schemeClr w14:val="tx1"/>
            </w14:solidFill>
          </w14:textFill>
        </w:rPr>
        <w:t>干选废石</w:t>
      </w:r>
      <w:r>
        <w:rPr>
          <w:rFonts w:hint="eastAsia"/>
          <w:color w:val="000000" w:themeColor="text1"/>
          <w:kern w:val="0"/>
          <w:highlight w:val="none"/>
          <w14:textFill>
            <w14:solidFill>
              <w14:schemeClr w14:val="tx1"/>
            </w14:solidFill>
          </w14:textFill>
        </w:rPr>
        <w:t>、除尘灰（除尘器收集的粉尘）、生活</w:t>
      </w:r>
      <w:r>
        <w:rPr>
          <w:rFonts w:hint="eastAsia"/>
          <w:color w:val="000000" w:themeColor="text1"/>
          <w:highlight w:val="none"/>
          <w14:textFill>
            <w14:solidFill>
              <w14:schemeClr w14:val="tx1"/>
            </w14:solidFill>
          </w14:textFill>
        </w:rPr>
        <w:t>污水处理设施底泥、</w:t>
      </w:r>
      <w:r>
        <w:rPr>
          <w:rFonts w:hint="eastAsia"/>
          <w:color w:val="000000" w:themeColor="text1"/>
          <w:kern w:val="0"/>
          <w:highlight w:val="none"/>
          <w14:textFill>
            <w14:solidFill>
              <w14:schemeClr w14:val="tx1"/>
            </w14:solidFill>
          </w14:textFill>
        </w:rPr>
        <w:t>废布袋、循环水池底泥、生活垃圾及少量废机油、废油桶</w:t>
      </w:r>
      <w:r>
        <w:rPr>
          <w:rFonts w:hint="eastAsia"/>
          <w:color w:val="000000" w:themeColor="text1"/>
          <w:kern w:val="0"/>
          <w:highlight w:val="none"/>
          <w:lang w:val="en-US" w:eastAsia="zh-CN"/>
          <w14:textFill>
            <w14:solidFill>
              <w14:schemeClr w14:val="tx1"/>
            </w14:solidFill>
          </w14:textFill>
        </w:rPr>
        <w:t>等。</w:t>
      </w:r>
    </w:p>
    <w:p w14:paraId="6ABF2EF4">
      <w:pPr>
        <w:overflowPunct w:val="0"/>
        <w:topLinePunct/>
        <w:ind w:firstLine="480"/>
        <w:rPr>
          <w:rFonts w:hint="eastAsia"/>
          <w:color w:val="000000" w:themeColor="text1"/>
          <w:kern w:val="0"/>
          <w:highlight w:val="none"/>
          <w14:textFill>
            <w14:solidFill>
              <w14:schemeClr w14:val="tx1"/>
            </w14:solidFill>
          </w14:textFill>
        </w:rPr>
      </w:pPr>
      <w:bookmarkStart w:id="1245" w:name="_Toc24505"/>
      <w:bookmarkStart w:id="1246" w:name="_Toc25544"/>
      <w:bookmarkStart w:id="1247" w:name="_Toc10374"/>
      <w:bookmarkStart w:id="1248" w:name="_Toc30868"/>
      <w:bookmarkStart w:id="1249" w:name="_Toc779"/>
      <w:bookmarkStart w:id="1250" w:name="_Toc13287"/>
      <w:bookmarkStart w:id="1251" w:name="_Toc26466"/>
      <w:bookmarkStart w:id="1252" w:name="_Toc23843"/>
      <w:r>
        <w:rPr>
          <w:rFonts w:hint="eastAsia"/>
          <w:color w:val="000000" w:themeColor="text1"/>
          <w:kern w:val="0"/>
          <w:highlight w:val="none"/>
          <w14:textFill>
            <w14:solidFill>
              <w14:schemeClr w14:val="tx1"/>
            </w14:solidFill>
          </w14:textFill>
        </w:rPr>
        <w:t>本项目各项固体废物均得到妥善处置，在满足以上要求的前提下，本项目各项固体废物对项目区及周边环境影响较小。</w:t>
      </w:r>
    </w:p>
    <w:p w14:paraId="3F8B56A2">
      <w:pPr>
        <w:pStyle w:val="4"/>
        <w:keepNext/>
        <w:keepLines/>
        <w:spacing w:before="60" w:after="60" w:line="480" w:lineRule="exact"/>
        <w:ind w:left="0" w:firstLineChars="0"/>
        <w:rPr>
          <w:rFonts w:hint="default" w:ascii="Times New Roman" w:hAnsi="Times New Roman" w:eastAsia="宋体" w:cs="Times New Roman"/>
          <w:color w:val="000000" w:themeColor="text1"/>
          <w:sz w:val="30"/>
          <w:szCs w:val="32"/>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9.4.</w:t>
      </w:r>
      <w:r>
        <w:rPr>
          <w:rFonts w:hint="eastAsia" w:cs="Times New Roman"/>
          <w:color w:val="000000" w:themeColor="text1"/>
          <w:sz w:val="30"/>
          <w:szCs w:val="32"/>
          <w:highlight w:val="none"/>
          <w:lang w:val="en-US" w:eastAsia="zh-CN" w:bidi="ar-SA"/>
          <w14:textFill>
            <w14:solidFill>
              <w14:schemeClr w14:val="tx1"/>
            </w14:solidFill>
          </w14:textFill>
        </w:rPr>
        <w:t>6土壤环境影响分析结论</w:t>
      </w:r>
    </w:p>
    <w:p w14:paraId="1DAE7BAF">
      <w:pPr>
        <w:overflowPunct w:val="0"/>
        <w:topLinePunct/>
        <w:ind w:firstLine="480"/>
        <w:rPr>
          <w:rFonts w:hint="eastAsia"/>
          <w:color w:val="000000" w:themeColor="text1"/>
          <w:kern w:val="0"/>
          <w:highlight w:val="none"/>
          <w14:textFill>
            <w14:solidFill>
              <w14:schemeClr w14:val="tx1"/>
            </w14:solidFill>
          </w14:textFill>
        </w:rPr>
      </w:pPr>
      <w:r>
        <w:rPr>
          <w:rFonts w:hint="default"/>
          <w:color w:val="000000" w:themeColor="text1"/>
          <w:lang w:val="en-US" w:eastAsia="zh-CN"/>
          <w14:textFill>
            <w14:solidFill>
              <w14:schemeClr w14:val="tx1"/>
            </w14:solidFill>
          </w14:textFill>
        </w:rPr>
        <w:t>地面漫流对土壤的影响主要为</w:t>
      </w:r>
      <w:r>
        <w:rPr>
          <w:rFonts w:hint="eastAsia"/>
          <w:color w:val="000000" w:themeColor="text1"/>
          <w:lang w:val="en-US" w:eastAsia="zh-CN"/>
          <w14:textFill>
            <w14:solidFill>
              <w14:schemeClr w14:val="tx1"/>
            </w14:solidFill>
          </w14:textFill>
        </w:rPr>
        <w:t>尾矿库溃坝事故造成废水</w:t>
      </w:r>
      <w:r>
        <w:rPr>
          <w:rFonts w:hint="default"/>
          <w:color w:val="000000" w:themeColor="text1"/>
          <w:lang w:val="en-US" w:eastAsia="zh-CN"/>
          <w14:textFill>
            <w14:solidFill>
              <w14:schemeClr w14:val="tx1"/>
            </w14:solidFill>
          </w14:textFill>
        </w:rPr>
        <w:t>地面漫流。</w:t>
      </w:r>
      <w:r>
        <w:rPr>
          <w:rFonts w:hint="eastAsia"/>
          <w:color w:val="000000" w:themeColor="text1"/>
          <w:lang w:val="en-US" w:eastAsia="zh-CN"/>
          <w14:textFill>
            <w14:solidFill>
              <w14:schemeClr w14:val="tx1"/>
            </w14:solidFill>
          </w14:textFill>
        </w:rPr>
        <w:t>项目区</w:t>
      </w:r>
      <w:r>
        <w:rPr>
          <w:rFonts w:hint="default"/>
          <w:color w:val="000000" w:themeColor="text1"/>
          <w:lang w:val="en-US" w:eastAsia="zh-CN"/>
          <w14:textFill>
            <w14:solidFill>
              <w14:schemeClr w14:val="tx1"/>
            </w14:solidFill>
          </w14:textFill>
        </w:rPr>
        <w:t>范围内土壤</w:t>
      </w:r>
      <w:r>
        <w:rPr>
          <w:rFonts w:hint="eastAsia"/>
          <w:color w:val="000000" w:themeColor="text1"/>
          <w:lang w:val="en-US" w:eastAsia="zh-CN"/>
          <w14:textFill>
            <w14:solidFill>
              <w14:schemeClr w14:val="tx1"/>
            </w14:solidFill>
          </w14:textFill>
        </w:rPr>
        <w:t>中砷含量</w:t>
      </w:r>
      <w:r>
        <w:rPr>
          <w:rFonts w:hint="default"/>
          <w:color w:val="000000" w:themeColor="text1"/>
          <w:lang w:val="en-US" w:eastAsia="zh-CN"/>
          <w14:textFill>
            <w14:solidFill>
              <w14:schemeClr w14:val="tx1"/>
            </w14:solidFill>
          </w14:textFill>
        </w:rPr>
        <w:t>本底值在</w:t>
      </w:r>
      <w:r>
        <w:rPr>
          <w:rFonts w:hint="eastAsia"/>
          <w:color w:val="000000" w:themeColor="text1"/>
          <w:lang w:val="en-US" w:eastAsia="zh-CN"/>
          <w14:textFill>
            <w14:solidFill>
              <w14:schemeClr w14:val="tx1"/>
            </w14:solidFill>
          </w14:textFill>
        </w:rPr>
        <w:t>6.33~9.66</w:t>
      </w:r>
      <w:r>
        <w:rPr>
          <w:rFonts w:hint="default"/>
          <w:color w:val="000000" w:themeColor="text1"/>
          <w:lang w:val="en-US" w:eastAsia="zh-CN"/>
          <w14:textFill>
            <w14:solidFill>
              <w14:schemeClr w14:val="tx1"/>
            </w14:solidFill>
          </w14:textFill>
        </w:rPr>
        <w:t>mg/kg，</w:t>
      </w:r>
      <w:r>
        <w:rPr>
          <w:rFonts w:hint="eastAsia"/>
          <w:color w:val="000000" w:themeColor="text1"/>
          <w:lang w:val="en-US" w:eastAsia="zh-CN"/>
          <w14:textFill>
            <w14:solidFill>
              <w14:schemeClr w14:val="tx1"/>
            </w14:solidFill>
          </w14:textFill>
        </w:rPr>
        <w:t>尾矿中的砷</w:t>
      </w:r>
      <w:r>
        <w:rPr>
          <w:rFonts w:hint="default"/>
          <w:color w:val="000000" w:themeColor="text1"/>
          <w:lang w:val="en-US" w:eastAsia="zh-CN"/>
          <w14:textFill>
            <w14:solidFill>
              <w14:schemeClr w14:val="tx1"/>
            </w14:solidFill>
          </w14:textFill>
        </w:rPr>
        <w:t>含量</w:t>
      </w:r>
      <w:r>
        <w:rPr>
          <w:rFonts w:hint="eastAsia"/>
          <w:color w:val="000000" w:themeColor="text1"/>
          <w:lang w:val="en-US" w:eastAsia="zh-CN"/>
          <w14:textFill>
            <w14:solidFill>
              <w14:schemeClr w14:val="tx1"/>
            </w14:solidFill>
          </w14:textFill>
        </w:rPr>
        <w:t>仅0.2</w:t>
      </w:r>
      <w:r>
        <w:rPr>
          <w:rFonts w:hint="default" w:ascii="Times New Roman" w:hAnsi="Times New Roman" w:cs="Times New Roman"/>
          <w:color w:val="000000" w:themeColor="text1"/>
          <w:lang w:val="en-US" w:eastAsia="zh-CN"/>
          <w14:textFill>
            <w14:solidFill>
              <w14:schemeClr w14:val="tx1"/>
            </w14:solidFill>
          </w14:textFill>
        </w:rPr>
        <w:t>μg</w:t>
      </w:r>
      <w:r>
        <w:rPr>
          <w:rFonts w:hint="eastAsia"/>
          <w:color w:val="000000" w:themeColor="text1"/>
          <w:lang w:val="en-US" w:eastAsia="zh-CN"/>
          <w14:textFill>
            <w14:solidFill>
              <w14:schemeClr w14:val="tx1"/>
            </w14:solidFill>
          </w14:textFill>
        </w:rPr>
        <w:t>/kg，远低于</w:t>
      </w:r>
      <w:r>
        <w:rPr>
          <w:rFonts w:hint="default"/>
          <w:color w:val="000000" w:themeColor="text1"/>
          <w:lang w:val="en-US" w:eastAsia="zh-CN"/>
          <w14:textFill>
            <w14:solidFill>
              <w14:schemeClr w14:val="tx1"/>
            </w14:solidFill>
          </w14:textFill>
        </w:rPr>
        <w:t>土壤</w:t>
      </w:r>
      <w:r>
        <w:rPr>
          <w:rFonts w:hint="eastAsia"/>
          <w:color w:val="000000" w:themeColor="text1"/>
          <w:lang w:val="en-US" w:eastAsia="zh-CN"/>
          <w14:textFill>
            <w14:solidFill>
              <w14:schemeClr w14:val="tx1"/>
            </w14:solidFill>
          </w14:textFill>
        </w:rPr>
        <w:t>中砷含量</w:t>
      </w:r>
      <w:r>
        <w:rPr>
          <w:rFonts w:hint="default"/>
          <w:color w:val="000000" w:themeColor="text1"/>
          <w:lang w:val="en-US" w:eastAsia="zh-CN"/>
          <w14:textFill>
            <w14:solidFill>
              <w14:schemeClr w14:val="tx1"/>
            </w14:solidFill>
          </w14:textFill>
        </w:rPr>
        <w:t>本底值</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因此</w:t>
      </w:r>
      <w:r>
        <w:rPr>
          <w:rFonts w:hint="eastAsia"/>
          <w:color w:val="000000" w:themeColor="text1"/>
          <w:lang w:val="en-US" w:eastAsia="zh-CN"/>
          <w14:textFill>
            <w14:solidFill>
              <w14:schemeClr w14:val="tx1"/>
            </w14:solidFill>
          </w14:textFill>
        </w:rPr>
        <w:t>事故状态下</w:t>
      </w:r>
      <w:r>
        <w:rPr>
          <w:rFonts w:hint="default"/>
          <w:color w:val="000000" w:themeColor="text1"/>
          <w:lang w:val="en-US" w:eastAsia="zh-CN"/>
          <w14:textFill>
            <w14:solidFill>
              <w14:schemeClr w14:val="tx1"/>
            </w14:solidFill>
          </w14:textFill>
        </w:rPr>
        <w:t>地表漫流不会对土壤造成</w:t>
      </w:r>
      <w:r>
        <w:rPr>
          <w:rFonts w:hint="eastAsia"/>
          <w:color w:val="000000" w:themeColor="text1"/>
          <w:lang w:val="en-US" w:eastAsia="zh-CN"/>
          <w14:textFill>
            <w14:solidFill>
              <w14:schemeClr w14:val="tx1"/>
            </w14:solidFill>
          </w14:textFill>
        </w:rPr>
        <w:t>砷</w:t>
      </w:r>
      <w:r>
        <w:rPr>
          <w:rFonts w:hint="default"/>
          <w:color w:val="000000" w:themeColor="text1"/>
          <w:lang w:val="en-US" w:eastAsia="zh-CN"/>
          <w14:textFill>
            <w14:solidFill>
              <w14:schemeClr w14:val="tx1"/>
            </w14:solidFill>
          </w14:textFill>
        </w:rPr>
        <w:t>污染。</w:t>
      </w:r>
    </w:p>
    <w:p w14:paraId="71E9A6B6">
      <w:pPr>
        <w:overflowPunct w:val="0"/>
        <w:topLinePunct/>
        <w:ind w:firstLine="480"/>
        <w:rPr>
          <w:rFonts w:hint="eastAsia"/>
          <w:color w:val="000000" w:themeColor="text1"/>
          <w:kern w:val="0"/>
          <w:highlight w:val="none"/>
          <w14:textFill>
            <w14:solidFill>
              <w14:schemeClr w14:val="tx1"/>
            </w14:solidFill>
          </w14:textFill>
        </w:rPr>
      </w:pPr>
      <w:r>
        <w:rPr>
          <w:rFonts w:hint="eastAsia" w:cs="Times New Roman"/>
          <w:color w:val="000000" w:themeColor="text1"/>
          <w:lang w:val="en-US" w:eastAsia="zh-CN"/>
          <w14:textFill>
            <w14:solidFill>
              <w14:schemeClr w14:val="tx1"/>
            </w14:solidFill>
          </w14:textFill>
        </w:rPr>
        <w:t>根据</w:t>
      </w:r>
      <w:r>
        <w:rPr>
          <w:rFonts w:hint="eastAsia" w:ascii="Times New Roman" w:hAnsi="Times New Roman" w:cs="Times New Roman"/>
          <w:color w:val="000000" w:themeColor="text1"/>
          <w:lang w:val="en-US" w:eastAsia="zh-CN"/>
          <w14:textFill>
            <w14:solidFill>
              <w14:schemeClr w14:val="tx1"/>
            </w14:solidFill>
          </w14:textFill>
        </w:rPr>
        <w:t>尾矿库</w:t>
      </w:r>
      <w:r>
        <w:rPr>
          <w:rFonts w:hint="eastAsia" w:ascii="Times New Roman" w:hAnsi="Times New Roman" w:cs="Times New Roman"/>
          <w:color w:val="000000" w:themeColor="text1"/>
          <w14:textFill>
            <w14:solidFill>
              <w14:schemeClr w14:val="tx1"/>
            </w14:solidFill>
          </w14:textFill>
        </w:rPr>
        <w:t>扬尘</w:t>
      </w:r>
      <w:r>
        <w:rPr>
          <w:rFonts w:ascii="Times New Roman" w:hAnsi="Times New Roman" w:cs="Times New Roman"/>
          <w:color w:val="000000" w:themeColor="text1"/>
          <w14:textFill>
            <w14:solidFill>
              <w14:schemeClr w14:val="tx1"/>
            </w14:solidFill>
          </w14:textFill>
        </w:rPr>
        <w:t>通过</w:t>
      </w:r>
      <w:r>
        <w:rPr>
          <w:rFonts w:hint="eastAsia" w:ascii="Times New Roman" w:hAnsi="Times New Roman" w:cs="Times New Roman"/>
          <w:color w:val="000000" w:themeColor="text1"/>
          <w14:textFill>
            <w14:solidFill>
              <w14:schemeClr w14:val="tx1"/>
            </w14:solidFill>
          </w14:textFill>
        </w:rPr>
        <w:t>大气沉降</w:t>
      </w:r>
      <w:r>
        <w:rPr>
          <w:rFonts w:ascii="Times New Roman" w:hAnsi="Times New Roman" w:cs="Times New Roman"/>
          <w:color w:val="000000" w:themeColor="text1"/>
          <w14:textFill>
            <w14:solidFill>
              <w14:schemeClr w14:val="tx1"/>
            </w14:solidFill>
          </w14:textFill>
        </w:rPr>
        <w:t>途径</w:t>
      </w:r>
      <w:r>
        <w:rPr>
          <w:rFonts w:hint="eastAsia" w:ascii="Times New Roman" w:hAnsi="Times New Roman" w:cs="Times New Roman"/>
          <w:color w:val="000000" w:themeColor="text1"/>
          <w14:textFill>
            <w14:solidFill>
              <w14:schemeClr w14:val="tx1"/>
            </w14:solidFill>
          </w14:textFill>
        </w:rPr>
        <w:t>进入</w:t>
      </w:r>
      <w:r>
        <w:rPr>
          <w:rFonts w:ascii="Times New Roman" w:hAnsi="Times New Roman" w:cs="Times New Roman"/>
          <w:color w:val="000000" w:themeColor="text1"/>
          <w14:textFill>
            <w14:solidFill>
              <w14:schemeClr w14:val="tx1"/>
            </w14:solidFill>
          </w14:textFill>
        </w:rPr>
        <w:t>土壤影响预测结果</w:t>
      </w:r>
      <w:r>
        <w:rPr>
          <w:rFonts w:hint="eastAsia" w:cs="Times New Roman"/>
          <w:color w:val="000000" w:themeColor="text1"/>
          <w:lang w:val="en-US" w:eastAsia="zh-CN"/>
          <w14:textFill>
            <w14:solidFill>
              <w14:schemeClr w14:val="tx1"/>
            </w14:solidFill>
          </w14:textFill>
        </w:rPr>
        <w:t>可知</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本项目进入表层土壤的</w:t>
      </w:r>
      <w:r>
        <w:rPr>
          <w:rFonts w:hint="eastAsia" w:ascii="Times New Roman" w:hAnsi="Times New Roman" w:cs="Times New Roman"/>
          <w:color w:val="000000" w:themeColor="text1"/>
          <w:sz w:val="24"/>
          <w:highlight w:val="none"/>
          <w:lang w:eastAsia="zh-CN"/>
          <w14:textFill>
            <w14:solidFill>
              <w14:schemeClr w14:val="tx1"/>
            </w14:solidFill>
          </w14:textFill>
        </w:rPr>
        <w:t>颗粒物</w:t>
      </w:r>
      <w:r>
        <w:rPr>
          <w:rFonts w:hint="eastAsia" w:ascii="Times New Roman" w:hAnsi="Times New Roman" w:cs="Times New Roman"/>
          <w:color w:val="000000" w:themeColor="text1"/>
          <w:sz w:val="24"/>
          <w:highlight w:val="none"/>
          <w:lang w:val="en-US" w:eastAsia="zh-CN"/>
          <w14:textFill>
            <w14:solidFill>
              <w14:schemeClr w14:val="tx1"/>
            </w14:solidFill>
          </w14:textFill>
        </w:rPr>
        <w:t>总体增量较小，到服务期满时（即项目运行19年时），土壤中砷的预测值满足</w:t>
      </w:r>
      <w:r>
        <w:rPr>
          <w:rFonts w:hint="eastAsia" w:ascii="Times New Roman" w:hAnsi="Times New Roman" w:cs="Times New Roman"/>
          <w:color w:val="000000" w:themeColor="text1"/>
          <w:sz w:val="24"/>
          <w:highlight w:val="none"/>
          <w14:textFill>
            <w14:solidFill>
              <w14:schemeClr w14:val="tx1"/>
            </w14:solidFill>
          </w14:textFill>
        </w:rPr>
        <w:t>《土壤环境质量 建设用地土壤污染风险管控标准（试行）》（GB36600-2018）中的第二类筛选值标准</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对区域土壤环境影响可接受。</w:t>
      </w:r>
    </w:p>
    <w:p w14:paraId="48EAAC29">
      <w:pPr>
        <w:overflowPunct w:val="0"/>
        <w:topLinePunct/>
        <w:ind w:firstLine="480"/>
        <w:rPr>
          <w:rFonts w:hint="eastAsia"/>
          <w:color w:val="000000" w:themeColor="text1"/>
          <w:kern w:val="0"/>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尾矿库废水中的砷经过防渗膜裂隙泄漏后持续</w:t>
      </w:r>
      <w:r>
        <w:rPr>
          <w:rFonts w:hint="default" w:ascii="Times New Roman" w:hAnsi="Times New Roman" w:eastAsia="宋体" w:cs="Times New Roman"/>
          <w:color w:val="000000" w:themeColor="text1"/>
          <w:spacing w:val="-3"/>
          <w:sz w:val="24"/>
          <w:szCs w:val="24"/>
          <w14:textFill>
            <w14:solidFill>
              <w14:schemeClr w14:val="tx1"/>
            </w14:solidFill>
          </w14:textFill>
        </w:rPr>
        <w:t>渗入土壤并逐渐向下运移，</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连续泄漏1天后，垂直下渗0.8m；连续泄漏10天后，垂直下渗2.4m；100天后，污染深度为7.5m。</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泄漏发生后1d、10d、</w:t>
      </w:r>
      <w:r>
        <w:rPr>
          <w:rFonts w:hint="eastAsia" w:ascii="Times New Roman" w:cs="Times New Roman"/>
          <w:color w:val="000000" w:themeColor="text1"/>
          <w:sz w:val="24"/>
          <w:szCs w:val="24"/>
          <w:highlight w:val="none"/>
          <w:lang w:val="en-US" w:eastAsia="zh-CN"/>
          <w14:textFill>
            <w14:solidFill>
              <w14:schemeClr w14:val="tx1"/>
            </w14:solidFill>
          </w14:textFill>
        </w:rPr>
        <w:t>100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d</w:t>
      </w:r>
      <w:r>
        <w:rPr>
          <w:rFonts w:hint="eastAsia" w:ascii="Times New Roman" w:cs="Times New Roman"/>
          <w:color w:val="000000" w:themeColor="text1"/>
          <w:sz w:val="24"/>
          <w:szCs w:val="24"/>
          <w:highlight w:val="none"/>
          <w:lang w:val="en-US" w:eastAsia="zh-CN"/>
          <w14:textFill>
            <w14:solidFill>
              <w14:schemeClr w14:val="tx1"/>
            </w14:solidFill>
          </w14:textFill>
        </w:rPr>
        <w:t>砷不断下渗，泄漏点附近土壤中的污染物浓度升高，未出现污染物浓度超标的现象，土壤环境影响可接受。但建设单位仍需严格落实防渗漏污染防治措施，做好防渗，定期监测，一旦发生泄漏，立刻启动应急预案，将土壤污染事故发生的可能性降到最低。</w:t>
      </w:r>
    </w:p>
    <w:p w14:paraId="45338D67">
      <w:pPr>
        <w:pStyle w:val="4"/>
        <w:keepNext/>
        <w:keepLines/>
        <w:spacing w:before="60" w:after="60" w:line="480" w:lineRule="exact"/>
        <w:ind w:left="0" w:firstLineChars="0"/>
        <w:rPr>
          <w:rFonts w:ascii="Times New Roman" w:hAnsi="Times New Roman" w:eastAsia="宋体" w:cs="Times New Roman"/>
          <w:color w:val="000000" w:themeColor="text1"/>
          <w:sz w:val="30"/>
          <w:szCs w:val="32"/>
          <w:highlight w:val="none"/>
          <w:lang w:val="en-US" w:bidi="ar-SA"/>
          <w14:textFill>
            <w14:solidFill>
              <w14:schemeClr w14:val="tx1"/>
            </w14:solidFill>
          </w14:textFill>
        </w:rPr>
      </w:pPr>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9.4.</w:t>
      </w:r>
      <w:r>
        <w:rPr>
          <w:rFonts w:hint="eastAsia" w:cs="Times New Roman"/>
          <w:color w:val="000000" w:themeColor="text1"/>
          <w:sz w:val="30"/>
          <w:szCs w:val="32"/>
          <w:highlight w:val="none"/>
          <w:lang w:val="en-US" w:eastAsia="zh-CN" w:bidi="ar-SA"/>
          <w14:textFill>
            <w14:solidFill>
              <w14:schemeClr w14:val="tx1"/>
            </w14:solidFill>
          </w14:textFill>
        </w:rPr>
        <w:t>7</w:t>
      </w:r>
      <w:r>
        <w:rPr>
          <w:rFonts w:ascii="Times New Roman" w:hAnsi="Times New Roman" w:eastAsia="宋体" w:cs="Times New Roman"/>
          <w:color w:val="000000" w:themeColor="text1"/>
          <w:sz w:val="30"/>
          <w:szCs w:val="32"/>
          <w:highlight w:val="none"/>
          <w:lang w:val="en-US" w:bidi="ar-SA"/>
          <w14:textFill>
            <w14:solidFill>
              <w14:schemeClr w14:val="tx1"/>
            </w14:solidFill>
          </w14:textFill>
        </w:rPr>
        <w:t>环境风险分析结论</w:t>
      </w:r>
      <w:bookmarkEnd w:id="1245"/>
      <w:bookmarkEnd w:id="1246"/>
      <w:bookmarkEnd w:id="1247"/>
      <w:bookmarkEnd w:id="1248"/>
      <w:bookmarkEnd w:id="1249"/>
      <w:bookmarkEnd w:id="1250"/>
      <w:bookmarkEnd w:id="1251"/>
      <w:bookmarkEnd w:id="1252"/>
    </w:p>
    <w:p w14:paraId="2F19B812">
      <w:pPr>
        <w:pStyle w:val="41"/>
        <w:overflowPunct w:val="0"/>
        <w:topLinePunct/>
        <w:spacing w:line="480" w:lineRule="exact"/>
        <w:ind w:firstLine="480"/>
        <w:rPr>
          <w:rFonts w:cs="Times New Roman"/>
          <w:color w:val="000000" w:themeColor="text1"/>
          <w:kern w:val="0"/>
          <w:highlight w:val="none"/>
          <w14:textFill>
            <w14:solidFill>
              <w14:schemeClr w14:val="tx1"/>
            </w14:solidFill>
          </w14:textFill>
        </w:rPr>
      </w:pPr>
      <w:r>
        <w:rPr>
          <w:rFonts w:cs="Times New Roman"/>
          <w:color w:val="000000" w:themeColor="text1"/>
          <w:kern w:val="0"/>
          <w:highlight w:val="none"/>
          <w14:textFill>
            <w14:solidFill>
              <w14:schemeClr w14:val="tx1"/>
            </w14:solidFill>
          </w14:textFill>
        </w:rPr>
        <w:t>在落实本报告书中提出的环境保护措施的前提下，因地制宜地进行环境优化，本项目的环境风险在采取</w:t>
      </w:r>
      <w:r>
        <w:rPr>
          <w:rFonts w:hint="eastAsia" w:cs="Times New Roman"/>
          <w:color w:val="000000" w:themeColor="text1"/>
          <w:kern w:val="0"/>
          <w:highlight w:val="none"/>
          <w14:textFill>
            <w14:solidFill>
              <w14:schemeClr w14:val="tx1"/>
            </w14:solidFill>
          </w14:textFill>
        </w:rPr>
        <w:t>本次评价提出的各项</w:t>
      </w:r>
      <w:r>
        <w:rPr>
          <w:rFonts w:cs="Times New Roman"/>
          <w:color w:val="000000" w:themeColor="text1"/>
          <w:kern w:val="0"/>
          <w:highlight w:val="none"/>
          <w14:textFill>
            <w14:solidFill>
              <w14:schemeClr w14:val="tx1"/>
            </w14:solidFill>
          </w14:textFill>
        </w:rPr>
        <w:t>措施并加强管理及风险防范措施得当的情况下，项目风险是可以接受的。</w:t>
      </w:r>
    </w:p>
    <w:p w14:paraId="1A36F64F">
      <w:pPr>
        <w:pStyle w:val="3"/>
        <w:keepNext/>
        <w:keepLines/>
        <w:spacing w:before="120" w:after="120" w:line="560" w:lineRule="exact"/>
        <w:ind w:left="0" w:right="0" w:firstLine="0" w:firstLineChars="0"/>
        <w:jc w:val="both"/>
        <w:rPr>
          <w:rFonts w:ascii="Times New Roman" w:hAnsi="Times New Roman" w:eastAsia="宋体" w:cs="Times New Roman"/>
          <w:color w:val="000000" w:themeColor="text1"/>
          <w:sz w:val="32"/>
          <w:szCs w:val="32"/>
          <w:highlight w:val="none"/>
          <w:lang w:val="en-US" w:bidi="ar-SA"/>
          <w14:textFill>
            <w14:solidFill>
              <w14:schemeClr w14:val="tx1"/>
            </w14:solidFill>
          </w14:textFill>
        </w:rPr>
      </w:pPr>
      <w:bookmarkStart w:id="1253" w:name="_Toc107413922"/>
      <w:bookmarkStart w:id="1254" w:name="_Toc107414689"/>
      <w:bookmarkStart w:id="1255" w:name="_Toc15254"/>
      <w:r>
        <w:rPr>
          <w:rFonts w:ascii="Times New Roman" w:hAnsi="Times New Roman" w:eastAsia="宋体" w:cs="Times New Roman"/>
          <w:color w:val="000000" w:themeColor="text1"/>
          <w:sz w:val="32"/>
          <w:szCs w:val="32"/>
          <w:highlight w:val="none"/>
          <w:lang w:val="en-US" w:bidi="ar-SA"/>
          <w14:textFill>
            <w14:solidFill>
              <w14:schemeClr w14:val="tx1"/>
            </w14:solidFill>
          </w14:textFill>
        </w:rPr>
        <w:t>9.</w:t>
      </w:r>
      <w:r>
        <w:rPr>
          <w:rFonts w:hint="eastAsia" w:ascii="Times New Roman" w:hAnsi="Times New Roman" w:eastAsia="宋体" w:cs="Times New Roman"/>
          <w:color w:val="000000" w:themeColor="text1"/>
          <w:sz w:val="32"/>
          <w:szCs w:val="32"/>
          <w:highlight w:val="none"/>
          <w:lang w:val="en-US" w:bidi="ar-SA"/>
          <w14:textFill>
            <w14:solidFill>
              <w14:schemeClr w14:val="tx1"/>
            </w14:solidFill>
          </w14:textFill>
        </w:rPr>
        <w:t>5</w:t>
      </w:r>
      <w:bookmarkEnd w:id="1253"/>
      <w:bookmarkEnd w:id="1254"/>
      <w:r>
        <w:rPr>
          <w:rFonts w:hint="eastAsia" w:ascii="Times New Roman" w:hAnsi="Times New Roman" w:eastAsia="宋体" w:cs="Times New Roman"/>
          <w:color w:val="000000" w:themeColor="text1"/>
          <w:sz w:val="32"/>
          <w:szCs w:val="32"/>
          <w:highlight w:val="none"/>
          <w:lang w:val="en-US" w:bidi="ar-SA"/>
          <w14:textFill>
            <w14:solidFill>
              <w14:schemeClr w14:val="tx1"/>
            </w14:solidFill>
          </w14:textFill>
        </w:rPr>
        <w:t>总量控制</w:t>
      </w:r>
      <w:bookmarkEnd w:id="1255"/>
    </w:p>
    <w:p w14:paraId="4D5C636F">
      <w:pPr>
        <w:pStyle w:val="41"/>
        <w:overflowPunct w:val="0"/>
        <w:topLinePunct/>
        <w:spacing w:line="480" w:lineRule="exact"/>
        <w:ind w:firstLine="480"/>
        <w:rPr>
          <w:color w:val="000000" w:themeColor="text1"/>
          <w:highlight w:val="none"/>
          <w14:textFill>
            <w14:solidFill>
              <w14:schemeClr w14:val="tx1"/>
            </w14:solidFill>
          </w14:textFill>
        </w:rPr>
      </w:pPr>
      <w:bookmarkStart w:id="1256" w:name="_Toc107413923"/>
      <w:bookmarkStart w:id="1257" w:name="_Toc107414690"/>
      <w:r>
        <w:rPr>
          <w:rFonts w:hint="eastAsia" w:cs="Times New Roman"/>
          <w:color w:val="000000" w:themeColor="text1"/>
          <w:kern w:val="0"/>
          <w:szCs w:val="21"/>
          <w:highlight w:val="none"/>
          <w:lang w:val="en-US" w:eastAsia="zh-CN"/>
          <w14:textFill>
            <w14:solidFill>
              <w14:schemeClr w14:val="tx1"/>
            </w14:solidFill>
          </w14:textFill>
        </w:rPr>
        <w:t>根据《关于印发新疆维吾尔自治区加强涉重金属行业污染防控工作方案的通知》，铁矿采选不属于重金属行业，本项目原矿石鉴定涉重金属为微量，可不申请重金属总量指标</w:t>
      </w:r>
      <w:r>
        <w:rPr>
          <w:rFonts w:cs="Times New Roman"/>
          <w:color w:val="000000" w:themeColor="text1"/>
          <w:kern w:val="0"/>
          <w:szCs w:val="21"/>
          <w:highlight w:val="none"/>
          <w14:textFill>
            <w14:solidFill>
              <w14:schemeClr w14:val="tx1"/>
            </w14:solidFill>
          </w14:textFill>
        </w:rPr>
        <w:t>。</w:t>
      </w:r>
    </w:p>
    <w:p w14:paraId="73F9934D">
      <w:pPr>
        <w:pStyle w:val="3"/>
        <w:keepNext/>
        <w:keepLines/>
        <w:spacing w:before="120" w:after="120" w:line="560" w:lineRule="exact"/>
        <w:ind w:left="0" w:right="0" w:firstLine="0" w:firstLineChars="0"/>
        <w:jc w:val="both"/>
        <w:rPr>
          <w:rFonts w:ascii="Times New Roman" w:hAnsi="Times New Roman" w:eastAsia="宋体" w:cs="Times New Roman"/>
          <w:color w:val="000000" w:themeColor="text1"/>
          <w:sz w:val="32"/>
          <w:szCs w:val="32"/>
          <w:highlight w:val="none"/>
          <w:lang w:val="en-US" w:eastAsia="zh-TW" w:bidi="ar-SA"/>
          <w14:textFill>
            <w14:solidFill>
              <w14:schemeClr w14:val="tx1"/>
            </w14:solidFill>
          </w14:textFill>
        </w:rPr>
      </w:pPr>
      <w:bookmarkStart w:id="1258" w:name="_Toc10752"/>
      <w:r>
        <w:rPr>
          <w:rFonts w:ascii="Times New Roman" w:hAnsi="Times New Roman" w:eastAsia="宋体" w:cs="Times New Roman"/>
          <w:color w:val="000000" w:themeColor="text1"/>
          <w:sz w:val="32"/>
          <w:szCs w:val="32"/>
          <w:highlight w:val="none"/>
          <w:lang w:val="en-US" w:eastAsia="zh-TW" w:bidi="ar-SA"/>
          <w14:textFill>
            <w14:solidFill>
              <w14:schemeClr w14:val="tx1"/>
            </w14:solidFill>
          </w14:textFill>
        </w:rPr>
        <w:t>9.6公众参与</w:t>
      </w:r>
      <w:bookmarkEnd w:id="1256"/>
      <w:bookmarkEnd w:id="1257"/>
      <w:bookmarkEnd w:id="1258"/>
    </w:p>
    <w:p w14:paraId="218A310C">
      <w:pPr>
        <w:pStyle w:val="41"/>
        <w:overflowPunct w:val="0"/>
        <w:topLinePunct/>
        <w:spacing w:line="480" w:lineRule="exact"/>
        <w:ind w:firstLine="480"/>
        <w:rPr>
          <w:rFonts w:eastAsia="PMingLiU" w:cs="Times New Roman"/>
          <w:color w:val="000000" w:themeColor="text1"/>
          <w:szCs w:val="24"/>
          <w:highlight w:val="none"/>
          <w:lang w:eastAsia="zh-TW"/>
          <w14:textFill>
            <w14:solidFill>
              <w14:schemeClr w14:val="tx1"/>
            </w14:solidFill>
          </w14:textFill>
        </w:rPr>
      </w:pPr>
      <w:r>
        <w:rPr>
          <w:rFonts w:hint="eastAsia"/>
          <w:color w:val="000000" w:themeColor="text1"/>
          <w:highlight w:val="none"/>
          <w:lang w:eastAsia="zh-CN"/>
          <w14:textFill>
            <w14:solidFill>
              <w14:schemeClr w14:val="tx1"/>
            </w14:solidFill>
          </w14:textFill>
        </w:rPr>
        <w:t>哈密市西成矿业有限责任公司</w:t>
      </w:r>
      <w:r>
        <w:rPr>
          <w:rFonts w:cs="Times New Roman"/>
          <w:color w:val="000000" w:themeColor="text1"/>
          <w:szCs w:val="24"/>
          <w:highlight w:val="none"/>
          <w:lang w:eastAsia="zh-TW"/>
          <w14:textFill>
            <w14:solidFill>
              <w14:schemeClr w14:val="tx1"/>
            </w14:solidFill>
          </w14:textFill>
        </w:rPr>
        <w:t>按照《环境影响评价公众参与办法》（生态环境部令第4号）的要求进行了本项目环境影响报告书的公众参与调查</w:t>
      </w:r>
      <w:r>
        <w:rPr>
          <w:rFonts w:hint="eastAsia"/>
          <w:color w:val="000000" w:themeColor="text1"/>
          <w:highlight w:val="none"/>
          <w14:textFill>
            <w14:solidFill>
              <w14:schemeClr w14:val="tx1"/>
            </w14:solidFill>
          </w14:textFill>
        </w:rPr>
        <w:t>。在确定本项目</w:t>
      </w:r>
      <w:r>
        <w:rPr>
          <w:color w:val="000000" w:themeColor="text1"/>
          <w:highlight w:val="none"/>
          <w14:textFill>
            <w14:solidFill>
              <w14:schemeClr w14:val="tx1"/>
            </w14:solidFill>
          </w14:textFill>
        </w:rPr>
        <w:t>环境影响报告书</w:t>
      </w:r>
      <w:r>
        <w:rPr>
          <w:rFonts w:hint="eastAsia"/>
          <w:color w:val="000000" w:themeColor="text1"/>
          <w:highlight w:val="none"/>
          <w14:textFill>
            <w14:solidFill>
              <w14:schemeClr w14:val="tx1"/>
            </w14:solidFill>
          </w14:textFill>
        </w:rPr>
        <w:t>编制单位后，</w:t>
      </w:r>
      <w:r>
        <w:rPr>
          <w:rFonts w:cs="Times New Roman"/>
          <w:color w:val="000000" w:themeColor="text1"/>
          <w:szCs w:val="24"/>
          <w:highlight w:val="none"/>
          <w:lang w:eastAsia="zh-TW"/>
          <w14:textFill>
            <w14:solidFill>
              <w14:schemeClr w14:val="tx1"/>
            </w14:solidFill>
          </w14:textFill>
        </w:rPr>
        <w:t>于202</w:t>
      </w:r>
      <w:r>
        <w:rPr>
          <w:rFonts w:hint="eastAsia" w:cs="Times New Roman"/>
          <w:color w:val="000000" w:themeColor="text1"/>
          <w:szCs w:val="24"/>
          <w:highlight w:val="none"/>
          <w:lang w:val="en-US" w:eastAsia="zh-CN"/>
          <w14:textFill>
            <w14:solidFill>
              <w14:schemeClr w14:val="tx1"/>
            </w14:solidFill>
          </w14:textFill>
        </w:rPr>
        <w:t>3</w:t>
      </w:r>
      <w:r>
        <w:rPr>
          <w:rFonts w:cs="Times New Roman"/>
          <w:color w:val="000000" w:themeColor="text1"/>
          <w:szCs w:val="24"/>
          <w:highlight w:val="none"/>
          <w:lang w:eastAsia="zh-TW"/>
          <w14:textFill>
            <w14:solidFill>
              <w14:schemeClr w14:val="tx1"/>
            </w14:solidFill>
          </w14:textFill>
        </w:rPr>
        <w:t>年</w:t>
      </w:r>
      <w:r>
        <w:rPr>
          <w:rFonts w:hint="eastAsia" w:cs="Times New Roman"/>
          <w:color w:val="000000" w:themeColor="text1"/>
          <w:szCs w:val="24"/>
          <w:highlight w:val="none"/>
          <w:lang w:val="en-US" w:eastAsia="zh-CN"/>
          <w14:textFill>
            <w14:solidFill>
              <w14:schemeClr w14:val="tx1"/>
            </w14:solidFill>
          </w14:textFill>
        </w:rPr>
        <w:t>5</w:t>
      </w:r>
      <w:r>
        <w:rPr>
          <w:rFonts w:cs="Times New Roman"/>
          <w:color w:val="000000" w:themeColor="text1"/>
          <w:szCs w:val="24"/>
          <w:highlight w:val="none"/>
          <w:lang w:eastAsia="zh-TW"/>
          <w14:textFill>
            <w14:solidFill>
              <w14:schemeClr w14:val="tx1"/>
            </w14:solidFill>
          </w14:textFill>
        </w:rPr>
        <w:t>月</w:t>
      </w:r>
      <w:r>
        <w:rPr>
          <w:rFonts w:hint="eastAsia" w:cs="Times New Roman"/>
          <w:color w:val="000000" w:themeColor="text1"/>
          <w:szCs w:val="24"/>
          <w:highlight w:val="none"/>
          <w:lang w:val="en-US" w:eastAsia="zh-CN"/>
          <w14:textFill>
            <w14:solidFill>
              <w14:schemeClr w14:val="tx1"/>
            </w14:solidFill>
          </w14:textFill>
        </w:rPr>
        <w:t>18</w:t>
      </w:r>
      <w:r>
        <w:rPr>
          <w:rFonts w:cs="Times New Roman"/>
          <w:color w:val="000000" w:themeColor="text1"/>
          <w:szCs w:val="24"/>
          <w:highlight w:val="none"/>
          <w:lang w:eastAsia="zh-TW"/>
          <w14:textFill>
            <w14:solidFill>
              <w14:schemeClr w14:val="tx1"/>
            </w14:solidFill>
          </w14:textFill>
        </w:rPr>
        <w:t>日在新疆维吾尔自治区生态环境保护产业协会网站进行了第一次信息公示</w:t>
      </w:r>
      <w:r>
        <w:rPr>
          <w:rFonts w:hint="eastAsia" w:cs="Times New Roman"/>
          <w:color w:val="000000" w:themeColor="text1"/>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在本项目</w:t>
      </w:r>
      <w:r>
        <w:rPr>
          <w:color w:val="000000" w:themeColor="text1"/>
          <w:highlight w:val="none"/>
          <w14:textFill>
            <w14:solidFill>
              <w14:schemeClr w14:val="tx1"/>
            </w14:solidFill>
          </w14:textFill>
        </w:rPr>
        <w:t>环境影响报告书</w:t>
      </w:r>
      <w:r>
        <w:rPr>
          <w:rFonts w:hint="eastAsia"/>
          <w:color w:val="000000" w:themeColor="text1"/>
          <w:highlight w:val="none"/>
          <w14:textFill>
            <w14:solidFill>
              <w14:schemeClr w14:val="tx1"/>
            </w14:solidFill>
          </w14:textFill>
        </w:rPr>
        <w:t>征求意见稿形成后，于</w:t>
      </w:r>
      <w:r>
        <w:rPr>
          <w:rFonts w:hint="eastAsia"/>
          <w:color w:val="000000" w:themeColor="text1"/>
          <w:sz w:val="24"/>
          <w:szCs w:val="24"/>
          <w:lang w:val="en-US" w:eastAsia="zh-CN"/>
          <w14:textFill>
            <w14:solidFill>
              <w14:schemeClr w14:val="tx1"/>
            </w14:solidFill>
          </w14:textFill>
        </w:rPr>
        <w:t>2023年12月11日</w:t>
      </w:r>
      <w:r>
        <w:rPr>
          <w:rFonts w:hint="default"/>
          <w:color w:val="000000" w:themeColor="text1"/>
          <w:sz w:val="24"/>
          <w:szCs w:val="24"/>
          <w:lang w:val="en-US" w:eastAsia="zh-CN"/>
          <w14:textFill>
            <w14:solidFill>
              <w14:schemeClr w14:val="tx1"/>
            </w14:solidFill>
          </w14:textFill>
        </w:rPr>
        <w:t>在</w:t>
      </w:r>
      <w:r>
        <w:rPr>
          <w:rFonts w:hint="eastAsia"/>
          <w:color w:val="000000" w:themeColor="text1"/>
          <w:sz w:val="24"/>
          <w:szCs w:val="24"/>
          <w:lang w:val="en-US" w:eastAsia="zh-CN"/>
          <w14:textFill>
            <w14:solidFill>
              <w14:schemeClr w14:val="tx1"/>
            </w14:solidFill>
          </w14:textFill>
        </w:rPr>
        <w:t>生态环境公示网进行了第二次信息公示</w:t>
      </w:r>
      <w:r>
        <w:rPr>
          <w:rFonts w:hint="eastAsia" w:cs="Times New Roman"/>
          <w:color w:val="000000" w:themeColor="text1"/>
          <w:szCs w:val="24"/>
          <w:highlight w:val="none"/>
          <w14:textFill>
            <w14:solidFill>
              <w14:schemeClr w14:val="tx1"/>
            </w14:solidFill>
          </w14:textFill>
        </w:rPr>
        <w:t>，</w:t>
      </w:r>
      <w:r>
        <w:rPr>
          <w:rFonts w:cs="Times New Roman"/>
          <w:color w:val="000000" w:themeColor="text1"/>
          <w:szCs w:val="24"/>
          <w:highlight w:val="none"/>
          <w:lang w:eastAsia="zh-TW"/>
          <w14:textFill>
            <w14:solidFill>
              <w14:schemeClr w14:val="tx1"/>
            </w14:solidFill>
          </w14:textFill>
        </w:rPr>
        <w:t>公示期为10个工作日，并在公示期间以登报和张贴公告的方式进行同步公开</w:t>
      </w:r>
      <w:r>
        <w:rPr>
          <w:rFonts w:hint="eastAsia" w:cs="Times New Roman"/>
          <w:color w:val="000000" w:themeColor="text1"/>
          <w:szCs w:val="24"/>
          <w:highlight w:val="none"/>
          <w:lang w:eastAsia="zh-TW"/>
          <w14:textFill>
            <w14:solidFill>
              <w14:schemeClr w14:val="tx1"/>
            </w14:solidFill>
          </w14:textFill>
        </w:rPr>
        <w:t>。</w:t>
      </w:r>
      <w:r>
        <w:rPr>
          <w:rFonts w:hint="eastAsia" w:cs="Times New Roman"/>
          <w:color w:val="000000" w:themeColor="text1"/>
          <w:szCs w:val="21"/>
          <w:highlight w:val="none"/>
          <w:lang w:eastAsia="zh-TW"/>
          <w14:textFill>
            <w14:solidFill>
              <w14:schemeClr w14:val="tx1"/>
            </w14:solidFill>
          </w14:textFill>
        </w:rPr>
        <w:t>202</w:t>
      </w:r>
      <w:r>
        <w:rPr>
          <w:rFonts w:hint="eastAsia" w:cs="Times New Roman"/>
          <w:color w:val="000000" w:themeColor="text1"/>
          <w:szCs w:val="21"/>
          <w:highlight w:val="none"/>
          <w:lang w:val="en-US" w:eastAsia="zh-CN"/>
          <w14:textFill>
            <w14:solidFill>
              <w14:schemeClr w14:val="tx1"/>
            </w14:solidFill>
          </w14:textFill>
        </w:rPr>
        <w:t>6</w:t>
      </w:r>
      <w:r>
        <w:rPr>
          <w:rFonts w:hint="eastAsia" w:cs="Times New Roman"/>
          <w:color w:val="000000" w:themeColor="text1"/>
          <w:szCs w:val="21"/>
          <w:highlight w:val="none"/>
          <w:lang w:eastAsia="zh-TW"/>
          <w14:textFill>
            <w14:solidFill>
              <w14:schemeClr w14:val="tx1"/>
            </w14:solidFill>
          </w14:textFill>
        </w:rPr>
        <w:t>年</w:t>
      </w:r>
      <w:r>
        <w:rPr>
          <w:rFonts w:hint="eastAsia" w:cs="Times New Roman"/>
          <w:color w:val="000000" w:themeColor="text1"/>
          <w:szCs w:val="21"/>
          <w:highlight w:val="none"/>
          <w:lang w:val="en-US" w:eastAsia="zh-CN"/>
          <w14:textFill>
            <w14:solidFill>
              <w14:schemeClr w14:val="tx1"/>
            </w14:solidFill>
          </w14:textFill>
        </w:rPr>
        <w:t>5</w:t>
      </w:r>
      <w:r>
        <w:rPr>
          <w:rFonts w:hint="eastAsia" w:cs="Times New Roman"/>
          <w:color w:val="000000" w:themeColor="text1"/>
          <w:szCs w:val="21"/>
          <w:highlight w:val="none"/>
          <w:lang w:eastAsia="zh-TW"/>
          <w14:textFill>
            <w14:solidFill>
              <w14:schemeClr w14:val="tx1"/>
            </w14:solidFill>
          </w14:textFill>
        </w:rPr>
        <w:t>月</w:t>
      </w:r>
      <w:r>
        <w:rPr>
          <w:rFonts w:hint="eastAsia" w:cs="Times New Roman"/>
          <w:color w:val="000000" w:themeColor="text1"/>
          <w:szCs w:val="21"/>
          <w:highlight w:val="none"/>
          <w:lang w:val="en-US" w:eastAsia="zh-CN"/>
          <w14:textFill>
            <w14:solidFill>
              <w14:schemeClr w14:val="tx1"/>
            </w14:solidFill>
          </w14:textFill>
        </w:rPr>
        <w:t>6</w:t>
      </w:r>
      <w:r>
        <w:rPr>
          <w:rFonts w:hint="eastAsia" w:cs="Times New Roman"/>
          <w:color w:val="000000" w:themeColor="text1"/>
          <w:szCs w:val="21"/>
          <w:highlight w:val="none"/>
          <w:lang w:eastAsia="zh-TW"/>
          <w14:textFill>
            <w14:solidFill>
              <w14:schemeClr w14:val="tx1"/>
            </w14:solidFill>
          </w14:textFill>
        </w:rPr>
        <w:t>日</w:t>
      </w:r>
      <w:r>
        <w:rPr>
          <w:rFonts w:hint="eastAsia"/>
          <w:color w:val="000000" w:themeColor="text1"/>
          <w:highlight w:val="none"/>
          <w:lang w:eastAsia="zh-TW"/>
          <w14:textFill>
            <w14:solidFill>
              <w14:schemeClr w14:val="tx1"/>
            </w14:solidFill>
          </w14:textFill>
        </w:rPr>
        <w:t>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生态环境公示网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进行了报批前公示</w:t>
      </w:r>
      <w:r>
        <w:rPr>
          <w:rFonts w:hint="eastAsia"/>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在第一次、第二次、报批前信息公示期间，均未收到公众反馈意见。</w:t>
      </w:r>
    </w:p>
    <w:p w14:paraId="458F771A">
      <w:pPr>
        <w:pStyle w:val="41"/>
        <w:overflowPunct w:val="0"/>
        <w:topLinePunct/>
        <w:spacing w:line="480" w:lineRule="exact"/>
        <w:ind w:firstLine="480"/>
        <w:rPr>
          <w:rFonts w:cs="Times New Roman"/>
          <w:color w:val="000000" w:themeColor="text1"/>
          <w:kern w:val="0"/>
          <w:highlight w:val="none"/>
          <w:lang w:eastAsia="zh-TW"/>
          <w14:textFill>
            <w14:solidFill>
              <w14:schemeClr w14:val="tx1"/>
            </w14:solidFill>
          </w14:textFill>
        </w:rPr>
      </w:pPr>
      <w:r>
        <w:rPr>
          <w:rFonts w:cs="Times New Roman"/>
          <w:color w:val="000000" w:themeColor="text1"/>
          <w:szCs w:val="24"/>
          <w:highlight w:val="none"/>
          <w:lang w:eastAsia="zh-TW"/>
          <w14:textFill>
            <w14:solidFill>
              <w14:schemeClr w14:val="tx1"/>
            </w14:solidFill>
          </w14:textFill>
        </w:rPr>
        <w:t>本项目在公示期间未收到公众通过网络、电话及书信等方式提出的意见。</w:t>
      </w:r>
    </w:p>
    <w:p w14:paraId="34E29CEA">
      <w:pPr>
        <w:pStyle w:val="3"/>
        <w:keepNext/>
        <w:keepLines/>
        <w:spacing w:before="120" w:after="120" w:line="560" w:lineRule="exact"/>
        <w:ind w:left="0" w:right="0" w:firstLine="0" w:firstLineChars="0"/>
        <w:jc w:val="both"/>
        <w:rPr>
          <w:rFonts w:ascii="Times New Roman" w:hAnsi="Times New Roman" w:eastAsia="宋体" w:cs="Times New Roman"/>
          <w:color w:val="000000" w:themeColor="text1"/>
          <w:sz w:val="32"/>
          <w:szCs w:val="32"/>
          <w:highlight w:val="none"/>
          <w:lang w:val="en-US" w:eastAsia="zh-TW" w:bidi="ar-SA"/>
          <w14:textFill>
            <w14:solidFill>
              <w14:schemeClr w14:val="tx1"/>
            </w14:solidFill>
          </w14:textFill>
        </w:rPr>
      </w:pPr>
      <w:bookmarkStart w:id="1259" w:name="_Toc21412"/>
      <w:bookmarkStart w:id="1260" w:name="_Toc14829"/>
      <w:bookmarkStart w:id="1261" w:name="_Toc21279"/>
      <w:bookmarkStart w:id="1262" w:name="_Toc18341"/>
      <w:bookmarkStart w:id="1263" w:name="_Toc12938"/>
      <w:bookmarkStart w:id="1264" w:name="_Toc107413924"/>
      <w:bookmarkStart w:id="1265" w:name="_Toc21963"/>
      <w:bookmarkStart w:id="1266" w:name="_Toc24706"/>
      <w:bookmarkStart w:id="1267" w:name="_Toc361840117"/>
      <w:bookmarkStart w:id="1268" w:name="_Toc26314"/>
      <w:bookmarkStart w:id="1269" w:name="_Toc482784735"/>
      <w:bookmarkStart w:id="1270" w:name="_Toc29976"/>
      <w:bookmarkStart w:id="1271" w:name="_Toc6109"/>
      <w:bookmarkStart w:id="1272" w:name="_Toc1723"/>
      <w:bookmarkStart w:id="1273" w:name="_Toc2218"/>
      <w:bookmarkStart w:id="1274" w:name="_Toc6101"/>
      <w:bookmarkStart w:id="1275" w:name="_Toc6314"/>
      <w:bookmarkStart w:id="1276" w:name="_Toc360205168"/>
      <w:bookmarkStart w:id="1277" w:name="_Toc353"/>
      <w:bookmarkStart w:id="1278" w:name="_Toc22263"/>
      <w:bookmarkStart w:id="1279" w:name="_Toc107414691"/>
      <w:bookmarkStart w:id="1280" w:name="_Toc492457115"/>
      <w:bookmarkStart w:id="1281" w:name="_Toc355715739"/>
      <w:r>
        <w:rPr>
          <w:rFonts w:ascii="Times New Roman" w:hAnsi="Times New Roman" w:eastAsia="宋体" w:cs="Times New Roman"/>
          <w:color w:val="000000" w:themeColor="text1"/>
          <w:sz w:val="32"/>
          <w:szCs w:val="32"/>
          <w:highlight w:val="none"/>
          <w:lang w:val="en-US" w:eastAsia="zh-TW" w:bidi="ar-SA"/>
          <w14:textFill>
            <w14:solidFill>
              <w14:schemeClr w14:val="tx1"/>
            </w14:solidFill>
          </w14:textFill>
        </w:rPr>
        <w:t>9.7总体结论</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1E74F8C1">
      <w:pPr>
        <w:pStyle w:val="41"/>
        <w:overflowPunct w:val="0"/>
        <w:topLinePunct/>
        <w:spacing w:line="480" w:lineRule="exact"/>
        <w:ind w:firstLine="480"/>
        <w:rPr>
          <w:rFonts w:cs="Times New Roman"/>
          <w:color w:val="000000" w:themeColor="text1"/>
          <w:kern w:val="0"/>
          <w:highlight w:val="none"/>
          <w14:textFill>
            <w14:solidFill>
              <w14:schemeClr w14:val="tx1"/>
            </w14:solidFill>
          </w14:textFill>
        </w:rPr>
      </w:pPr>
      <w:r>
        <w:rPr>
          <w:rFonts w:cs="Times New Roman"/>
          <w:color w:val="000000" w:themeColor="text1"/>
          <w:kern w:val="0"/>
          <w:szCs w:val="24"/>
          <w:highlight w:val="none"/>
          <w14:textFill>
            <w14:solidFill>
              <w14:schemeClr w14:val="tx1"/>
            </w14:solidFill>
          </w14:textFill>
        </w:rPr>
        <w:t>根据</w:t>
      </w:r>
      <w:r>
        <w:rPr>
          <w:rFonts w:hint="eastAsia" w:cs="Times New Roman"/>
          <w:color w:val="000000" w:themeColor="text1"/>
          <w:kern w:val="0"/>
          <w:highlight w:val="none"/>
          <w14:textFill>
            <w14:solidFill>
              <w14:schemeClr w14:val="tx1"/>
            </w14:solidFill>
          </w14:textFill>
        </w:rPr>
        <w:t>《产业结构调整指导目录（2024年本）》</w:t>
      </w:r>
      <w:r>
        <w:rPr>
          <w:rFonts w:cs="Times New Roman"/>
          <w:color w:val="000000" w:themeColor="text1"/>
          <w:kern w:val="0"/>
          <w:szCs w:val="24"/>
          <w:highlight w:val="none"/>
          <w14:textFill>
            <w14:solidFill>
              <w14:schemeClr w14:val="tx1"/>
            </w14:solidFill>
          </w14:textFill>
        </w:rPr>
        <w:t>，</w:t>
      </w:r>
      <w:r>
        <w:rPr>
          <w:rFonts w:hint="eastAsia" w:cs="Times New Roman"/>
          <w:color w:val="000000" w:themeColor="text1"/>
          <w:kern w:val="0"/>
          <w:highlight w:val="none"/>
          <w14:textFill>
            <w14:solidFill>
              <w14:schemeClr w14:val="tx1"/>
            </w14:solidFill>
          </w14:textFill>
        </w:rPr>
        <w:t>本项目属于名录中的鼓励类“八、钢铁1．黑色金属矿山开采、选矿及共伴生矿产综合开发利用，黑色金属矿山尾矿充填采矿工艺、技术及装备”，符合国家产业政策。</w:t>
      </w:r>
      <w:r>
        <w:rPr>
          <w:rFonts w:cs="Times New Roman"/>
          <w:color w:val="000000" w:themeColor="text1"/>
          <w:kern w:val="0"/>
          <w:highlight w:val="none"/>
          <w14:textFill>
            <w14:solidFill>
              <w14:schemeClr w14:val="tx1"/>
            </w14:solidFill>
          </w14:textFill>
        </w:rPr>
        <w:t>项目选址与空间布局符合性及污染防治与环境影响符合性，满足</w:t>
      </w:r>
      <w:r>
        <w:rPr>
          <w:rFonts w:hint="default" w:ascii="Times New Roman" w:hAnsi="Times New Roman" w:eastAsia="宋体" w:cs="Times New Roman"/>
          <w:color w:val="000000" w:themeColor="text1"/>
          <w:spacing w:val="0"/>
          <w:w w:val="100"/>
          <w:position w:val="0"/>
          <w:sz w:val="24"/>
          <w:highlight w:val="none"/>
          <w:shd w:val="clear" w:color="auto" w:fill="auto"/>
          <w:lang w:val="en-US" w:eastAsia="zh-CN"/>
          <w14:textFill>
            <w14:solidFill>
              <w14:schemeClr w14:val="tx1"/>
            </w14:solidFill>
          </w14:textFill>
        </w:rPr>
        <w:t>《新疆维吾尔自治区重点行业生态环境准入条件（2024年）》</w:t>
      </w:r>
      <w:r>
        <w:rPr>
          <w:rFonts w:hint="eastAsia" w:cs="Times New Roman"/>
          <w:color w:val="000000" w:themeColor="text1"/>
          <w:spacing w:val="0"/>
          <w:w w:val="100"/>
          <w:position w:val="0"/>
          <w:sz w:val="24"/>
          <w:highlight w:val="none"/>
          <w:shd w:val="clear" w:color="auto" w:fill="auto"/>
          <w:lang w:val="en-US" w:eastAsia="zh-CN"/>
          <w14:textFill>
            <w14:solidFill>
              <w14:schemeClr w14:val="tx1"/>
            </w14:solidFill>
          </w14:textFill>
        </w:rPr>
        <w:t>及生态环境分区管控</w:t>
      </w:r>
      <w:r>
        <w:rPr>
          <w:rFonts w:cs="Times New Roman"/>
          <w:color w:val="000000" w:themeColor="text1"/>
          <w:kern w:val="0"/>
          <w:highlight w:val="none"/>
          <w14:textFill>
            <w14:solidFill>
              <w14:schemeClr w14:val="tx1"/>
            </w14:solidFill>
          </w14:textFill>
        </w:rPr>
        <w:t>的有关要求。</w:t>
      </w:r>
      <w:r>
        <w:rPr>
          <w:rFonts w:cs="Times New Roman"/>
          <w:color w:val="000000" w:themeColor="text1"/>
          <w:kern w:val="0"/>
          <w:szCs w:val="24"/>
          <w:highlight w:val="none"/>
          <w14:textFill>
            <w14:solidFill>
              <w14:schemeClr w14:val="tx1"/>
            </w14:solidFill>
          </w14:textFill>
        </w:rPr>
        <w:t>本项目选矿工艺属于目前国内较成熟应用较广的工艺技术，</w:t>
      </w:r>
      <w:r>
        <w:rPr>
          <w:rFonts w:hint="eastAsia" w:cs="Times New Roman"/>
          <w:color w:val="000000" w:themeColor="text1"/>
          <w:kern w:val="0"/>
          <w:szCs w:val="24"/>
          <w:highlight w:val="none"/>
          <w14:textFill>
            <w14:solidFill>
              <w14:schemeClr w14:val="tx1"/>
            </w14:solidFill>
          </w14:textFill>
        </w:rPr>
        <w:t>尾矿砂</w:t>
      </w:r>
      <w:r>
        <w:rPr>
          <w:rFonts w:cs="Times New Roman"/>
          <w:color w:val="000000" w:themeColor="text1"/>
          <w:kern w:val="0"/>
          <w:szCs w:val="24"/>
          <w:highlight w:val="none"/>
          <w14:textFill>
            <w14:solidFill>
              <w14:schemeClr w14:val="tx1"/>
            </w14:solidFill>
          </w14:textFill>
        </w:rPr>
        <w:t>为第</w:t>
      </w:r>
      <w:r>
        <w:rPr>
          <w:rFonts w:hint="eastAsia" w:cs="Times New Roman"/>
          <w:color w:val="000000" w:themeColor="text1"/>
          <w:kern w:val="0"/>
          <w:szCs w:val="24"/>
          <w:highlight w:val="none"/>
          <w14:textFill>
            <w14:solidFill>
              <w14:schemeClr w14:val="tx1"/>
            </w14:solidFill>
          </w14:textFill>
        </w:rPr>
        <w:t>I</w:t>
      </w:r>
      <w:r>
        <w:rPr>
          <w:rFonts w:cs="Times New Roman"/>
          <w:color w:val="000000" w:themeColor="text1"/>
          <w:kern w:val="0"/>
          <w:szCs w:val="24"/>
          <w:highlight w:val="none"/>
          <w14:textFill>
            <w14:solidFill>
              <w14:schemeClr w14:val="tx1"/>
            </w14:solidFill>
          </w14:textFill>
        </w:rPr>
        <w:t>类一般固体废物，排入尾矿库，工艺路线符合清洁生产的要求，项目建设得到了当地公众的支持。本项目符合国家产业政策和环保政策要求，具有良好的经济效益和社会效益，可满足当地环境保护目标要求，在严格落实本报告提出的环保、节能降耗措施，特别是污染防治和风险防范措施后，从</w:t>
      </w:r>
      <w:r>
        <w:rPr>
          <w:rFonts w:hint="eastAsia" w:cs="Times New Roman"/>
          <w:color w:val="000000" w:themeColor="text1"/>
          <w:kern w:val="0"/>
          <w:szCs w:val="24"/>
          <w:highlight w:val="none"/>
          <w:lang w:val="en-US" w:eastAsia="zh-CN"/>
          <w14:textFill>
            <w14:solidFill>
              <w14:schemeClr w14:val="tx1"/>
            </w14:solidFill>
          </w14:textFill>
        </w:rPr>
        <w:t>生态环境保护</w:t>
      </w:r>
      <w:r>
        <w:rPr>
          <w:rFonts w:cs="Times New Roman"/>
          <w:color w:val="000000" w:themeColor="text1"/>
          <w:kern w:val="0"/>
          <w:szCs w:val="24"/>
          <w:highlight w:val="none"/>
          <w14:textFill>
            <w14:solidFill>
              <w14:schemeClr w14:val="tx1"/>
            </w14:solidFill>
          </w14:textFill>
        </w:rPr>
        <w:t>的角度出发，本项目的建设是可行的。</w:t>
      </w:r>
    </w:p>
    <w:p w14:paraId="09177701">
      <w:pPr>
        <w:pStyle w:val="3"/>
        <w:keepNext/>
        <w:keepLines/>
        <w:spacing w:before="120" w:after="120" w:line="560" w:lineRule="exact"/>
        <w:ind w:left="0" w:right="0" w:firstLine="0" w:firstLineChars="0"/>
        <w:jc w:val="both"/>
        <w:rPr>
          <w:rFonts w:ascii="Times New Roman" w:hAnsi="Times New Roman" w:eastAsia="宋体" w:cs="Times New Roman"/>
          <w:color w:val="000000" w:themeColor="text1"/>
          <w:sz w:val="32"/>
          <w:szCs w:val="32"/>
          <w:highlight w:val="none"/>
          <w:lang w:val="en-US" w:eastAsia="zh-TW" w:bidi="ar-SA"/>
          <w14:textFill>
            <w14:solidFill>
              <w14:schemeClr w14:val="tx1"/>
            </w14:solidFill>
          </w14:textFill>
        </w:rPr>
      </w:pPr>
      <w:bookmarkStart w:id="1282" w:name="_Toc18295"/>
      <w:bookmarkStart w:id="1283" w:name="_Toc13147"/>
      <w:bookmarkStart w:id="1284" w:name="_Toc16527"/>
      <w:bookmarkStart w:id="1285" w:name="_Toc9825"/>
      <w:bookmarkStart w:id="1286" w:name="_Toc20840"/>
      <w:bookmarkStart w:id="1287" w:name="_Toc6306"/>
      <w:bookmarkStart w:id="1288" w:name="_Toc271"/>
      <w:bookmarkStart w:id="1289" w:name="_Toc14092"/>
      <w:bookmarkStart w:id="1290" w:name="_Toc13052"/>
      <w:bookmarkStart w:id="1291" w:name="_Toc21537"/>
      <w:bookmarkStart w:id="1292" w:name="_Toc107414692"/>
      <w:bookmarkStart w:id="1293" w:name="_Toc482784736"/>
      <w:bookmarkStart w:id="1294" w:name="_Toc107413925"/>
      <w:bookmarkStart w:id="1295" w:name="_Toc1518"/>
      <w:bookmarkStart w:id="1296" w:name="_Toc492457116"/>
      <w:bookmarkStart w:id="1297" w:name="_Toc518"/>
      <w:bookmarkStart w:id="1298" w:name="_Toc5124"/>
      <w:bookmarkStart w:id="1299" w:name="_Toc16067"/>
      <w:bookmarkStart w:id="1300" w:name="_Toc16762"/>
      <w:bookmarkStart w:id="1301" w:name="_Toc14571"/>
      <w:r>
        <w:rPr>
          <w:rFonts w:ascii="Times New Roman" w:hAnsi="Times New Roman" w:eastAsia="宋体" w:cs="Times New Roman"/>
          <w:color w:val="000000" w:themeColor="text1"/>
          <w:sz w:val="32"/>
          <w:szCs w:val="32"/>
          <w:highlight w:val="none"/>
          <w:lang w:val="en-US" w:eastAsia="zh-TW" w:bidi="ar-SA"/>
          <w14:textFill>
            <w14:solidFill>
              <w14:schemeClr w14:val="tx1"/>
            </w14:solidFill>
          </w14:textFill>
        </w:rPr>
        <w:t>9.8</w:t>
      </w:r>
      <w:r>
        <w:rPr>
          <w:rFonts w:hint="eastAsia" w:cs="Times New Roman"/>
          <w:color w:val="000000" w:themeColor="text1"/>
          <w:sz w:val="32"/>
          <w:szCs w:val="32"/>
          <w:highlight w:val="none"/>
          <w:lang w:val="en-US" w:eastAsia="zh-CN" w:bidi="ar-SA"/>
          <w14:textFill>
            <w14:solidFill>
              <w14:schemeClr w14:val="tx1"/>
            </w14:solidFill>
          </w14:textFill>
        </w:rPr>
        <w:t>要求与</w:t>
      </w:r>
      <w:r>
        <w:rPr>
          <w:rFonts w:ascii="Times New Roman" w:hAnsi="Times New Roman" w:eastAsia="宋体" w:cs="Times New Roman"/>
          <w:color w:val="000000" w:themeColor="text1"/>
          <w:sz w:val="32"/>
          <w:szCs w:val="32"/>
          <w:highlight w:val="none"/>
          <w:lang w:val="en-US" w:eastAsia="zh-TW" w:bidi="ar-SA"/>
          <w14:textFill>
            <w14:solidFill>
              <w14:schemeClr w14:val="tx1"/>
            </w14:solidFill>
          </w14:textFill>
        </w:rPr>
        <w:t>建议</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1CD7F345">
      <w:pPr>
        <w:pStyle w:val="41"/>
        <w:overflowPunct w:val="0"/>
        <w:topLinePunct/>
        <w:spacing w:line="480" w:lineRule="exact"/>
        <w:ind w:firstLine="480"/>
        <w:rPr>
          <w:rFonts w:hint="eastAsia" w:eastAsia="宋体" w:cs="Times New Roman"/>
          <w:color w:val="000000" w:themeColor="text1"/>
          <w:kern w:val="0"/>
          <w:highlight w:val="none"/>
          <w:lang w:eastAsia="zh-CN"/>
          <w14:textFill>
            <w14:solidFill>
              <w14:schemeClr w14:val="tx1"/>
            </w14:solidFill>
          </w14:textFill>
        </w:rPr>
      </w:pPr>
      <w:r>
        <w:rPr>
          <w:rFonts w:hint="eastAsia" w:cs="Times New Roman"/>
          <w:color w:val="000000" w:themeColor="text1"/>
          <w:kern w:val="0"/>
          <w:highlight w:val="none"/>
          <w14:textFill>
            <w14:solidFill>
              <w14:schemeClr w14:val="tx1"/>
            </w14:solidFill>
          </w14:textFill>
        </w:rPr>
        <w:t>（</w:t>
      </w:r>
      <w:r>
        <w:rPr>
          <w:rFonts w:cs="Times New Roman"/>
          <w:color w:val="000000" w:themeColor="text1"/>
          <w:kern w:val="0"/>
          <w:highlight w:val="none"/>
          <w14:textFill>
            <w14:solidFill>
              <w14:schemeClr w14:val="tx1"/>
            </w14:solidFill>
          </w14:textFill>
        </w:rPr>
        <w:t>1）企业应加强环保设施的日常管理、维护，建立健全环保设施的运行管理制度、定期检查制度、设备维护和检修制度，确保环保设施高效运行，尽量减少和避免事故排放情况发生</w:t>
      </w:r>
      <w:r>
        <w:rPr>
          <w:rFonts w:hint="eastAsia" w:cs="Times New Roman"/>
          <w:color w:val="000000" w:themeColor="text1"/>
          <w:kern w:val="0"/>
          <w:highlight w:val="none"/>
          <w:lang w:eastAsia="zh-CN"/>
          <w14:textFill>
            <w14:solidFill>
              <w14:schemeClr w14:val="tx1"/>
            </w14:solidFill>
          </w14:textFill>
        </w:rPr>
        <w:t>；</w:t>
      </w:r>
    </w:p>
    <w:p w14:paraId="57CBC2CD">
      <w:pPr>
        <w:pStyle w:val="41"/>
        <w:overflowPunct w:val="0"/>
        <w:topLinePunct/>
        <w:spacing w:line="480" w:lineRule="exact"/>
        <w:ind w:firstLine="480"/>
        <w:rPr>
          <w:rFonts w:hint="eastAsia" w:eastAsia="宋体" w:cs="Times New Roman"/>
          <w:color w:val="000000" w:themeColor="text1"/>
          <w:kern w:val="0"/>
          <w:highlight w:val="none"/>
          <w:lang w:eastAsia="zh-CN"/>
          <w14:textFill>
            <w14:solidFill>
              <w14:schemeClr w14:val="tx1"/>
            </w14:solidFill>
          </w14:textFill>
        </w:rPr>
      </w:pPr>
      <w:r>
        <w:rPr>
          <w:rFonts w:cs="Times New Roman"/>
          <w:color w:val="000000" w:themeColor="text1"/>
          <w:kern w:val="0"/>
          <w:highlight w:val="none"/>
          <w14:textFill>
            <w14:solidFill>
              <w14:schemeClr w14:val="tx1"/>
            </w14:solidFill>
          </w14:textFill>
        </w:rPr>
        <w:t>（</w:t>
      </w:r>
      <w:r>
        <w:rPr>
          <w:rFonts w:hint="eastAsia" w:cs="Times New Roman"/>
          <w:color w:val="000000" w:themeColor="text1"/>
          <w:kern w:val="0"/>
          <w:highlight w:val="none"/>
          <w:lang w:val="en-US" w:eastAsia="zh-CN"/>
          <w14:textFill>
            <w14:solidFill>
              <w14:schemeClr w14:val="tx1"/>
            </w14:solidFill>
          </w14:textFill>
        </w:rPr>
        <w:t>2</w:t>
      </w:r>
      <w:r>
        <w:rPr>
          <w:rFonts w:cs="Times New Roman"/>
          <w:color w:val="000000" w:themeColor="text1"/>
          <w:kern w:val="0"/>
          <w:highlight w:val="none"/>
          <w14:textFill>
            <w14:solidFill>
              <w14:schemeClr w14:val="tx1"/>
            </w14:solidFill>
          </w14:textFill>
        </w:rPr>
        <w:t>）公司应当搞好日常环境监督管理，使</w:t>
      </w:r>
      <w:r>
        <w:rPr>
          <w:rFonts w:hint="eastAsia" w:cs="Times New Roman"/>
          <w:color w:val="000000" w:themeColor="text1"/>
          <w:kern w:val="0"/>
          <w:highlight w:val="none"/>
          <w:lang w:eastAsia="zh-CN"/>
          <w14:textFill>
            <w14:solidFill>
              <w14:schemeClr w14:val="tx1"/>
            </w14:solidFill>
          </w14:textFill>
        </w:rPr>
        <w:t>环境治理</w:t>
      </w:r>
      <w:r>
        <w:rPr>
          <w:rFonts w:cs="Times New Roman"/>
          <w:color w:val="000000" w:themeColor="text1"/>
          <w:kern w:val="0"/>
          <w:highlight w:val="none"/>
          <w14:textFill>
            <w14:solidFill>
              <w14:schemeClr w14:val="tx1"/>
            </w14:solidFill>
          </w14:textFill>
        </w:rPr>
        <w:t>设施长期正常运行，</w:t>
      </w:r>
      <w:r>
        <w:rPr>
          <w:rFonts w:hint="eastAsia" w:cs="Times New Roman"/>
          <w:color w:val="000000" w:themeColor="text1"/>
          <w:kern w:val="0"/>
          <w:highlight w:val="none"/>
          <w:lang w:eastAsia="zh-CN"/>
          <w14:textFill>
            <w14:solidFill>
              <w14:schemeClr w14:val="tx1"/>
            </w14:solidFill>
          </w14:textFill>
        </w:rPr>
        <w:t>防止</w:t>
      </w:r>
      <w:r>
        <w:rPr>
          <w:rFonts w:cs="Times New Roman"/>
          <w:color w:val="000000" w:themeColor="text1"/>
          <w:kern w:val="0"/>
          <w:highlight w:val="none"/>
          <w14:textFill>
            <w14:solidFill>
              <w14:schemeClr w14:val="tx1"/>
            </w14:solidFill>
          </w14:textFill>
        </w:rPr>
        <w:t>各类污染物非正常排放，确保各项污染物达标排放。规范各排污口管理、按环保部门要求设置相应标准等</w:t>
      </w:r>
      <w:r>
        <w:rPr>
          <w:rFonts w:hint="eastAsia" w:cs="Times New Roman"/>
          <w:color w:val="000000" w:themeColor="text1"/>
          <w:kern w:val="0"/>
          <w:highlight w:val="none"/>
          <w:lang w:eastAsia="zh-CN"/>
          <w14:textFill>
            <w14:solidFill>
              <w14:schemeClr w14:val="tx1"/>
            </w14:solidFill>
          </w14:textFill>
        </w:rPr>
        <w:t>；</w:t>
      </w:r>
    </w:p>
    <w:p w14:paraId="6216BA7C">
      <w:pPr>
        <w:pStyle w:val="41"/>
        <w:overflowPunct w:val="0"/>
        <w:topLinePunct/>
        <w:spacing w:line="480" w:lineRule="exact"/>
        <w:ind w:firstLine="480"/>
        <w:rPr>
          <w:rFonts w:hint="eastAsia" w:eastAsia="宋体" w:cs="Times New Roman"/>
          <w:color w:val="000000" w:themeColor="text1"/>
          <w:kern w:val="0"/>
          <w:highlight w:val="none"/>
          <w:lang w:eastAsia="zh-CN"/>
          <w14:textFill>
            <w14:solidFill>
              <w14:schemeClr w14:val="tx1"/>
            </w14:solidFill>
          </w14:textFill>
        </w:rPr>
      </w:pPr>
      <w:r>
        <w:rPr>
          <w:rFonts w:hint="eastAsia" w:cs="Times New Roman"/>
          <w:color w:val="000000" w:themeColor="text1"/>
          <w:kern w:val="0"/>
          <w:highlight w:val="none"/>
          <w14:textFill>
            <w14:solidFill>
              <w14:schemeClr w14:val="tx1"/>
            </w14:solidFill>
          </w14:textFill>
        </w:rPr>
        <w:t>（</w:t>
      </w:r>
      <w:r>
        <w:rPr>
          <w:rFonts w:hint="eastAsia" w:cs="Times New Roman"/>
          <w:color w:val="000000" w:themeColor="text1"/>
          <w:kern w:val="0"/>
          <w:highlight w:val="none"/>
          <w:lang w:val="en-US" w:eastAsia="zh-CN"/>
          <w14:textFill>
            <w14:solidFill>
              <w14:schemeClr w14:val="tx1"/>
            </w14:solidFill>
          </w14:textFill>
        </w:rPr>
        <w:t>3</w:t>
      </w:r>
      <w:r>
        <w:rPr>
          <w:rFonts w:hint="eastAsia" w:cs="Times New Roman"/>
          <w:color w:val="000000" w:themeColor="text1"/>
          <w:kern w:val="0"/>
          <w:highlight w:val="none"/>
          <w14:textFill>
            <w14:solidFill>
              <w14:schemeClr w14:val="tx1"/>
            </w14:solidFill>
          </w14:textFill>
        </w:rPr>
        <w:t>）注意风险防范措施，及时修编相应的应急预案，并制定相应的风险防范演练</w:t>
      </w:r>
      <w:r>
        <w:rPr>
          <w:rFonts w:hint="eastAsia" w:cs="Times New Roman"/>
          <w:color w:val="000000" w:themeColor="text1"/>
          <w:kern w:val="0"/>
          <w:highlight w:val="none"/>
          <w:lang w:eastAsia="zh-CN"/>
          <w14:textFill>
            <w14:solidFill>
              <w14:schemeClr w14:val="tx1"/>
            </w14:solidFill>
          </w14:textFill>
        </w:rPr>
        <w:t>；</w:t>
      </w:r>
    </w:p>
    <w:p w14:paraId="4190C80F">
      <w:pPr>
        <w:pStyle w:val="41"/>
        <w:overflowPunct w:val="0"/>
        <w:topLinePunct/>
        <w:spacing w:line="480" w:lineRule="exact"/>
        <w:ind w:firstLine="480"/>
        <w:rPr>
          <w:rFonts w:cs="Times New Roman"/>
          <w:color w:val="000000" w:themeColor="text1"/>
          <w:kern w:val="0"/>
          <w:highlight w:val="none"/>
          <w14:textFill>
            <w14:solidFill>
              <w14:schemeClr w14:val="tx1"/>
            </w14:solidFill>
          </w14:textFill>
        </w:rPr>
      </w:pPr>
      <w:r>
        <w:rPr>
          <w:rFonts w:hint="eastAsia" w:cs="Times New Roman"/>
          <w:color w:val="000000" w:themeColor="text1"/>
          <w:kern w:val="0"/>
          <w:highlight w:val="none"/>
          <w:lang w:val="en-US" w:eastAsia="zh-CN"/>
          <w14:textFill>
            <w14:solidFill>
              <w14:schemeClr w14:val="tx1"/>
            </w14:solidFill>
          </w14:textFill>
        </w:rPr>
        <w:t>（4）</w:t>
      </w:r>
      <w:r>
        <w:rPr>
          <w:rFonts w:hint="eastAsia" w:cs="Times New Roman"/>
          <w:color w:val="000000" w:themeColor="text1"/>
          <w:kern w:val="0"/>
          <w:highlight w:val="none"/>
          <w14:textFill>
            <w14:solidFill>
              <w14:schemeClr w14:val="tx1"/>
            </w14:solidFill>
          </w14:textFill>
        </w:rPr>
        <w:t>项目必须严格执行“三同时”规定，有关环保设施必须与主体工程同时设计，同时施工，同时使用。</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96F5B88-726D-40D9-A84D-209F1F92D094}"/>
  </w:font>
  <w:font w:name="黑体">
    <w:panose1 w:val="02010609060101010101"/>
    <w:charset w:val="86"/>
    <w:family w:val="auto"/>
    <w:pitch w:val="default"/>
    <w:sig w:usb0="800002BF" w:usb1="38CF7CFA" w:usb2="00000016" w:usb3="00000000" w:csb0="00040001" w:csb1="00000000"/>
    <w:embedRegular r:id="rId2" w:fontKey="{59796ADC-C717-4DD8-B365-9D005FAEE39F}"/>
  </w:font>
  <w:font w:name="Courier New">
    <w:panose1 w:val="02070309020205020404"/>
    <w:charset w:val="01"/>
    <w:family w:val="modern"/>
    <w:pitch w:val="default"/>
    <w:sig w:usb0="E0002AFF" w:usb1="C0007843" w:usb2="00000009" w:usb3="00000000" w:csb0="400001FF" w:csb1="FFFF0000"/>
    <w:embedRegular r:id="rId3" w:fontKey="{BEC909FC-A726-4903-A25A-60299D83982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4" w:fontKey="{7FB08CD1-8EC5-47EE-888E-499FC8803FF5}"/>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5" w:fontKey="{3376C8E1-4FB7-47B6-ABB7-F7255F6D79E7}"/>
  </w:font>
  <w:font w:name="TimesNewRomanPSMT">
    <w:altName w:val="Times New Roman"/>
    <w:panose1 w:val="00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embedRegular r:id="rId6" w:fontKey="{3562F5D5-7105-42AD-B5F7-AEA0B63F0822}"/>
  </w:font>
  <w:font w:name="方正姚体">
    <w:panose1 w:val="02010601030101010101"/>
    <w:charset w:val="86"/>
    <w:family w:val="auto"/>
    <w:pitch w:val="default"/>
    <w:sig w:usb0="00000003" w:usb1="080E0000" w:usb2="00000000" w:usb3="00000000" w:csb0="00040000" w:csb1="00000000"/>
    <w:embedRegular r:id="rId7" w:fontKey="{49D71AE1-1ED7-4C29-854B-3928D53829F3}"/>
  </w:font>
  <w:font w:name="华文新魏">
    <w:panose1 w:val="02010800040101010101"/>
    <w:charset w:val="86"/>
    <w:family w:val="auto"/>
    <w:pitch w:val="default"/>
    <w:sig w:usb0="00000001" w:usb1="080F0000" w:usb2="00000000" w:usb3="00000000" w:csb0="00040000" w:csb1="00000000"/>
    <w:embedRegular r:id="rId8" w:fontKey="{0E9A761B-2EC4-452F-B612-7E5A23565DC2}"/>
  </w:font>
  <w:font w:name="隶书">
    <w:panose1 w:val="02010509060101010101"/>
    <w:charset w:val="86"/>
    <w:family w:val="modern"/>
    <w:pitch w:val="default"/>
    <w:sig w:usb0="00000001" w:usb1="080E0000" w:usb2="00000000" w:usb3="00000000" w:csb0="00040000" w:csb1="00000000"/>
    <w:embedRegular r:id="rId9" w:fontKey="{724117DD-B3BF-4174-BB8C-7F7CC27F9535}"/>
  </w:font>
  <w:font w:name="楷体">
    <w:panose1 w:val="02010609060101010101"/>
    <w:charset w:val="86"/>
    <w:family w:val="auto"/>
    <w:pitch w:val="default"/>
    <w:sig w:usb0="800002BF" w:usb1="38CF7CFA" w:usb2="00000016" w:usb3="00000000" w:csb0="00040001" w:csb1="00000000"/>
    <w:embedRegular r:id="rId10" w:fontKey="{F275B7DD-33BB-4529-A764-AFEFB5FE3ED1}"/>
  </w:font>
  <w:font w:name="等线">
    <w:panose1 w:val="02010600030101010101"/>
    <w:charset w:val="86"/>
    <w:family w:val="auto"/>
    <w:pitch w:val="default"/>
    <w:sig w:usb0="A00002BF" w:usb1="38CF7CFA" w:usb2="00000016" w:usb3="00000000" w:csb0="0004000F" w:csb1="00000000"/>
    <w:embedRegular r:id="rId11" w:fontKey="{889A5344-CBE3-4BB3-9D07-3716BD6C9FB4}"/>
  </w:font>
  <w:font w:name="Wingdings 2">
    <w:panose1 w:val="05020102010507070707"/>
    <w:charset w:val="02"/>
    <w:family w:val="roman"/>
    <w:pitch w:val="default"/>
    <w:sig w:usb0="00000000" w:usb1="00000000" w:usb2="00000000" w:usb3="00000000" w:csb0="80000000" w:csb1="00000000"/>
    <w:embedRegular r:id="rId12" w:fontKey="{34CAEC9D-7AAD-4040-8B2A-7F7B73EEEFBD}"/>
  </w:font>
  <w:font w:name="Segoe UI Symbol">
    <w:panose1 w:val="020B0502040204020203"/>
    <w:charset w:val="00"/>
    <w:family w:val="swiss"/>
    <w:pitch w:val="default"/>
    <w:sig w:usb0="8000006F" w:usb1="1200FBEF" w:usb2="0064C000" w:usb3="00000002" w:csb0="00000001" w:csb1="40000000"/>
    <w:embedRegular r:id="rId13" w:fontKey="{B94C2FC3-6334-4068-AF5C-E8B8452A84F0}"/>
  </w:font>
  <w:font w:name="Cambria Math">
    <w:panose1 w:val="02040503050406030204"/>
    <w:charset w:val="00"/>
    <w:family w:val="roman"/>
    <w:pitch w:val="default"/>
    <w:sig w:usb0="E00002FF" w:usb1="420024FF" w:usb2="00000000" w:usb3="00000000" w:csb0="2000019F" w:csb1="00000000"/>
    <w:embedRegular r:id="rId14" w:fontKey="{604144BE-0C02-4C3D-B392-80AF3D6F7CFA}"/>
  </w:font>
  <w:font w:name="仿宋">
    <w:panose1 w:val="02010609060101010101"/>
    <w:charset w:val="86"/>
    <w:family w:val="swiss"/>
    <w:pitch w:val="default"/>
    <w:sig w:usb0="800002BF" w:usb1="38CF7CFA" w:usb2="00000016" w:usb3="00000000" w:csb0="00040001" w:csb1="00000000"/>
    <w:embedRegular r:id="rId15" w:fontKey="{24400854-E8E8-4BBC-9D6B-C5A2CC2D7908}"/>
  </w:font>
  <w:font w:name="微软雅黑">
    <w:panose1 w:val="020B0503020204020204"/>
    <w:charset w:val="86"/>
    <w:family w:val="swiss"/>
    <w:pitch w:val="default"/>
    <w:sig w:usb0="80000287" w:usb1="280F3C52" w:usb2="00000016" w:usb3="00000000" w:csb0="0004001F" w:csb1="00000000"/>
    <w:embedRegular r:id="rId16" w:fontKey="{3A26C171-9B4E-43EA-8764-A784ADFFD707}"/>
  </w:font>
  <w:font w:name="PMingLiU">
    <w:panose1 w:val="02020500000000000000"/>
    <w:charset w:val="88"/>
    <w:family w:val="auto"/>
    <w:pitch w:val="default"/>
    <w:sig w:usb0="A00002FF" w:usb1="28CFFCFA" w:usb2="00000016" w:usb3="00000000" w:csb0="00100001" w:csb1="00000000"/>
    <w:embedRegular r:id="rId17" w:fontKey="{3F648485-676C-4B1A-9143-49E7C82CEB93}"/>
  </w:font>
  <w:font w:name="Gulim">
    <w:panose1 w:val="020B0600000101010101"/>
    <w:charset w:val="81"/>
    <w:family w:val="auto"/>
    <w:pitch w:val="default"/>
    <w:sig w:usb0="B00002AF" w:usb1="69D77CFB" w:usb2="00000030" w:usb3="00000000" w:csb0="4008009F" w:csb1="DFD70000"/>
  </w:font>
  <w:font w:name="WPSEMBED1">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EEB4D">
    <w:pPr>
      <w:pStyle w:val="18"/>
      <w:widowControl w:val="0"/>
      <w:pBdr>
        <w:top w:val="none" w:color="auto" w:sz="0" w:space="1"/>
        <w:left w:val="none" w:color="auto" w:sz="0" w:space="4"/>
        <w:bottom w:val="none" w:color="auto" w:sz="0" w:space="1"/>
        <w:right w:val="none" w:color="auto" w:sz="0" w:space="4"/>
        <w:between w:val="none" w:color="auto" w:sz="0" w:space="0"/>
      </w:pBdr>
      <w:adjustRightInd w:val="0"/>
      <w:snapToGrid w:val="0"/>
      <w:spacing w:line="480" w:lineRule="exact"/>
      <w:ind w:firstLine="480" w:firstLineChars="200"/>
      <w:jc w:val="left"/>
      <w:rPr>
        <w:rFonts w:hint="eastAsia"/>
        <w:lang w:eastAsia="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C11D5">
    <w:pPr>
      <w:pStyle w:val="18"/>
      <w:pBdr>
        <w:top w:val="single" w:color="auto" w:sz="4" w:space="1"/>
        <w:left w:val="none" w:color="auto" w:sz="0" w:space="4"/>
        <w:bottom w:val="none" w:color="auto" w:sz="0" w:space="1"/>
        <w:right w:val="none" w:color="auto" w:sz="0" w:space="4"/>
      </w:pBdr>
      <w:spacing w:line="400" w:lineRule="exact"/>
      <w:ind w:firstLine="0" w:firstLineChars="0"/>
      <w:jc w:val="distribute"/>
      <w:rPr>
        <w:rFonts w:hint="eastAsia" w:eastAsia="宋体"/>
        <w:sz w:val="21"/>
        <w:szCs w:val="21"/>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365760" cy="254000"/>
              <wp:effectExtent l="0" t="0" r="0" b="0"/>
              <wp:wrapNone/>
              <wp:docPr id="69" name="文本框 9"/>
              <wp:cNvGraphicFramePr/>
              <a:graphic xmlns:a="http://schemas.openxmlformats.org/drawingml/2006/main">
                <a:graphicData uri="http://schemas.microsoft.com/office/word/2010/wordprocessingShape">
                  <wps:wsp>
                    <wps:cNvSpPr txBox="1"/>
                    <wps:spPr>
                      <a:xfrm>
                        <a:off x="0" y="0"/>
                        <a:ext cx="365760" cy="254000"/>
                      </a:xfrm>
                      <a:prstGeom prst="rect">
                        <a:avLst/>
                      </a:prstGeom>
                      <a:noFill/>
                      <a:ln w="6350">
                        <a:noFill/>
                      </a:ln>
                    </wps:spPr>
                    <wps:txbx>
                      <w:txbxContent>
                        <w:p w14:paraId="7A803A11">
                          <w:pPr>
                            <w:pStyle w:val="18"/>
                            <w:spacing w:line="40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379</w:t>
                          </w:r>
                          <w:r>
                            <w:rPr>
                              <w:rFonts w:hint="eastAsia"/>
                              <w:sz w:val="21"/>
                              <w:szCs w:val="21"/>
                            </w:rPr>
                            <w:fldChar w:fldCharType="end"/>
                          </w:r>
                        </w:p>
                      </w:txbxContent>
                    </wps:txbx>
                    <wps:bodyPr lIns="0" tIns="0" rIns="0" bIns="0" upright="1">
                      <a:spAutoFit/>
                    </wps:bodyPr>
                  </wps:wsp>
                </a:graphicData>
              </a:graphic>
            </wp:anchor>
          </w:drawing>
        </mc:Choice>
        <mc:Fallback>
          <w:pict>
            <v:shape id="文本框 9" o:spid="_x0000_s1026" o:spt="202" type="#_x0000_t202" style="position:absolute;left:0pt;margin-top:0pt;height:20pt;width:28.8pt;mso-position-horizontal:center;mso-position-horizontal-relative:margin;z-index:251662336;mso-width-relative:page;mso-height-relative:page;" filled="f" stroked="f" coordsize="21600,21600" o:gfxdata="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Q8g2c0wAAAAMBAAAPAAAAAAAAAAEAIAAAACIAAABkcnMv&#10;ZG93bnJldi54bWxQSwECFAAUAAAACACHTuJAGOrXRc8BAACVAwAADgAAAAAAAAABACAAAAAiAQAA&#10;ZHJzL2Uyb0RvYy54bWxQSwUGAAAAAAYABgBZAQAAYwUAAAAA&#10;">
              <v:fill on="f" focussize="0,0"/>
              <v:stroke on="f" weight="0.5pt"/>
              <v:imagedata o:title=""/>
              <o:lock v:ext="edit" aspectratio="f"/>
              <v:textbox inset="0mm,0mm,0mm,0mm" style="mso-fit-shape-to-text:t;">
                <w:txbxContent>
                  <w:p w14:paraId="7A803A11">
                    <w:pPr>
                      <w:pStyle w:val="18"/>
                      <w:spacing w:line="40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379</w:t>
                    </w:r>
                    <w:r>
                      <w:rPr>
                        <w:rFonts w:hint="eastAsia"/>
                        <w:sz w:val="21"/>
                        <w:szCs w:val="21"/>
                      </w:rPr>
                      <w:fldChar w:fldCharType="end"/>
                    </w:r>
                  </w:p>
                </w:txbxContent>
              </v:textbox>
            </v:shape>
          </w:pict>
        </mc:Fallback>
      </mc:AlternateContent>
    </w:r>
    <w:r>
      <w:rPr>
        <w:b/>
        <w:bCs/>
        <w:sz w:val="21"/>
        <w:szCs w:val="21"/>
      </w:rPr>
      <w:t>TEL：</w:t>
    </w:r>
    <w:r>
      <w:rPr>
        <w:rFonts w:hint="eastAsia"/>
        <w:b/>
        <w:bCs/>
        <w:sz w:val="21"/>
        <w:szCs w:val="21"/>
        <w:lang w:eastAsia="zh-CN"/>
      </w:rPr>
      <w:t>0991-4500196</w:t>
    </w:r>
    <w:r>
      <w:rPr>
        <w:b/>
        <w:bCs/>
        <w:sz w:val="21"/>
        <w:szCs w:val="21"/>
      </w:rPr>
      <w:t xml:space="preserve">                        </w:t>
    </w:r>
    <w:r>
      <w:rPr>
        <w:rFonts w:hint="eastAsia"/>
        <w:b/>
        <w:bCs/>
        <w:sz w:val="21"/>
        <w:szCs w:val="21"/>
      </w:rPr>
      <w:t xml:space="preserve">          </w:t>
    </w:r>
    <w:r>
      <w:rPr>
        <w:rFonts w:hint="eastAsia"/>
        <w:b/>
        <w:bCs/>
        <w:sz w:val="21"/>
        <w:szCs w:val="21"/>
        <w:lang w:eastAsia="zh-CN"/>
      </w:rPr>
      <w:t>新疆绿境天宸环保科技有限公司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CFE41">
    <w:pPr>
      <w:pStyle w:val="18"/>
      <w:pBdr>
        <w:top w:val="single" w:color="auto" w:sz="4" w:space="1"/>
        <w:left w:val="none" w:color="auto" w:sz="0" w:space="4"/>
        <w:bottom w:val="none" w:color="auto" w:sz="0" w:space="1"/>
        <w:right w:val="none" w:color="auto" w:sz="0" w:space="4"/>
      </w:pBdr>
      <w:spacing w:line="400" w:lineRule="exact"/>
      <w:ind w:firstLine="0" w:firstLineChars="0"/>
      <w:jc w:val="distribute"/>
      <w:rPr>
        <w:rFonts w:hint="eastAsia" w:eastAsia="宋体"/>
        <w:lang w:eastAsia="zh-CN"/>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97815" cy="304800"/>
              <wp:effectExtent l="0" t="0" r="0" b="0"/>
              <wp:wrapNone/>
              <wp:docPr id="68" name="文本框 10"/>
              <wp:cNvGraphicFramePr/>
              <a:graphic xmlns:a="http://schemas.openxmlformats.org/drawingml/2006/main">
                <a:graphicData uri="http://schemas.microsoft.com/office/word/2010/wordprocessingShape">
                  <wps:wsp>
                    <wps:cNvSpPr txBox="1"/>
                    <wps:spPr>
                      <a:xfrm>
                        <a:off x="0" y="0"/>
                        <a:ext cx="297815" cy="304800"/>
                      </a:xfrm>
                      <a:prstGeom prst="rect">
                        <a:avLst/>
                      </a:prstGeom>
                      <a:noFill/>
                      <a:ln>
                        <a:noFill/>
                      </a:ln>
                    </wps:spPr>
                    <wps:txbx>
                      <w:txbxContent>
                        <w:p w14:paraId="6F291A8B">
                          <w:pPr>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378</w:t>
                          </w:r>
                          <w:r>
                            <w:rPr>
                              <w:rFonts w:hint="eastAsia"/>
                              <w:sz w:val="21"/>
                              <w:szCs w:val="21"/>
                            </w:rPr>
                            <w:fldChar w:fldCharType="end"/>
                          </w:r>
                        </w:p>
                      </w:txbxContent>
                    </wps:txbx>
                    <wps:bodyPr lIns="0" tIns="0" rIns="0" bIns="0" upright="1">
                      <a:spAutoFit/>
                    </wps:bodyPr>
                  </wps:wsp>
                </a:graphicData>
              </a:graphic>
            </wp:anchor>
          </w:drawing>
        </mc:Choice>
        <mc:Fallback>
          <w:pict>
            <v:shape id="文本框 10" o:spid="_x0000_s1026" o:spt="202" type="#_x0000_t202" style="position:absolute;left:0pt;margin-top:0pt;height:24pt;width:23.45pt;mso-position-horizontal:center;mso-position-horizontal-relative:margin;z-index:251661312;mso-width-relative:page;mso-height-relative:page;" filled="f" stroked="f" coordsize="21600,21600" o:gfxdata="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O8Sja0QAAAAMBAAAPAAAAAAAAAAEAIAAAACIAAABkcnMvZG93bnJldi54&#10;bWxQSwECFAAUAAAACACHTuJAcTLEVsgBAACNAwAADgAAAAAAAAABACAAAAAgAQAAZHJzL2Uyb0Rv&#10;Yy54bWxQSwUGAAAAAAYABgBZAQAAWgUAAAAA&#10;">
              <v:fill on="f" focussize="0,0"/>
              <v:stroke on="f"/>
              <v:imagedata o:title=""/>
              <o:lock v:ext="edit" aspectratio="f"/>
              <v:textbox inset="0mm,0mm,0mm,0mm" style="mso-fit-shape-to-text:t;">
                <w:txbxContent>
                  <w:p w14:paraId="6F291A8B">
                    <w:pPr>
                      <w:keepNext w:val="0"/>
                      <w:keepLines w:val="0"/>
                      <w:pageBreakBefore w:val="0"/>
                      <w:widowControl w:val="0"/>
                      <w:kinsoku/>
                      <w:wordWrap/>
                      <w:overflowPunct/>
                      <w:topLinePunct w:val="0"/>
                      <w:bidi w:val="0"/>
                      <w:adjustRightInd/>
                      <w:snapToGrid w:val="0"/>
                      <w:spacing w:line="360" w:lineRule="exact"/>
                      <w:ind w:firstLine="0" w:firstLineChars="0"/>
                      <w:jc w:val="center"/>
                      <w:textAlignment w:val="auto"/>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378</w:t>
                    </w:r>
                    <w:r>
                      <w:rPr>
                        <w:rFonts w:hint="eastAsia"/>
                        <w:sz w:val="21"/>
                        <w:szCs w:val="21"/>
                      </w:rPr>
                      <w:fldChar w:fldCharType="end"/>
                    </w:r>
                  </w:p>
                </w:txbxContent>
              </v:textbox>
            </v:shape>
          </w:pict>
        </mc:Fallback>
      </mc:AlternateContent>
    </w:r>
    <w:r>
      <w:rPr>
        <w:b/>
        <w:bC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89FCF34">
                          <w:pPr>
                            <w:ind w:firstLine="480"/>
                          </w:pP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CtKq5DOAQAAqQMAAA4AAAAAAAAAAQAgAAAAHgEAAGRycy9l&#10;Mm9Eb2MueG1sUEsFBgAAAAAGAAYAWQEAAF4FAAAAAA==&#10;">
              <v:fill on="f" focussize="0,0"/>
              <v:stroke on="f"/>
              <v:imagedata o:title=""/>
              <o:lock v:ext="edit" aspectratio="f"/>
              <v:textbox inset="0mm,0mm,0mm,0mm" style="mso-fit-shape-to-text:t;">
                <w:txbxContent>
                  <w:p w14:paraId="789FCF34">
                    <w:pPr>
                      <w:ind w:firstLine="480"/>
                    </w:pPr>
                  </w:p>
                </w:txbxContent>
              </v:textbox>
            </v:shape>
          </w:pict>
        </mc:Fallback>
      </mc:AlternateContent>
    </w:r>
    <w:r>
      <w:rPr>
        <w:rFonts w:hint="eastAsia"/>
        <w:b/>
        <w:bCs/>
        <w:sz w:val="21"/>
        <w:szCs w:val="21"/>
        <w:lang w:eastAsia="zh-CN"/>
      </w:rPr>
      <w:t>新疆绿境天宸环保科技有限公司</w:t>
    </w:r>
    <w:r>
      <w:rPr>
        <w:rFonts w:hint="eastAsia"/>
        <w:b/>
        <w:bCs/>
        <w:sz w:val="21"/>
        <w:szCs w:val="21"/>
      </w:rPr>
      <w:t xml:space="preserve">                                  </w:t>
    </w:r>
    <w:r>
      <w:rPr>
        <w:b/>
        <w:bCs/>
        <w:sz w:val="21"/>
        <w:szCs w:val="21"/>
      </w:rPr>
      <w:t>TEL：</w:t>
    </w:r>
    <w:r>
      <w:rPr>
        <w:rFonts w:hint="eastAsia"/>
        <w:b/>
        <w:bCs/>
        <w:sz w:val="21"/>
        <w:szCs w:val="21"/>
        <w:lang w:eastAsia="zh-CN"/>
      </w:rPr>
      <w:t>0991-4500196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0E21E">
    <w:pPr>
      <w:pStyle w:val="18"/>
      <w:spacing w:line="360" w:lineRule="exact"/>
      <w:ind w:firstLine="0" w:firstLineChars="0"/>
      <w:jc w:val="distribute"/>
      <w:rPr>
        <w:rFonts w:hint="eastAsia" w:eastAsia="宋体"/>
        <w:lang w:eastAsia="zh-CN"/>
      </w:rPr>
    </w:pPr>
    <w:r>
      <w:rPr>
        <w:b/>
        <w:bCs/>
        <w:sz w:val="21"/>
        <w:szCs w:val="21"/>
      </w:rPr>
      <mc:AlternateContent>
        <mc:Choice Requires="wps">
          <w:drawing>
            <wp:anchor distT="0" distB="0" distL="114300" distR="114300" simplePos="0" relativeHeight="251663360" behindDoc="0" locked="0" layoutInCell="1" allowOverlap="1">
              <wp:simplePos x="0" y="0"/>
              <wp:positionH relativeFrom="page">
                <wp:posOffset>1143000</wp:posOffset>
              </wp:positionH>
              <wp:positionV relativeFrom="page">
                <wp:posOffset>9867900</wp:posOffset>
              </wp:positionV>
              <wp:extent cx="5257800" cy="0"/>
              <wp:effectExtent l="0" t="4445" r="0" b="5080"/>
              <wp:wrapNone/>
              <wp:docPr id="72" name="直接连接符 3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直接连接符 35" o:spid="_x0000_s1026" o:spt="20" style="position:absolute;left:0pt;margin-left:90pt;margin-top:777pt;height:0pt;width:414pt;mso-position-horizontal-relative:page;mso-position-vertical-relative:page;z-index:251663360;mso-width-relative:margin;mso-height-relative:page;mso-width-percent:1000;" filled="f" stroked="t" coordsize="21600,21600" o:gfxdata="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i0&#10;6/vYAAAADgEAAA8AAAAAAAAAAQAgAAAAIgAAAGRycy9kb3ducmV2LnhtbFBLAQIUABQAAAAIAIdO&#10;4kB82Evp6gEAAMEDAAAOAAAAAAAAAAEAIAAAACcBAABkcnMvZTJvRG9jLnhtbFBLBQYAAAAABgAG&#10;AFkBAACDBQAAAAA=&#10;">
              <v:fill on="f" focussize="0,0"/>
              <v:stroke color="#000000" miterlimit="8" joinstyle="miter"/>
              <v:imagedata o:title=""/>
              <o:lock v:ext="edit" aspectratio="f"/>
            </v:line>
          </w:pict>
        </mc:Fallback>
      </mc:AlternateContent>
    </w:r>
    <w:r>
      <w:rPr>
        <w:rFonts w:hint="eastAsia"/>
        <w:b/>
        <w:bCs/>
        <w:sz w:val="21"/>
        <w:szCs w:val="21"/>
        <w:lang w:eastAsia="zh-CN"/>
      </w:rPr>
      <w:t>新疆绿境天宸环保科技有限公司</w:t>
    </w:r>
    <w:r>
      <w:rPr>
        <w:rFonts w:hint="eastAsia"/>
        <w:b/>
        <w:bCs/>
        <w:sz w:val="21"/>
        <w:szCs w:val="21"/>
      </w:rPr>
      <w:t xml:space="preserve">                             </w:t>
    </w:r>
    <w:r>
      <w:rPr>
        <w:b/>
        <w:bCs/>
        <w:sz w:val="21"/>
        <w:szCs w:val="21"/>
      </w:rPr>
      <w:t>TEL：</w:t>
    </w:r>
    <w:r>
      <w:rPr>
        <w:rFonts w:hint="eastAsia"/>
        <w:b/>
        <w:bCs/>
        <w:sz w:val="21"/>
        <w:szCs w:val="21"/>
        <w:lang w:eastAsia="zh-CN"/>
      </w:rPr>
      <w:t>0991-4500196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F35BC">
    <w:pPr>
      <w:pStyle w:val="18"/>
      <w:spacing w:line="360" w:lineRule="exact"/>
      <w:ind w:firstLine="0" w:firstLineChars="0"/>
      <w:rPr>
        <w:rFonts w:hint="eastAsia" w:eastAsia="宋体"/>
        <w:lang w:eastAsia="zh-CN"/>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285750" cy="2286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285750" cy="228600"/>
                      </a:xfrm>
                      <a:prstGeom prst="rect">
                        <a:avLst/>
                      </a:prstGeom>
                      <a:noFill/>
                      <a:ln w="6350">
                        <a:noFill/>
                      </a:ln>
                    </wps:spPr>
                    <wps:txbx>
                      <w:txbxContent>
                        <w:p w14:paraId="6D9F3A27">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59</w:t>
                          </w:r>
                          <w:r>
                            <w:rPr>
                              <w:rFonts w:hint="eastAsia"/>
                              <w:sz w:val="21"/>
                              <w:szCs w:val="21"/>
                            </w:rPr>
                            <w:fldChar w:fldCharType="end"/>
                          </w:r>
                        </w:p>
                      </w:txbxContent>
                    </wps:txbx>
                    <wps:bodyPr lIns="0" tIns="0" rIns="0" bIns="0" upright="1">
                      <a:spAutoFit/>
                    </wps:bodyPr>
                  </wps:wsp>
                </a:graphicData>
              </a:graphic>
            </wp:anchor>
          </w:drawing>
        </mc:Choice>
        <mc:Fallback>
          <w:pict>
            <v:shape id="文本框 1" o:spid="_x0000_s1026" o:spt="202" type="#_x0000_t202" style="position:absolute;left:0pt;margin-top:0pt;height:18pt;width:22.5pt;mso-position-horizontal:center;mso-position-horizontal-relative:margin;z-index:251675648;mso-width-relative:page;mso-height-relative:page;" filled="f" stroked="f" coordsize="21600,21600" o:gfxdata="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Jf8rdMAAAADAQAADwAAAAAAAAABACAAAAAiAAAAZHJzL2Rv&#10;d25yZXYueG1sUEsBAhQAFAAAAAgAh07iQIL+oErNAQAAlQMAAA4AAAAAAAAAAQAgAAAAIgEAAGRy&#10;cy9lMm9Eb2MueG1sUEsFBgAAAAAGAAYAWQEAAGEFAAAAAA==&#10;">
              <v:fill on="f" focussize="0,0"/>
              <v:stroke on="f" weight="0.5pt"/>
              <v:imagedata o:title=""/>
              <o:lock v:ext="edit" aspectratio="f"/>
              <v:textbox inset="0mm,0mm,0mm,0mm" style="mso-fit-shape-to-text:t;">
                <w:txbxContent>
                  <w:p w14:paraId="6D9F3A27">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59</w:t>
                    </w:r>
                    <w:r>
                      <w:rPr>
                        <w:rFonts w:hint="eastAsia"/>
                        <w:sz w:val="21"/>
                        <w:szCs w:val="21"/>
                      </w:rPr>
                      <w:fldChar w:fldCharType="end"/>
                    </w:r>
                  </w:p>
                </w:txbxContent>
              </v:textbox>
            </v:shape>
          </w:pict>
        </mc:Fallback>
      </mc:AlternateContent>
    </w:r>
    <w:r>
      <w:rPr>
        <w:b/>
        <w:bCs/>
        <w:sz w:val="21"/>
        <w:szCs w:val="21"/>
      </w:rPr>
      <mc:AlternateContent>
        <mc:Choice Requires="wps">
          <w:drawing>
            <wp:anchor distT="0" distB="0" distL="114300" distR="114300" simplePos="0" relativeHeight="251674624" behindDoc="0" locked="0" layoutInCell="1" allowOverlap="1">
              <wp:simplePos x="0" y="0"/>
              <wp:positionH relativeFrom="page">
                <wp:posOffset>1152525</wp:posOffset>
              </wp:positionH>
              <wp:positionV relativeFrom="page">
                <wp:posOffset>9858375</wp:posOffset>
              </wp:positionV>
              <wp:extent cx="5257800" cy="0"/>
              <wp:effectExtent l="0" t="4445" r="0" b="5080"/>
              <wp:wrapNone/>
              <wp:docPr id="21" name="直接连接符 6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直接连接符 65" o:spid="_x0000_s1026" o:spt="20" style="position:absolute;left:0pt;margin-left:90.75pt;margin-top:776.25pt;height:0pt;width:414pt;mso-position-horizontal-relative:page;mso-position-vertical-relative:page;z-index:251674624;mso-width-relative:margin;mso-height-relative:page;mso-width-percent:1000;" filled="f" stroked="t" coordsize="21600,21600" o:gfxdata="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PnTo2QAAAA4BAAAPAAAAAAAAAAEAIAAAACIAAABkcnMvZG93bnJldi54bWxQSwECFAAUAAAACACH&#10;TuJA1cxGKuoBAADBAwAADgAAAAAAAAABACAAAAAoAQAAZHJzL2Uyb0RvYy54bWxQSwUGAAAAAAYA&#10;BgBZAQAAhAUAAAAA&#10;">
              <v:fill on="f" focussize="0,0"/>
              <v:stroke color="#000000" miterlimit="8" joinstyle="miter"/>
              <v:imagedata o:title=""/>
              <o:lock v:ext="edit" aspectratio="f"/>
            </v:line>
          </w:pict>
        </mc:Fallback>
      </mc:AlternateContent>
    </w:r>
    <w:r>
      <w:rPr>
        <w:b/>
        <w:bCs/>
        <w:sz w:val="21"/>
        <w:szCs w:val="21"/>
      </w:rPr>
      <w:t>TEL：</w:t>
    </w:r>
    <w:r>
      <w:rPr>
        <w:rFonts w:hint="eastAsia"/>
        <w:b/>
        <w:bCs/>
        <w:sz w:val="21"/>
        <w:szCs w:val="21"/>
        <w:lang w:eastAsia="zh-CN"/>
      </w:rPr>
      <w:t>0991-4500196</w:t>
    </w:r>
    <w:r>
      <w:rPr>
        <w:rFonts w:hint="eastAsia"/>
        <w:b/>
        <w:bCs/>
        <w:sz w:val="21"/>
        <w:szCs w:val="21"/>
      </w:rPr>
      <w:t xml:space="preserve">                                  </w:t>
    </w:r>
    <w:r>
      <w:rPr>
        <w:rFonts w:hint="eastAsia"/>
        <w:b/>
        <w:bCs/>
        <w:sz w:val="21"/>
        <w:szCs w:val="21"/>
        <w:lang w:eastAsia="zh-CN"/>
      </w:rPr>
      <w:t>新疆绿境天宸环保科技有限公司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89DC4">
    <w:pPr>
      <w:pStyle w:val="18"/>
      <w:spacing w:line="360" w:lineRule="exact"/>
      <w:ind w:firstLine="0" w:firstLineChars="0"/>
      <w:jc w:val="distribute"/>
      <w:rPr>
        <w:rFonts w:hint="eastAsia" w:eastAsia="宋体"/>
        <w:lang w:eastAsia="zh-CN"/>
      </w:rPr>
    </w:pPr>
    <w:r>
      <w:rPr>
        <w:b/>
        <w:bCs/>
        <w:sz w:val="21"/>
        <w:szCs w:val="21"/>
      </w:rPr>
      <mc:AlternateContent>
        <mc:Choice Requires="wps">
          <w:drawing>
            <wp:anchor distT="0" distB="0" distL="114300" distR="114300" simplePos="0" relativeHeight="251676672" behindDoc="0" locked="0" layoutInCell="1" allowOverlap="1">
              <wp:simplePos x="0" y="0"/>
              <wp:positionH relativeFrom="page">
                <wp:posOffset>1143000</wp:posOffset>
              </wp:positionH>
              <wp:positionV relativeFrom="page">
                <wp:posOffset>9867900</wp:posOffset>
              </wp:positionV>
              <wp:extent cx="5257800" cy="0"/>
              <wp:effectExtent l="0" t="4445" r="0" b="5080"/>
              <wp:wrapNone/>
              <wp:docPr id="22" name="直接连接符 3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直接连接符 35" o:spid="_x0000_s1026" o:spt="20" style="position:absolute;left:0pt;margin-left:90pt;margin-top:777pt;height:0pt;width:414pt;mso-position-horizontal-relative:page;mso-position-vertical-relative:page;z-index:251676672;mso-width-relative:margin;mso-height-relative:page;mso-width-percent:1000;" filled="f" stroked="t" coordsize="21600,21600" o:gfxdata="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i0&#10;6/vYAAAADgEAAA8AAAAAAAAAAQAgAAAAIgAAAGRycy9kb3ducmV2LnhtbFBLAQIUABQAAAAIAIdO&#10;4kCoDBdB6gEAAMEDAAAOAAAAAAAAAAEAIAAAACcBAABkcnMvZTJvRG9jLnhtbFBLBQYAAAAABgAG&#10;AFkBAACD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417830" cy="228600"/>
              <wp:effectExtent l="0" t="0" r="0" b="0"/>
              <wp:wrapNone/>
              <wp:docPr id="25" name="文本框 4"/>
              <wp:cNvGraphicFramePr/>
              <a:graphic xmlns:a="http://schemas.openxmlformats.org/drawingml/2006/main">
                <a:graphicData uri="http://schemas.microsoft.com/office/word/2010/wordprocessingShape">
                  <wps:wsp>
                    <wps:cNvSpPr txBox="1"/>
                    <wps:spPr>
                      <a:xfrm>
                        <a:off x="0" y="0"/>
                        <a:ext cx="417830" cy="228600"/>
                      </a:xfrm>
                      <a:prstGeom prst="rect">
                        <a:avLst/>
                      </a:prstGeom>
                      <a:noFill/>
                      <a:ln w="6350">
                        <a:noFill/>
                      </a:ln>
                    </wps:spPr>
                    <wps:txbx>
                      <w:txbxContent>
                        <w:p w14:paraId="5D753FE7">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60</w:t>
                          </w:r>
                          <w:r>
                            <w:rPr>
                              <w:rFonts w:hint="eastAsia"/>
                              <w:sz w:val="21"/>
                              <w:szCs w:val="21"/>
                            </w:rPr>
                            <w:fldChar w:fldCharType="end"/>
                          </w:r>
                        </w:p>
                      </w:txbxContent>
                    </wps:txbx>
                    <wps:bodyPr lIns="0" tIns="0" rIns="0" bIns="0" upright="1">
                      <a:spAutoFit/>
                    </wps:bodyPr>
                  </wps:wsp>
                </a:graphicData>
              </a:graphic>
            </wp:anchor>
          </w:drawing>
        </mc:Choice>
        <mc:Fallback>
          <w:pict>
            <v:shape id="文本框 4" o:spid="_x0000_s1026" o:spt="202" type="#_x0000_t202" style="position:absolute;left:0pt;margin-top:0pt;height:18pt;width:32.9pt;mso-position-horizontal:center;mso-position-horizontal-relative:margin;z-index:251677696;mso-width-relative:page;mso-height-relative:page;" filled="f" stroked="f" coordsize="21600,21600" o:gfxdata="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G83Gp0gAAAAMBAAAPAAAAAAAAAAEAIAAAACIAAABkcnMv&#10;ZG93bnJldi54bWxQSwECFAAUAAAACACHTuJAaANDEtABAACVAwAADgAAAAAAAAABACAAAAAhAQAA&#10;ZHJzL2Uyb0RvYy54bWxQSwUGAAAAAAYABgBZAQAAYwUAAAAA&#10;">
              <v:fill on="f" focussize="0,0"/>
              <v:stroke on="f" weight="0.5pt"/>
              <v:imagedata o:title=""/>
              <o:lock v:ext="edit" aspectratio="f"/>
              <v:textbox inset="0mm,0mm,0mm,0mm" style="mso-fit-shape-to-text:t;">
                <w:txbxContent>
                  <w:p w14:paraId="5D753FE7">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60</w:t>
                    </w:r>
                    <w:r>
                      <w:rPr>
                        <w:rFonts w:hint="eastAsia"/>
                        <w:sz w:val="21"/>
                        <w:szCs w:val="21"/>
                      </w:rPr>
                      <w:fldChar w:fldCharType="end"/>
                    </w:r>
                  </w:p>
                </w:txbxContent>
              </v:textbox>
            </v:shape>
          </w:pict>
        </mc:Fallback>
      </mc:AlternateContent>
    </w:r>
    <w:r>
      <w:rPr>
        <w:rFonts w:hint="eastAsia"/>
        <w:b/>
        <w:bCs/>
        <w:sz w:val="21"/>
        <w:szCs w:val="21"/>
        <w:lang w:eastAsia="zh-CN"/>
      </w:rPr>
      <w:t>新疆绿境天宸环保科技有限公司</w:t>
    </w:r>
    <w:r>
      <w:rPr>
        <w:rFonts w:hint="eastAsia"/>
        <w:b/>
        <w:bCs/>
        <w:sz w:val="21"/>
        <w:szCs w:val="21"/>
      </w:rPr>
      <w:t xml:space="preserve">                             </w:t>
    </w:r>
    <w:r>
      <w:rPr>
        <w:b/>
        <w:bCs/>
        <w:sz w:val="21"/>
        <w:szCs w:val="21"/>
      </w:rPr>
      <w:t>TEL：</w:t>
    </w:r>
    <w:r>
      <w:rPr>
        <w:rFonts w:hint="eastAsia"/>
        <w:b/>
        <w:bCs/>
        <w:sz w:val="21"/>
        <w:szCs w:val="21"/>
        <w:lang w:eastAsia="zh-CN"/>
      </w:rPr>
      <w:t>0991-4500196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D36">
    <w:pPr>
      <w:pStyle w:val="18"/>
      <w:spacing w:line="360" w:lineRule="exact"/>
      <w:ind w:firstLine="0" w:firstLineChars="0"/>
    </w:pPr>
    <w:r>
      <w:rPr>
        <w:sz w:val="21"/>
      </w:rPr>
      <mc:AlternateContent>
        <mc:Choice Requires="wps">
          <w:drawing>
            <wp:anchor distT="0" distB="0" distL="114300" distR="114300" simplePos="0" relativeHeight="251683840" behindDoc="0" locked="0" layoutInCell="1" allowOverlap="1">
              <wp:simplePos x="0" y="0"/>
              <wp:positionH relativeFrom="margin">
                <wp:posOffset>2496185</wp:posOffset>
              </wp:positionH>
              <wp:positionV relativeFrom="paragraph">
                <wp:posOffset>0</wp:posOffset>
              </wp:positionV>
              <wp:extent cx="285750" cy="228600"/>
              <wp:effectExtent l="0" t="0" r="0" b="0"/>
              <wp:wrapNone/>
              <wp:docPr id="79" name="文本框 1"/>
              <wp:cNvGraphicFramePr/>
              <a:graphic xmlns:a="http://schemas.openxmlformats.org/drawingml/2006/main">
                <a:graphicData uri="http://schemas.microsoft.com/office/word/2010/wordprocessingShape">
                  <wps:wsp>
                    <wps:cNvSpPr txBox="1"/>
                    <wps:spPr>
                      <a:xfrm>
                        <a:off x="0" y="0"/>
                        <a:ext cx="285750" cy="228600"/>
                      </a:xfrm>
                      <a:prstGeom prst="rect">
                        <a:avLst/>
                      </a:prstGeom>
                      <a:noFill/>
                      <a:ln w="6350">
                        <a:noFill/>
                      </a:ln>
                    </wps:spPr>
                    <wps:txbx>
                      <w:txbxContent>
                        <w:p w14:paraId="5AE2AA14">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59</w:t>
                          </w:r>
                          <w:r>
                            <w:rPr>
                              <w:rFonts w:hint="eastAsia"/>
                              <w:sz w:val="21"/>
                              <w:szCs w:val="21"/>
                            </w:rPr>
                            <w:fldChar w:fldCharType="end"/>
                          </w:r>
                        </w:p>
                      </w:txbxContent>
                    </wps:txbx>
                    <wps:bodyPr lIns="0" tIns="0" rIns="0" bIns="0" upright="1">
                      <a:spAutoFit/>
                    </wps:bodyPr>
                  </wps:wsp>
                </a:graphicData>
              </a:graphic>
            </wp:anchor>
          </w:drawing>
        </mc:Choice>
        <mc:Fallback>
          <w:pict>
            <v:shape id="文本框 1" o:spid="_x0000_s1026" o:spt="202" type="#_x0000_t202" style="position:absolute;left:0pt;margin-left:196.55pt;margin-top:0pt;height:18pt;width:22.5pt;mso-position-horizontal-relative:margin;z-index:251683840;mso-width-relative:page;mso-height-relative:page;" filled="f" stroked="f" coordsize="21600,21600" o:gfxdata="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ICpwtUAAAAHAQAADwAAAAAAAAABACAAAAAiAAAAZHJz&#10;L2Rvd25yZXYueG1sUEsBAhQAFAAAAAgAh07iQHpOhfPOAQAAlQMAAA4AAAAAAAAAAQAgAAAAJAEA&#10;AGRycy9lMm9Eb2MueG1sUEsFBgAAAAAGAAYAWQEAAGQFAAAAAA==&#10;">
              <v:fill on="f" focussize="0,0"/>
              <v:stroke on="f" weight="0.5pt"/>
              <v:imagedata o:title=""/>
              <o:lock v:ext="edit" aspectratio="f"/>
              <v:textbox inset="0mm,0mm,0mm,0mm" style="mso-fit-shape-to-text:t;">
                <w:txbxContent>
                  <w:p w14:paraId="5AE2AA14">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59</w:t>
                    </w:r>
                    <w:r>
                      <w:rPr>
                        <w:rFonts w:hint="eastAsia"/>
                        <w:sz w:val="21"/>
                        <w:szCs w:val="21"/>
                      </w:rPr>
                      <w:fldChar w:fldCharType="end"/>
                    </w:r>
                  </w:p>
                </w:txbxContent>
              </v:textbox>
            </v:shape>
          </w:pict>
        </mc:Fallback>
      </mc:AlternateContent>
    </w:r>
    <w:r>
      <w:rPr>
        <w:b/>
        <w:bCs/>
        <w:sz w:val="21"/>
        <w:szCs w:val="21"/>
      </w:rPr>
      <mc:AlternateContent>
        <mc:Choice Requires="wps">
          <w:drawing>
            <wp:anchor distT="0" distB="0" distL="114300" distR="114300" simplePos="0" relativeHeight="251682816" behindDoc="0" locked="0" layoutInCell="1" allowOverlap="1">
              <wp:simplePos x="0" y="0"/>
              <wp:positionH relativeFrom="page">
                <wp:posOffset>1152525</wp:posOffset>
              </wp:positionH>
              <wp:positionV relativeFrom="page">
                <wp:posOffset>9862820</wp:posOffset>
              </wp:positionV>
              <wp:extent cx="5257800" cy="0"/>
              <wp:effectExtent l="0" t="4445" r="0" b="5080"/>
              <wp:wrapNone/>
              <wp:docPr id="80" name="直接连接符 6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直接连接符 65" o:spid="_x0000_s1026" o:spt="20" style="position:absolute;left:0pt;margin-left:90.75pt;margin-top:776.6pt;height:0pt;width:414pt;mso-position-horizontal-relative:page;mso-position-vertical-relative:page;z-index:251682816;mso-width-relative:margin;mso-height-relative:page;mso-width-percent:1000;" filled="f" stroked="t" coordsize="21600,21600" o:gfxdata="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yinWtoAAAAOAQAADwAAAAAAAAABACAAAAAiAAAAZHJzL2Rvd25yZXYueG1sUEsBAhQAFAAAAAgA&#10;h07iQKDilsHqAQAAwQMAAA4AAAAAAAAAAQAgAAAAKQEAAGRycy9lMm9Eb2MueG1sUEsFBgAAAAAG&#10;AAYAWQEAAIUFAAAAAA==&#10;">
              <v:fill on="f" focussize="0,0"/>
              <v:stroke color="#000000" miterlimit="8" joinstyle="miter"/>
              <v:imagedata o:title=""/>
              <o:lock v:ext="edit" aspectratio="f"/>
            </v:line>
          </w:pict>
        </mc:Fallback>
      </mc:AlternateContent>
    </w:r>
    <w:r>
      <w:rPr>
        <w:b/>
        <w:bCs/>
        <w:sz w:val="21"/>
        <w:szCs w:val="21"/>
      </w:rPr>
      <w:t>TEL：</w:t>
    </w:r>
    <w:r>
      <w:rPr>
        <w:rFonts w:hint="eastAsia"/>
        <w:b/>
        <w:bCs/>
        <w:sz w:val="21"/>
        <w:szCs w:val="21"/>
        <w:lang w:eastAsia="zh-CN"/>
      </w:rPr>
      <w:t>0991-4500196</w:t>
    </w:r>
    <w:r>
      <w:rPr>
        <w:rFonts w:hint="eastAsia"/>
        <w:b/>
        <w:bCs/>
        <w:sz w:val="21"/>
        <w:szCs w:val="21"/>
      </w:rPr>
      <w:t xml:space="preserve">                                  </w:t>
    </w:r>
    <w:r>
      <w:rPr>
        <w:rFonts w:hint="eastAsia"/>
        <w:b/>
        <w:bCs/>
        <w:sz w:val="21"/>
        <w:szCs w:val="21"/>
        <w:lang w:eastAsia="zh-CN"/>
      </w:rPr>
      <w:t>新疆绿境天宸环保科技有限公司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08F94">
    <w:pPr>
      <w:pStyle w:val="18"/>
      <w:spacing w:line="360" w:lineRule="exact"/>
      <w:ind w:firstLine="0" w:firstLineChars="0"/>
      <w:rPr>
        <w:rFonts w:hint="eastAsia" w:eastAsia="宋体"/>
        <w:lang w:eastAsia="zh-CN"/>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285750" cy="228600"/>
              <wp:effectExtent l="0" t="0" r="0" b="0"/>
              <wp:wrapNone/>
              <wp:docPr id="30" name="文本框 1"/>
              <wp:cNvGraphicFramePr/>
              <a:graphic xmlns:a="http://schemas.openxmlformats.org/drawingml/2006/main">
                <a:graphicData uri="http://schemas.microsoft.com/office/word/2010/wordprocessingShape">
                  <wps:wsp>
                    <wps:cNvSpPr txBox="1"/>
                    <wps:spPr>
                      <a:xfrm>
                        <a:off x="0" y="0"/>
                        <a:ext cx="285750" cy="228600"/>
                      </a:xfrm>
                      <a:prstGeom prst="rect">
                        <a:avLst/>
                      </a:prstGeom>
                      <a:noFill/>
                      <a:ln w="6350">
                        <a:noFill/>
                      </a:ln>
                    </wps:spPr>
                    <wps:txbx>
                      <w:txbxContent>
                        <w:p w14:paraId="20602126">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59</w:t>
                          </w:r>
                          <w:r>
                            <w:rPr>
                              <w:rFonts w:hint="eastAsia"/>
                              <w:sz w:val="21"/>
                              <w:szCs w:val="21"/>
                            </w:rPr>
                            <w:fldChar w:fldCharType="end"/>
                          </w:r>
                        </w:p>
                      </w:txbxContent>
                    </wps:txbx>
                    <wps:bodyPr lIns="0" tIns="0" rIns="0" bIns="0" upright="1">
                      <a:spAutoFit/>
                    </wps:bodyPr>
                  </wps:wsp>
                </a:graphicData>
              </a:graphic>
            </wp:anchor>
          </w:drawing>
        </mc:Choice>
        <mc:Fallback>
          <w:pict>
            <v:shape id="文本框 1" o:spid="_x0000_s1026" o:spt="202" type="#_x0000_t202" style="position:absolute;left:0pt;margin-top:0pt;height:18pt;width:22.5pt;mso-position-horizontal:center;mso-position-horizontal-relative:margin;z-index:251679744;mso-width-relative:page;mso-height-relative:page;" filled="f" stroked="f" coordsize="21600,21600" o:gfxdata="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Jf8rdMAAAADAQAADwAAAAAAAAABACAAAAAiAAAAZHJzL2Rv&#10;d25yZXYueG1sUEsBAhQAFAAAAAgAh07iQAxQGADNAQAAlQMAAA4AAAAAAAAAAQAgAAAAIgEAAGRy&#10;cy9lMm9Eb2MueG1sUEsFBgAAAAAGAAYAWQEAAGEFAAAAAA==&#10;">
              <v:fill on="f" focussize="0,0"/>
              <v:stroke on="f" weight="0.5pt"/>
              <v:imagedata o:title=""/>
              <o:lock v:ext="edit" aspectratio="f"/>
              <v:textbox inset="0mm,0mm,0mm,0mm" style="mso-fit-shape-to-text:t;">
                <w:txbxContent>
                  <w:p w14:paraId="20602126">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59</w:t>
                    </w:r>
                    <w:r>
                      <w:rPr>
                        <w:rFonts w:hint="eastAsia"/>
                        <w:sz w:val="21"/>
                        <w:szCs w:val="21"/>
                      </w:rPr>
                      <w:fldChar w:fldCharType="end"/>
                    </w:r>
                  </w:p>
                </w:txbxContent>
              </v:textbox>
            </v:shape>
          </w:pict>
        </mc:Fallback>
      </mc:AlternateContent>
    </w:r>
    <w:r>
      <w:rPr>
        <w:b/>
        <w:bCs/>
        <w:sz w:val="21"/>
        <w:szCs w:val="21"/>
      </w:rPr>
      <mc:AlternateContent>
        <mc:Choice Requires="wps">
          <w:drawing>
            <wp:anchor distT="0" distB="0" distL="114300" distR="114300" simplePos="0" relativeHeight="251678720" behindDoc="0" locked="0" layoutInCell="1" allowOverlap="1">
              <wp:simplePos x="0" y="0"/>
              <wp:positionH relativeFrom="page">
                <wp:posOffset>1152525</wp:posOffset>
              </wp:positionH>
              <wp:positionV relativeFrom="page">
                <wp:posOffset>9858375</wp:posOffset>
              </wp:positionV>
              <wp:extent cx="5257800" cy="0"/>
              <wp:effectExtent l="0" t="4445" r="0" b="5080"/>
              <wp:wrapNone/>
              <wp:docPr id="70" name="直接连接符 6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直接连接符 65" o:spid="_x0000_s1026" o:spt="20" style="position:absolute;left:0pt;margin-left:90.75pt;margin-top:776.25pt;height:0pt;width:414pt;mso-position-horizontal-relative:page;mso-position-vertical-relative:page;z-index:251678720;mso-width-relative:margin;mso-height-relative:page;mso-width-percent:1000;" filled="f" stroked="t" coordsize="21600,21600" o:gfxdata="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PnTo2QAAAA4BAAAPAAAAAAAAAAEAIAAAACIAAABkcnMvZG93bnJldi54bWxQSwECFAAUAAAACACH&#10;TuJAnZkC4uoBAADBAwAADgAAAAAAAAABACAAAAAoAQAAZHJzL2Uyb0RvYy54bWxQSwUGAAAAAAYA&#10;BgBZAQAAhAUAAAAA&#10;">
              <v:fill on="f" focussize="0,0"/>
              <v:stroke color="#000000" miterlimit="8" joinstyle="miter"/>
              <v:imagedata o:title=""/>
              <o:lock v:ext="edit" aspectratio="f"/>
            </v:line>
          </w:pict>
        </mc:Fallback>
      </mc:AlternateContent>
    </w:r>
    <w:r>
      <w:rPr>
        <w:b/>
        <w:bCs/>
        <w:sz w:val="21"/>
        <w:szCs w:val="21"/>
      </w:rPr>
      <w:t>TEL：</w:t>
    </w:r>
    <w:r>
      <w:rPr>
        <w:rFonts w:hint="eastAsia"/>
        <w:b/>
        <w:bCs/>
        <w:sz w:val="21"/>
        <w:szCs w:val="21"/>
        <w:lang w:eastAsia="zh-CN"/>
      </w:rPr>
      <w:t>0991-4500196</w:t>
    </w:r>
    <w:r>
      <w:rPr>
        <w:rFonts w:hint="eastAsia"/>
        <w:b/>
        <w:bCs/>
        <w:sz w:val="21"/>
        <w:szCs w:val="21"/>
      </w:rPr>
      <w:t xml:space="preserve">                                  </w:t>
    </w:r>
    <w:r>
      <w:rPr>
        <w:rFonts w:hint="eastAsia"/>
        <w:b/>
        <w:bCs/>
        <w:sz w:val="21"/>
        <w:szCs w:val="21"/>
        <w:lang w:eastAsia="zh-CN"/>
      </w:rPr>
      <w:t>新疆绿境天宸环保科技有限公司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4EB3F">
    <w:pPr>
      <w:pStyle w:val="18"/>
      <w:spacing w:line="360" w:lineRule="exact"/>
      <w:ind w:firstLine="0" w:firstLineChars="0"/>
      <w:jc w:val="distribute"/>
      <w:rPr>
        <w:rFonts w:hint="eastAsia" w:eastAsia="宋体"/>
        <w:lang w:eastAsia="zh-CN"/>
      </w:rPr>
    </w:pPr>
    <w:r>
      <w:rPr>
        <w:b/>
        <w:bCs/>
        <w:sz w:val="21"/>
        <w:szCs w:val="21"/>
      </w:rPr>
      <mc:AlternateContent>
        <mc:Choice Requires="wps">
          <w:drawing>
            <wp:anchor distT="0" distB="0" distL="114300" distR="114300" simplePos="0" relativeHeight="251680768" behindDoc="0" locked="0" layoutInCell="1" allowOverlap="1">
              <wp:simplePos x="0" y="0"/>
              <wp:positionH relativeFrom="page">
                <wp:posOffset>1143000</wp:posOffset>
              </wp:positionH>
              <wp:positionV relativeFrom="page">
                <wp:posOffset>9867900</wp:posOffset>
              </wp:positionV>
              <wp:extent cx="5257800" cy="0"/>
              <wp:effectExtent l="0" t="4445" r="0" b="5080"/>
              <wp:wrapNone/>
              <wp:docPr id="71" name="直接连接符 3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直接连接符 35" o:spid="_x0000_s1026" o:spt="20" style="position:absolute;left:0pt;margin-left:90pt;margin-top:777pt;height:0pt;width:414pt;mso-position-horizontal-relative:page;mso-position-vertical-relative:page;z-index:251680768;mso-width-relative:margin;mso-height-relative:page;mso-width-percent:1000;" filled="f" stroked="t" coordsize="21600,21600" o:gfxdata="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i0&#10;6/vYAAAADgEAAA8AAAAAAAAAAQAgAAAAIgAAAGRycy9kb3ducmV2LnhtbFBLAQIUABQAAAAIAIdO&#10;4kDYWmJJ6gEAAMEDAAAOAAAAAAAAAAEAIAAAACcBAABkcnMvZTJvRG9jLnhtbFBLBQYAAAAABgAG&#10;AFkBAACD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417830" cy="228600"/>
              <wp:effectExtent l="0" t="0" r="0" b="0"/>
              <wp:wrapNone/>
              <wp:docPr id="73" name="文本框 4"/>
              <wp:cNvGraphicFramePr/>
              <a:graphic xmlns:a="http://schemas.openxmlformats.org/drawingml/2006/main">
                <a:graphicData uri="http://schemas.microsoft.com/office/word/2010/wordprocessingShape">
                  <wps:wsp>
                    <wps:cNvSpPr txBox="1"/>
                    <wps:spPr>
                      <a:xfrm>
                        <a:off x="0" y="0"/>
                        <a:ext cx="417830" cy="228600"/>
                      </a:xfrm>
                      <a:prstGeom prst="rect">
                        <a:avLst/>
                      </a:prstGeom>
                      <a:noFill/>
                      <a:ln w="6350">
                        <a:noFill/>
                      </a:ln>
                    </wps:spPr>
                    <wps:txbx>
                      <w:txbxContent>
                        <w:p w14:paraId="75757C5F">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60</w:t>
                          </w:r>
                          <w:r>
                            <w:rPr>
                              <w:rFonts w:hint="eastAsia"/>
                              <w:sz w:val="21"/>
                              <w:szCs w:val="21"/>
                            </w:rPr>
                            <w:fldChar w:fldCharType="end"/>
                          </w:r>
                        </w:p>
                      </w:txbxContent>
                    </wps:txbx>
                    <wps:bodyPr lIns="0" tIns="0" rIns="0" bIns="0" upright="1">
                      <a:spAutoFit/>
                    </wps:bodyPr>
                  </wps:wsp>
                </a:graphicData>
              </a:graphic>
            </wp:anchor>
          </w:drawing>
        </mc:Choice>
        <mc:Fallback>
          <w:pict>
            <v:shape id="文本框 4" o:spid="_x0000_s1026" o:spt="202" type="#_x0000_t202" style="position:absolute;left:0pt;margin-top:0pt;height:18pt;width:32.9pt;mso-position-horizontal:center;mso-position-horizontal-relative:margin;z-index:251681792;mso-width-relative:page;mso-height-relative:page;" filled="f" stroked="f" coordsize="21600,21600" o:gfxdata="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bzcanSAAAAAwEAAA8AAAAAAAAAAQAgAAAAIgAAAGRycy9k&#10;b3ducmV2LnhtbFBLAQIUABQAAAAIAIdO4kA7IIdqzwEAAJUDAAAOAAAAAAAAAAEAIAAAACEBAABk&#10;cnMvZTJvRG9jLnhtbFBLBQYAAAAABgAGAFkBAABiBQAAAAA=&#10;">
              <v:fill on="f" focussize="0,0"/>
              <v:stroke on="f" weight="0.5pt"/>
              <v:imagedata o:title=""/>
              <o:lock v:ext="edit" aspectratio="f"/>
              <v:textbox inset="0mm,0mm,0mm,0mm" style="mso-fit-shape-to-text:t;">
                <w:txbxContent>
                  <w:p w14:paraId="75757C5F">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60</w:t>
                    </w:r>
                    <w:r>
                      <w:rPr>
                        <w:rFonts w:hint="eastAsia"/>
                        <w:sz w:val="21"/>
                        <w:szCs w:val="21"/>
                      </w:rPr>
                      <w:fldChar w:fldCharType="end"/>
                    </w:r>
                  </w:p>
                </w:txbxContent>
              </v:textbox>
            </v:shape>
          </w:pict>
        </mc:Fallback>
      </mc:AlternateContent>
    </w:r>
    <w:r>
      <w:rPr>
        <w:rFonts w:hint="eastAsia"/>
        <w:b/>
        <w:bCs/>
        <w:sz w:val="21"/>
        <w:szCs w:val="21"/>
        <w:lang w:eastAsia="zh-CN"/>
      </w:rPr>
      <w:t>新疆绿境天宸环保科技有限公司</w:t>
    </w:r>
    <w:r>
      <w:rPr>
        <w:rFonts w:hint="eastAsia"/>
        <w:b/>
        <w:bCs/>
        <w:sz w:val="21"/>
        <w:szCs w:val="21"/>
      </w:rPr>
      <w:t xml:space="preserve">                             </w:t>
    </w:r>
    <w:r>
      <w:rPr>
        <w:b/>
        <w:bCs/>
        <w:sz w:val="21"/>
        <w:szCs w:val="21"/>
      </w:rPr>
      <w:t>TEL：</w:t>
    </w:r>
    <w:r>
      <w:rPr>
        <w:rFonts w:hint="eastAsia"/>
        <w:b/>
        <w:bCs/>
        <w:sz w:val="21"/>
        <w:szCs w:val="21"/>
        <w:lang w:eastAsia="zh-CN"/>
      </w:rPr>
      <w:t>0991-4500196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F2CB2">
    <w:pPr>
      <w:pStyle w:val="18"/>
      <w:spacing w:line="360" w:lineRule="exact"/>
      <w:ind w:firstLine="0" w:firstLineChars="0"/>
      <w:rPr>
        <w:rFonts w:hint="eastAsia" w:eastAsia="宋体"/>
        <w:lang w:eastAsia="zh-CN"/>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285750" cy="228600"/>
              <wp:effectExtent l="0" t="0" r="0" b="0"/>
              <wp:wrapNone/>
              <wp:docPr id="75" name="文本框 5"/>
              <wp:cNvGraphicFramePr/>
              <a:graphic xmlns:a="http://schemas.openxmlformats.org/drawingml/2006/main">
                <a:graphicData uri="http://schemas.microsoft.com/office/word/2010/wordprocessingShape">
                  <wps:wsp>
                    <wps:cNvSpPr txBox="1"/>
                    <wps:spPr>
                      <a:xfrm>
                        <a:off x="0" y="0"/>
                        <a:ext cx="285750" cy="228600"/>
                      </a:xfrm>
                      <a:prstGeom prst="rect">
                        <a:avLst/>
                      </a:prstGeom>
                      <a:noFill/>
                      <a:ln w="6350">
                        <a:noFill/>
                      </a:ln>
                    </wps:spPr>
                    <wps:txbx>
                      <w:txbxContent>
                        <w:p w14:paraId="71B1F14A">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59</w:t>
                          </w:r>
                          <w:r>
                            <w:rPr>
                              <w:rFonts w:hint="eastAsia"/>
                              <w:sz w:val="21"/>
                              <w:szCs w:val="21"/>
                            </w:rPr>
                            <w:fldChar w:fldCharType="end"/>
                          </w:r>
                        </w:p>
                      </w:txbxContent>
                    </wps:txbx>
                    <wps:bodyPr lIns="0" tIns="0" rIns="0" bIns="0" upright="1">
                      <a:spAutoFit/>
                    </wps:bodyPr>
                  </wps:wsp>
                </a:graphicData>
              </a:graphic>
            </wp:anchor>
          </w:drawing>
        </mc:Choice>
        <mc:Fallback>
          <w:pict>
            <v:shape id="文本框 5" o:spid="_x0000_s1026" o:spt="202" type="#_x0000_t202" style="position:absolute;left:0pt;margin-top:0pt;height:18pt;width:22.5pt;mso-position-horizontal:center;mso-position-horizontal-relative:margin;z-index:251665408;mso-width-relative:page;mso-height-relative:page;" filled="f" stroked="f" coordsize="21600,21600" o:gfxdata="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SX/K3TAAAAAwEAAA8AAAAAAAAAAQAgAAAAIgAAAGRycy9k&#10;b3ducmV2LnhtbFBLAQIUABQAAAAIAIdO4kBjWdsZzgEAAJUDAAAOAAAAAAAAAAEAIAAAACIBAABk&#10;cnMvZTJvRG9jLnhtbFBLBQYAAAAABgAGAFkBAABiBQAAAAA=&#10;">
              <v:fill on="f" focussize="0,0"/>
              <v:stroke on="f" weight="0.5pt"/>
              <v:imagedata o:title=""/>
              <o:lock v:ext="edit" aspectratio="f"/>
              <v:textbox inset="0mm,0mm,0mm,0mm" style="mso-fit-shape-to-text:t;">
                <w:txbxContent>
                  <w:p w14:paraId="71B1F14A">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59</w:t>
                    </w:r>
                    <w:r>
                      <w:rPr>
                        <w:rFonts w:hint="eastAsia"/>
                        <w:sz w:val="21"/>
                        <w:szCs w:val="21"/>
                      </w:rPr>
                      <w:fldChar w:fldCharType="end"/>
                    </w:r>
                  </w:p>
                </w:txbxContent>
              </v:textbox>
            </v:shape>
          </w:pict>
        </mc:Fallback>
      </mc:AlternateContent>
    </w:r>
    <w:r>
      <w:rPr>
        <w:b/>
        <w:bCs/>
        <w:sz w:val="21"/>
        <w:szCs w:val="21"/>
      </w:rPr>
      <mc:AlternateContent>
        <mc:Choice Requires="wps">
          <w:drawing>
            <wp:anchor distT="0" distB="0" distL="114300" distR="114300" simplePos="0" relativeHeight="251664384" behindDoc="0" locked="0" layoutInCell="1" allowOverlap="1">
              <wp:simplePos x="0" y="0"/>
              <wp:positionH relativeFrom="page">
                <wp:posOffset>1152525</wp:posOffset>
              </wp:positionH>
              <wp:positionV relativeFrom="page">
                <wp:posOffset>9858375</wp:posOffset>
              </wp:positionV>
              <wp:extent cx="5257800" cy="0"/>
              <wp:effectExtent l="0" t="4445" r="0" b="5080"/>
              <wp:wrapNone/>
              <wp:docPr id="74" name="直接连接符 6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直接连接符 65" o:spid="_x0000_s1026" o:spt="20" style="position:absolute;left:0pt;margin-left:90.75pt;margin-top:776.25pt;height:0pt;width:414pt;mso-position-horizontal-relative:page;mso-position-vertical-relative:page;z-index:251664384;mso-width-relative:margin;mso-height-relative:page;mso-width-percent:1000;" filled="f" stroked="t" coordsize="21600,21600" o:gfxdata="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z506NkAAAAOAQAADwAAAAAAAAABACAAAAAiAAAAZHJzL2Rvd25yZXYueG1sUEsBAhQAFAAAAAgA&#10;h07iQKyZEbnrAQAAwQMAAA4AAAAAAAAAAQAgAAAAKAEAAGRycy9lMm9Eb2MueG1sUEsFBgAAAAAG&#10;AAYAWQEAAIUFAAAAAA==&#10;">
              <v:fill on="f" focussize="0,0"/>
              <v:stroke color="#000000" miterlimit="8" joinstyle="miter"/>
              <v:imagedata o:title=""/>
              <o:lock v:ext="edit" aspectratio="f"/>
            </v:line>
          </w:pict>
        </mc:Fallback>
      </mc:AlternateContent>
    </w:r>
    <w:r>
      <w:rPr>
        <w:b/>
        <w:bCs/>
        <w:sz w:val="21"/>
        <w:szCs w:val="21"/>
      </w:rPr>
      <w:t>TEL：</w:t>
    </w:r>
    <w:r>
      <w:rPr>
        <w:rFonts w:hint="eastAsia"/>
        <w:b/>
        <w:bCs/>
        <w:sz w:val="21"/>
        <w:szCs w:val="21"/>
        <w:lang w:eastAsia="zh-CN"/>
      </w:rPr>
      <w:t>0991-4500196</w:t>
    </w:r>
    <w:r>
      <w:rPr>
        <w:rFonts w:hint="eastAsia"/>
        <w:b/>
        <w:bCs/>
        <w:sz w:val="21"/>
        <w:szCs w:val="21"/>
      </w:rPr>
      <w:t xml:space="preserve">                                  </w:t>
    </w:r>
    <w:r>
      <w:rPr>
        <w:rFonts w:hint="eastAsia"/>
        <w:b/>
        <w:bCs/>
        <w:sz w:val="21"/>
        <w:szCs w:val="21"/>
        <w:lang w:eastAsia="zh-CN"/>
      </w:rPr>
      <w:t>新疆绿境天宸环保科技有限公司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C16C4">
    <w:pPr>
      <w:pStyle w:val="18"/>
      <w:spacing w:line="360" w:lineRule="exact"/>
      <w:ind w:firstLine="0" w:firstLineChars="0"/>
      <w:jc w:val="distribute"/>
      <w:rPr>
        <w:rFonts w:hint="eastAsia" w:eastAsia="宋体"/>
        <w:lang w:eastAsia="zh-CN"/>
      </w:rPr>
    </w:pPr>
    <w:r>
      <w:rPr>
        <w:b/>
        <w:bCs/>
        <w:sz w:val="21"/>
        <w:szCs w:val="21"/>
      </w:rPr>
      <mc:AlternateContent>
        <mc:Choice Requires="wps">
          <w:drawing>
            <wp:anchor distT="0" distB="0" distL="114300" distR="114300" simplePos="0" relativeHeight="251669504" behindDoc="0" locked="0" layoutInCell="1" allowOverlap="1">
              <wp:simplePos x="0" y="0"/>
              <wp:positionH relativeFrom="page">
                <wp:posOffset>1143000</wp:posOffset>
              </wp:positionH>
              <wp:positionV relativeFrom="page">
                <wp:posOffset>9867900</wp:posOffset>
              </wp:positionV>
              <wp:extent cx="5257800" cy="0"/>
              <wp:effectExtent l="0" t="4445" r="0" b="5080"/>
              <wp:wrapNone/>
              <wp:docPr id="76" name="直接连接符 3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直接连接符 35" o:spid="_x0000_s1026" o:spt="20" style="position:absolute;left:0pt;margin-left:90pt;margin-top:777pt;height:0pt;width:414pt;mso-position-horizontal-relative:page;mso-position-vertical-relative:page;z-index:251669504;mso-width-relative:margin;mso-height-relative:page;mso-width-percent:1000;" filled="f" stroked="t" coordsize="21600,21600" o:gfxdata="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o&#10;tOv72AAAAA4BAAAPAAAAAAAAAAEAIAAAACIAAABkcnMvZG93bnJldi54bWxQSwECFAAUAAAACACH&#10;TuJATdhYsusBAADBAwAADgAAAAAAAAABACAAAAAnAQAAZHJzL2Uyb0RvYy54bWxQSwUGAAAAAAYA&#10;BgBZAQAAhAU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417830" cy="228600"/>
              <wp:effectExtent l="0" t="0" r="0" b="0"/>
              <wp:wrapNone/>
              <wp:docPr id="77" name="文本框 8"/>
              <wp:cNvGraphicFramePr/>
              <a:graphic xmlns:a="http://schemas.openxmlformats.org/drawingml/2006/main">
                <a:graphicData uri="http://schemas.microsoft.com/office/word/2010/wordprocessingShape">
                  <wps:wsp>
                    <wps:cNvSpPr txBox="1"/>
                    <wps:spPr>
                      <a:xfrm>
                        <a:off x="0" y="0"/>
                        <a:ext cx="417830" cy="228600"/>
                      </a:xfrm>
                      <a:prstGeom prst="rect">
                        <a:avLst/>
                      </a:prstGeom>
                      <a:noFill/>
                      <a:ln w="6350">
                        <a:noFill/>
                      </a:ln>
                    </wps:spPr>
                    <wps:txbx>
                      <w:txbxContent>
                        <w:p w14:paraId="25AAEE8E">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60</w:t>
                          </w:r>
                          <w:r>
                            <w:rPr>
                              <w:rFonts w:hint="eastAsia"/>
                              <w:sz w:val="21"/>
                              <w:szCs w:val="21"/>
                            </w:rPr>
                            <w:fldChar w:fldCharType="end"/>
                          </w:r>
                        </w:p>
                      </w:txbxContent>
                    </wps:txbx>
                    <wps:bodyPr lIns="0" tIns="0" rIns="0" bIns="0" upright="1">
                      <a:spAutoFit/>
                    </wps:bodyPr>
                  </wps:wsp>
                </a:graphicData>
              </a:graphic>
            </wp:anchor>
          </w:drawing>
        </mc:Choice>
        <mc:Fallback>
          <w:pict>
            <v:shape id="文本框 8" o:spid="_x0000_s1026" o:spt="202" type="#_x0000_t202" style="position:absolute;left:0pt;margin-top:0pt;height:18pt;width:32.9pt;mso-position-horizontal:center;mso-position-horizontal-relative:margin;z-index:251670528;mso-width-relative:page;mso-height-relative:page;" filled="f" stroked="f" coordsize="21600,21600" o:gfxdata="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bzcanSAAAAAwEAAA8AAAAAAAAAAQAgAAAAIgAAAGRycy9k&#10;b3ducmV2LnhtbFBLAQIUABQAAAAIAIdO4kDIoB02zwEAAJUDAAAOAAAAAAAAAAEAIAAAACEBAABk&#10;cnMvZTJvRG9jLnhtbFBLBQYAAAAABgAGAFkBAABiBQAAAAA=&#10;">
              <v:fill on="f" focussize="0,0"/>
              <v:stroke on="f" weight="0.5pt"/>
              <v:imagedata o:title=""/>
              <o:lock v:ext="edit" aspectratio="f"/>
              <v:textbox inset="0mm,0mm,0mm,0mm" style="mso-fit-shape-to-text:t;">
                <w:txbxContent>
                  <w:p w14:paraId="25AAEE8E">
                    <w:pPr>
                      <w:pStyle w:val="18"/>
                      <w:spacing w:line="360" w:lineRule="exact"/>
                      <w:ind w:firstLine="0" w:firstLineChars="0"/>
                      <w:jc w:val="cente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60</w:t>
                    </w:r>
                    <w:r>
                      <w:rPr>
                        <w:rFonts w:hint="eastAsia"/>
                        <w:sz w:val="21"/>
                        <w:szCs w:val="21"/>
                      </w:rPr>
                      <w:fldChar w:fldCharType="end"/>
                    </w:r>
                  </w:p>
                </w:txbxContent>
              </v:textbox>
            </v:shape>
          </w:pict>
        </mc:Fallback>
      </mc:AlternateContent>
    </w:r>
    <w:r>
      <w:rPr>
        <w:rFonts w:hint="eastAsia"/>
        <w:b/>
        <w:bCs/>
        <w:sz w:val="21"/>
        <w:szCs w:val="21"/>
        <w:lang w:eastAsia="zh-CN"/>
      </w:rPr>
      <w:t>新疆绿境天宸环保科技有限公司</w:t>
    </w:r>
    <w:r>
      <w:rPr>
        <w:rFonts w:hint="eastAsia"/>
        <w:b/>
        <w:bCs/>
        <w:sz w:val="21"/>
        <w:szCs w:val="21"/>
      </w:rPr>
      <w:t xml:space="preserve">                             </w:t>
    </w:r>
    <w:r>
      <w:rPr>
        <w:b/>
        <w:bCs/>
        <w:sz w:val="21"/>
        <w:szCs w:val="21"/>
      </w:rPr>
      <w:t>TEL：</w:t>
    </w:r>
    <w:r>
      <w:rPr>
        <w:rFonts w:hint="eastAsia"/>
        <w:b/>
        <w:bCs/>
        <w:sz w:val="21"/>
        <w:szCs w:val="21"/>
        <w:lang w:eastAsia="zh-CN"/>
      </w:rPr>
      <w:t>0991-4500196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8D475">
    <w:pPr>
      <w:pStyle w:val="19"/>
      <w:pBdr>
        <w:bottom w:val="thinThickMediumGap" w:color="auto" w:sz="18" w:space="1"/>
      </w:pBdr>
      <w:ind w:firstLine="0" w:firstLineChars="0"/>
    </w:pPr>
    <w:r>
      <w:rPr>
        <w:rFonts w:hint="eastAsia"/>
        <w:sz w:val="21"/>
        <w:szCs w:val="21"/>
        <w:lang w:eastAsia="zh-CN"/>
      </w:rPr>
      <w:t>哈密市西成矿业有限责任公司年产30万吨铁精粉建设项目（重大变动）</w:t>
    </w:r>
    <w:r>
      <w:rPr>
        <w:rFonts w:hint="eastAsia"/>
        <w:sz w:val="21"/>
        <w:szCs w:val="21"/>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74643">
    <w:pPr>
      <w:pStyle w:val="19"/>
      <w:pBdr>
        <w:bottom w:val="thinThickMediumGap" w:color="auto" w:sz="18" w:space="1"/>
      </w:pBdr>
      <w:ind w:firstLine="0" w:firstLineChars="0"/>
    </w:pPr>
    <w:r>
      <w:rPr>
        <w:rFonts w:hint="eastAsia"/>
        <w:sz w:val="21"/>
        <w:szCs w:val="21"/>
        <w:lang w:eastAsia="zh-CN"/>
      </w:rPr>
      <w:t>哈密市西成矿业有限责任公司年产30万吨铁精粉建设项目（重大变动）</w:t>
    </w:r>
    <w:r>
      <w:rPr>
        <w:rFonts w:hint="eastAsia"/>
        <w:sz w:val="21"/>
        <w:szCs w:val="21"/>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3685F">
    <w:pPr>
      <w:pStyle w:val="19"/>
      <w:widowControl w:val="0"/>
      <w:pBdr>
        <w:top w:val="none" w:color="auto" w:sz="0" w:space="1"/>
        <w:left w:val="none" w:color="auto" w:sz="0" w:space="4"/>
        <w:bottom w:val="none" w:color="auto" w:sz="0" w:space="1"/>
        <w:right w:val="none" w:color="auto" w:sz="0" w:space="4"/>
        <w:between w:val="none" w:color="auto" w:sz="0" w:space="0"/>
      </w:pBdr>
      <w:snapToGrid w:val="0"/>
      <w:spacing w:line="480" w:lineRule="exact"/>
      <w:ind w:firstLine="480" w:firstLineChars="20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B32F8">
    <w:pPr>
      <w:pStyle w:val="19"/>
      <w:pBdr>
        <w:bottom w:val="thinThickMediumGap" w:color="auto" w:sz="18" w:space="1"/>
      </w:pBdr>
      <w:ind w:firstLine="0" w:firstLineChars="0"/>
    </w:pPr>
    <w:r>
      <w:rPr>
        <w:rFonts w:hint="eastAsia"/>
        <w:sz w:val="21"/>
        <w:szCs w:val="21"/>
        <w:lang w:eastAsia="zh-CN"/>
      </w:rPr>
      <w:t>哈密市西成矿业有限责任公司年产30万吨铁精粉建设项目（重大变动）</w:t>
    </w:r>
    <w:r>
      <w:rPr>
        <w:rFonts w:hint="eastAsia"/>
        <w:sz w:val="21"/>
        <w:szCs w:val="21"/>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3CB06">
    <w:pPr>
      <w:pStyle w:val="19"/>
      <w:pBdr>
        <w:bottom w:val="thinThickSmallGap" w:color="auto" w:sz="12" w:space="1"/>
      </w:pBdr>
      <w:ind w:firstLine="0" w:firstLineChars="0"/>
      <w:rPr>
        <w:b/>
        <w:sz w:val="21"/>
        <w:szCs w:val="21"/>
      </w:rPr>
    </w:pPr>
    <w:r>
      <w:rPr>
        <w:rFonts w:hint="eastAsia"/>
        <w:sz w:val="21"/>
        <w:szCs w:val="21"/>
        <w:lang w:eastAsia="zh-CN"/>
      </w:rPr>
      <w:t>哈密市西成矿业有限责任公司年产30万吨铁精粉建设项目（重大变动）</w:t>
    </w:r>
    <w:r>
      <w:rPr>
        <w:rFonts w:hint="eastAsia"/>
        <w:sz w:val="21"/>
        <w:szCs w:val="21"/>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E6852">
    <w:pPr>
      <w:pStyle w:val="19"/>
      <w:pBdr>
        <w:bottom w:val="thinThickSmallGap" w:color="auto" w:sz="12" w:space="1"/>
      </w:pBdr>
      <w:ind w:firstLine="0" w:firstLineChars="0"/>
    </w:pPr>
    <w:r>
      <w:rPr>
        <w:rFonts w:hint="eastAsia"/>
        <w:sz w:val="21"/>
        <w:szCs w:val="21"/>
        <w:lang w:eastAsia="zh-CN"/>
      </w:rPr>
      <w:t>哈密市西成矿业有限责任公司年产30万吨铁精粉建设项目（重大变动）</w:t>
    </w:r>
    <w:r>
      <w:rPr>
        <w:rFonts w:hint="eastAsia"/>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4CF391"/>
    <w:multiLevelType w:val="singleLevel"/>
    <w:tmpl w:val="9B4CF391"/>
    <w:lvl w:ilvl="0" w:tentative="0">
      <w:start w:val="1"/>
      <w:numFmt w:val="decimal"/>
      <w:suff w:val="nothing"/>
      <w:lvlText w:val="（%1）"/>
      <w:lvlJc w:val="left"/>
    </w:lvl>
  </w:abstractNum>
  <w:abstractNum w:abstractNumId="1">
    <w:nsid w:val="CF6B7743"/>
    <w:multiLevelType w:val="singleLevel"/>
    <w:tmpl w:val="CF6B7743"/>
    <w:lvl w:ilvl="0" w:tentative="0">
      <w:start w:val="1"/>
      <w:numFmt w:val="lowerLetter"/>
      <w:suff w:val="nothing"/>
      <w:lvlText w:val="%1、"/>
      <w:lvlJc w:val="left"/>
    </w:lvl>
  </w:abstractNum>
  <w:abstractNum w:abstractNumId="2">
    <w:nsid w:val="DA4D7E77"/>
    <w:multiLevelType w:val="singleLevel"/>
    <w:tmpl w:val="DA4D7E77"/>
    <w:lvl w:ilvl="0" w:tentative="0">
      <w:start w:val="1"/>
      <w:numFmt w:val="decimal"/>
      <w:suff w:val="nothing"/>
      <w:lvlText w:val="（%1）"/>
      <w:lvlJc w:val="left"/>
    </w:lvl>
  </w:abstractNum>
  <w:abstractNum w:abstractNumId="3">
    <w:nsid w:val="E3D8F0F0"/>
    <w:multiLevelType w:val="singleLevel"/>
    <w:tmpl w:val="E3D8F0F0"/>
    <w:lvl w:ilvl="0" w:tentative="0">
      <w:start w:val="1"/>
      <w:numFmt w:val="decimal"/>
      <w:suff w:val="nothing"/>
      <w:lvlText w:val="（%1）"/>
      <w:lvlJc w:val="left"/>
    </w:lvl>
  </w:abstractNum>
  <w:abstractNum w:abstractNumId="4">
    <w:nsid w:val="13B9B85F"/>
    <w:multiLevelType w:val="singleLevel"/>
    <w:tmpl w:val="13B9B85F"/>
    <w:lvl w:ilvl="0" w:tentative="0">
      <w:start w:val="1"/>
      <w:numFmt w:val="decimal"/>
      <w:pStyle w:val="15"/>
      <w:lvlText w:val="%1."/>
      <w:lvlJc w:val="left"/>
      <w:pPr>
        <w:tabs>
          <w:tab w:val="left" w:pos="2040"/>
        </w:tabs>
        <w:ind w:left="2040" w:hanging="360"/>
      </w:pPr>
    </w:lvl>
  </w:abstractNum>
  <w:abstractNum w:abstractNumId="5">
    <w:nsid w:val="7AA06452"/>
    <w:multiLevelType w:val="singleLevel"/>
    <w:tmpl w:val="7AA06452"/>
    <w:lvl w:ilvl="0" w:tentative="0">
      <w:start w:val="1"/>
      <w:numFmt w:val="decimal"/>
      <w:suff w:val="nothing"/>
      <w:lvlText w:val="（%1）"/>
      <w:lvlJc w:val="left"/>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evenAndOddHeaders w:val="1"/>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iYWUyYWZiY2Y0MWY5OTlmNDc0NzYxOWFiNzFiZGIifQ=="/>
  </w:docVars>
  <w:rsids>
    <w:rsidRoot w:val="00172A27"/>
    <w:rsid w:val="00000027"/>
    <w:rsid w:val="00001378"/>
    <w:rsid w:val="00002B7F"/>
    <w:rsid w:val="00003F25"/>
    <w:rsid w:val="000055C3"/>
    <w:rsid w:val="00005994"/>
    <w:rsid w:val="00006067"/>
    <w:rsid w:val="00006D10"/>
    <w:rsid w:val="000071C6"/>
    <w:rsid w:val="00010DD6"/>
    <w:rsid w:val="00012D8A"/>
    <w:rsid w:val="00013060"/>
    <w:rsid w:val="0001665B"/>
    <w:rsid w:val="000208CB"/>
    <w:rsid w:val="00020BA2"/>
    <w:rsid w:val="00024266"/>
    <w:rsid w:val="00024820"/>
    <w:rsid w:val="0002692C"/>
    <w:rsid w:val="00030280"/>
    <w:rsid w:val="0003119F"/>
    <w:rsid w:val="00031FBE"/>
    <w:rsid w:val="000323BE"/>
    <w:rsid w:val="00034656"/>
    <w:rsid w:val="00035D9B"/>
    <w:rsid w:val="0003631D"/>
    <w:rsid w:val="00036F88"/>
    <w:rsid w:val="00037162"/>
    <w:rsid w:val="0004072C"/>
    <w:rsid w:val="00041427"/>
    <w:rsid w:val="00041549"/>
    <w:rsid w:val="00043D5D"/>
    <w:rsid w:val="000444B7"/>
    <w:rsid w:val="00046AD3"/>
    <w:rsid w:val="000510CF"/>
    <w:rsid w:val="00052470"/>
    <w:rsid w:val="000535E1"/>
    <w:rsid w:val="00053BE9"/>
    <w:rsid w:val="0005416D"/>
    <w:rsid w:val="000551D8"/>
    <w:rsid w:val="0005589E"/>
    <w:rsid w:val="000562C6"/>
    <w:rsid w:val="000562EC"/>
    <w:rsid w:val="00063AAB"/>
    <w:rsid w:val="00065A59"/>
    <w:rsid w:val="000667D5"/>
    <w:rsid w:val="0006768F"/>
    <w:rsid w:val="000676DA"/>
    <w:rsid w:val="00080831"/>
    <w:rsid w:val="00081E38"/>
    <w:rsid w:val="00082865"/>
    <w:rsid w:val="00085E34"/>
    <w:rsid w:val="000863C9"/>
    <w:rsid w:val="00086597"/>
    <w:rsid w:val="0009257E"/>
    <w:rsid w:val="00095B1F"/>
    <w:rsid w:val="000960DB"/>
    <w:rsid w:val="0009626A"/>
    <w:rsid w:val="00096C83"/>
    <w:rsid w:val="000A0881"/>
    <w:rsid w:val="000A1609"/>
    <w:rsid w:val="000A32A6"/>
    <w:rsid w:val="000A37FD"/>
    <w:rsid w:val="000A4FF4"/>
    <w:rsid w:val="000A5484"/>
    <w:rsid w:val="000A57E4"/>
    <w:rsid w:val="000A5819"/>
    <w:rsid w:val="000A7875"/>
    <w:rsid w:val="000B37DE"/>
    <w:rsid w:val="000B39B7"/>
    <w:rsid w:val="000B5AB4"/>
    <w:rsid w:val="000B5D97"/>
    <w:rsid w:val="000B72FC"/>
    <w:rsid w:val="000C042F"/>
    <w:rsid w:val="000C0501"/>
    <w:rsid w:val="000C1636"/>
    <w:rsid w:val="000C1CD6"/>
    <w:rsid w:val="000C5448"/>
    <w:rsid w:val="000C59C6"/>
    <w:rsid w:val="000C6429"/>
    <w:rsid w:val="000C6692"/>
    <w:rsid w:val="000D16CC"/>
    <w:rsid w:val="000D27C1"/>
    <w:rsid w:val="000D4539"/>
    <w:rsid w:val="000D5D95"/>
    <w:rsid w:val="000D63AD"/>
    <w:rsid w:val="000D6A2D"/>
    <w:rsid w:val="000D7704"/>
    <w:rsid w:val="000D7CB4"/>
    <w:rsid w:val="000E3595"/>
    <w:rsid w:val="000E4D4D"/>
    <w:rsid w:val="000E6A35"/>
    <w:rsid w:val="000E791F"/>
    <w:rsid w:val="000F64CC"/>
    <w:rsid w:val="000F76B7"/>
    <w:rsid w:val="00100570"/>
    <w:rsid w:val="0010306B"/>
    <w:rsid w:val="001049F4"/>
    <w:rsid w:val="00105FDF"/>
    <w:rsid w:val="00107680"/>
    <w:rsid w:val="001076CD"/>
    <w:rsid w:val="00111053"/>
    <w:rsid w:val="00111BBF"/>
    <w:rsid w:val="00115EAA"/>
    <w:rsid w:val="0011752B"/>
    <w:rsid w:val="00121592"/>
    <w:rsid w:val="00123A23"/>
    <w:rsid w:val="00125EB7"/>
    <w:rsid w:val="00131F96"/>
    <w:rsid w:val="00134722"/>
    <w:rsid w:val="001353E6"/>
    <w:rsid w:val="001370B5"/>
    <w:rsid w:val="00140394"/>
    <w:rsid w:val="001409AB"/>
    <w:rsid w:val="00142E93"/>
    <w:rsid w:val="0014625D"/>
    <w:rsid w:val="00146C6B"/>
    <w:rsid w:val="001516D0"/>
    <w:rsid w:val="00151EE6"/>
    <w:rsid w:val="001525CB"/>
    <w:rsid w:val="001539D6"/>
    <w:rsid w:val="00153AF5"/>
    <w:rsid w:val="001542FB"/>
    <w:rsid w:val="00154999"/>
    <w:rsid w:val="00155208"/>
    <w:rsid w:val="0016079A"/>
    <w:rsid w:val="00161633"/>
    <w:rsid w:val="00161B1C"/>
    <w:rsid w:val="00162572"/>
    <w:rsid w:val="00162EC4"/>
    <w:rsid w:val="001639D2"/>
    <w:rsid w:val="00165300"/>
    <w:rsid w:val="00170C8B"/>
    <w:rsid w:val="00171284"/>
    <w:rsid w:val="00171AA4"/>
    <w:rsid w:val="0017240E"/>
    <w:rsid w:val="0017259D"/>
    <w:rsid w:val="00172A27"/>
    <w:rsid w:val="001760CE"/>
    <w:rsid w:val="00180EF2"/>
    <w:rsid w:val="00180FD6"/>
    <w:rsid w:val="00182055"/>
    <w:rsid w:val="00182AB3"/>
    <w:rsid w:val="00183C41"/>
    <w:rsid w:val="00186108"/>
    <w:rsid w:val="001861F3"/>
    <w:rsid w:val="00187838"/>
    <w:rsid w:val="00187AE1"/>
    <w:rsid w:val="00187CBB"/>
    <w:rsid w:val="00191344"/>
    <w:rsid w:val="0019140C"/>
    <w:rsid w:val="00193998"/>
    <w:rsid w:val="00194CD0"/>
    <w:rsid w:val="00195590"/>
    <w:rsid w:val="001961CC"/>
    <w:rsid w:val="001A31FE"/>
    <w:rsid w:val="001A4F97"/>
    <w:rsid w:val="001B316E"/>
    <w:rsid w:val="001B36E2"/>
    <w:rsid w:val="001B6B47"/>
    <w:rsid w:val="001B6BD5"/>
    <w:rsid w:val="001B70E2"/>
    <w:rsid w:val="001B7ABB"/>
    <w:rsid w:val="001C03E1"/>
    <w:rsid w:val="001C1439"/>
    <w:rsid w:val="001C350B"/>
    <w:rsid w:val="001C4261"/>
    <w:rsid w:val="001C5E7A"/>
    <w:rsid w:val="001C6CAD"/>
    <w:rsid w:val="001C6D79"/>
    <w:rsid w:val="001C79F0"/>
    <w:rsid w:val="001D0E71"/>
    <w:rsid w:val="001D0E8F"/>
    <w:rsid w:val="001D0F43"/>
    <w:rsid w:val="001D23B1"/>
    <w:rsid w:val="001D310D"/>
    <w:rsid w:val="001D61AF"/>
    <w:rsid w:val="001D63BF"/>
    <w:rsid w:val="001E053D"/>
    <w:rsid w:val="001E0918"/>
    <w:rsid w:val="001E2C49"/>
    <w:rsid w:val="001E3ADA"/>
    <w:rsid w:val="001E6F69"/>
    <w:rsid w:val="001F129A"/>
    <w:rsid w:val="001F1F04"/>
    <w:rsid w:val="001F2B80"/>
    <w:rsid w:val="001F2C0B"/>
    <w:rsid w:val="001F4C94"/>
    <w:rsid w:val="001F62B7"/>
    <w:rsid w:val="001F68FD"/>
    <w:rsid w:val="001F6BCA"/>
    <w:rsid w:val="001F70AB"/>
    <w:rsid w:val="00200CCC"/>
    <w:rsid w:val="002047DD"/>
    <w:rsid w:val="00205595"/>
    <w:rsid w:val="0020609D"/>
    <w:rsid w:val="00206C23"/>
    <w:rsid w:val="0021055F"/>
    <w:rsid w:val="00211339"/>
    <w:rsid w:val="00211EC8"/>
    <w:rsid w:val="00213291"/>
    <w:rsid w:val="00213AF5"/>
    <w:rsid w:val="00217327"/>
    <w:rsid w:val="00220F60"/>
    <w:rsid w:val="00221A04"/>
    <w:rsid w:val="00222E8E"/>
    <w:rsid w:val="0022393B"/>
    <w:rsid w:val="00227270"/>
    <w:rsid w:val="00227EE5"/>
    <w:rsid w:val="00230957"/>
    <w:rsid w:val="00230EE9"/>
    <w:rsid w:val="00231C02"/>
    <w:rsid w:val="00233495"/>
    <w:rsid w:val="002343D5"/>
    <w:rsid w:val="00245013"/>
    <w:rsid w:val="002460E2"/>
    <w:rsid w:val="00247EF9"/>
    <w:rsid w:val="00247F27"/>
    <w:rsid w:val="00250288"/>
    <w:rsid w:val="0025233D"/>
    <w:rsid w:val="00252453"/>
    <w:rsid w:val="0025340F"/>
    <w:rsid w:val="00253CF6"/>
    <w:rsid w:val="00254A27"/>
    <w:rsid w:val="0025516B"/>
    <w:rsid w:val="00255389"/>
    <w:rsid w:val="002576E8"/>
    <w:rsid w:val="002601EF"/>
    <w:rsid w:val="00260C75"/>
    <w:rsid w:val="00261512"/>
    <w:rsid w:val="002618E9"/>
    <w:rsid w:val="0026301E"/>
    <w:rsid w:val="00264DF5"/>
    <w:rsid w:val="002655B2"/>
    <w:rsid w:val="00270F18"/>
    <w:rsid w:val="0027221F"/>
    <w:rsid w:val="00272325"/>
    <w:rsid w:val="0027342C"/>
    <w:rsid w:val="00274E36"/>
    <w:rsid w:val="0027784F"/>
    <w:rsid w:val="00281B7F"/>
    <w:rsid w:val="002835D6"/>
    <w:rsid w:val="0028492E"/>
    <w:rsid w:val="00284CB0"/>
    <w:rsid w:val="00287121"/>
    <w:rsid w:val="002874E5"/>
    <w:rsid w:val="00287D0C"/>
    <w:rsid w:val="00290293"/>
    <w:rsid w:val="00290605"/>
    <w:rsid w:val="00291773"/>
    <w:rsid w:val="00291C0D"/>
    <w:rsid w:val="00292151"/>
    <w:rsid w:val="002933F2"/>
    <w:rsid w:val="00295643"/>
    <w:rsid w:val="00296499"/>
    <w:rsid w:val="002A0AA3"/>
    <w:rsid w:val="002A3AD7"/>
    <w:rsid w:val="002A5A26"/>
    <w:rsid w:val="002A5C34"/>
    <w:rsid w:val="002B2383"/>
    <w:rsid w:val="002B4191"/>
    <w:rsid w:val="002B4C53"/>
    <w:rsid w:val="002B60B8"/>
    <w:rsid w:val="002B6A48"/>
    <w:rsid w:val="002C16EF"/>
    <w:rsid w:val="002C28F9"/>
    <w:rsid w:val="002C2E48"/>
    <w:rsid w:val="002C44AC"/>
    <w:rsid w:val="002C6AB9"/>
    <w:rsid w:val="002C6E9A"/>
    <w:rsid w:val="002D25C1"/>
    <w:rsid w:val="002D3DCC"/>
    <w:rsid w:val="002D500E"/>
    <w:rsid w:val="002D526D"/>
    <w:rsid w:val="002D5FB3"/>
    <w:rsid w:val="002D6BC3"/>
    <w:rsid w:val="002D7D6E"/>
    <w:rsid w:val="002E2618"/>
    <w:rsid w:val="002E366F"/>
    <w:rsid w:val="002E37C4"/>
    <w:rsid w:val="002E500A"/>
    <w:rsid w:val="002E5ECF"/>
    <w:rsid w:val="002F0059"/>
    <w:rsid w:val="002F0337"/>
    <w:rsid w:val="002F0A7D"/>
    <w:rsid w:val="002F0FD0"/>
    <w:rsid w:val="002F17CD"/>
    <w:rsid w:val="002F3C24"/>
    <w:rsid w:val="002F3E4E"/>
    <w:rsid w:val="002F69DA"/>
    <w:rsid w:val="002F74BF"/>
    <w:rsid w:val="002F7641"/>
    <w:rsid w:val="00300979"/>
    <w:rsid w:val="00303ABB"/>
    <w:rsid w:val="00303F6B"/>
    <w:rsid w:val="0030400C"/>
    <w:rsid w:val="00304069"/>
    <w:rsid w:val="00311938"/>
    <w:rsid w:val="003123A1"/>
    <w:rsid w:val="00315463"/>
    <w:rsid w:val="003174AC"/>
    <w:rsid w:val="003206B5"/>
    <w:rsid w:val="0032106F"/>
    <w:rsid w:val="003254B8"/>
    <w:rsid w:val="00326E03"/>
    <w:rsid w:val="00327710"/>
    <w:rsid w:val="00327790"/>
    <w:rsid w:val="0033293F"/>
    <w:rsid w:val="0033451D"/>
    <w:rsid w:val="00334E0F"/>
    <w:rsid w:val="00334EAC"/>
    <w:rsid w:val="00335AB9"/>
    <w:rsid w:val="00340DB5"/>
    <w:rsid w:val="0034161C"/>
    <w:rsid w:val="00342CC9"/>
    <w:rsid w:val="00342E63"/>
    <w:rsid w:val="003446F9"/>
    <w:rsid w:val="0034691E"/>
    <w:rsid w:val="00347899"/>
    <w:rsid w:val="00352F68"/>
    <w:rsid w:val="00362E56"/>
    <w:rsid w:val="003659B3"/>
    <w:rsid w:val="00365D81"/>
    <w:rsid w:val="00366231"/>
    <w:rsid w:val="00372901"/>
    <w:rsid w:val="003735BF"/>
    <w:rsid w:val="00373EAB"/>
    <w:rsid w:val="00377621"/>
    <w:rsid w:val="00380DF9"/>
    <w:rsid w:val="00381221"/>
    <w:rsid w:val="003860FC"/>
    <w:rsid w:val="00386868"/>
    <w:rsid w:val="0038770F"/>
    <w:rsid w:val="00387F25"/>
    <w:rsid w:val="00390ABB"/>
    <w:rsid w:val="00392F66"/>
    <w:rsid w:val="00396FA1"/>
    <w:rsid w:val="003A002D"/>
    <w:rsid w:val="003A2380"/>
    <w:rsid w:val="003A28E0"/>
    <w:rsid w:val="003A352F"/>
    <w:rsid w:val="003A3C62"/>
    <w:rsid w:val="003A443C"/>
    <w:rsid w:val="003A69A7"/>
    <w:rsid w:val="003B0385"/>
    <w:rsid w:val="003B2202"/>
    <w:rsid w:val="003B3FD4"/>
    <w:rsid w:val="003B6A01"/>
    <w:rsid w:val="003B7AFB"/>
    <w:rsid w:val="003C100F"/>
    <w:rsid w:val="003C1E8C"/>
    <w:rsid w:val="003C555F"/>
    <w:rsid w:val="003C791A"/>
    <w:rsid w:val="003D1B44"/>
    <w:rsid w:val="003D33A0"/>
    <w:rsid w:val="003D47BA"/>
    <w:rsid w:val="003D54DD"/>
    <w:rsid w:val="003D7B84"/>
    <w:rsid w:val="003E202E"/>
    <w:rsid w:val="003E2BD8"/>
    <w:rsid w:val="003E30F4"/>
    <w:rsid w:val="003E437F"/>
    <w:rsid w:val="003E7DB4"/>
    <w:rsid w:val="003F1B4B"/>
    <w:rsid w:val="003F1C9C"/>
    <w:rsid w:val="003F289E"/>
    <w:rsid w:val="003F2DBD"/>
    <w:rsid w:val="003F61B1"/>
    <w:rsid w:val="003F7B40"/>
    <w:rsid w:val="00400AEF"/>
    <w:rsid w:val="004018EE"/>
    <w:rsid w:val="004042B6"/>
    <w:rsid w:val="00405FD7"/>
    <w:rsid w:val="004062CF"/>
    <w:rsid w:val="00411676"/>
    <w:rsid w:val="00412E68"/>
    <w:rsid w:val="00414B76"/>
    <w:rsid w:val="004151EB"/>
    <w:rsid w:val="004164B7"/>
    <w:rsid w:val="00421636"/>
    <w:rsid w:val="00423DF1"/>
    <w:rsid w:val="00424FB7"/>
    <w:rsid w:val="0043095E"/>
    <w:rsid w:val="004325ED"/>
    <w:rsid w:val="004326F4"/>
    <w:rsid w:val="0044095A"/>
    <w:rsid w:val="00441B18"/>
    <w:rsid w:val="004423B9"/>
    <w:rsid w:val="00446A4F"/>
    <w:rsid w:val="00446CD5"/>
    <w:rsid w:val="00451019"/>
    <w:rsid w:val="004520B4"/>
    <w:rsid w:val="0045550D"/>
    <w:rsid w:val="00455D9E"/>
    <w:rsid w:val="0046014F"/>
    <w:rsid w:val="00460673"/>
    <w:rsid w:val="00461505"/>
    <w:rsid w:val="00461F08"/>
    <w:rsid w:val="004636C0"/>
    <w:rsid w:val="004640AF"/>
    <w:rsid w:val="004669DE"/>
    <w:rsid w:val="004705C5"/>
    <w:rsid w:val="00471B02"/>
    <w:rsid w:val="00472751"/>
    <w:rsid w:val="00472A12"/>
    <w:rsid w:val="00477BE0"/>
    <w:rsid w:val="00477E37"/>
    <w:rsid w:val="00480BB8"/>
    <w:rsid w:val="00481DA3"/>
    <w:rsid w:val="00484D27"/>
    <w:rsid w:val="0048782C"/>
    <w:rsid w:val="0049021E"/>
    <w:rsid w:val="004907E0"/>
    <w:rsid w:val="00491208"/>
    <w:rsid w:val="004918C0"/>
    <w:rsid w:val="004937DD"/>
    <w:rsid w:val="004942AE"/>
    <w:rsid w:val="004946A6"/>
    <w:rsid w:val="00494AB6"/>
    <w:rsid w:val="004954E0"/>
    <w:rsid w:val="004958F5"/>
    <w:rsid w:val="004961AD"/>
    <w:rsid w:val="00496502"/>
    <w:rsid w:val="004A136F"/>
    <w:rsid w:val="004A1FDE"/>
    <w:rsid w:val="004A3D1B"/>
    <w:rsid w:val="004A4006"/>
    <w:rsid w:val="004A704F"/>
    <w:rsid w:val="004A72A3"/>
    <w:rsid w:val="004A7891"/>
    <w:rsid w:val="004A79C4"/>
    <w:rsid w:val="004A7F58"/>
    <w:rsid w:val="004A7FC5"/>
    <w:rsid w:val="004B09B1"/>
    <w:rsid w:val="004B1769"/>
    <w:rsid w:val="004B5886"/>
    <w:rsid w:val="004B5BEF"/>
    <w:rsid w:val="004B5F5D"/>
    <w:rsid w:val="004B6904"/>
    <w:rsid w:val="004C00EA"/>
    <w:rsid w:val="004C04B7"/>
    <w:rsid w:val="004C22F6"/>
    <w:rsid w:val="004C3614"/>
    <w:rsid w:val="004C3C35"/>
    <w:rsid w:val="004C43A4"/>
    <w:rsid w:val="004C5301"/>
    <w:rsid w:val="004C54C7"/>
    <w:rsid w:val="004C6654"/>
    <w:rsid w:val="004C7286"/>
    <w:rsid w:val="004C780E"/>
    <w:rsid w:val="004C7A4E"/>
    <w:rsid w:val="004D1321"/>
    <w:rsid w:val="004D1DE4"/>
    <w:rsid w:val="004D27F6"/>
    <w:rsid w:val="004D291C"/>
    <w:rsid w:val="004D6621"/>
    <w:rsid w:val="004D6BA0"/>
    <w:rsid w:val="004E2B1E"/>
    <w:rsid w:val="004E2E75"/>
    <w:rsid w:val="004E40B7"/>
    <w:rsid w:val="004E4E04"/>
    <w:rsid w:val="004E53FE"/>
    <w:rsid w:val="004E7FB3"/>
    <w:rsid w:val="004F01FE"/>
    <w:rsid w:val="004F0E90"/>
    <w:rsid w:val="004F2B32"/>
    <w:rsid w:val="004F5A79"/>
    <w:rsid w:val="004F5C2F"/>
    <w:rsid w:val="004F7882"/>
    <w:rsid w:val="004F7C84"/>
    <w:rsid w:val="00500BEC"/>
    <w:rsid w:val="0050132E"/>
    <w:rsid w:val="005023D5"/>
    <w:rsid w:val="005043B0"/>
    <w:rsid w:val="005066AF"/>
    <w:rsid w:val="005071B2"/>
    <w:rsid w:val="005072D8"/>
    <w:rsid w:val="005107C8"/>
    <w:rsid w:val="00511CDA"/>
    <w:rsid w:val="00512795"/>
    <w:rsid w:val="005141A7"/>
    <w:rsid w:val="0051739D"/>
    <w:rsid w:val="00522314"/>
    <w:rsid w:val="005237F0"/>
    <w:rsid w:val="005243CD"/>
    <w:rsid w:val="0052464F"/>
    <w:rsid w:val="0053175C"/>
    <w:rsid w:val="00531D06"/>
    <w:rsid w:val="00532AAA"/>
    <w:rsid w:val="0053308D"/>
    <w:rsid w:val="005378B8"/>
    <w:rsid w:val="00540164"/>
    <w:rsid w:val="00542014"/>
    <w:rsid w:val="0054346B"/>
    <w:rsid w:val="005435DB"/>
    <w:rsid w:val="00544369"/>
    <w:rsid w:val="00544613"/>
    <w:rsid w:val="00546769"/>
    <w:rsid w:val="00547DA4"/>
    <w:rsid w:val="00550FBD"/>
    <w:rsid w:val="0055572C"/>
    <w:rsid w:val="00556FC6"/>
    <w:rsid w:val="005573C6"/>
    <w:rsid w:val="00557AD3"/>
    <w:rsid w:val="00561EBC"/>
    <w:rsid w:val="00563E97"/>
    <w:rsid w:val="00565CCF"/>
    <w:rsid w:val="005661EC"/>
    <w:rsid w:val="005663E4"/>
    <w:rsid w:val="00573A49"/>
    <w:rsid w:val="00574E16"/>
    <w:rsid w:val="005755BC"/>
    <w:rsid w:val="00575F0A"/>
    <w:rsid w:val="0057668A"/>
    <w:rsid w:val="005771A4"/>
    <w:rsid w:val="005779E2"/>
    <w:rsid w:val="005818B5"/>
    <w:rsid w:val="005834B9"/>
    <w:rsid w:val="00583949"/>
    <w:rsid w:val="00584708"/>
    <w:rsid w:val="00585330"/>
    <w:rsid w:val="0058564F"/>
    <w:rsid w:val="00585ABC"/>
    <w:rsid w:val="00585DD3"/>
    <w:rsid w:val="00586FD8"/>
    <w:rsid w:val="00587497"/>
    <w:rsid w:val="00591520"/>
    <w:rsid w:val="005921EF"/>
    <w:rsid w:val="00592336"/>
    <w:rsid w:val="00593CBE"/>
    <w:rsid w:val="00593E59"/>
    <w:rsid w:val="00594E66"/>
    <w:rsid w:val="005A3C6C"/>
    <w:rsid w:val="005A3E08"/>
    <w:rsid w:val="005A42A9"/>
    <w:rsid w:val="005A74A0"/>
    <w:rsid w:val="005A7BC9"/>
    <w:rsid w:val="005B270F"/>
    <w:rsid w:val="005B2C58"/>
    <w:rsid w:val="005B2E93"/>
    <w:rsid w:val="005B5AE6"/>
    <w:rsid w:val="005B6A38"/>
    <w:rsid w:val="005B7029"/>
    <w:rsid w:val="005C0D05"/>
    <w:rsid w:val="005C11FD"/>
    <w:rsid w:val="005C1216"/>
    <w:rsid w:val="005C19E8"/>
    <w:rsid w:val="005C2666"/>
    <w:rsid w:val="005C3A34"/>
    <w:rsid w:val="005C674E"/>
    <w:rsid w:val="005C6A03"/>
    <w:rsid w:val="005C7D35"/>
    <w:rsid w:val="005D024B"/>
    <w:rsid w:val="005D0642"/>
    <w:rsid w:val="005D2303"/>
    <w:rsid w:val="005D2AD2"/>
    <w:rsid w:val="005D3064"/>
    <w:rsid w:val="005D58AC"/>
    <w:rsid w:val="005E2236"/>
    <w:rsid w:val="005E264D"/>
    <w:rsid w:val="005E2D2F"/>
    <w:rsid w:val="005E5CC6"/>
    <w:rsid w:val="005E63A2"/>
    <w:rsid w:val="005E774D"/>
    <w:rsid w:val="005F01C2"/>
    <w:rsid w:val="005F04FD"/>
    <w:rsid w:val="005F06C7"/>
    <w:rsid w:val="005F1EE8"/>
    <w:rsid w:val="005F2F90"/>
    <w:rsid w:val="005F39C8"/>
    <w:rsid w:val="005F4586"/>
    <w:rsid w:val="005F5799"/>
    <w:rsid w:val="005F7192"/>
    <w:rsid w:val="0060186C"/>
    <w:rsid w:val="00602BAA"/>
    <w:rsid w:val="0060647F"/>
    <w:rsid w:val="00606B5E"/>
    <w:rsid w:val="00606E41"/>
    <w:rsid w:val="00611BE0"/>
    <w:rsid w:val="00612D48"/>
    <w:rsid w:val="00615565"/>
    <w:rsid w:val="00616336"/>
    <w:rsid w:val="00617D7F"/>
    <w:rsid w:val="0062117E"/>
    <w:rsid w:val="00622701"/>
    <w:rsid w:val="006246A4"/>
    <w:rsid w:val="00624E68"/>
    <w:rsid w:val="00626509"/>
    <w:rsid w:val="006308C2"/>
    <w:rsid w:val="0063148C"/>
    <w:rsid w:val="00631828"/>
    <w:rsid w:val="00634042"/>
    <w:rsid w:val="00634D3F"/>
    <w:rsid w:val="0063553D"/>
    <w:rsid w:val="0064043D"/>
    <w:rsid w:val="006406A0"/>
    <w:rsid w:val="00641E0D"/>
    <w:rsid w:val="00642B4E"/>
    <w:rsid w:val="0064444A"/>
    <w:rsid w:val="006453A2"/>
    <w:rsid w:val="006460B8"/>
    <w:rsid w:val="0064719F"/>
    <w:rsid w:val="00651A0E"/>
    <w:rsid w:val="00655706"/>
    <w:rsid w:val="0065697C"/>
    <w:rsid w:val="006613FA"/>
    <w:rsid w:val="0066398A"/>
    <w:rsid w:val="006666FC"/>
    <w:rsid w:val="00667F84"/>
    <w:rsid w:val="00671F20"/>
    <w:rsid w:val="0068600C"/>
    <w:rsid w:val="00694B6D"/>
    <w:rsid w:val="00695C90"/>
    <w:rsid w:val="006A2186"/>
    <w:rsid w:val="006A650F"/>
    <w:rsid w:val="006A7765"/>
    <w:rsid w:val="006A784F"/>
    <w:rsid w:val="006A7F29"/>
    <w:rsid w:val="006B06D1"/>
    <w:rsid w:val="006B3B42"/>
    <w:rsid w:val="006B42DE"/>
    <w:rsid w:val="006B7B53"/>
    <w:rsid w:val="006B7F60"/>
    <w:rsid w:val="006C5EC5"/>
    <w:rsid w:val="006C61EB"/>
    <w:rsid w:val="006C76E2"/>
    <w:rsid w:val="006C78C2"/>
    <w:rsid w:val="006C7CA5"/>
    <w:rsid w:val="006D6AD6"/>
    <w:rsid w:val="006D6CA0"/>
    <w:rsid w:val="006D7087"/>
    <w:rsid w:val="006E134E"/>
    <w:rsid w:val="006E381D"/>
    <w:rsid w:val="006E3917"/>
    <w:rsid w:val="006E4026"/>
    <w:rsid w:val="006E6AB8"/>
    <w:rsid w:val="006F07A0"/>
    <w:rsid w:val="006F2143"/>
    <w:rsid w:val="006F24E5"/>
    <w:rsid w:val="006F3FD2"/>
    <w:rsid w:val="006F4022"/>
    <w:rsid w:val="006F5358"/>
    <w:rsid w:val="006F551B"/>
    <w:rsid w:val="00700677"/>
    <w:rsid w:val="00700925"/>
    <w:rsid w:val="00701A17"/>
    <w:rsid w:val="00702286"/>
    <w:rsid w:val="00705952"/>
    <w:rsid w:val="007112CB"/>
    <w:rsid w:val="00711F69"/>
    <w:rsid w:val="007156A1"/>
    <w:rsid w:val="0071764B"/>
    <w:rsid w:val="00723D45"/>
    <w:rsid w:val="00724C7B"/>
    <w:rsid w:val="0072556A"/>
    <w:rsid w:val="0072710D"/>
    <w:rsid w:val="0073190B"/>
    <w:rsid w:val="00732E28"/>
    <w:rsid w:val="00735EE9"/>
    <w:rsid w:val="00736B7B"/>
    <w:rsid w:val="00737499"/>
    <w:rsid w:val="00737792"/>
    <w:rsid w:val="00743438"/>
    <w:rsid w:val="00743682"/>
    <w:rsid w:val="0074397F"/>
    <w:rsid w:val="00744C3A"/>
    <w:rsid w:val="00745375"/>
    <w:rsid w:val="00745E38"/>
    <w:rsid w:val="00747006"/>
    <w:rsid w:val="00747B58"/>
    <w:rsid w:val="007501A9"/>
    <w:rsid w:val="00752146"/>
    <w:rsid w:val="007524BD"/>
    <w:rsid w:val="0075286B"/>
    <w:rsid w:val="007560F6"/>
    <w:rsid w:val="007573E4"/>
    <w:rsid w:val="007608DC"/>
    <w:rsid w:val="00761D77"/>
    <w:rsid w:val="007628CD"/>
    <w:rsid w:val="0076326E"/>
    <w:rsid w:val="00764A2B"/>
    <w:rsid w:val="00765617"/>
    <w:rsid w:val="0076681A"/>
    <w:rsid w:val="00766D68"/>
    <w:rsid w:val="007719D4"/>
    <w:rsid w:val="007770F9"/>
    <w:rsid w:val="007865EF"/>
    <w:rsid w:val="007874A9"/>
    <w:rsid w:val="0078783A"/>
    <w:rsid w:val="00790448"/>
    <w:rsid w:val="007917FF"/>
    <w:rsid w:val="0079457A"/>
    <w:rsid w:val="00794F22"/>
    <w:rsid w:val="0079759B"/>
    <w:rsid w:val="007A12BA"/>
    <w:rsid w:val="007A2276"/>
    <w:rsid w:val="007A3CA8"/>
    <w:rsid w:val="007A3CB6"/>
    <w:rsid w:val="007A4154"/>
    <w:rsid w:val="007A4908"/>
    <w:rsid w:val="007A503B"/>
    <w:rsid w:val="007B1219"/>
    <w:rsid w:val="007B3A9C"/>
    <w:rsid w:val="007C0AB4"/>
    <w:rsid w:val="007C1A46"/>
    <w:rsid w:val="007C1E5C"/>
    <w:rsid w:val="007C1F62"/>
    <w:rsid w:val="007C2555"/>
    <w:rsid w:val="007C49DA"/>
    <w:rsid w:val="007C56CF"/>
    <w:rsid w:val="007D4D42"/>
    <w:rsid w:val="007D7097"/>
    <w:rsid w:val="007D743F"/>
    <w:rsid w:val="007E39AD"/>
    <w:rsid w:val="007E4CD0"/>
    <w:rsid w:val="007E6781"/>
    <w:rsid w:val="007E68CB"/>
    <w:rsid w:val="007F1FC0"/>
    <w:rsid w:val="007F2B95"/>
    <w:rsid w:val="007F627E"/>
    <w:rsid w:val="007F6B8C"/>
    <w:rsid w:val="007F729D"/>
    <w:rsid w:val="00802033"/>
    <w:rsid w:val="008049CE"/>
    <w:rsid w:val="00804C59"/>
    <w:rsid w:val="0080667B"/>
    <w:rsid w:val="00806EC0"/>
    <w:rsid w:val="00807CF3"/>
    <w:rsid w:val="00810D1E"/>
    <w:rsid w:val="00811386"/>
    <w:rsid w:val="00813939"/>
    <w:rsid w:val="00816257"/>
    <w:rsid w:val="00820815"/>
    <w:rsid w:val="008223AB"/>
    <w:rsid w:val="00822A38"/>
    <w:rsid w:val="0082322C"/>
    <w:rsid w:val="00823674"/>
    <w:rsid w:val="008242C7"/>
    <w:rsid w:val="0082485B"/>
    <w:rsid w:val="008257FD"/>
    <w:rsid w:val="00825882"/>
    <w:rsid w:val="00825C4F"/>
    <w:rsid w:val="008265D7"/>
    <w:rsid w:val="00827D46"/>
    <w:rsid w:val="0083133A"/>
    <w:rsid w:val="0083359A"/>
    <w:rsid w:val="00836D7F"/>
    <w:rsid w:val="00837097"/>
    <w:rsid w:val="008377B4"/>
    <w:rsid w:val="008403F9"/>
    <w:rsid w:val="008420C6"/>
    <w:rsid w:val="00843784"/>
    <w:rsid w:val="00843A53"/>
    <w:rsid w:val="00846380"/>
    <w:rsid w:val="008504AA"/>
    <w:rsid w:val="00850BD9"/>
    <w:rsid w:val="008538E7"/>
    <w:rsid w:val="00857518"/>
    <w:rsid w:val="0086103E"/>
    <w:rsid w:val="00862FCC"/>
    <w:rsid w:val="00862FE9"/>
    <w:rsid w:val="00863BC1"/>
    <w:rsid w:val="0086487B"/>
    <w:rsid w:val="00865CD3"/>
    <w:rsid w:val="00865F45"/>
    <w:rsid w:val="00867019"/>
    <w:rsid w:val="00874603"/>
    <w:rsid w:val="00874E1A"/>
    <w:rsid w:val="00875468"/>
    <w:rsid w:val="00876CBD"/>
    <w:rsid w:val="008773BF"/>
    <w:rsid w:val="00881FE6"/>
    <w:rsid w:val="00882605"/>
    <w:rsid w:val="0088395F"/>
    <w:rsid w:val="0088532B"/>
    <w:rsid w:val="00891AA0"/>
    <w:rsid w:val="00893659"/>
    <w:rsid w:val="00895250"/>
    <w:rsid w:val="008A3CF6"/>
    <w:rsid w:val="008A46EB"/>
    <w:rsid w:val="008B0296"/>
    <w:rsid w:val="008B44D9"/>
    <w:rsid w:val="008B4F8A"/>
    <w:rsid w:val="008C34F9"/>
    <w:rsid w:val="008C3899"/>
    <w:rsid w:val="008C5025"/>
    <w:rsid w:val="008C6323"/>
    <w:rsid w:val="008D1C3D"/>
    <w:rsid w:val="008D46A8"/>
    <w:rsid w:val="008D52E3"/>
    <w:rsid w:val="008D56BF"/>
    <w:rsid w:val="008D6067"/>
    <w:rsid w:val="008D7BDC"/>
    <w:rsid w:val="008E392B"/>
    <w:rsid w:val="008E7B39"/>
    <w:rsid w:val="008F0B7B"/>
    <w:rsid w:val="008F127C"/>
    <w:rsid w:val="008F4A18"/>
    <w:rsid w:val="008F5A20"/>
    <w:rsid w:val="008F6FED"/>
    <w:rsid w:val="008F703A"/>
    <w:rsid w:val="008F7841"/>
    <w:rsid w:val="00902661"/>
    <w:rsid w:val="009061CB"/>
    <w:rsid w:val="0090705D"/>
    <w:rsid w:val="00907A34"/>
    <w:rsid w:val="0091094B"/>
    <w:rsid w:val="00911943"/>
    <w:rsid w:val="00915F20"/>
    <w:rsid w:val="0091761C"/>
    <w:rsid w:val="00917D41"/>
    <w:rsid w:val="00921737"/>
    <w:rsid w:val="00930109"/>
    <w:rsid w:val="00930DF9"/>
    <w:rsid w:val="00931B0C"/>
    <w:rsid w:val="00932F11"/>
    <w:rsid w:val="00933204"/>
    <w:rsid w:val="00933641"/>
    <w:rsid w:val="00940877"/>
    <w:rsid w:val="009443CA"/>
    <w:rsid w:val="009503A1"/>
    <w:rsid w:val="009508EA"/>
    <w:rsid w:val="009519B5"/>
    <w:rsid w:val="0095236F"/>
    <w:rsid w:val="009563EC"/>
    <w:rsid w:val="00956C23"/>
    <w:rsid w:val="00957938"/>
    <w:rsid w:val="00961C87"/>
    <w:rsid w:val="0096248C"/>
    <w:rsid w:val="00962E21"/>
    <w:rsid w:val="00965BB2"/>
    <w:rsid w:val="00972127"/>
    <w:rsid w:val="009734E6"/>
    <w:rsid w:val="00974A24"/>
    <w:rsid w:val="00975206"/>
    <w:rsid w:val="009766D1"/>
    <w:rsid w:val="00976768"/>
    <w:rsid w:val="00977045"/>
    <w:rsid w:val="009776D8"/>
    <w:rsid w:val="00977FB3"/>
    <w:rsid w:val="00980F0E"/>
    <w:rsid w:val="00982BEF"/>
    <w:rsid w:val="00982EE3"/>
    <w:rsid w:val="00984686"/>
    <w:rsid w:val="00985443"/>
    <w:rsid w:val="00987666"/>
    <w:rsid w:val="00987888"/>
    <w:rsid w:val="0099152A"/>
    <w:rsid w:val="00991AAA"/>
    <w:rsid w:val="00992675"/>
    <w:rsid w:val="0099360F"/>
    <w:rsid w:val="009953FA"/>
    <w:rsid w:val="00995572"/>
    <w:rsid w:val="009962A1"/>
    <w:rsid w:val="00996BF2"/>
    <w:rsid w:val="009974F3"/>
    <w:rsid w:val="00997709"/>
    <w:rsid w:val="009A0CC4"/>
    <w:rsid w:val="009A1511"/>
    <w:rsid w:val="009A3A4C"/>
    <w:rsid w:val="009A53D7"/>
    <w:rsid w:val="009A66FB"/>
    <w:rsid w:val="009A7379"/>
    <w:rsid w:val="009A7848"/>
    <w:rsid w:val="009B0927"/>
    <w:rsid w:val="009B0A08"/>
    <w:rsid w:val="009B13D9"/>
    <w:rsid w:val="009B2243"/>
    <w:rsid w:val="009B44C4"/>
    <w:rsid w:val="009B5697"/>
    <w:rsid w:val="009B7BB0"/>
    <w:rsid w:val="009B7BC9"/>
    <w:rsid w:val="009B7FFD"/>
    <w:rsid w:val="009C04AA"/>
    <w:rsid w:val="009C226A"/>
    <w:rsid w:val="009C2654"/>
    <w:rsid w:val="009C6954"/>
    <w:rsid w:val="009C7FA2"/>
    <w:rsid w:val="009D056B"/>
    <w:rsid w:val="009D0BD5"/>
    <w:rsid w:val="009D1890"/>
    <w:rsid w:val="009D47D9"/>
    <w:rsid w:val="009D4AD8"/>
    <w:rsid w:val="009E28D3"/>
    <w:rsid w:val="009E316D"/>
    <w:rsid w:val="009E4F88"/>
    <w:rsid w:val="009E532D"/>
    <w:rsid w:val="009E57A9"/>
    <w:rsid w:val="009F28D5"/>
    <w:rsid w:val="009F4E9D"/>
    <w:rsid w:val="009F6C26"/>
    <w:rsid w:val="009F7205"/>
    <w:rsid w:val="00A00542"/>
    <w:rsid w:val="00A0225E"/>
    <w:rsid w:val="00A05713"/>
    <w:rsid w:val="00A06847"/>
    <w:rsid w:val="00A075F1"/>
    <w:rsid w:val="00A120C6"/>
    <w:rsid w:val="00A1724E"/>
    <w:rsid w:val="00A213DF"/>
    <w:rsid w:val="00A2241A"/>
    <w:rsid w:val="00A22BB0"/>
    <w:rsid w:val="00A24161"/>
    <w:rsid w:val="00A25F3B"/>
    <w:rsid w:val="00A26E6E"/>
    <w:rsid w:val="00A27C07"/>
    <w:rsid w:val="00A352CE"/>
    <w:rsid w:val="00A4031A"/>
    <w:rsid w:val="00A40E24"/>
    <w:rsid w:val="00A40E7D"/>
    <w:rsid w:val="00A4500E"/>
    <w:rsid w:val="00A45B75"/>
    <w:rsid w:val="00A47236"/>
    <w:rsid w:val="00A50E03"/>
    <w:rsid w:val="00A518B1"/>
    <w:rsid w:val="00A51BF5"/>
    <w:rsid w:val="00A51C72"/>
    <w:rsid w:val="00A53D4E"/>
    <w:rsid w:val="00A53D9A"/>
    <w:rsid w:val="00A54A6C"/>
    <w:rsid w:val="00A55D21"/>
    <w:rsid w:val="00A60A84"/>
    <w:rsid w:val="00A61F13"/>
    <w:rsid w:val="00A63F98"/>
    <w:rsid w:val="00A65D9E"/>
    <w:rsid w:val="00A6661C"/>
    <w:rsid w:val="00A705B1"/>
    <w:rsid w:val="00A70FAE"/>
    <w:rsid w:val="00A71E53"/>
    <w:rsid w:val="00A72556"/>
    <w:rsid w:val="00A7312A"/>
    <w:rsid w:val="00A74345"/>
    <w:rsid w:val="00A751F8"/>
    <w:rsid w:val="00A83FDB"/>
    <w:rsid w:val="00A840D1"/>
    <w:rsid w:val="00A84618"/>
    <w:rsid w:val="00A856C3"/>
    <w:rsid w:val="00A85DC3"/>
    <w:rsid w:val="00A86445"/>
    <w:rsid w:val="00A91232"/>
    <w:rsid w:val="00A94AC6"/>
    <w:rsid w:val="00A94CBA"/>
    <w:rsid w:val="00A953E4"/>
    <w:rsid w:val="00A958D7"/>
    <w:rsid w:val="00A964BA"/>
    <w:rsid w:val="00A9741D"/>
    <w:rsid w:val="00AA251A"/>
    <w:rsid w:val="00AA2DB1"/>
    <w:rsid w:val="00AB03D4"/>
    <w:rsid w:val="00AB0650"/>
    <w:rsid w:val="00AB0D31"/>
    <w:rsid w:val="00AB1067"/>
    <w:rsid w:val="00AB1E12"/>
    <w:rsid w:val="00AB1F7F"/>
    <w:rsid w:val="00AB34B6"/>
    <w:rsid w:val="00AB4976"/>
    <w:rsid w:val="00AB4B83"/>
    <w:rsid w:val="00AB7ACB"/>
    <w:rsid w:val="00AC1BFD"/>
    <w:rsid w:val="00AC4041"/>
    <w:rsid w:val="00AC46F1"/>
    <w:rsid w:val="00AC4894"/>
    <w:rsid w:val="00AC761B"/>
    <w:rsid w:val="00AC79AD"/>
    <w:rsid w:val="00AD1647"/>
    <w:rsid w:val="00AD376F"/>
    <w:rsid w:val="00AD4E35"/>
    <w:rsid w:val="00AE34CB"/>
    <w:rsid w:val="00AE4B51"/>
    <w:rsid w:val="00AE54D3"/>
    <w:rsid w:val="00AF007C"/>
    <w:rsid w:val="00AF0482"/>
    <w:rsid w:val="00AF13E9"/>
    <w:rsid w:val="00AF5389"/>
    <w:rsid w:val="00AF6427"/>
    <w:rsid w:val="00B01E11"/>
    <w:rsid w:val="00B02EEA"/>
    <w:rsid w:val="00B03260"/>
    <w:rsid w:val="00B065CC"/>
    <w:rsid w:val="00B067E2"/>
    <w:rsid w:val="00B076C0"/>
    <w:rsid w:val="00B10C1B"/>
    <w:rsid w:val="00B13542"/>
    <w:rsid w:val="00B1511A"/>
    <w:rsid w:val="00B15BC9"/>
    <w:rsid w:val="00B165A1"/>
    <w:rsid w:val="00B20DBD"/>
    <w:rsid w:val="00B217D1"/>
    <w:rsid w:val="00B24267"/>
    <w:rsid w:val="00B27EF8"/>
    <w:rsid w:val="00B36E60"/>
    <w:rsid w:val="00B40EEE"/>
    <w:rsid w:val="00B410F8"/>
    <w:rsid w:val="00B41128"/>
    <w:rsid w:val="00B413FB"/>
    <w:rsid w:val="00B41601"/>
    <w:rsid w:val="00B4356C"/>
    <w:rsid w:val="00B438C4"/>
    <w:rsid w:val="00B4675B"/>
    <w:rsid w:val="00B469CA"/>
    <w:rsid w:val="00B50CD4"/>
    <w:rsid w:val="00B50E3F"/>
    <w:rsid w:val="00B518C1"/>
    <w:rsid w:val="00B51997"/>
    <w:rsid w:val="00B5302F"/>
    <w:rsid w:val="00B535ED"/>
    <w:rsid w:val="00B53F0E"/>
    <w:rsid w:val="00B545C9"/>
    <w:rsid w:val="00B56777"/>
    <w:rsid w:val="00B57387"/>
    <w:rsid w:val="00B61935"/>
    <w:rsid w:val="00B64EC1"/>
    <w:rsid w:val="00B70EBE"/>
    <w:rsid w:val="00B71B0B"/>
    <w:rsid w:val="00B72F32"/>
    <w:rsid w:val="00B745A6"/>
    <w:rsid w:val="00B76514"/>
    <w:rsid w:val="00B80182"/>
    <w:rsid w:val="00B80D3F"/>
    <w:rsid w:val="00B80ED5"/>
    <w:rsid w:val="00B83FCD"/>
    <w:rsid w:val="00B8421C"/>
    <w:rsid w:val="00B852EB"/>
    <w:rsid w:val="00B8544B"/>
    <w:rsid w:val="00B85521"/>
    <w:rsid w:val="00B90ACF"/>
    <w:rsid w:val="00B92E8B"/>
    <w:rsid w:val="00B92FAB"/>
    <w:rsid w:val="00B95070"/>
    <w:rsid w:val="00B951B6"/>
    <w:rsid w:val="00BA0997"/>
    <w:rsid w:val="00BA0AEC"/>
    <w:rsid w:val="00BA0D47"/>
    <w:rsid w:val="00BA0F8A"/>
    <w:rsid w:val="00BA1971"/>
    <w:rsid w:val="00BA1A39"/>
    <w:rsid w:val="00BA4FFB"/>
    <w:rsid w:val="00BA7A22"/>
    <w:rsid w:val="00BB05ED"/>
    <w:rsid w:val="00BB0894"/>
    <w:rsid w:val="00BB09EB"/>
    <w:rsid w:val="00BB1494"/>
    <w:rsid w:val="00BB1D7B"/>
    <w:rsid w:val="00BB243B"/>
    <w:rsid w:val="00BB359D"/>
    <w:rsid w:val="00BB4E51"/>
    <w:rsid w:val="00BB4EB1"/>
    <w:rsid w:val="00BB5C46"/>
    <w:rsid w:val="00BC03E6"/>
    <w:rsid w:val="00BC059E"/>
    <w:rsid w:val="00BC1FB0"/>
    <w:rsid w:val="00BC21FF"/>
    <w:rsid w:val="00BC226F"/>
    <w:rsid w:val="00BC24E3"/>
    <w:rsid w:val="00BC3E1D"/>
    <w:rsid w:val="00BC3F0F"/>
    <w:rsid w:val="00BC556A"/>
    <w:rsid w:val="00BC6427"/>
    <w:rsid w:val="00BC6CF9"/>
    <w:rsid w:val="00BC731F"/>
    <w:rsid w:val="00BD2DDC"/>
    <w:rsid w:val="00BD2EE6"/>
    <w:rsid w:val="00BD55A8"/>
    <w:rsid w:val="00BD6D4D"/>
    <w:rsid w:val="00BE38A3"/>
    <w:rsid w:val="00BF1A84"/>
    <w:rsid w:val="00C0005F"/>
    <w:rsid w:val="00C029FA"/>
    <w:rsid w:val="00C02B57"/>
    <w:rsid w:val="00C02CC0"/>
    <w:rsid w:val="00C0489F"/>
    <w:rsid w:val="00C07289"/>
    <w:rsid w:val="00C07964"/>
    <w:rsid w:val="00C07D55"/>
    <w:rsid w:val="00C10EF8"/>
    <w:rsid w:val="00C11178"/>
    <w:rsid w:val="00C120E4"/>
    <w:rsid w:val="00C122F6"/>
    <w:rsid w:val="00C12F34"/>
    <w:rsid w:val="00C157E0"/>
    <w:rsid w:val="00C206B7"/>
    <w:rsid w:val="00C22067"/>
    <w:rsid w:val="00C220CA"/>
    <w:rsid w:val="00C22BB6"/>
    <w:rsid w:val="00C25BC3"/>
    <w:rsid w:val="00C308DA"/>
    <w:rsid w:val="00C30ACE"/>
    <w:rsid w:val="00C30FA0"/>
    <w:rsid w:val="00C3125E"/>
    <w:rsid w:val="00C32FB8"/>
    <w:rsid w:val="00C3444F"/>
    <w:rsid w:val="00C348F4"/>
    <w:rsid w:val="00C35570"/>
    <w:rsid w:val="00C36459"/>
    <w:rsid w:val="00C36731"/>
    <w:rsid w:val="00C4078A"/>
    <w:rsid w:val="00C40807"/>
    <w:rsid w:val="00C410B3"/>
    <w:rsid w:val="00C4158D"/>
    <w:rsid w:val="00C443C3"/>
    <w:rsid w:val="00C47037"/>
    <w:rsid w:val="00C50095"/>
    <w:rsid w:val="00C5124F"/>
    <w:rsid w:val="00C52FD3"/>
    <w:rsid w:val="00C55006"/>
    <w:rsid w:val="00C55D58"/>
    <w:rsid w:val="00C57E59"/>
    <w:rsid w:val="00C616E7"/>
    <w:rsid w:val="00C61F0B"/>
    <w:rsid w:val="00C62A85"/>
    <w:rsid w:val="00C64AB1"/>
    <w:rsid w:val="00C65AC4"/>
    <w:rsid w:val="00C66F19"/>
    <w:rsid w:val="00C67F37"/>
    <w:rsid w:val="00C72527"/>
    <w:rsid w:val="00C74F5F"/>
    <w:rsid w:val="00C77235"/>
    <w:rsid w:val="00C82381"/>
    <w:rsid w:val="00C839C8"/>
    <w:rsid w:val="00C8432D"/>
    <w:rsid w:val="00C85AFF"/>
    <w:rsid w:val="00C87A70"/>
    <w:rsid w:val="00C913C1"/>
    <w:rsid w:val="00CA07F6"/>
    <w:rsid w:val="00CA1315"/>
    <w:rsid w:val="00CA3CA8"/>
    <w:rsid w:val="00CA4F8D"/>
    <w:rsid w:val="00CA5062"/>
    <w:rsid w:val="00CA521E"/>
    <w:rsid w:val="00CA540C"/>
    <w:rsid w:val="00CA6CDB"/>
    <w:rsid w:val="00CA7B6F"/>
    <w:rsid w:val="00CB0F1E"/>
    <w:rsid w:val="00CB2AA8"/>
    <w:rsid w:val="00CB4050"/>
    <w:rsid w:val="00CB422D"/>
    <w:rsid w:val="00CB7ED7"/>
    <w:rsid w:val="00CC00F0"/>
    <w:rsid w:val="00CC020F"/>
    <w:rsid w:val="00CC03FC"/>
    <w:rsid w:val="00CC1A78"/>
    <w:rsid w:val="00CC2B79"/>
    <w:rsid w:val="00CC3421"/>
    <w:rsid w:val="00CC4266"/>
    <w:rsid w:val="00CC558C"/>
    <w:rsid w:val="00CC5D30"/>
    <w:rsid w:val="00CC71C4"/>
    <w:rsid w:val="00CD4807"/>
    <w:rsid w:val="00CD4E5A"/>
    <w:rsid w:val="00CD67FF"/>
    <w:rsid w:val="00CD69E9"/>
    <w:rsid w:val="00CD7814"/>
    <w:rsid w:val="00CE0309"/>
    <w:rsid w:val="00CE06B9"/>
    <w:rsid w:val="00CE07CE"/>
    <w:rsid w:val="00CE16E0"/>
    <w:rsid w:val="00CE2E3A"/>
    <w:rsid w:val="00CE4D96"/>
    <w:rsid w:val="00CE50DF"/>
    <w:rsid w:val="00CE641A"/>
    <w:rsid w:val="00CE648C"/>
    <w:rsid w:val="00CE69C8"/>
    <w:rsid w:val="00CF120A"/>
    <w:rsid w:val="00CF54B6"/>
    <w:rsid w:val="00CF69C6"/>
    <w:rsid w:val="00D03B2D"/>
    <w:rsid w:val="00D03BB3"/>
    <w:rsid w:val="00D10526"/>
    <w:rsid w:val="00D12718"/>
    <w:rsid w:val="00D13E9B"/>
    <w:rsid w:val="00D14641"/>
    <w:rsid w:val="00D15E88"/>
    <w:rsid w:val="00D1618B"/>
    <w:rsid w:val="00D20858"/>
    <w:rsid w:val="00D209F3"/>
    <w:rsid w:val="00D27777"/>
    <w:rsid w:val="00D323F9"/>
    <w:rsid w:val="00D358A3"/>
    <w:rsid w:val="00D37924"/>
    <w:rsid w:val="00D4041C"/>
    <w:rsid w:val="00D41B40"/>
    <w:rsid w:val="00D41FEC"/>
    <w:rsid w:val="00D441EC"/>
    <w:rsid w:val="00D44B7E"/>
    <w:rsid w:val="00D44F35"/>
    <w:rsid w:val="00D4534E"/>
    <w:rsid w:val="00D4730D"/>
    <w:rsid w:val="00D47ED2"/>
    <w:rsid w:val="00D508EC"/>
    <w:rsid w:val="00D514BC"/>
    <w:rsid w:val="00D524B0"/>
    <w:rsid w:val="00D54E10"/>
    <w:rsid w:val="00D55984"/>
    <w:rsid w:val="00D56E53"/>
    <w:rsid w:val="00D611BB"/>
    <w:rsid w:val="00D61AF6"/>
    <w:rsid w:val="00D6444A"/>
    <w:rsid w:val="00D64608"/>
    <w:rsid w:val="00D65397"/>
    <w:rsid w:val="00D653A2"/>
    <w:rsid w:val="00D71450"/>
    <w:rsid w:val="00D7689F"/>
    <w:rsid w:val="00D7773F"/>
    <w:rsid w:val="00D77F1D"/>
    <w:rsid w:val="00D77F1F"/>
    <w:rsid w:val="00D83620"/>
    <w:rsid w:val="00D85FD8"/>
    <w:rsid w:val="00D8620F"/>
    <w:rsid w:val="00D86218"/>
    <w:rsid w:val="00D900AA"/>
    <w:rsid w:val="00D91CEA"/>
    <w:rsid w:val="00D9260D"/>
    <w:rsid w:val="00D95427"/>
    <w:rsid w:val="00DA1402"/>
    <w:rsid w:val="00DA3267"/>
    <w:rsid w:val="00DB23D7"/>
    <w:rsid w:val="00DB3B85"/>
    <w:rsid w:val="00DB47AC"/>
    <w:rsid w:val="00DB4C8C"/>
    <w:rsid w:val="00DB6256"/>
    <w:rsid w:val="00DB6CB6"/>
    <w:rsid w:val="00DC2885"/>
    <w:rsid w:val="00DC3E39"/>
    <w:rsid w:val="00DC570A"/>
    <w:rsid w:val="00DC6265"/>
    <w:rsid w:val="00DD1EDA"/>
    <w:rsid w:val="00DD3627"/>
    <w:rsid w:val="00DD4169"/>
    <w:rsid w:val="00DD723C"/>
    <w:rsid w:val="00DD7691"/>
    <w:rsid w:val="00DE2126"/>
    <w:rsid w:val="00DE29D4"/>
    <w:rsid w:val="00DE3E90"/>
    <w:rsid w:val="00DE4256"/>
    <w:rsid w:val="00DE6A78"/>
    <w:rsid w:val="00DE6C8D"/>
    <w:rsid w:val="00DF1397"/>
    <w:rsid w:val="00DF431E"/>
    <w:rsid w:val="00DF5DE4"/>
    <w:rsid w:val="00DF7EA4"/>
    <w:rsid w:val="00E05F28"/>
    <w:rsid w:val="00E07C2B"/>
    <w:rsid w:val="00E103B3"/>
    <w:rsid w:val="00E10691"/>
    <w:rsid w:val="00E10FA8"/>
    <w:rsid w:val="00E1330A"/>
    <w:rsid w:val="00E13984"/>
    <w:rsid w:val="00E1702C"/>
    <w:rsid w:val="00E17374"/>
    <w:rsid w:val="00E203AE"/>
    <w:rsid w:val="00E20B45"/>
    <w:rsid w:val="00E21AB1"/>
    <w:rsid w:val="00E22755"/>
    <w:rsid w:val="00E228B9"/>
    <w:rsid w:val="00E235F5"/>
    <w:rsid w:val="00E24F57"/>
    <w:rsid w:val="00E2695B"/>
    <w:rsid w:val="00E26F68"/>
    <w:rsid w:val="00E30AA1"/>
    <w:rsid w:val="00E31BB6"/>
    <w:rsid w:val="00E32263"/>
    <w:rsid w:val="00E3320C"/>
    <w:rsid w:val="00E41DAF"/>
    <w:rsid w:val="00E4610D"/>
    <w:rsid w:val="00E5110D"/>
    <w:rsid w:val="00E517CD"/>
    <w:rsid w:val="00E53414"/>
    <w:rsid w:val="00E53972"/>
    <w:rsid w:val="00E57425"/>
    <w:rsid w:val="00E57C30"/>
    <w:rsid w:val="00E6069D"/>
    <w:rsid w:val="00E6104E"/>
    <w:rsid w:val="00E64BCA"/>
    <w:rsid w:val="00E6552A"/>
    <w:rsid w:val="00E657BD"/>
    <w:rsid w:val="00E65BE1"/>
    <w:rsid w:val="00E6682E"/>
    <w:rsid w:val="00E67A9D"/>
    <w:rsid w:val="00E703DC"/>
    <w:rsid w:val="00E7063B"/>
    <w:rsid w:val="00E707D7"/>
    <w:rsid w:val="00E71774"/>
    <w:rsid w:val="00E721C0"/>
    <w:rsid w:val="00E73FB0"/>
    <w:rsid w:val="00E74A7A"/>
    <w:rsid w:val="00E750ED"/>
    <w:rsid w:val="00E75A9F"/>
    <w:rsid w:val="00E82923"/>
    <w:rsid w:val="00E83A9B"/>
    <w:rsid w:val="00E84422"/>
    <w:rsid w:val="00E84A98"/>
    <w:rsid w:val="00E84DF5"/>
    <w:rsid w:val="00E85473"/>
    <w:rsid w:val="00E861F5"/>
    <w:rsid w:val="00E90A4B"/>
    <w:rsid w:val="00E91CC4"/>
    <w:rsid w:val="00E95128"/>
    <w:rsid w:val="00E9601D"/>
    <w:rsid w:val="00E9786A"/>
    <w:rsid w:val="00EA03B3"/>
    <w:rsid w:val="00EA20C9"/>
    <w:rsid w:val="00EA3843"/>
    <w:rsid w:val="00EA403D"/>
    <w:rsid w:val="00EA50EE"/>
    <w:rsid w:val="00EA676A"/>
    <w:rsid w:val="00EA699A"/>
    <w:rsid w:val="00EA6EAE"/>
    <w:rsid w:val="00EA7947"/>
    <w:rsid w:val="00EB1D0E"/>
    <w:rsid w:val="00EB1FCA"/>
    <w:rsid w:val="00EB49FE"/>
    <w:rsid w:val="00EB4DBF"/>
    <w:rsid w:val="00EB5A56"/>
    <w:rsid w:val="00EB68F0"/>
    <w:rsid w:val="00EB6F33"/>
    <w:rsid w:val="00EC00A5"/>
    <w:rsid w:val="00EC2DE1"/>
    <w:rsid w:val="00EC3FD4"/>
    <w:rsid w:val="00EC678A"/>
    <w:rsid w:val="00EC6A2C"/>
    <w:rsid w:val="00ED362A"/>
    <w:rsid w:val="00ED393F"/>
    <w:rsid w:val="00ED5A67"/>
    <w:rsid w:val="00ED6306"/>
    <w:rsid w:val="00ED6647"/>
    <w:rsid w:val="00ED7944"/>
    <w:rsid w:val="00EE7EE6"/>
    <w:rsid w:val="00EF31DB"/>
    <w:rsid w:val="00EF4BFB"/>
    <w:rsid w:val="00EF65B3"/>
    <w:rsid w:val="00EF6C8D"/>
    <w:rsid w:val="00F00A3D"/>
    <w:rsid w:val="00F0219D"/>
    <w:rsid w:val="00F04D90"/>
    <w:rsid w:val="00F10E3E"/>
    <w:rsid w:val="00F113D0"/>
    <w:rsid w:val="00F116F1"/>
    <w:rsid w:val="00F14324"/>
    <w:rsid w:val="00F1435B"/>
    <w:rsid w:val="00F14487"/>
    <w:rsid w:val="00F14FAD"/>
    <w:rsid w:val="00F164D3"/>
    <w:rsid w:val="00F17C37"/>
    <w:rsid w:val="00F27575"/>
    <w:rsid w:val="00F27A92"/>
    <w:rsid w:val="00F330C8"/>
    <w:rsid w:val="00F3311C"/>
    <w:rsid w:val="00F33D8A"/>
    <w:rsid w:val="00F34491"/>
    <w:rsid w:val="00F3531F"/>
    <w:rsid w:val="00F353B3"/>
    <w:rsid w:val="00F36402"/>
    <w:rsid w:val="00F4022A"/>
    <w:rsid w:val="00F40452"/>
    <w:rsid w:val="00F42537"/>
    <w:rsid w:val="00F43E23"/>
    <w:rsid w:val="00F43EA4"/>
    <w:rsid w:val="00F447D3"/>
    <w:rsid w:val="00F50689"/>
    <w:rsid w:val="00F52939"/>
    <w:rsid w:val="00F53D82"/>
    <w:rsid w:val="00F53E4E"/>
    <w:rsid w:val="00F5408A"/>
    <w:rsid w:val="00F55607"/>
    <w:rsid w:val="00F5616B"/>
    <w:rsid w:val="00F60A09"/>
    <w:rsid w:val="00F616B9"/>
    <w:rsid w:val="00F64376"/>
    <w:rsid w:val="00F64E36"/>
    <w:rsid w:val="00F66D90"/>
    <w:rsid w:val="00F67797"/>
    <w:rsid w:val="00F729AB"/>
    <w:rsid w:val="00F72EDC"/>
    <w:rsid w:val="00F73EAB"/>
    <w:rsid w:val="00F7787C"/>
    <w:rsid w:val="00F77EC1"/>
    <w:rsid w:val="00F82326"/>
    <w:rsid w:val="00F8404A"/>
    <w:rsid w:val="00F86FC3"/>
    <w:rsid w:val="00F87AD7"/>
    <w:rsid w:val="00F87EFF"/>
    <w:rsid w:val="00F92A30"/>
    <w:rsid w:val="00F9459B"/>
    <w:rsid w:val="00FA49AE"/>
    <w:rsid w:val="00FA51EA"/>
    <w:rsid w:val="00FA5D8E"/>
    <w:rsid w:val="00FA7A8D"/>
    <w:rsid w:val="00FB12C2"/>
    <w:rsid w:val="00FB2183"/>
    <w:rsid w:val="00FB3D6A"/>
    <w:rsid w:val="00FB55ED"/>
    <w:rsid w:val="00FC029C"/>
    <w:rsid w:val="00FC05E8"/>
    <w:rsid w:val="00FC1CE5"/>
    <w:rsid w:val="00FC46C9"/>
    <w:rsid w:val="00FC6F5C"/>
    <w:rsid w:val="00FD1280"/>
    <w:rsid w:val="00FD2880"/>
    <w:rsid w:val="00FD7507"/>
    <w:rsid w:val="00FE1432"/>
    <w:rsid w:val="00FE1AEF"/>
    <w:rsid w:val="00FE437C"/>
    <w:rsid w:val="00FE460F"/>
    <w:rsid w:val="00FE4B17"/>
    <w:rsid w:val="00FE5184"/>
    <w:rsid w:val="00FE65A7"/>
    <w:rsid w:val="00FE69E9"/>
    <w:rsid w:val="00FE6D64"/>
    <w:rsid w:val="00FF1369"/>
    <w:rsid w:val="00FF23F6"/>
    <w:rsid w:val="00FF2FDA"/>
    <w:rsid w:val="00FF3ABF"/>
    <w:rsid w:val="00FF5B05"/>
    <w:rsid w:val="010613AE"/>
    <w:rsid w:val="011244ED"/>
    <w:rsid w:val="0125102A"/>
    <w:rsid w:val="01380FB3"/>
    <w:rsid w:val="013D4278"/>
    <w:rsid w:val="01415C7E"/>
    <w:rsid w:val="0145522D"/>
    <w:rsid w:val="018620BC"/>
    <w:rsid w:val="019542B3"/>
    <w:rsid w:val="01967485"/>
    <w:rsid w:val="01AD5116"/>
    <w:rsid w:val="01CB320B"/>
    <w:rsid w:val="01DB4184"/>
    <w:rsid w:val="01E145E9"/>
    <w:rsid w:val="01E925F2"/>
    <w:rsid w:val="01EA5D5E"/>
    <w:rsid w:val="01EE694F"/>
    <w:rsid w:val="01EF0A55"/>
    <w:rsid w:val="020F621C"/>
    <w:rsid w:val="021527A1"/>
    <w:rsid w:val="02160F0D"/>
    <w:rsid w:val="021E6642"/>
    <w:rsid w:val="02216EAA"/>
    <w:rsid w:val="022A1A1B"/>
    <w:rsid w:val="024535A0"/>
    <w:rsid w:val="02557C87"/>
    <w:rsid w:val="02685C0C"/>
    <w:rsid w:val="029307AF"/>
    <w:rsid w:val="029439C7"/>
    <w:rsid w:val="029C1412"/>
    <w:rsid w:val="02A062D0"/>
    <w:rsid w:val="02A74D8B"/>
    <w:rsid w:val="02B53DE0"/>
    <w:rsid w:val="02C40969"/>
    <w:rsid w:val="02E46D6A"/>
    <w:rsid w:val="02E91BE7"/>
    <w:rsid w:val="03040222"/>
    <w:rsid w:val="030F42DA"/>
    <w:rsid w:val="031965A3"/>
    <w:rsid w:val="03251029"/>
    <w:rsid w:val="032806C5"/>
    <w:rsid w:val="03573CAE"/>
    <w:rsid w:val="03716088"/>
    <w:rsid w:val="0374413D"/>
    <w:rsid w:val="03891C14"/>
    <w:rsid w:val="03A878E7"/>
    <w:rsid w:val="03AF2633"/>
    <w:rsid w:val="03B254D9"/>
    <w:rsid w:val="03BD5AE4"/>
    <w:rsid w:val="03D90444"/>
    <w:rsid w:val="03E00D98"/>
    <w:rsid w:val="03F1527C"/>
    <w:rsid w:val="03F2766E"/>
    <w:rsid w:val="04133956"/>
    <w:rsid w:val="04247A6D"/>
    <w:rsid w:val="042C52AA"/>
    <w:rsid w:val="04300A32"/>
    <w:rsid w:val="04443ADB"/>
    <w:rsid w:val="0455108F"/>
    <w:rsid w:val="045F72F9"/>
    <w:rsid w:val="04711260"/>
    <w:rsid w:val="04734094"/>
    <w:rsid w:val="048760F2"/>
    <w:rsid w:val="04876A0C"/>
    <w:rsid w:val="0488271A"/>
    <w:rsid w:val="04987D46"/>
    <w:rsid w:val="04FA6A8C"/>
    <w:rsid w:val="04FB0C7E"/>
    <w:rsid w:val="05042D88"/>
    <w:rsid w:val="050A52AF"/>
    <w:rsid w:val="051A3912"/>
    <w:rsid w:val="0530344A"/>
    <w:rsid w:val="05303BBE"/>
    <w:rsid w:val="0534627A"/>
    <w:rsid w:val="056920C6"/>
    <w:rsid w:val="05740424"/>
    <w:rsid w:val="05816FE5"/>
    <w:rsid w:val="05B20F4D"/>
    <w:rsid w:val="05B6380E"/>
    <w:rsid w:val="05BE10A0"/>
    <w:rsid w:val="05C92DEC"/>
    <w:rsid w:val="05D53971"/>
    <w:rsid w:val="05F652DD"/>
    <w:rsid w:val="05F87674"/>
    <w:rsid w:val="06071754"/>
    <w:rsid w:val="063A3C2B"/>
    <w:rsid w:val="06764670"/>
    <w:rsid w:val="06973271"/>
    <w:rsid w:val="06A83220"/>
    <w:rsid w:val="06AB59C5"/>
    <w:rsid w:val="06BE1AFB"/>
    <w:rsid w:val="06C34C6B"/>
    <w:rsid w:val="06DF6A8B"/>
    <w:rsid w:val="06FC78FF"/>
    <w:rsid w:val="071B27E9"/>
    <w:rsid w:val="072075C5"/>
    <w:rsid w:val="0740223F"/>
    <w:rsid w:val="07626B53"/>
    <w:rsid w:val="07647A4F"/>
    <w:rsid w:val="0768720D"/>
    <w:rsid w:val="077A59AE"/>
    <w:rsid w:val="079E3E7E"/>
    <w:rsid w:val="07A33243"/>
    <w:rsid w:val="07A80859"/>
    <w:rsid w:val="07A92215"/>
    <w:rsid w:val="07BB5456"/>
    <w:rsid w:val="07E068EA"/>
    <w:rsid w:val="07EE6AE4"/>
    <w:rsid w:val="07F4537D"/>
    <w:rsid w:val="07F4792D"/>
    <w:rsid w:val="080D0AE6"/>
    <w:rsid w:val="081E3021"/>
    <w:rsid w:val="082E0990"/>
    <w:rsid w:val="083B34FB"/>
    <w:rsid w:val="0845037E"/>
    <w:rsid w:val="084F2405"/>
    <w:rsid w:val="086C426F"/>
    <w:rsid w:val="08724BD6"/>
    <w:rsid w:val="08752E31"/>
    <w:rsid w:val="08780EAE"/>
    <w:rsid w:val="087D5289"/>
    <w:rsid w:val="088911A3"/>
    <w:rsid w:val="08894B1B"/>
    <w:rsid w:val="089D5908"/>
    <w:rsid w:val="08AB15C8"/>
    <w:rsid w:val="08C33B4E"/>
    <w:rsid w:val="08C517FC"/>
    <w:rsid w:val="08C60F15"/>
    <w:rsid w:val="08CC0577"/>
    <w:rsid w:val="08D1158A"/>
    <w:rsid w:val="08E032D6"/>
    <w:rsid w:val="08E11034"/>
    <w:rsid w:val="090E7492"/>
    <w:rsid w:val="09213B5B"/>
    <w:rsid w:val="09232323"/>
    <w:rsid w:val="09254FEF"/>
    <w:rsid w:val="09300B06"/>
    <w:rsid w:val="093B12F3"/>
    <w:rsid w:val="093D6ED7"/>
    <w:rsid w:val="094817DD"/>
    <w:rsid w:val="095A13C8"/>
    <w:rsid w:val="09635565"/>
    <w:rsid w:val="09673F86"/>
    <w:rsid w:val="0999397B"/>
    <w:rsid w:val="09BB5779"/>
    <w:rsid w:val="09DB16A8"/>
    <w:rsid w:val="09DB7F9E"/>
    <w:rsid w:val="0A0176BC"/>
    <w:rsid w:val="0A0211D5"/>
    <w:rsid w:val="0A033FB3"/>
    <w:rsid w:val="0A1347B8"/>
    <w:rsid w:val="0A167C76"/>
    <w:rsid w:val="0A1828E4"/>
    <w:rsid w:val="0A2061C3"/>
    <w:rsid w:val="0A3609CC"/>
    <w:rsid w:val="0A4A7648"/>
    <w:rsid w:val="0A4F320E"/>
    <w:rsid w:val="0A5A222E"/>
    <w:rsid w:val="0A777490"/>
    <w:rsid w:val="0A79472F"/>
    <w:rsid w:val="0A832E34"/>
    <w:rsid w:val="0AAD4FEB"/>
    <w:rsid w:val="0AC3487D"/>
    <w:rsid w:val="0AE24082"/>
    <w:rsid w:val="0AE55920"/>
    <w:rsid w:val="0AFA763E"/>
    <w:rsid w:val="0B213E70"/>
    <w:rsid w:val="0B22087C"/>
    <w:rsid w:val="0B3D3880"/>
    <w:rsid w:val="0B414B94"/>
    <w:rsid w:val="0B4F6EF7"/>
    <w:rsid w:val="0B5C1166"/>
    <w:rsid w:val="0B732F2C"/>
    <w:rsid w:val="0B7A69B0"/>
    <w:rsid w:val="0B7C0033"/>
    <w:rsid w:val="0BA624F3"/>
    <w:rsid w:val="0BA650B0"/>
    <w:rsid w:val="0BC20ECB"/>
    <w:rsid w:val="0BCC7BCD"/>
    <w:rsid w:val="0BCF72A4"/>
    <w:rsid w:val="0BDC6D23"/>
    <w:rsid w:val="0C023753"/>
    <w:rsid w:val="0C191A5C"/>
    <w:rsid w:val="0C5441C8"/>
    <w:rsid w:val="0C6F5686"/>
    <w:rsid w:val="0C714D1C"/>
    <w:rsid w:val="0C724A0B"/>
    <w:rsid w:val="0C820FCF"/>
    <w:rsid w:val="0CB422C4"/>
    <w:rsid w:val="0CB657C6"/>
    <w:rsid w:val="0CBE2872"/>
    <w:rsid w:val="0CCB5588"/>
    <w:rsid w:val="0CD209FB"/>
    <w:rsid w:val="0CE254B4"/>
    <w:rsid w:val="0CF84867"/>
    <w:rsid w:val="0CFB447D"/>
    <w:rsid w:val="0D06262F"/>
    <w:rsid w:val="0D0C70DD"/>
    <w:rsid w:val="0D1F15BD"/>
    <w:rsid w:val="0D2B06DD"/>
    <w:rsid w:val="0D2F1F4C"/>
    <w:rsid w:val="0D3112F1"/>
    <w:rsid w:val="0D334492"/>
    <w:rsid w:val="0D4E398F"/>
    <w:rsid w:val="0D6B00AF"/>
    <w:rsid w:val="0D7D4536"/>
    <w:rsid w:val="0D8B1536"/>
    <w:rsid w:val="0D916790"/>
    <w:rsid w:val="0D921D8F"/>
    <w:rsid w:val="0D9A6995"/>
    <w:rsid w:val="0DA22594"/>
    <w:rsid w:val="0DB6085D"/>
    <w:rsid w:val="0DCA638D"/>
    <w:rsid w:val="0DE63E89"/>
    <w:rsid w:val="0DEE1809"/>
    <w:rsid w:val="0DF463BF"/>
    <w:rsid w:val="0DF742E8"/>
    <w:rsid w:val="0E056E2D"/>
    <w:rsid w:val="0E076A11"/>
    <w:rsid w:val="0E07732B"/>
    <w:rsid w:val="0E1409F6"/>
    <w:rsid w:val="0E141D1A"/>
    <w:rsid w:val="0E2C3669"/>
    <w:rsid w:val="0E3545CB"/>
    <w:rsid w:val="0E5D4CD0"/>
    <w:rsid w:val="0E920845"/>
    <w:rsid w:val="0EC20452"/>
    <w:rsid w:val="0ECD67E4"/>
    <w:rsid w:val="0EE04B45"/>
    <w:rsid w:val="0EED6FFA"/>
    <w:rsid w:val="0F0D70B7"/>
    <w:rsid w:val="0F1E66CC"/>
    <w:rsid w:val="0F280FD5"/>
    <w:rsid w:val="0F296C0A"/>
    <w:rsid w:val="0F340C24"/>
    <w:rsid w:val="0F737907"/>
    <w:rsid w:val="0F76748F"/>
    <w:rsid w:val="0F8120BC"/>
    <w:rsid w:val="0F816827"/>
    <w:rsid w:val="0F957FDE"/>
    <w:rsid w:val="0F9E47AC"/>
    <w:rsid w:val="0FBE08D3"/>
    <w:rsid w:val="0FCB66B3"/>
    <w:rsid w:val="0FDD1D39"/>
    <w:rsid w:val="0FDE1E81"/>
    <w:rsid w:val="0FEC3128"/>
    <w:rsid w:val="1005731A"/>
    <w:rsid w:val="1009755C"/>
    <w:rsid w:val="100D4528"/>
    <w:rsid w:val="101324FA"/>
    <w:rsid w:val="10352EA6"/>
    <w:rsid w:val="103932FC"/>
    <w:rsid w:val="104907AA"/>
    <w:rsid w:val="1059412C"/>
    <w:rsid w:val="105F7F23"/>
    <w:rsid w:val="107B7BA2"/>
    <w:rsid w:val="1094028B"/>
    <w:rsid w:val="10B565D2"/>
    <w:rsid w:val="10CE5E28"/>
    <w:rsid w:val="10DA14BC"/>
    <w:rsid w:val="10ED1D02"/>
    <w:rsid w:val="10EF74F9"/>
    <w:rsid w:val="11050ACA"/>
    <w:rsid w:val="11105D06"/>
    <w:rsid w:val="112B266E"/>
    <w:rsid w:val="11307875"/>
    <w:rsid w:val="113D64B6"/>
    <w:rsid w:val="115012ED"/>
    <w:rsid w:val="11714438"/>
    <w:rsid w:val="11811732"/>
    <w:rsid w:val="11867E5D"/>
    <w:rsid w:val="118902FC"/>
    <w:rsid w:val="119A7465"/>
    <w:rsid w:val="119C2BEB"/>
    <w:rsid w:val="11A55E09"/>
    <w:rsid w:val="11D36C72"/>
    <w:rsid w:val="11F5422C"/>
    <w:rsid w:val="12014947"/>
    <w:rsid w:val="12465492"/>
    <w:rsid w:val="126B2884"/>
    <w:rsid w:val="1283439D"/>
    <w:rsid w:val="12AF4946"/>
    <w:rsid w:val="12B81741"/>
    <w:rsid w:val="12BE212B"/>
    <w:rsid w:val="12BF3CEB"/>
    <w:rsid w:val="12D44BF8"/>
    <w:rsid w:val="12D907DF"/>
    <w:rsid w:val="12DC4A9B"/>
    <w:rsid w:val="12FE7F1E"/>
    <w:rsid w:val="130478F5"/>
    <w:rsid w:val="13114772"/>
    <w:rsid w:val="13121358"/>
    <w:rsid w:val="131274CE"/>
    <w:rsid w:val="13186E31"/>
    <w:rsid w:val="131D65BB"/>
    <w:rsid w:val="133D279D"/>
    <w:rsid w:val="13547380"/>
    <w:rsid w:val="137B1060"/>
    <w:rsid w:val="137E4FA7"/>
    <w:rsid w:val="13844245"/>
    <w:rsid w:val="138F4A1D"/>
    <w:rsid w:val="13AF4D1D"/>
    <w:rsid w:val="13B47B12"/>
    <w:rsid w:val="13B6027F"/>
    <w:rsid w:val="13C92110"/>
    <w:rsid w:val="13D11D1F"/>
    <w:rsid w:val="13D334C9"/>
    <w:rsid w:val="13D4658B"/>
    <w:rsid w:val="13D60AF6"/>
    <w:rsid w:val="13E413AA"/>
    <w:rsid w:val="13F20E53"/>
    <w:rsid w:val="13F95D08"/>
    <w:rsid w:val="13FA068E"/>
    <w:rsid w:val="14037290"/>
    <w:rsid w:val="14072DAB"/>
    <w:rsid w:val="14084BF4"/>
    <w:rsid w:val="141B30BB"/>
    <w:rsid w:val="1427271A"/>
    <w:rsid w:val="14382F65"/>
    <w:rsid w:val="14461956"/>
    <w:rsid w:val="1457788F"/>
    <w:rsid w:val="14650F9F"/>
    <w:rsid w:val="14954356"/>
    <w:rsid w:val="1498634A"/>
    <w:rsid w:val="14A40521"/>
    <w:rsid w:val="14AE0D6D"/>
    <w:rsid w:val="14B416E9"/>
    <w:rsid w:val="14C23C3B"/>
    <w:rsid w:val="14D25167"/>
    <w:rsid w:val="14DA401C"/>
    <w:rsid w:val="14EB1DDB"/>
    <w:rsid w:val="14EC11E4"/>
    <w:rsid w:val="150177FB"/>
    <w:rsid w:val="15062FAC"/>
    <w:rsid w:val="150F0169"/>
    <w:rsid w:val="15106FA0"/>
    <w:rsid w:val="15203A86"/>
    <w:rsid w:val="152C4598"/>
    <w:rsid w:val="153D744C"/>
    <w:rsid w:val="154A79FC"/>
    <w:rsid w:val="15575737"/>
    <w:rsid w:val="156D449B"/>
    <w:rsid w:val="156F177E"/>
    <w:rsid w:val="15700933"/>
    <w:rsid w:val="15726F55"/>
    <w:rsid w:val="15734DFD"/>
    <w:rsid w:val="15843439"/>
    <w:rsid w:val="1590422A"/>
    <w:rsid w:val="159E3D44"/>
    <w:rsid w:val="15BB4760"/>
    <w:rsid w:val="15BB690F"/>
    <w:rsid w:val="15CA68AC"/>
    <w:rsid w:val="15CA6F03"/>
    <w:rsid w:val="15CD1EA4"/>
    <w:rsid w:val="15E03AE6"/>
    <w:rsid w:val="15E1364D"/>
    <w:rsid w:val="16021A7C"/>
    <w:rsid w:val="16033966"/>
    <w:rsid w:val="161F077C"/>
    <w:rsid w:val="1639282B"/>
    <w:rsid w:val="163A24AE"/>
    <w:rsid w:val="163F1030"/>
    <w:rsid w:val="16485F9E"/>
    <w:rsid w:val="165006EB"/>
    <w:rsid w:val="166242C9"/>
    <w:rsid w:val="166A3466"/>
    <w:rsid w:val="166C7164"/>
    <w:rsid w:val="16E80C72"/>
    <w:rsid w:val="16EA4F5A"/>
    <w:rsid w:val="16F447A8"/>
    <w:rsid w:val="170E6F97"/>
    <w:rsid w:val="171036E6"/>
    <w:rsid w:val="171D1030"/>
    <w:rsid w:val="172919F9"/>
    <w:rsid w:val="172D64D8"/>
    <w:rsid w:val="173479F1"/>
    <w:rsid w:val="174E2834"/>
    <w:rsid w:val="17676D6C"/>
    <w:rsid w:val="176E2F0B"/>
    <w:rsid w:val="17720EB6"/>
    <w:rsid w:val="17970FF3"/>
    <w:rsid w:val="17D72F89"/>
    <w:rsid w:val="17E44D42"/>
    <w:rsid w:val="1814258C"/>
    <w:rsid w:val="18344508"/>
    <w:rsid w:val="18351148"/>
    <w:rsid w:val="184355AB"/>
    <w:rsid w:val="187861D4"/>
    <w:rsid w:val="18911C52"/>
    <w:rsid w:val="18D8734F"/>
    <w:rsid w:val="18E93725"/>
    <w:rsid w:val="18F674EE"/>
    <w:rsid w:val="190F2857"/>
    <w:rsid w:val="19174566"/>
    <w:rsid w:val="19273085"/>
    <w:rsid w:val="192A57C1"/>
    <w:rsid w:val="19314B52"/>
    <w:rsid w:val="1954525B"/>
    <w:rsid w:val="19791FCB"/>
    <w:rsid w:val="198307A0"/>
    <w:rsid w:val="199C57C7"/>
    <w:rsid w:val="199E7D0E"/>
    <w:rsid w:val="19A42FDE"/>
    <w:rsid w:val="19AE61A3"/>
    <w:rsid w:val="19B432D0"/>
    <w:rsid w:val="19B44779"/>
    <w:rsid w:val="19B93E8E"/>
    <w:rsid w:val="19BC25B3"/>
    <w:rsid w:val="19C9728A"/>
    <w:rsid w:val="19FF35B1"/>
    <w:rsid w:val="1A103C1D"/>
    <w:rsid w:val="1A141606"/>
    <w:rsid w:val="1A19691B"/>
    <w:rsid w:val="1A2226ED"/>
    <w:rsid w:val="1A29576F"/>
    <w:rsid w:val="1A3D3083"/>
    <w:rsid w:val="1A3D4254"/>
    <w:rsid w:val="1A420A9D"/>
    <w:rsid w:val="1A47372A"/>
    <w:rsid w:val="1A4D3F95"/>
    <w:rsid w:val="1A5741B0"/>
    <w:rsid w:val="1A594860"/>
    <w:rsid w:val="1A655EF9"/>
    <w:rsid w:val="1A66545E"/>
    <w:rsid w:val="1A8B03C9"/>
    <w:rsid w:val="1A8C1DD9"/>
    <w:rsid w:val="1A9A6A0C"/>
    <w:rsid w:val="1A9E5BFE"/>
    <w:rsid w:val="1AAE2D84"/>
    <w:rsid w:val="1AB0770B"/>
    <w:rsid w:val="1AB87B91"/>
    <w:rsid w:val="1AC34587"/>
    <w:rsid w:val="1AC35C0C"/>
    <w:rsid w:val="1ACE450C"/>
    <w:rsid w:val="1ACF15B4"/>
    <w:rsid w:val="1ACF6DD7"/>
    <w:rsid w:val="1AD53B3F"/>
    <w:rsid w:val="1ADC4710"/>
    <w:rsid w:val="1AF000F5"/>
    <w:rsid w:val="1B042E56"/>
    <w:rsid w:val="1B0F0EC3"/>
    <w:rsid w:val="1B166B7F"/>
    <w:rsid w:val="1B187D89"/>
    <w:rsid w:val="1B1A1FCC"/>
    <w:rsid w:val="1B1F6C2C"/>
    <w:rsid w:val="1B213459"/>
    <w:rsid w:val="1B2C36F3"/>
    <w:rsid w:val="1B325A05"/>
    <w:rsid w:val="1B6044BF"/>
    <w:rsid w:val="1B6829F1"/>
    <w:rsid w:val="1B6D1746"/>
    <w:rsid w:val="1B6D5BEA"/>
    <w:rsid w:val="1B7C02BE"/>
    <w:rsid w:val="1B7E21A0"/>
    <w:rsid w:val="1B8B2AC5"/>
    <w:rsid w:val="1B9D23D8"/>
    <w:rsid w:val="1BAD69BC"/>
    <w:rsid w:val="1BCD3972"/>
    <w:rsid w:val="1BCF41AF"/>
    <w:rsid w:val="1BDD2D6F"/>
    <w:rsid w:val="1BEB25A8"/>
    <w:rsid w:val="1BFF4DA4"/>
    <w:rsid w:val="1C003C97"/>
    <w:rsid w:val="1C050A8B"/>
    <w:rsid w:val="1C0E38AC"/>
    <w:rsid w:val="1C1A23CD"/>
    <w:rsid w:val="1C2256C2"/>
    <w:rsid w:val="1C235374"/>
    <w:rsid w:val="1C290A4A"/>
    <w:rsid w:val="1C354C03"/>
    <w:rsid w:val="1C4B505A"/>
    <w:rsid w:val="1C505664"/>
    <w:rsid w:val="1C5E2F2A"/>
    <w:rsid w:val="1C5F19D6"/>
    <w:rsid w:val="1C602F14"/>
    <w:rsid w:val="1C670A83"/>
    <w:rsid w:val="1C69096F"/>
    <w:rsid w:val="1C737230"/>
    <w:rsid w:val="1C7D0C88"/>
    <w:rsid w:val="1C8634F0"/>
    <w:rsid w:val="1CC10421"/>
    <w:rsid w:val="1CC56F94"/>
    <w:rsid w:val="1CD5442F"/>
    <w:rsid w:val="1CED58D0"/>
    <w:rsid w:val="1CF44DEC"/>
    <w:rsid w:val="1D0151C4"/>
    <w:rsid w:val="1D1447DB"/>
    <w:rsid w:val="1D272E0E"/>
    <w:rsid w:val="1D2B6879"/>
    <w:rsid w:val="1D2C71C9"/>
    <w:rsid w:val="1D2F3E20"/>
    <w:rsid w:val="1D343363"/>
    <w:rsid w:val="1D383A92"/>
    <w:rsid w:val="1D422339"/>
    <w:rsid w:val="1D512A3A"/>
    <w:rsid w:val="1DCF5533"/>
    <w:rsid w:val="1DD93C21"/>
    <w:rsid w:val="1DDF7A40"/>
    <w:rsid w:val="1DE2466D"/>
    <w:rsid w:val="1DF51E9C"/>
    <w:rsid w:val="1DFC7204"/>
    <w:rsid w:val="1E0C2D7D"/>
    <w:rsid w:val="1E0F11DA"/>
    <w:rsid w:val="1E152FB7"/>
    <w:rsid w:val="1E393FF4"/>
    <w:rsid w:val="1E4C4D08"/>
    <w:rsid w:val="1E6205D6"/>
    <w:rsid w:val="1E661383"/>
    <w:rsid w:val="1E8C5474"/>
    <w:rsid w:val="1E914CAB"/>
    <w:rsid w:val="1E966C18"/>
    <w:rsid w:val="1E99332E"/>
    <w:rsid w:val="1E9F272D"/>
    <w:rsid w:val="1EA435BE"/>
    <w:rsid w:val="1EBC2FC3"/>
    <w:rsid w:val="1EBE2B60"/>
    <w:rsid w:val="1EC2301F"/>
    <w:rsid w:val="1ECE53E2"/>
    <w:rsid w:val="1EDD27F2"/>
    <w:rsid w:val="1EDF17FD"/>
    <w:rsid w:val="1EDF58F3"/>
    <w:rsid w:val="1EE77648"/>
    <w:rsid w:val="1EEF42B2"/>
    <w:rsid w:val="1EF02DBA"/>
    <w:rsid w:val="1F085E63"/>
    <w:rsid w:val="1F0A4DEF"/>
    <w:rsid w:val="1F0F37FF"/>
    <w:rsid w:val="1F1545CE"/>
    <w:rsid w:val="1F2D7F14"/>
    <w:rsid w:val="1F42113B"/>
    <w:rsid w:val="1F4924CA"/>
    <w:rsid w:val="1F4C5238"/>
    <w:rsid w:val="1F60531F"/>
    <w:rsid w:val="1F6D6D9D"/>
    <w:rsid w:val="1F751514"/>
    <w:rsid w:val="1F8A31D7"/>
    <w:rsid w:val="1F8D23B7"/>
    <w:rsid w:val="1FAA5685"/>
    <w:rsid w:val="1FBA3C01"/>
    <w:rsid w:val="1FC9072C"/>
    <w:rsid w:val="1FCF02AE"/>
    <w:rsid w:val="1FD1664B"/>
    <w:rsid w:val="1FE85726"/>
    <w:rsid w:val="1FF7194E"/>
    <w:rsid w:val="20190240"/>
    <w:rsid w:val="201D018C"/>
    <w:rsid w:val="201D12CF"/>
    <w:rsid w:val="202A6730"/>
    <w:rsid w:val="20304D5A"/>
    <w:rsid w:val="205B3255"/>
    <w:rsid w:val="205C6CC9"/>
    <w:rsid w:val="207E0F13"/>
    <w:rsid w:val="208A7239"/>
    <w:rsid w:val="208F5007"/>
    <w:rsid w:val="20B16579"/>
    <w:rsid w:val="20BD7237"/>
    <w:rsid w:val="20E31D70"/>
    <w:rsid w:val="20E70F5E"/>
    <w:rsid w:val="20EE50D7"/>
    <w:rsid w:val="20F6042F"/>
    <w:rsid w:val="20F905FA"/>
    <w:rsid w:val="20FF3418"/>
    <w:rsid w:val="21020B82"/>
    <w:rsid w:val="21061A7D"/>
    <w:rsid w:val="210B5C89"/>
    <w:rsid w:val="210F504D"/>
    <w:rsid w:val="211724F1"/>
    <w:rsid w:val="211D4691"/>
    <w:rsid w:val="21263600"/>
    <w:rsid w:val="212E0A02"/>
    <w:rsid w:val="213D638E"/>
    <w:rsid w:val="214E3C4C"/>
    <w:rsid w:val="215967D5"/>
    <w:rsid w:val="21606098"/>
    <w:rsid w:val="21783D0F"/>
    <w:rsid w:val="217D599D"/>
    <w:rsid w:val="21810EFB"/>
    <w:rsid w:val="21C221E8"/>
    <w:rsid w:val="21CA558A"/>
    <w:rsid w:val="21CF4F08"/>
    <w:rsid w:val="21D57BC5"/>
    <w:rsid w:val="21E54050"/>
    <w:rsid w:val="22155D5E"/>
    <w:rsid w:val="22250062"/>
    <w:rsid w:val="222B1C04"/>
    <w:rsid w:val="22477349"/>
    <w:rsid w:val="224B1156"/>
    <w:rsid w:val="22573150"/>
    <w:rsid w:val="22582B2D"/>
    <w:rsid w:val="2268710B"/>
    <w:rsid w:val="2286354C"/>
    <w:rsid w:val="2297354C"/>
    <w:rsid w:val="22A64DCB"/>
    <w:rsid w:val="22DB2D94"/>
    <w:rsid w:val="22EE759E"/>
    <w:rsid w:val="22F323A5"/>
    <w:rsid w:val="22F62969"/>
    <w:rsid w:val="22FD42C4"/>
    <w:rsid w:val="231401E4"/>
    <w:rsid w:val="23181BFA"/>
    <w:rsid w:val="232664AE"/>
    <w:rsid w:val="23413D13"/>
    <w:rsid w:val="234F405E"/>
    <w:rsid w:val="23530D86"/>
    <w:rsid w:val="237E32FE"/>
    <w:rsid w:val="238E19D2"/>
    <w:rsid w:val="239F3944"/>
    <w:rsid w:val="23A81EB5"/>
    <w:rsid w:val="23AE4FF1"/>
    <w:rsid w:val="23F0449E"/>
    <w:rsid w:val="2404503A"/>
    <w:rsid w:val="240E783E"/>
    <w:rsid w:val="241D439D"/>
    <w:rsid w:val="24552F34"/>
    <w:rsid w:val="246E02FC"/>
    <w:rsid w:val="246F652F"/>
    <w:rsid w:val="246F7D68"/>
    <w:rsid w:val="247A415C"/>
    <w:rsid w:val="247C0C4C"/>
    <w:rsid w:val="24863CE1"/>
    <w:rsid w:val="24A21197"/>
    <w:rsid w:val="24A86D25"/>
    <w:rsid w:val="24CE7807"/>
    <w:rsid w:val="24D12B07"/>
    <w:rsid w:val="24DD42EE"/>
    <w:rsid w:val="24EF14C1"/>
    <w:rsid w:val="24F17BCE"/>
    <w:rsid w:val="24FE2F6B"/>
    <w:rsid w:val="250D1A2D"/>
    <w:rsid w:val="251D7E40"/>
    <w:rsid w:val="253B01B3"/>
    <w:rsid w:val="2549505A"/>
    <w:rsid w:val="25512993"/>
    <w:rsid w:val="255148F0"/>
    <w:rsid w:val="25564F1A"/>
    <w:rsid w:val="255A710F"/>
    <w:rsid w:val="256D4BB8"/>
    <w:rsid w:val="2591086A"/>
    <w:rsid w:val="25AA0EF5"/>
    <w:rsid w:val="25AF2692"/>
    <w:rsid w:val="25F4503B"/>
    <w:rsid w:val="25F70072"/>
    <w:rsid w:val="25F86609"/>
    <w:rsid w:val="26013F36"/>
    <w:rsid w:val="26041576"/>
    <w:rsid w:val="260505FD"/>
    <w:rsid w:val="26201B2D"/>
    <w:rsid w:val="263078A5"/>
    <w:rsid w:val="264A7253"/>
    <w:rsid w:val="26562947"/>
    <w:rsid w:val="265C00FB"/>
    <w:rsid w:val="26652725"/>
    <w:rsid w:val="26762ADF"/>
    <w:rsid w:val="269C671C"/>
    <w:rsid w:val="269D4068"/>
    <w:rsid w:val="26A162B9"/>
    <w:rsid w:val="26B27E7C"/>
    <w:rsid w:val="26B81C9C"/>
    <w:rsid w:val="26B859FE"/>
    <w:rsid w:val="26BD4C0A"/>
    <w:rsid w:val="26CF5B70"/>
    <w:rsid w:val="26E342B8"/>
    <w:rsid w:val="26F54538"/>
    <w:rsid w:val="273738CF"/>
    <w:rsid w:val="273D3F19"/>
    <w:rsid w:val="27401022"/>
    <w:rsid w:val="27492AD0"/>
    <w:rsid w:val="274A0488"/>
    <w:rsid w:val="274A6DDF"/>
    <w:rsid w:val="27502468"/>
    <w:rsid w:val="27633F68"/>
    <w:rsid w:val="27670468"/>
    <w:rsid w:val="277978F0"/>
    <w:rsid w:val="27843941"/>
    <w:rsid w:val="27866998"/>
    <w:rsid w:val="278C72B6"/>
    <w:rsid w:val="278F0C96"/>
    <w:rsid w:val="27C25EEE"/>
    <w:rsid w:val="27E2526A"/>
    <w:rsid w:val="27E27A70"/>
    <w:rsid w:val="27F35A3F"/>
    <w:rsid w:val="284E6F27"/>
    <w:rsid w:val="28903723"/>
    <w:rsid w:val="2893029D"/>
    <w:rsid w:val="28961E30"/>
    <w:rsid w:val="28BC3105"/>
    <w:rsid w:val="28C204A5"/>
    <w:rsid w:val="28C8730D"/>
    <w:rsid w:val="28D63020"/>
    <w:rsid w:val="28D72B9A"/>
    <w:rsid w:val="28D76643"/>
    <w:rsid w:val="28E05563"/>
    <w:rsid w:val="28E514B5"/>
    <w:rsid w:val="28E8588A"/>
    <w:rsid w:val="28EA6ACC"/>
    <w:rsid w:val="28F15BD8"/>
    <w:rsid w:val="290D6316"/>
    <w:rsid w:val="29114058"/>
    <w:rsid w:val="2918090D"/>
    <w:rsid w:val="29466CF8"/>
    <w:rsid w:val="295F522B"/>
    <w:rsid w:val="29681705"/>
    <w:rsid w:val="29711C34"/>
    <w:rsid w:val="29746AF3"/>
    <w:rsid w:val="297A558B"/>
    <w:rsid w:val="298308D4"/>
    <w:rsid w:val="29935EC6"/>
    <w:rsid w:val="299B7267"/>
    <w:rsid w:val="299E316C"/>
    <w:rsid w:val="299F1664"/>
    <w:rsid w:val="29AA5C94"/>
    <w:rsid w:val="29B008C0"/>
    <w:rsid w:val="29C1262C"/>
    <w:rsid w:val="29C130D3"/>
    <w:rsid w:val="29E8288F"/>
    <w:rsid w:val="29EB065A"/>
    <w:rsid w:val="29EE6300"/>
    <w:rsid w:val="29F3304F"/>
    <w:rsid w:val="29F45DED"/>
    <w:rsid w:val="29FC1D70"/>
    <w:rsid w:val="29FC4BC7"/>
    <w:rsid w:val="2A047951"/>
    <w:rsid w:val="2A09652C"/>
    <w:rsid w:val="2A210B5D"/>
    <w:rsid w:val="2A231E00"/>
    <w:rsid w:val="2A251A72"/>
    <w:rsid w:val="2A2C28AB"/>
    <w:rsid w:val="2A2D7DF7"/>
    <w:rsid w:val="2A3D31DC"/>
    <w:rsid w:val="2A406EBE"/>
    <w:rsid w:val="2A60296B"/>
    <w:rsid w:val="2A612DBE"/>
    <w:rsid w:val="2A614B6C"/>
    <w:rsid w:val="2A6F465F"/>
    <w:rsid w:val="2A77706A"/>
    <w:rsid w:val="2A7B2B98"/>
    <w:rsid w:val="2A903579"/>
    <w:rsid w:val="2AA241ED"/>
    <w:rsid w:val="2AA30618"/>
    <w:rsid w:val="2AA567AE"/>
    <w:rsid w:val="2AB105A8"/>
    <w:rsid w:val="2AC24854"/>
    <w:rsid w:val="2AC4768B"/>
    <w:rsid w:val="2ACA1641"/>
    <w:rsid w:val="2B006133"/>
    <w:rsid w:val="2B1E1CFA"/>
    <w:rsid w:val="2B2654FC"/>
    <w:rsid w:val="2B3109D9"/>
    <w:rsid w:val="2B34487A"/>
    <w:rsid w:val="2B395AE8"/>
    <w:rsid w:val="2B434264"/>
    <w:rsid w:val="2B475A91"/>
    <w:rsid w:val="2B4C01B0"/>
    <w:rsid w:val="2B53368F"/>
    <w:rsid w:val="2B5F77CE"/>
    <w:rsid w:val="2B6B4122"/>
    <w:rsid w:val="2B7C230F"/>
    <w:rsid w:val="2B807184"/>
    <w:rsid w:val="2B8E01F3"/>
    <w:rsid w:val="2B954E3D"/>
    <w:rsid w:val="2B9736EA"/>
    <w:rsid w:val="2BB86A0D"/>
    <w:rsid w:val="2BBC53B4"/>
    <w:rsid w:val="2BC20C03"/>
    <w:rsid w:val="2BCD6DD0"/>
    <w:rsid w:val="2BDD5D86"/>
    <w:rsid w:val="2C185243"/>
    <w:rsid w:val="2C363DD6"/>
    <w:rsid w:val="2C3F5034"/>
    <w:rsid w:val="2C4057E8"/>
    <w:rsid w:val="2C532462"/>
    <w:rsid w:val="2C5C1A8E"/>
    <w:rsid w:val="2C7771CE"/>
    <w:rsid w:val="2C7F0B75"/>
    <w:rsid w:val="2C810448"/>
    <w:rsid w:val="2C88031F"/>
    <w:rsid w:val="2C9019DF"/>
    <w:rsid w:val="2C9D06E4"/>
    <w:rsid w:val="2C9F5E1F"/>
    <w:rsid w:val="2CA84CAA"/>
    <w:rsid w:val="2CAC2E79"/>
    <w:rsid w:val="2CC064AE"/>
    <w:rsid w:val="2CD52174"/>
    <w:rsid w:val="2CDF4518"/>
    <w:rsid w:val="2CEA13CC"/>
    <w:rsid w:val="2CFF5D04"/>
    <w:rsid w:val="2D0837DC"/>
    <w:rsid w:val="2D0A533F"/>
    <w:rsid w:val="2D0E1146"/>
    <w:rsid w:val="2D1009C7"/>
    <w:rsid w:val="2D2E1BD0"/>
    <w:rsid w:val="2D3020A3"/>
    <w:rsid w:val="2D8032FB"/>
    <w:rsid w:val="2D804C1A"/>
    <w:rsid w:val="2D887DD9"/>
    <w:rsid w:val="2D8C2502"/>
    <w:rsid w:val="2D991B94"/>
    <w:rsid w:val="2D9B39F2"/>
    <w:rsid w:val="2DA671B5"/>
    <w:rsid w:val="2DA95F68"/>
    <w:rsid w:val="2DC023FA"/>
    <w:rsid w:val="2DD86D43"/>
    <w:rsid w:val="2DE83719"/>
    <w:rsid w:val="2E041285"/>
    <w:rsid w:val="2E0571E3"/>
    <w:rsid w:val="2E0974D4"/>
    <w:rsid w:val="2E0A050A"/>
    <w:rsid w:val="2E0A2FC6"/>
    <w:rsid w:val="2E121A85"/>
    <w:rsid w:val="2E24442D"/>
    <w:rsid w:val="2E280BDF"/>
    <w:rsid w:val="2E3C7A20"/>
    <w:rsid w:val="2E3D7694"/>
    <w:rsid w:val="2E3E5827"/>
    <w:rsid w:val="2E50117F"/>
    <w:rsid w:val="2E552E83"/>
    <w:rsid w:val="2EA2700D"/>
    <w:rsid w:val="2ED11B32"/>
    <w:rsid w:val="2ED34860"/>
    <w:rsid w:val="2EE27BD3"/>
    <w:rsid w:val="2EE74466"/>
    <w:rsid w:val="2EFC1797"/>
    <w:rsid w:val="2F0054EF"/>
    <w:rsid w:val="2F0A6D7A"/>
    <w:rsid w:val="2F0D617F"/>
    <w:rsid w:val="2F1C75B2"/>
    <w:rsid w:val="2F205F90"/>
    <w:rsid w:val="2F3A0A67"/>
    <w:rsid w:val="2F3E5AC7"/>
    <w:rsid w:val="2F425CD1"/>
    <w:rsid w:val="2F5B3275"/>
    <w:rsid w:val="2F622E49"/>
    <w:rsid w:val="2F6403BA"/>
    <w:rsid w:val="2F6904A2"/>
    <w:rsid w:val="2F7562D3"/>
    <w:rsid w:val="2F8E270B"/>
    <w:rsid w:val="2FBC6590"/>
    <w:rsid w:val="2FFA73AC"/>
    <w:rsid w:val="302505EE"/>
    <w:rsid w:val="30401F56"/>
    <w:rsid w:val="304C6D66"/>
    <w:rsid w:val="30657A3A"/>
    <w:rsid w:val="306A602F"/>
    <w:rsid w:val="30744ECD"/>
    <w:rsid w:val="30764156"/>
    <w:rsid w:val="309F1F4A"/>
    <w:rsid w:val="30A74DBA"/>
    <w:rsid w:val="30A969F1"/>
    <w:rsid w:val="30C44106"/>
    <w:rsid w:val="30CC6AB7"/>
    <w:rsid w:val="30E112AA"/>
    <w:rsid w:val="30E25BAB"/>
    <w:rsid w:val="30E25ECB"/>
    <w:rsid w:val="30E813D4"/>
    <w:rsid w:val="30FC67C7"/>
    <w:rsid w:val="311259C8"/>
    <w:rsid w:val="311A32F9"/>
    <w:rsid w:val="311C32D1"/>
    <w:rsid w:val="312566B9"/>
    <w:rsid w:val="31322DBE"/>
    <w:rsid w:val="314A6F0A"/>
    <w:rsid w:val="3176777A"/>
    <w:rsid w:val="318F6462"/>
    <w:rsid w:val="31AF4EE7"/>
    <w:rsid w:val="31B4543C"/>
    <w:rsid w:val="31C93112"/>
    <w:rsid w:val="31D73AB2"/>
    <w:rsid w:val="31D77D3F"/>
    <w:rsid w:val="31D86E5C"/>
    <w:rsid w:val="32194D4A"/>
    <w:rsid w:val="321F633F"/>
    <w:rsid w:val="322C7933"/>
    <w:rsid w:val="324B17FE"/>
    <w:rsid w:val="32661263"/>
    <w:rsid w:val="327459C5"/>
    <w:rsid w:val="328C4750"/>
    <w:rsid w:val="32942519"/>
    <w:rsid w:val="32B50EA8"/>
    <w:rsid w:val="32C03301"/>
    <w:rsid w:val="32CF7B4E"/>
    <w:rsid w:val="32E94E55"/>
    <w:rsid w:val="32F11300"/>
    <w:rsid w:val="32F155B3"/>
    <w:rsid w:val="32F92709"/>
    <w:rsid w:val="330355F9"/>
    <w:rsid w:val="33175813"/>
    <w:rsid w:val="332F2645"/>
    <w:rsid w:val="333F5C66"/>
    <w:rsid w:val="3358156C"/>
    <w:rsid w:val="335F2ADB"/>
    <w:rsid w:val="336E6EDE"/>
    <w:rsid w:val="337B2B33"/>
    <w:rsid w:val="3384707A"/>
    <w:rsid w:val="33BC6189"/>
    <w:rsid w:val="33CC3E7F"/>
    <w:rsid w:val="33E220A6"/>
    <w:rsid w:val="33F3230C"/>
    <w:rsid w:val="34036796"/>
    <w:rsid w:val="3434233A"/>
    <w:rsid w:val="3439166F"/>
    <w:rsid w:val="344F5964"/>
    <w:rsid w:val="345931C6"/>
    <w:rsid w:val="346516FC"/>
    <w:rsid w:val="347418D4"/>
    <w:rsid w:val="348778C5"/>
    <w:rsid w:val="3490241D"/>
    <w:rsid w:val="34A54BD2"/>
    <w:rsid w:val="34B26747"/>
    <w:rsid w:val="34B61CA6"/>
    <w:rsid w:val="34CE72A2"/>
    <w:rsid w:val="34D621F6"/>
    <w:rsid w:val="34E862E5"/>
    <w:rsid w:val="351C6EEB"/>
    <w:rsid w:val="353B5336"/>
    <w:rsid w:val="353C386D"/>
    <w:rsid w:val="35635C3C"/>
    <w:rsid w:val="356C17BB"/>
    <w:rsid w:val="35717D1D"/>
    <w:rsid w:val="357B5DF7"/>
    <w:rsid w:val="35951B6D"/>
    <w:rsid w:val="35AA1ED7"/>
    <w:rsid w:val="35B4322D"/>
    <w:rsid w:val="35E25B61"/>
    <w:rsid w:val="35F32084"/>
    <w:rsid w:val="35F40F8A"/>
    <w:rsid w:val="35F6216C"/>
    <w:rsid w:val="35FC1BEC"/>
    <w:rsid w:val="360538C4"/>
    <w:rsid w:val="3628141C"/>
    <w:rsid w:val="36282385"/>
    <w:rsid w:val="36285F75"/>
    <w:rsid w:val="362C0724"/>
    <w:rsid w:val="36446247"/>
    <w:rsid w:val="364713CE"/>
    <w:rsid w:val="3655399E"/>
    <w:rsid w:val="366D4898"/>
    <w:rsid w:val="366E25F0"/>
    <w:rsid w:val="3676374D"/>
    <w:rsid w:val="36774B1E"/>
    <w:rsid w:val="367E0853"/>
    <w:rsid w:val="3680483A"/>
    <w:rsid w:val="36834E16"/>
    <w:rsid w:val="36975542"/>
    <w:rsid w:val="36E301FD"/>
    <w:rsid w:val="370661C8"/>
    <w:rsid w:val="37256AEF"/>
    <w:rsid w:val="372E1214"/>
    <w:rsid w:val="37303D59"/>
    <w:rsid w:val="37305314"/>
    <w:rsid w:val="37433A28"/>
    <w:rsid w:val="375B3648"/>
    <w:rsid w:val="375D6894"/>
    <w:rsid w:val="377409E6"/>
    <w:rsid w:val="37870CB2"/>
    <w:rsid w:val="378E25A0"/>
    <w:rsid w:val="37BF6FD6"/>
    <w:rsid w:val="380B0C4E"/>
    <w:rsid w:val="38180325"/>
    <w:rsid w:val="382B3E4F"/>
    <w:rsid w:val="385E05CD"/>
    <w:rsid w:val="38607FD7"/>
    <w:rsid w:val="38746E9D"/>
    <w:rsid w:val="38871C41"/>
    <w:rsid w:val="388A20A7"/>
    <w:rsid w:val="389205E6"/>
    <w:rsid w:val="38963FD0"/>
    <w:rsid w:val="38AB6B1C"/>
    <w:rsid w:val="38B01BBE"/>
    <w:rsid w:val="38C7177E"/>
    <w:rsid w:val="38FD3E94"/>
    <w:rsid w:val="38FE17E0"/>
    <w:rsid w:val="39033AF8"/>
    <w:rsid w:val="3916064B"/>
    <w:rsid w:val="39180AEB"/>
    <w:rsid w:val="39237490"/>
    <w:rsid w:val="392576AC"/>
    <w:rsid w:val="393D20D0"/>
    <w:rsid w:val="39682ADB"/>
    <w:rsid w:val="397D0915"/>
    <w:rsid w:val="39811775"/>
    <w:rsid w:val="398E405A"/>
    <w:rsid w:val="398F7CA7"/>
    <w:rsid w:val="399617DA"/>
    <w:rsid w:val="39BC2B51"/>
    <w:rsid w:val="39D15594"/>
    <w:rsid w:val="39D966E3"/>
    <w:rsid w:val="39E60BE9"/>
    <w:rsid w:val="39EC7733"/>
    <w:rsid w:val="39FF3B21"/>
    <w:rsid w:val="3A244683"/>
    <w:rsid w:val="3A33585A"/>
    <w:rsid w:val="3A346732"/>
    <w:rsid w:val="3A4A662E"/>
    <w:rsid w:val="3A5860DF"/>
    <w:rsid w:val="3A6E0437"/>
    <w:rsid w:val="3A842E92"/>
    <w:rsid w:val="3AB31C5D"/>
    <w:rsid w:val="3ACA050B"/>
    <w:rsid w:val="3ACB4A2F"/>
    <w:rsid w:val="3AD72CD2"/>
    <w:rsid w:val="3AE346F3"/>
    <w:rsid w:val="3AFD48DB"/>
    <w:rsid w:val="3B0E44F5"/>
    <w:rsid w:val="3B1151F3"/>
    <w:rsid w:val="3B49258B"/>
    <w:rsid w:val="3B785A7A"/>
    <w:rsid w:val="3B8C17F7"/>
    <w:rsid w:val="3BA37F26"/>
    <w:rsid w:val="3BBA20DB"/>
    <w:rsid w:val="3BC56ABA"/>
    <w:rsid w:val="3BD64A05"/>
    <w:rsid w:val="3BFE756A"/>
    <w:rsid w:val="3C1C0620"/>
    <w:rsid w:val="3C1F3C13"/>
    <w:rsid w:val="3C27547D"/>
    <w:rsid w:val="3C32609B"/>
    <w:rsid w:val="3C37393C"/>
    <w:rsid w:val="3C37397E"/>
    <w:rsid w:val="3C452454"/>
    <w:rsid w:val="3C4D13F4"/>
    <w:rsid w:val="3C584DF0"/>
    <w:rsid w:val="3C5A6CA0"/>
    <w:rsid w:val="3C5E53AF"/>
    <w:rsid w:val="3C5E7A15"/>
    <w:rsid w:val="3C6B187A"/>
    <w:rsid w:val="3C73177A"/>
    <w:rsid w:val="3C793F97"/>
    <w:rsid w:val="3C83601E"/>
    <w:rsid w:val="3C876107"/>
    <w:rsid w:val="3C9815F3"/>
    <w:rsid w:val="3CA2064A"/>
    <w:rsid w:val="3CC05722"/>
    <w:rsid w:val="3CC2241F"/>
    <w:rsid w:val="3CC4117C"/>
    <w:rsid w:val="3CCF64C9"/>
    <w:rsid w:val="3CDC1D33"/>
    <w:rsid w:val="3CE31410"/>
    <w:rsid w:val="3CE83645"/>
    <w:rsid w:val="3CE874D6"/>
    <w:rsid w:val="3CFE624A"/>
    <w:rsid w:val="3D332927"/>
    <w:rsid w:val="3D380EAC"/>
    <w:rsid w:val="3D4125BA"/>
    <w:rsid w:val="3D595B76"/>
    <w:rsid w:val="3D687B67"/>
    <w:rsid w:val="3D7848F7"/>
    <w:rsid w:val="3D785FFC"/>
    <w:rsid w:val="3D88524A"/>
    <w:rsid w:val="3DAA0180"/>
    <w:rsid w:val="3DB82366"/>
    <w:rsid w:val="3DBD76E6"/>
    <w:rsid w:val="3DCB45A3"/>
    <w:rsid w:val="3DDA61AA"/>
    <w:rsid w:val="3DDE5988"/>
    <w:rsid w:val="3E083D5E"/>
    <w:rsid w:val="3E10417A"/>
    <w:rsid w:val="3E265A58"/>
    <w:rsid w:val="3E524D02"/>
    <w:rsid w:val="3E591B51"/>
    <w:rsid w:val="3E6C2A15"/>
    <w:rsid w:val="3E7148E7"/>
    <w:rsid w:val="3E84039B"/>
    <w:rsid w:val="3E8F5DA7"/>
    <w:rsid w:val="3E9C6794"/>
    <w:rsid w:val="3EA032D9"/>
    <w:rsid w:val="3EA9549A"/>
    <w:rsid w:val="3EC55271"/>
    <w:rsid w:val="3EC55A99"/>
    <w:rsid w:val="3EF62F64"/>
    <w:rsid w:val="3EFE0783"/>
    <w:rsid w:val="3EFE72BF"/>
    <w:rsid w:val="3F144ECD"/>
    <w:rsid w:val="3F1B1EA7"/>
    <w:rsid w:val="3F1E7077"/>
    <w:rsid w:val="3F3B1B30"/>
    <w:rsid w:val="3F467356"/>
    <w:rsid w:val="3F517BC4"/>
    <w:rsid w:val="3F542A99"/>
    <w:rsid w:val="3FA73DAF"/>
    <w:rsid w:val="3FA774C0"/>
    <w:rsid w:val="3FBB2AF4"/>
    <w:rsid w:val="3FBC368E"/>
    <w:rsid w:val="3FD213B8"/>
    <w:rsid w:val="3FD725B4"/>
    <w:rsid w:val="3FDB633D"/>
    <w:rsid w:val="3FFD4EDF"/>
    <w:rsid w:val="401A15ED"/>
    <w:rsid w:val="401F3BF9"/>
    <w:rsid w:val="40252E5E"/>
    <w:rsid w:val="40271F5C"/>
    <w:rsid w:val="402C30CE"/>
    <w:rsid w:val="40342101"/>
    <w:rsid w:val="4049518A"/>
    <w:rsid w:val="40655AA2"/>
    <w:rsid w:val="407D76AD"/>
    <w:rsid w:val="40864C2D"/>
    <w:rsid w:val="40AB6967"/>
    <w:rsid w:val="40B7699E"/>
    <w:rsid w:val="40C94AC0"/>
    <w:rsid w:val="40DE086C"/>
    <w:rsid w:val="40F70B32"/>
    <w:rsid w:val="41184819"/>
    <w:rsid w:val="412E4AB4"/>
    <w:rsid w:val="41362451"/>
    <w:rsid w:val="414C7BED"/>
    <w:rsid w:val="414D5B0F"/>
    <w:rsid w:val="415919E2"/>
    <w:rsid w:val="415B051A"/>
    <w:rsid w:val="416F3BBA"/>
    <w:rsid w:val="41811B86"/>
    <w:rsid w:val="41990A28"/>
    <w:rsid w:val="41A40A7B"/>
    <w:rsid w:val="41A54A34"/>
    <w:rsid w:val="41A575DC"/>
    <w:rsid w:val="41AF63CF"/>
    <w:rsid w:val="41BE09EA"/>
    <w:rsid w:val="41BF46F3"/>
    <w:rsid w:val="41C932CA"/>
    <w:rsid w:val="41D66F27"/>
    <w:rsid w:val="41EE5693"/>
    <w:rsid w:val="41F52311"/>
    <w:rsid w:val="422711C1"/>
    <w:rsid w:val="42351FA4"/>
    <w:rsid w:val="424256D3"/>
    <w:rsid w:val="426F381D"/>
    <w:rsid w:val="42823479"/>
    <w:rsid w:val="429D4C7E"/>
    <w:rsid w:val="42A72EE0"/>
    <w:rsid w:val="42AA3441"/>
    <w:rsid w:val="42B21FB1"/>
    <w:rsid w:val="42B33FA8"/>
    <w:rsid w:val="42BA5045"/>
    <w:rsid w:val="42C55CA9"/>
    <w:rsid w:val="42D12262"/>
    <w:rsid w:val="42F51BC3"/>
    <w:rsid w:val="42F6612E"/>
    <w:rsid w:val="430C3DC8"/>
    <w:rsid w:val="432332FE"/>
    <w:rsid w:val="433149E1"/>
    <w:rsid w:val="433C7ACC"/>
    <w:rsid w:val="433E002E"/>
    <w:rsid w:val="434F444B"/>
    <w:rsid w:val="43602C3F"/>
    <w:rsid w:val="436358BF"/>
    <w:rsid w:val="436458AA"/>
    <w:rsid w:val="43697862"/>
    <w:rsid w:val="438034D2"/>
    <w:rsid w:val="438B51D4"/>
    <w:rsid w:val="43971141"/>
    <w:rsid w:val="439E6DDD"/>
    <w:rsid w:val="43B540BA"/>
    <w:rsid w:val="43BA373D"/>
    <w:rsid w:val="43C15FED"/>
    <w:rsid w:val="43D16466"/>
    <w:rsid w:val="43E67878"/>
    <w:rsid w:val="43EB21C5"/>
    <w:rsid w:val="43ED3BF9"/>
    <w:rsid w:val="43F87E97"/>
    <w:rsid w:val="44043CE5"/>
    <w:rsid w:val="440A5C22"/>
    <w:rsid w:val="440C283D"/>
    <w:rsid w:val="440F6F8F"/>
    <w:rsid w:val="4420242A"/>
    <w:rsid w:val="44307CFA"/>
    <w:rsid w:val="444D54F0"/>
    <w:rsid w:val="445207EF"/>
    <w:rsid w:val="446B446C"/>
    <w:rsid w:val="44C50802"/>
    <w:rsid w:val="44D933BB"/>
    <w:rsid w:val="44FA7C3F"/>
    <w:rsid w:val="450E00C3"/>
    <w:rsid w:val="45120AE5"/>
    <w:rsid w:val="451231DA"/>
    <w:rsid w:val="4521611E"/>
    <w:rsid w:val="452A595E"/>
    <w:rsid w:val="452C7121"/>
    <w:rsid w:val="452F74BF"/>
    <w:rsid w:val="45361EAB"/>
    <w:rsid w:val="453675B0"/>
    <w:rsid w:val="454516CB"/>
    <w:rsid w:val="454C73E5"/>
    <w:rsid w:val="454F4039"/>
    <w:rsid w:val="45505184"/>
    <w:rsid w:val="4568342A"/>
    <w:rsid w:val="456A4DC4"/>
    <w:rsid w:val="456B782D"/>
    <w:rsid w:val="456D554A"/>
    <w:rsid w:val="45770152"/>
    <w:rsid w:val="457D35AE"/>
    <w:rsid w:val="458B6AE9"/>
    <w:rsid w:val="459E681C"/>
    <w:rsid w:val="45A73915"/>
    <w:rsid w:val="45B17A13"/>
    <w:rsid w:val="45B23946"/>
    <w:rsid w:val="45B71398"/>
    <w:rsid w:val="45C747BB"/>
    <w:rsid w:val="45C94BFB"/>
    <w:rsid w:val="45D51325"/>
    <w:rsid w:val="45E06E35"/>
    <w:rsid w:val="45F909AF"/>
    <w:rsid w:val="46072613"/>
    <w:rsid w:val="460C7C2A"/>
    <w:rsid w:val="460E7806"/>
    <w:rsid w:val="46283031"/>
    <w:rsid w:val="46446F5C"/>
    <w:rsid w:val="46522EC5"/>
    <w:rsid w:val="46552BEB"/>
    <w:rsid w:val="46783E2D"/>
    <w:rsid w:val="46A905FA"/>
    <w:rsid w:val="46C2744B"/>
    <w:rsid w:val="46CB4AB7"/>
    <w:rsid w:val="46D83FB0"/>
    <w:rsid w:val="46DA3884"/>
    <w:rsid w:val="46DD1F26"/>
    <w:rsid w:val="46F839A1"/>
    <w:rsid w:val="47197B96"/>
    <w:rsid w:val="471F12E3"/>
    <w:rsid w:val="47232A97"/>
    <w:rsid w:val="47313114"/>
    <w:rsid w:val="473206A5"/>
    <w:rsid w:val="47392CA0"/>
    <w:rsid w:val="47484892"/>
    <w:rsid w:val="47491B6F"/>
    <w:rsid w:val="475A54A5"/>
    <w:rsid w:val="47660254"/>
    <w:rsid w:val="47700D66"/>
    <w:rsid w:val="47846F0F"/>
    <w:rsid w:val="4792589C"/>
    <w:rsid w:val="479B68D0"/>
    <w:rsid w:val="47BE04CA"/>
    <w:rsid w:val="47CB1BFB"/>
    <w:rsid w:val="47D1326E"/>
    <w:rsid w:val="47EB17DC"/>
    <w:rsid w:val="47ED5FB9"/>
    <w:rsid w:val="4803505C"/>
    <w:rsid w:val="480F3303"/>
    <w:rsid w:val="481B50CE"/>
    <w:rsid w:val="482E3D45"/>
    <w:rsid w:val="485338EE"/>
    <w:rsid w:val="485823E2"/>
    <w:rsid w:val="486B1321"/>
    <w:rsid w:val="48723A58"/>
    <w:rsid w:val="488C15B5"/>
    <w:rsid w:val="48A61754"/>
    <w:rsid w:val="48A61E8F"/>
    <w:rsid w:val="48AE4025"/>
    <w:rsid w:val="48B06F92"/>
    <w:rsid w:val="48CC3761"/>
    <w:rsid w:val="48CE11C6"/>
    <w:rsid w:val="48D9385D"/>
    <w:rsid w:val="48F91BA6"/>
    <w:rsid w:val="4915390D"/>
    <w:rsid w:val="491C3609"/>
    <w:rsid w:val="492D2752"/>
    <w:rsid w:val="492F0DC8"/>
    <w:rsid w:val="4941408E"/>
    <w:rsid w:val="4964076A"/>
    <w:rsid w:val="49697FAE"/>
    <w:rsid w:val="496E4757"/>
    <w:rsid w:val="497D3C70"/>
    <w:rsid w:val="49866B78"/>
    <w:rsid w:val="49A36178"/>
    <w:rsid w:val="49A56257"/>
    <w:rsid w:val="49B61459"/>
    <w:rsid w:val="49DB3943"/>
    <w:rsid w:val="49EA7DF3"/>
    <w:rsid w:val="4A1728F4"/>
    <w:rsid w:val="4A21239E"/>
    <w:rsid w:val="4A3C2B7D"/>
    <w:rsid w:val="4A496BE3"/>
    <w:rsid w:val="4A541B9F"/>
    <w:rsid w:val="4A6D4A0F"/>
    <w:rsid w:val="4A7137AC"/>
    <w:rsid w:val="4A782C2D"/>
    <w:rsid w:val="4A8554C1"/>
    <w:rsid w:val="4A8E499E"/>
    <w:rsid w:val="4A950CC7"/>
    <w:rsid w:val="4ABA7D49"/>
    <w:rsid w:val="4AC763C1"/>
    <w:rsid w:val="4AD83002"/>
    <w:rsid w:val="4ADA0FDC"/>
    <w:rsid w:val="4ADB5E1D"/>
    <w:rsid w:val="4AEA6060"/>
    <w:rsid w:val="4AED4B8A"/>
    <w:rsid w:val="4AF931A4"/>
    <w:rsid w:val="4AFD2A19"/>
    <w:rsid w:val="4AFD3FE5"/>
    <w:rsid w:val="4B1B1929"/>
    <w:rsid w:val="4B2961F8"/>
    <w:rsid w:val="4B3A4826"/>
    <w:rsid w:val="4B485BA6"/>
    <w:rsid w:val="4B496A51"/>
    <w:rsid w:val="4B503E53"/>
    <w:rsid w:val="4B577E26"/>
    <w:rsid w:val="4B5C51AF"/>
    <w:rsid w:val="4B810772"/>
    <w:rsid w:val="4B893ACB"/>
    <w:rsid w:val="4B8C37AB"/>
    <w:rsid w:val="4BA150DC"/>
    <w:rsid w:val="4BA5188E"/>
    <w:rsid w:val="4BAD1567"/>
    <w:rsid w:val="4BC74FBB"/>
    <w:rsid w:val="4BD92728"/>
    <w:rsid w:val="4BDC00D7"/>
    <w:rsid w:val="4BE8482E"/>
    <w:rsid w:val="4C163A3A"/>
    <w:rsid w:val="4C2C179E"/>
    <w:rsid w:val="4C2D1A87"/>
    <w:rsid w:val="4C382C99"/>
    <w:rsid w:val="4C3B2B46"/>
    <w:rsid w:val="4C427483"/>
    <w:rsid w:val="4C4752CD"/>
    <w:rsid w:val="4C4A7B25"/>
    <w:rsid w:val="4C566E5C"/>
    <w:rsid w:val="4C5B4189"/>
    <w:rsid w:val="4C5C4B7A"/>
    <w:rsid w:val="4C5D11DF"/>
    <w:rsid w:val="4C612216"/>
    <w:rsid w:val="4C6B4B03"/>
    <w:rsid w:val="4C6C5B09"/>
    <w:rsid w:val="4C750CD5"/>
    <w:rsid w:val="4C80234E"/>
    <w:rsid w:val="4C8C4B93"/>
    <w:rsid w:val="4C92075D"/>
    <w:rsid w:val="4CB9375C"/>
    <w:rsid w:val="4CBA6FE7"/>
    <w:rsid w:val="4CC83822"/>
    <w:rsid w:val="4CCB437C"/>
    <w:rsid w:val="4CCF308D"/>
    <w:rsid w:val="4CD540B5"/>
    <w:rsid w:val="4D417DCA"/>
    <w:rsid w:val="4D4201A6"/>
    <w:rsid w:val="4D4203D5"/>
    <w:rsid w:val="4D5766C0"/>
    <w:rsid w:val="4D5907D6"/>
    <w:rsid w:val="4D697710"/>
    <w:rsid w:val="4D72676A"/>
    <w:rsid w:val="4D7C38E7"/>
    <w:rsid w:val="4D8D7058"/>
    <w:rsid w:val="4D916A64"/>
    <w:rsid w:val="4DBD276F"/>
    <w:rsid w:val="4DC34F34"/>
    <w:rsid w:val="4DD93A69"/>
    <w:rsid w:val="4DDA60ED"/>
    <w:rsid w:val="4DF95A18"/>
    <w:rsid w:val="4E0D0208"/>
    <w:rsid w:val="4E31050D"/>
    <w:rsid w:val="4E65093A"/>
    <w:rsid w:val="4E677448"/>
    <w:rsid w:val="4E6C7C67"/>
    <w:rsid w:val="4E7F49D1"/>
    <w:rsid w:val="4E810A89"/>
    <w:rsid w:val="4E8B7B62"/>
    <w:rsid w:val="4E942433"/>
    <w:rsid w:val="4EA13F02"/>
    <w:rsid w:val="4EA325F4"/>
    <w:rsid w:val="4EB304C8"/>
    <w:rsid w:val="4ED12283"/>
    <w:rsid w:val="4EFA3070"/>
    <w:rsid w:val="4F1366D0"/>
    <w:rsid w:val="4F2545E5"/>
    <w:rsid w:val="4F2558B8"/>
    <w:rsid w:val="4F272284"/>
    <w:rsid w:val="4F2726D8"/>
    <w:rsid w:val="4F2F3EEA"/>
    <w:rsid w:val="4F3C0AB8"/>
    <w:rsid w:val="4F45577A"/>
    <w:rsid w:val="4F552592"/>
    <w:rsid w:val="4F5E72C0"/>
    <w:rsid w:val="4F5F12D4"/>
    <w:rsid w:val="4F6777C7"/>
    <w:rsid w:val="4F7216D7"/>
    <w:rsid w:val="4F7725FA"/>
    <w:rsid w:val="4F9A62A6"/>
    <w:rsid w:val="4FA66CFD"/>
    <w:rsid w:val="4FF2599B"/>
    <w:rsid w:val="4FF74E86"/>
    <w:rsid w:val="4FFE4A87"/>
    <w:rsid w:val="5010010B"/>
    <w:rsid w:val="501A64E9"/>
    <w:rsid w:val="502E6212"/>
    <w:rsid w:val="50510764"/>
    <w:rsid w:val="506D527E"/>
    <w:rsid w:val="50821000"/>
    <w:rsid w:val="50836016"/>
    <w:rsid w:val="50844B47"/>
    <w:rsid w:val="508807F5"/>
    <w:rsid w:val="508C5C19"/>
    <w:rsid w:val="509521B0"/>
    <w:rsid w:val="50993C0E"/>
    <w:rsid w:val="50A218B6"/>
    <w:rsid w:val="50B51B53"/>
    <w:rsid w:val="50C23F33"/>
    <w:rsid w:val="50CD30BE"/>
    <w:rsid w:val="50DB6B76"/>
    <w:rsid w:val="510714FF"/>
    <w:rsid w:val="510A7C59"/>
    <w:rsid w:val="5116315B"/>
    <w:rsid w:val="51173EA0"/>
    <w:rsid w:val="512522EB"/>
    <w:rsid w:val="512F52E0"/>
    <w:rsid w:val="51542485"/>
    <w:rsid w:val="51856AE2"/>
    <w:rsid w:val="51873422"/>
    <w:rsid w:val="51A37114"/>
    <w:rsid w:val="51D63552"/>
    <w:rsid w:val="51DE2AA3"/>
    <w:rsid w:val="51E25FB9"/>
    <w:rsid w:val="51EE0B2B"/>
    <w:rsid w:val="51FE0F3D"/>
    <w:rsid w:val="5212481A"/>
    <w:rsid w:val="521E0C81"/>
    <w:rsid w:val="5227673B"/>
    <w:rsid w:val="52355891"/>
    <w:rsid w:val="523F4399"/>
    <w:rsid w:val="52447C09"/>
    <w:rsid w:val="5252448D"/>
    <w:rsid w:val="5262090B"/>
    <w:rsid w:val="52684B1B"/>
    <w:rsid w:val="527E0CA7"/>
    <w:rsid w:val="528866A1"/>
    <w:rsid w:val="529D619F"/>
    <w:rsid w:val="52A37260"/>
    <w:rsid w:val="52B80EAD"/>
    <w:rsid w:val="52D000D0"/>
    <w:rsid w:val="52DB6AC6"/>
    <w:rsid w:val="52E070CC"/>
    <w:rsid w:val="52E73368"/>
    <w:rsid w:val="52EB0BC7"/>
    <w:rsid w:val="52EB1B8E"/>
    <w:rsid w:val="530E43BC"/>
    <w:rsid w:val="532031D8"/>
    <w:rsid w:val="53524412"/>
    <w:rsid w:val="53680C51"/>
    <w:rsid w:val="53740D95"/>
    <w:rsid w:val="5379147E"/>
    <w:rsid w:val="53792604"/>
    <w:rsid w:val="538518A8"/>
    <w:rsid w:val="5398003B"/>
    <w:rsid w:val="539C4546"/>
    <w:rsid w:val="539C642B"/>
    <w:rsid w:val="53BB67EB"/>
    <w:rsid w:val="53BE4C42"/>
    <w:rsid w:val="53D22EA8"/>
    <w:rsid w:val="53D86931"/>
    <w:rsid w:val="53DA76A0"/>
    <w:rsid w:val="54161B39"/>
    <w:rsid w:val="543179D7"/>
    <w:rsid w:val="543C16DA"/>
    <w:rsid w:val="546E4625"/>
    <w:rsid w:val="54891120"/>
    <w:rsid w:val="54AF5123"/>
    <w:rsid w:val="54E104D3"/>
    <w:rsid w:val="54E56216"/>
    <w:rsid w:val="553A4279"/>
    <w:rsid w:val="55517776"/>
    <w:rsid w:val="557139A2"/>
    <w:rsid w:val="557703FF"/>
    <w:rsid w:val="557830EE"/>
    <w:rsid w:val="5588278D"/>
    <w:rsid w:val="55882A88"/>
    <w:rsid w:val="55A14F38"/>
    <w:rsid w:val="55AC3ACD"/>
    <w:rsid w:val="55CC3F34"/>
    <w:rsid w:val="55E464CD"/>
    <w:rsid w:val="55F90F80"/>
    <w:rsid w:val="55FB0BBE"/>
    <w:rsid w:val="560712A4"/>
    <w:rsid w:val="560E12D3"/>
    <w:rsid w:val="56120A26"/>
    <w:rsid w:val="56177393"/>
    <w:rsid w:val="56193ABD"/>
    <w:rsid w:val="5645477A"/>
    <w:rsid w:val="564B654C"/>
    <w:rsid w:val="56555037"/>
    <w:rsid w:val="565D12FC"/>
    <w:rsid w:val="565F395E"/>
    <w:rsid w:val="566361BC"/>
    <w:rsid w:val="56B00379"/>
    <w:rsid w:val="56B153BE"/>
    <w:rsid w:val="56BA106E"/>
    <w:rsid w:val="56C17BEB"/>
    <w:rsid w:val="56D21E07"/>
    <w:rsid w:val="56FA7F22"/>
    <w:rsid w:val="570069DF"/>
    <w:rsid w:val="570F5142"/>
    <w:rsid w:val="570F71B9"/>
    <w:rsid w:val="571E6A72"/>
    <w:rsid w:val="571E7B9C"/>
    <w:rsid w:val="57213E2F"/>
    <w:rsid w:val="572B3C88"/>
    <w:rsid w:val="5761038A"/>
    <w:rsid w:val="57715B3F"/>
    <w:rsid w:val="5782786B"/>
    <w:rsid w:val="578B2B80"/>
    <w:rsid w:val="57975346"/>
    <w:rsid w:val="57A879E2"/>
    <w:rsid w:val="57AD18A9"/>
    <w:rsid w:val="57BC1475"/>
    <w:rsid w:val="57C50FD8"/>
    <w:rsid w:val="57D34F8E"/>
    <w:rsid w:val="57EA210F"/>
    <w:rsid w:val="57EC33A8"/>
    <w:rsid w:val="57EE338E"/>
    <w:rsid w:val="57EE7D88"/>
    <w:rsid w:val="58066432"/>
    <w:rsid w:val="58650891"/>
    <w:rsid w:val="586F62DA"/>
    <w:rsid w:val="58767185"/>
    <w:rsid w:val="58AD5747"/>
    <w:rsid w:val="58BC79BE"/>
    <w:rsid w:val="58C05E65"/>
    <w:rsid w:val="58CF2316"/>
    <w:rsid w:val="58E101C8"/>
    <w:rsid w:val="58EA07CE"/>
    <w:rsid w:val="58EC0D07"/>
    <w:rsid w:val="58F93429"/>
    <w:rsid w:val="58FA117D"/>
    <w:rsid w:val="590C6EBA"/>
    <w:rsid w:val="59125DC8"/>
    <w:rsid w:val="5915074C"/>
    <w:rsid w:val="591C5460"/>
    <w:rsid w:val="59215342"/>
    <w:rsid w:val="59235B89"/>
    <w:rsid w:val="59236675"/>
    <w:rsid w:val="59273F6E"/>
    <w:rsid w:val="59336DA3"/>
    <w:rsid w:val="59381148"/>
    <w:rsid w:val="59421958"/>
    <w:rsid w:val="59433555"/>
    <w:rsid w:val="594352B9"/>
    <w:rsid w:val="5952374E"/>
    <w:rsid w:val="59600F92"/>
    <w:rsid w:val="59830A22"/>
    <w:rsid w:val="59935D49"/>
    <w:rsid w:val="599A4DF3"/>
    <w:rsid w:val="59A0481F"/>
    <w:rsid w:val="59AB5F68"/>
    <w:rsid w:val="59BB73EA"/>
    <w:rsid w:val="59CD6ACD"/>
    <w:rsid w:val="59DA1450"/>
    <w:rsid w:val="59E23EAB"/>
    <w:rsid w:val="59E34127"/>
    <w:rsid w:val="59F238FC"/>
    <w:rsid w:val="5A301174"/>
    <w:rsid w:val="5A312969"/>
    <w:rsid w:val="5A373161"/>
    <w:rsid w:val="5A84778E"/>
    <w:rsid w:val="5A916AC3"/>
    <w:rsid w:val="5AA7243C"/>
    <w:rsid w:val="5AB342B7"/>
    <w:rsid w:val="5AC468CD"/>
    <w:rsid w:val="5AC6124F"/>
    <w:rsid w:val="5AF56A87"/>
    <w:rsid w:val="5B0A408E"/>
    <w:rsid w:val="5B0D1432"/>
    <w:rsid w:val="5B2829B8"/>
    <w:rsid w:val="5B2F5733"/>
    <w:rsid w:val="5B743532"/>
    <w:rsid w:val="5B7C4F58"/>
    <w:rsid w:val="5B851B3C"/>
    <w:rsid w:val="5B936F73"/>
    <w:rsid w:val="5BB66216"/>
    <w:rsid w:val="5BC32832"/>
    <w:rsid w:val="5BCA2A2F"/>
    <w:rsid w:val="5BD771F3"/>
    <w:rsid w:val="5C0B661C"/>
    <w:rsid w:val="5C2E7BAE"/>
    <w:rsid w:val="5C337866"/>
    <w:rsid w:val="5C493F1D"/>
    <w:rsid w:val="5C5A1297"/>
    <w:rsid w:val="5C682839"/>
    <w:rsid w:val="5C85677C"/>
    <w:rsid w:val="5C9236BC"/>
    <w:rsid w:val="5C945891"/>
    <w:rsid w:val="5CB35624"/>
    <w:rsid w:val="5CE943C9"/>
    <w:rsid w:val="5CEE5E83"/>
    <w:rsid w:val="5CFC28FC"/>
    <w:rsid w:val="5D177444"/>
    <w:rsid w:val="5D1806D8"/>
    <w:rsid w:val="5D193930"/>
    <w:rsid w:val="5D1F7DEB"/>
    <w:rsid w:val="5D251AD2"/>
    <w:rsid w:val="5D2D1162"/>
    <w:rsid w:val="5D331AE8"/>
    <w:rsid w:val="5D367122"/>
    <w:rsid w:val="5D483823"/>
    <w:rsid w:val="5D55310C"/>
    <w:rsid w:val="5D5848E4"/>
    <w:rsid w:val="5D5E312E"/>
    <w:rsid w:val="5D8F3DBF"/>
    <w:rsid w:val="5D945FAA"/>
    <w:rsid w:val="5D9A4822"/>
    <w:rsid w:val="5DA617EC"/>
    <w:rsid w:val="5DD92690"/>
    <w:rsid w:val="5DE546F7"/>
    <w:rsid w:val="5DF0738B"/>
    <w:rsid w:val="5E041685"/>
    <w:rsid w:val="5E191BCF"/>
    <w:rsid w:val="5E220857"/>
    <w:rsid w:val="5E331DA0"/>
    <w:rsid w:val="5E3E1D6E"/>
    <w:rsid w:val="5E482B68"/>
    <w:rsid w:val="5E4E4C84"/>
    <w:rsid w:val="5E5D506F"/>
    <w:rsid w:val="5E672C76"/>
    <w:rsid w:val="5E6C3675"/>
    <w:rsid w:val="5E6D1EC3"/>
    <w:rsid w:val="5E7B0BF7"/>
    <w:rsid w:val="5E9860A7"/>
    <w:rsid w:val="5EAB4386"/>
    <w:rsid w:val="5EAB5E35"/>
    <w:rsid w:val="5EC501AE"/>
    <w:rsid w:val="5F230DB3"/>
    <w:rsid w:val="5F5C357A"/>
    <w:rsid w:val="5F665429"/>
    <w:rsid w:val="5F6E38AA"/>
    <w:rsid w:val="5F843F05"/>
    <w:rsid w:val="5F881C77"/>
    <w:rsid w:val="5F9A5549"/>
    <w:rsid w:val="5FB1005E"/>
    <w:rsid w:val="5FDA3FB1"/>
    <w:rsid w:val="5FF91A84"/>
    <w:rsid w:val="60025ECE"/>
    <w:rsid w:val="60233244"/>
    <w:rsid w:val="603248E7"/>
    <w:rsid w:val="60433C6C"/>
    <w:rsid w:val="60615ADD"/>
    <w:rsid w:val="606C09EB"/>
    <w:rsid w:val="608362D0"/>
    <w:rsid w:val="60961CD1"/>
    <w:rsid w:val="609C7EC5"/>
    <w:rsid w:val="60B21385"/>
    <w:rsid w:val="60F45B20"/>
    <w:rsid w:val="60FA240C"/>
    <w:rsid w:val="61047A23"/>
    <w:rsid w:val="611077FB"/>
    <w:rsid w:val="61112140"/>
    <w:rsid w:val="611539DF"/>
    <w:rsid w:val="615A02FA"/>
    <w:rsid w:val="61690500"/>
    <w:rsid w:val="61765189"/>
    <w:rsid w:val="61870998"/>
    <w:rsid w:val="61967195"/>
    <w:rsid w:val="619F7F09"/>
    <w:rsid w:val="61AB6509"/>
    <w:rsid w:val="61C73498"/>
    <w:rsid w:val="61F30033"/>
    <w:rsid w:val="61FE2B2F"/>
    <w:rsid w:val="620360F1"/>
    <w:rsid w:val="62143EFD"/>
    <w:rsid w:val="62192D50"/>
    <w:rsid w:val="622A753F"/>
    <w:rsid w:val="62397819"/>
    <w:rsid w:val="62400EAD"/>
    <w:rsid w:val="62407622"/>
    <w:rsid w:val="6255206B"/>
    <w:rsid w:val="625F11F0"/>
    <w:rsid w:val="626C5687"/>
    <w:rsid w:val="626D7876"/>
    <w:rsid w:val="627E7362"/>
    <w:rsid w:val="628023A8"/>
    <w:rsid w:val="62822B8E"/>
    <w:rsid w:val="62954A46"/>
    <w:rsid w:val="629A1FB5"/>
    <w:rsid w:val="629C01A7"/>
    <w:rsid w:val="629F7084"/>
    <w:rsid w:val="62B9483E"/>
    <w:rsid w:val="62CC4571"/>
    <w:rsid w:val="62DD5E67"/>
    <w:rsid w:val="62E65151"/>
    <w:rsid w:val="63134B3A"/>
    <w:rsid w:val="6318370A"/>
    <w:rsid w:val="63585A5E"/>
    <w:rsid w:val="638B7F88"/>
    <w:rsid w:val="6395542B"/>
    <w:rsid w:val="639565F1"/>
    <w:rsid w:val="639A643D"/>
    <w:rsid w:val="639C7BCD"/>
    <w:rsid w:val="63A03821"/>
    <w:rsid w:val="63A53C8B"/>
    <w:rsid w:val="63AB14EE"/>
    <w:rsid w:val="63AE4811"/>
    <w:rsid w:val="63C139AA"/>
    <w:rsid w:val="63CA5E94"/>
    <w:rsid w:val="63D644F6"/>
    <w:rsid w:val="63E44FB6"/>
    <w:rsid w:val="64094636"/>
    <w:rsid w:val="64145F66"/>
    <w:rsid w:val="64456ABF"/>
    <w:rsid w:val="6463206A"/>
    <w:rsid w:val="64791C61"/>
    <w:rsid w:val="648E32AE"/>
    <w:rsid w:val="649527E1"/>
    <w:rsid w:val="64A67074"/>
    <w:rsid w:val="64C43F08"/>
    <w:rsid w:val="64C85E00"/>
    <w:rsid w:val="64E35BA2"/>
    <w:rsid w:val="64EB2A29"/>
    <w:rsid w:val="64ED7365"/>
    <w:rsid w:val="65037FF2"/>
    <w:rsid w:val="65247369"/>
    <w:rsid w:val="652752A6"/>
    <w:rsid w:val="652C12F7"/>
    <w:rsid w:val="652C44BE"/>
    <w:rsid w:val="65355A41"/>
    <w:rsid w:val="653651FC"/>
    <w:rsid w:val="65493C57"/>
    <w:rsid w:val="655631E2"/>
    <w:rsid w:val="655A2308"/>
    <w:rsid w:val="65752C9E"/>
    <w:rsid w:val="658E3D60"/>
    <w:rsid w:val="658F7EB1"/>
    <w:rsid w:val="65907AD8"/>
    <w:rsid w:val="65A519D1"/>
    <w:rsid w:val="65A6329E"/>
    <w:rsid w:val="65B96CF0"/>
    <w:rsid w:val="65C82364"/>
    <w:rsid w:val="65CB058E"/>
    <w:rsid w:val="65CC4888"/>
    <w:rsid w:val="661274E7"/>
    <w:rsid w:val="6615783B"/>
    <w:rsid w:val="663250D0"/>
    <w:rsid w:val="66331DAC"/>
    <w:rsid w:val="66340204"/>
    <w:rsid w:val="663A3E2B"/>
    <w:rsid w:val="663F14FE"/>
    <w:rsid w:val="663F382E"/>
    <w:rsid w:val="66546CCA"/>
    <w:rsid w:val="666451A4"/>
    <w:rsid w:val="667123FB"/>
    <w:rsid w:val="66A16F3B"/>
    <w:rsid w:val="66AF4E14"/>
    <w:rsid w:val="66B477F6"/>
    <w:rsid w:val="66BA7F3D"/>
    <w:rsid w:val="66BE0674"/>
    <w:rsid w:val="66D66A3E"/>
    <w:rsid w:val="67112437"/>
    <w:rsid w:val="67112D62"/>
    <w:rsid w:val="67143358"/>
    <w:rsid w:val="673C1568"/>
    <w:rsid w:val="674E0ABE"/>
    <w:rsid w:val="67552925"/>
    <w:rsid w:val="67584625"/>
    <w:rsid w:val="67600113"/>
    <w:rsid w:val="676551DF"/>
    <w:rsid w:val="67794E58"/>
    <w:rsid w:val="677F5DD9"/>
    <w:rsid w:val="678C0D14"/>
    <w:rsid w:val="67913A01"/>
    <w:rsid w:val="67964D29"/>
    <w:rsid w:val="67C604C7"/>
    <w:rsid w:val="67CC66E3"/>
    <w:rsid w:val="67E762C2"/>
    <w:rsid w:val="67E91721"/>
    <w:rsid w:val="67F35B18"/>
    <w:rsid w:val="67FF35A1"/>
    <w:rsid w:val="68076A17"/>
    <w:rsid w:val="68295CB4"/>
    <w:rsid w:val="68430781"/>
    <w:rsid w:val="68574817"/>
    <w:rsid w:val="685B1234"/>
    <w:rsid w:val="68615086"/>
    <w:rsid w:val="68664B20"/>
    <w:rsid w:val="6875317A"/>
    <w:rsid w:val="687C5466"/>
    <w:rsid w:val="688B4F4B"/>
    <w:rsid w:val="68A374AD"/>
    <w:rsid w:val="68AB4A36"/>
    <w:rsid w:val="68C46A6D"/>
    <w:rsid w:val="68CE3691"/>
    <w:rsid w:val="68D128E1"/>
    <w:rsid w:val="68D73C6F"/>
    <w:rsid w:val="68E00366"/>
    <w:rsid w:val="68E416B1"/>
    <w:rsid w:val="68E63EB3"/>
    <w:rsid w:val="69061224"/>
    <w:rsid w:val="69076303"/>
    <w:rsid w:val="691532C3"/>
    <w:rsid w:val="69276DCB"/>
    <w:rsid w:val="692E58E2"/>
    <w:rsid w:val="693C24D3"/>
    <w:rsid w:val="694675AC"/>
    <w:rsid w:val="694855A7"/>
    <w:rsid w:val="69566E7A"/>
    <w:rsid w:val="69577898"/>
    <w:rsid w:val="695C3D4C"/>
    <w:rsid w:val="699358C8"/>
    <w:rsid w:val="699650D5"/>
    <w:rsid w:val="69C854CB"/>
    <w:rsid w:val="69C94892"/>
    <w:rsid w:val="69CE6E20"/>
    <w:rsid w:val="69E403F2"/>
    <w:rsid w:val="69EF4666"/>
    <w:rsid w:val="69F307B7"/>
    <w:rsid w:val="6A032F59"/>
    <w:rsid w:val="6A06480C"/>
    <w:rsid w:val="6A283085"/>
    <w:rsid w:val="6A2D6373"/>
    <w:rsid w:val="6A301889"/>
    <w:rsid w:val="6A4A492B"/>
    <w:rsid w:val="6A4C63EB"/>
    <w:rsid w:val="6A510768"/>
    <w:rsid w:val="6A5135AE"/>
    <w:rsid w:val="6A527A52"/>
    <w:rsid w:val="6A5B71AE"/>
    <w:rsid w:val="6A6370C4"/>
    <w:rsid w:val="6A892A13"/>
    <w:rsid w:val="6A971908"/>
    <w:rsid w:val="6A9752BF"/>
    <w:rsid w:val="6AA65667"/>
    <w:rsid w:val="6AA9176C"/>
    <w:rsid w:val="6AB63D06"/>
    <w:rsid w:val="6ABE5B6C"/>
    <w:rsid w:val="6AD20B92"/>
    <w:rsid w:val="6AE61F66"/>
    <w:rsid w:val="6AE8003A"/>
    <w:rsid w:val="6B024C3F"/>
    <w:rsid w:val="6B041095"/>
    <w:rsid w:val="6B2A0511"/>
    <w:rsid w:val="6B2C0D7D"/>
    <w:rsid w:val="6B32646E"/>
    <w:rsid w:val="6B3E58B6"/>
    <w:rsid w:val="6B767770"/>
    <w:rsid w:val="6B99052D"/>
    <w:rsid w:val="6BBA0530"/>
    <w:rsid w:val="6BC8450C"/>
    <w:rsid w:val="6BCE5F90"/>
    <w:rsid w:val="6BD3128F"/>
    <w:rsid w:val="6BD7311B"/>
    <w:rsid w:val="6BE446D9"/>
    <w:rsid w:val="6BED0A9C"/>
    <w:rsid w:val="6BF83587"/>
    <w:rsid w:val="6BF92CF3"/>
    <w:rsid w:val="6C0E559F"/>
    <w:rsid w:val="6C1C260E"/>
    <w:rsid w:val="6C264CF2"/>
    <w:rsid w:val="6C465394"/>
    <w:rsid w:val="6C626F65"/>
    <w:rsid w:val="6C710ED2"/>
    <w:rsid w:val="6C7F4AB6"/>
    <w:rsid w:val="6C862EAE"/>
    <w:rsid w:val="6C937EAD"/>
    <w:rsid w:val="6C97610A"/>
    <w:rsid w:val="6C9C7B87"/>
    <w:rsid w:val="6CB30BFB"/>
    <w:rsid w:val="6CC16FAD"/>
    <w:rsid w:val="6CD009DE"/>
    <w:rsid w:val="6CDB338B"/>
    <w:rsid w:val="6CE06E5E"/>
    <w:rsid w:val="6CEA3DAE"/>
    <w:rsid w:val="6CEB7779"/>
    <w:rsid w:val="6CF57C50"/>
    <w:rsid w:val="6D0B213A"/>
    <w:rsid w:val="6D0C5572"/>
    <w:rsid w:val="6D2F3A59"/>
    <w:rsid w:val="6D374CDD"/>
    <w:rsid w:val="6D4F320D"/>
    <w:rsid w:val="6D595BC5"/>
    <w:rsid w:val="6D622403"/>
    <w:rsid w:val="6D7F1394"/>
    <w:rsid w:val="6D864FDF"/>
    <w:rsid w:val="6DAA2EB7"/>
    <w:rsid w:val="6DAD0051"/>
    <w:rsid w:val="6DB3474B"/>
    <w:rsid w:val="6DD10C8D"/>
    <w:rsid w:val="6DED3702"/>
    <w:rsid w:val="6DF40E20"/>
    <w:rsid w:val="6DF87621"/>
    <w:rsid w:val="6E007F7E"/>
    <w:rsid w:val="6E0C7F17"/>
    <w:rsid w:val="6E160D96"/>
    <w:rsid w:val="6E2F67E0"/>
    <w:rsid w:val="6E3E31C1"/>
    <w:rsid w:val="6E4B1F64"/>
    <w:rsid w:val="6E4C4D60"/>
    <w:rsid w:val="6E50156F"/>
    <w:rsid w:val="6E5F03AC"/>
    <w:rsid w:val="6E895ABC"/>
    <w:rsid w:val="6E8A631D"/>
    <w:rsid w:val="6E932DE0"/>
    <w:rsid w:val="6EC111C2"/>
    <w:rsid w:val="6ED053E9"/>
    <w:rsid w:val="6EDF562C"/>
    <w:rsid w:val="6EEE2359"/>
    <w:rsid w:val="6F092EE2"/>
    <w:rsid w:val="6F327A27"/>
    <w:rsid w:val="6F4F1391"/>
    <w:rsid w:val="6F5222A2"/>
    <w:rsid w:val="6F5C19F5"/>
    <w:rsid w:val="6F8426A9"/>
    <w:rsid w:val="6F884C51"/>
    <w:rsid w:val="6F886CA1"/>
    <w:rsid w:val="6F8D1BCA"/>
    <w:rsid w:val="6F8D4D73"/>
    <w:rsid w:val="6F914B78"/>
    <w:rsid w:val="6FB439DE"/>
    <w:rsid w:val="6FCF744E"/>
    <w:rsid w:val="6FD250A2"/>
    <w:rsid w:val="6FD44F58"/>
    <w:rsid w:val="6FDB2297"/>
    <w:rsid w:val="6FE73A84"/>
    <w:rsid w:val="6FEC4B62"/>
    <w:rsid w:val="6FF639CE"/>
    <w:rsid w:val="700356AB"/>
    <w:rsid w:val="701B6AF9"/>
    <w:rsid w:val="70291C73"/>
    <w:rsid w:val="704D0FDF"/>
    <w:rsid w:val="7087270D"/>
    <w:rsid w:val="708E072B"/>
    <w:rsid w:val="709976F3"/>
    <w:rsid w:val="70A00DEB"/>
    <w:rsid w:val="70CE3BAA"/>
    <w:rsid w:val="70DD7ECC"/>
    <w:rsid w:val="70F45658"/>
    <w:rsid w:val="70F45858"/>
    <w:rsid w:val="70F7004F"/>
    <w:rsid w:val="70F7032E"/>
    <w:rsid w:val="7106333C"/>
    <w:rsid w:val="71147736"/>
    <w:rsid w:val="711D717B"/>
    <w:rsid w:val="71235CA4"/>
    <w:rsid w:val="713733AD"/>
    <w:rsid w:val="7149027E"/>
    <w:rsid w:val="7149181B"/>
    <w:rsid w:val="71706A0F"/>
    <w:rsid w:val="719E7794"/>
    <w:rsid w:val="71C52D5B"/>
    <w:rsid w:val="71CD0157"/>
    <w:rsid w:val="72102379"/>
    <w:rsid w:val="72350E81"/>
    <w:rsid w:val="72406E13"/>
    <w:rsid w:val="72532EDB"/>
    <w:rsid w:val="725B76BF"/>
    <w:rsid w:val="72606A84"/>
    <w:rsid w:val="726C3AD3"/>
    <w:rsid w:val="726D142B"/>
    <w:rsid w:val="727178BF"/>
    <w:rsid w:val="728A70A8"/>
    <w:rsid w:val="72B8133A"/>
    <w:rsid w:val="72BA60D2"/>
    <w:rsid w:val="72D04854"/>
    <w:rsid w:val="72D2288C"/>
    <w:rsid w:val="72D62DDC"/>
    <w:rsid w:val="72D83CD1"/>
    <w:rsid w:val="72DC0CAB"/>
    <w:rsid w:val="72FB70D6"/>
    <w:rsid w:val="73016D6C"/>
    <w:rsid w:val="731E2BC7"/>
    <w:rsid w:val="73460B43"/>
    <w:rsid w:val="734C10B5"/>
    <w:rsid w:val="7351372B"/>
    <w:rsid w:val="7353747A"/>
    <w:rsid w:val="73660C3A"/>
    <w:rsid w:val="73774085"/>
    <w:rsid w:val="738D02BF"/>
    <w:rsid w:val="738D5656"/>
    <w:rsid w:val="73A07548"/>
    <w:rsid w:val="73A54D3D"/>
    <w:rsid w:val="73AE7220"/>
    <w:rsid w:val="73BA353C"/>
    <w:rsid w:val="73C21924"/>
    <w:rsid w:val="73C848E1"/>
    <w:rsid w:val="73D35FAE"/>
    <w:rsid w:val="73D53523"/>
    <w:rsid w:val="73D72923"/>
    <w:rsid w:val="73D80DBC"/>
    <w:rsid w:val="73EB4C51"/>
    <w:rsid w:val="73EC4347"/>
    <w:rsid w:val="73EC68EA"/>
    <w:rsid w:val="73FF07DC"/>
    <w:rsid w:val="741152AF"/>
    <w:rsid w:val="7416389E"/>
    <w:rsid w:val="74191E03"/>
    <w:rsid w:val="7419338E"/>
    <w:rsid w:val="74240EF1"/>
    <w:rsid w:val="74290580"/>
    <w:rsid w:val="744F7B0E"/>
    <w:rsid w:val="74546133"/>
    <w:rsid w:val="745949D4"/>
    <w:rsid w:val="74811E67"/>
    <w:rsid w:val="7487654A"/>
    <w:rsid w:val="749018A2"/>
    <w:rsid w:val="74915AA5"/>
    <w:rsid w:val="74B160E1"/>
    <w:rsid w:val="74B77ADB"/>
    <w:rsid w:val="74D87F6C"/>
    <w:rsid w:val="74F60E4B"/>
    <w:rsid w:val="74FC36C1"/>
    <w:rsid w:val="74FD0A22"/>
    <w:rsid w:val="75242FFC"/>
    <w:rsid w:val="7530273D"/>
    <w:rsid w:val="75374744"/>
    <w:rsid w:val="754601B3"/>
    <w:rsid w:val="75633DE1"/>
    <w:rsid w:val="756429A0"/>
    <w:rsid w:val="75717C93"/>
    <w:rsid w:val="75862CA5"/>
    <w:rsid w:val="759D3BD9"/>
    <w:rsid w:val="75A001CC"/>
    <w:rsid w:val="75AE2816"/>
    <w:rsid w:val="75BE625B"/>
    <w:rsid w:val="75C6535B"/>
    <w:rsid w:val="75E878C7"/>
    <w:rsid w:val="75FA60DA"/>
    <w:rsid w:val="76037A0E"/>
    <w:rsid w:val="760A11E0"/>
    <w:rsid w:val="762F1644"/>
    <w:rsid w:val="76380E9E"/>
    <w:rsid w:val="76410F82"/>
    <w:rsid w:val="7655496A"/>
    <w:rsid w:val="768A211B"/>
    <w:rsid w:val="76902896"/>
    <w:rsid w:val="76920AC2"/>
    <w:rsid w:val="76A95A38"/>
    <w:rsid w:val="76B26092"/>
    <w:rsid w:val="76E83F89"/>
    <w:rsid w:val="76E95B50"/>
    <w:rsid w:val="76F5119B"/>
    <w:rsid w:val="76FD1ADF"/>
    <w:rsid w:val="77087B85"/>
    <w:rsid w:val="770C3F00"/>
    <w:rsid w:val="77157AA1"/>
    <w:rsid w:val="77376ADE"/>
    <w:rsid w:val="77403B6B"/>
    <w:rsid w:val="77443184"/>
    <w:rsid w:val="775B5454"/>
    <w:rsid w:val="77766A87"/>
    <w:rsid w:val="778154D2"/>
    <w:rsid w:val="7783271A"/>
    <w:rsid w:val="778B5CEB"/>
    <w:rsid w:val="77905638"/>
    <w:rsid w:val="77940F04"/>
    <w:rsid w:val="77A70DAE"/>
    <w:rsid w:val="77BF779D"/>
    <w:rsid w:val="77C05C50"/>
    <w:rsid w:val="77ED704C"/>
    <w:rsid w:val="77F70052"/>
    <w:rsid w:val="780B56E4"/>
    <w:rsid w:val="78250F0A"/>
    <w:rsid w:val="782B24D0"/>
    <w:rsid w:val="783F33E9"/>
    <w:rsid w:val="784469E6"/>
    <w:rsid w:val="78450BF6"/>
    <w:rsid w:val="78453C6F"/>
    <w:rsid w:val="7854292E"/>
    <w:rsid w:val="78546D55"/>
    <w:rsid w:val="785C1A9B"/>
    <w:rsid w:val="78872740"/>
    <w:rsid w:val="78881F09"/>
    <w:rsid w:val="788B6891"/>
    <w:rsid w:val="789418E6"/>
    <w:rsid w:val="78B15704"/>
    <w:rsid w:val="78BB0AD8"/>
    <w:rsid w:val="78BC4348"/>
    <w:rsid w:val="78C23FF4"/>
    <w:rsid w:val="78E924DB"/>
    <w:rsid w:val="78FC7AD8"/>
    <w:rsid w:val="790C2A1E"/>
    <w:rsid w:val="79374DC4"/>
    <w:rsid w:val="796E7892"/>
    <w:rsid w:val="798241F2"/>
    <w:rsid w:val="79857138"/>
    <w:rsid w:val="799007CD"/>
    <w:rsid w:val="79A57346"/>
    <w:rsid w:val="79B2011E"/>
    <w:rsid w:val="79B5786B"/>
    <w:rsid w:val="79C54939"/>
    <w:rsid w:val="79D84D05"/>
    <w:rsid w:val="79E86F0C"/>
    <w:rsid w:val="79EC1637"/>
    <w:rsid w:val="79F41474"/>
    <w:rsid w:val="79FB30F4"/>
    <w:rsid w:val="7A30187E"/>
    <w:rsid w:val="7A3048D6"/>
    <w:rsid w:val="7A346FCA"/>
    <w:rsid w:val="7A410F49"/>
    <w:rsid w:val="7A4F7B0A"/>
    <w:rsid w:val="7A544AB9"/>
    <w:rsid w:val="7A586535"/>
    <w:rsid w:val="7A5F28E5"/>
    <w:rsid w:val="7A5F2CC0"/>
    <w:rsid w:val="7A6606C8"/>
    <w:rsid w:val="7A774208"/>
    <w:rsid w:val="7A837932"/>
    <w:rsid w:val="7A98456C"/>
    <w:rsid w:val="7AA247E1"/>
    <w:rsid w:val="7AA27FC3"/>
    <w:rsid w:val="7AA62981"/>
    <w:rsid w:val="7AA9392F"/>
    <w:rsid w:val="7AAC0735"/>
    <w:rsid w:val="7ABC0981"/>
    <w:rsid w:val="7AE31D1E"/>
    <w:rsid w:val="7AF740E1"/>
    <w:rsid w:val="7B230961"/>
    <w:rsid w:val="7B2A1B83"/>
    <w:rsid w:val="7B2F5236"/>
    <w:rsid w:val="7B3E7251"/>
    <w:rsid w:val="7B58136F"/>
    <w:rsid w:val="7B7D1B70"/>
    <w:rsid w:val="7B8C7499"/>
    <w:rsid w:val="7BAE3A38"/>
    <w:rsid w:val="7BB12F84"/>
    <w:rsid w:val="7BB265A2"/>
    <w:rsid w:val="7BB67055"/>
    <w:rsid w:val="7BD32074"/>
    <w:rsid w:val="7BEB4D5C"/>
    <w:rsid w:val="7BF840C1"/>
    <w:rsid w:val="7C0E7E7C"/>
    <w:rsid w:val="7C334020"/>
    <w:rsid w:val="7C4C4671"/>
    <w:rsid w:val="7C4F37CE"/>
    <w:rsid w:val="7C555730"/>
    <w:rsid w:val="7C6042FC"/>
    <w:rsid w:val="7C660722"/>
    <w:rsid w:val="7C696409"/>
    <w:rsid w:val="7C6F0CB1"/>
    <w:rsid w:val="7C7B69AD"/>
    <w:rsid w:val="7C82224D"/>
    <w:rsid w:val="7C830F7C"/>
    <w:rsid w:val="7CA44B8F"/>
    <w:rsid w:val="7CCA7287"/>
    <w:rsid w:val="7CD041D9"/>
    <w:rsid w:val="7CE60C45"/>
    <w:rsid w:val="7CF769AF"/>
    <w:rsid w:val="7D125664"/>
    <w:rsid w:val="7D1312C2"/>
    <w:rsid w:val="7D1C7A4B"/>
    <w:rsid w:val="7D207053"/>
    <w:rsid w:val="7D2B7D32"/>
    <w:rsid w:val="7D2D6710"/>
    <w:rsid w:val="7D2E4E92"/>
    <w:rsid w:val="7D5A7A5A"/>
    <w:rsid w:val="7D636BDE"/>
    <w:rsid w:val="7D8E1DDC"/>
    <w:rsid w:val="7DA215B2"/>
    <w:rsid w:val="7DBF7824"/>
    <w:rsid w:val="7DC425BD"/>
    <w:rsid w:val="7DC946EF"/>
    <w:rsid w:val="7DD55965"/>
    <w:rsid w:val="7DDE6CAC"/>
    <w:rsid w:val="7DE73184"/>
    <w:rsid w:val="7DF850C3"/>
    <w:rsid w:val="7DF902E7"/>
    <w:rsid w:val="7DFE31E7"/>
    <w:rsid w:val="7E0B6DCB"/>
    <w:rsid w:val="7E204930"/>
    <w:rsid w:val="7E386B07"/>
    <w:rsid w:val="7E3C337C"/>
    <w:rsid w:val="7E3E1098"/>
    <w:rsid w:val="7E4648FA"/>
    <w:rsid w:val="7E467627"/>
    <w:rsid w:val="7E4D0364"/>
    <w:rsid w:val="7E6478FC"/>
    <w:rsid w:val="7E6A7E54"/>
    <w:rsid w:val="7E7044F2"/>
    <w:rsid w:val="7E7B31DC"/>
    <w:rsid w:val="7E8D6E52"/>
    <w:rsid w:val="7E95008D"/>
    <w:rsid w:val="7EC50B73"/>
    <w:rsid w:val="7EC600D6"/>
    <w:rsid w:val="7EC71323"/>
    <w:rsid w:val="7ED3576D"/>
    <w:rsid w:val="7EDE76F8"/>
    <w:rsid w:val="7F0013D2"/>
    <w:rsid w:val="7F1F036B"/>
    <w:rsid w:val="7F281666"/>
    <w:rsid w:val="7F2C10A1"/>
    <w:rsid w:val="7F392227"/>
    <w:rsid w:val="7F467A05"/>
    <w:rsid w:val="7F482A4C"/>
    <w:rsid w:val="7F681FFB"/>
    <w:rsid w:val="7F840255"/>
    <w:rsid w:val="7FAC6763"/>
    <w:rsid w:val="7FB17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qFormat="1"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iPriority="99"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line="560" w:lineRule="exact"/>
      <w:ind w:firstLine="0" w:firstLineChars="0"/>
      <w:outlineLvl w:val="0"/>
    </w:pPr>
    <w:rPr>
      <w:b/>
      <w:bCs/>
      <w:kern w:val="44"/>
      <w:sz w:val="36"/>
      <w:szCs w:val="36"/>
    </w:rPr>
  </w:style>
  <w:style w:type="paragraph" w:styleId="3">
    <w:name w:val="heading 2"/>
    <w:basedOn w:val="1"/>
    <w:next w:val="1"/>
    <w:qFormat/>
    <w:uiPriority w:val="0"/>
    <w:pPr>
      <w:keepNext/>
      <w:keepLines/>
      <w:spacing w:before="120" w:after="120" w:line="560" w:lineRule="exact"/>
      <w:ind w:firstLine="0" w:firstLineChars="0"/>
      <w:outlineLvl w:val="1"/>
    </w:pPr>
    <w:rPr>
      <w:b/>
      <w:bCs/>
      <w:sz w:val="32"/>
      <w:szCs w:val="32"/>
    </w:rPr>
  </w:style>
  <w:style w:type="paragraph" w:styleId="4">
    <w:name w:val="heading 3"/>
    <w:basedOn w:val="1"/>
    <w:next w:val="1"/>
    <w:unhideWhenUsed/>
    <w:qFormat/>
    <w:uiPriority w:val="0"/>
    <w:pPr>
      <w:keepNext/>
      <w:keepLines/>
      <w:spacing w:before="60" w:after="60"/>
      <w:ind w:firstLine="0" w:firstLineChars="0"/>
      <w:outlineLvl w:val="2"/>
    </w:pPr>
    <w:rPr>
      <w:b/>
      <w:bCs/>
      <w:sz w:val="30"/>
      <w:szCs w:val="32"/>
    </w:rPr>
  </w:style>
  <w:style w:type="paragraph" w:styleId="5">
    <w:name w:val="heading 4"/>
    <w:basedOn w:val="1"/>
    <w:next w:val="1"/>
    <w:unhideWhenUsed/>
    <w:qFormat/>
    <w:uiPriority w:val="0"/>
    <w:pPr>
      <w:keepNext/>
      <w:keepLines/>
      <w:ind w:firstLine="0" w:firstLineChars="0"/>
      <w:outlineLvl w:val="3"/>
    </w:pPr>
    <w:rPr>
      <w:b/>
    </w:rPr>
  </w:style>
  <w:style w:type="paragraph" w:styleId="6">
    <w:name w:val="heading 5"/>
    <w:basedOn w:val="1"/>
    <w:next w:val="1"/>
    <w:unhideWhenUsed/>
    <w:qFormat/>
    <w:uiPriority w:val="0"/>
    <w:pPr>
      <w:keepNext/>
      <w:keepLines/>
      <w:spacing w:line="372" w:lineRule="auto"/>
      <w:outlineLvl w:val="4"/>
    </w:pPr>
    <w:rPr>
      <w:b/>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119"/>
    <w:qFormat/>
    <w:uiPriority w:val="99"/>
    <w:pPr>
      <w:widowControl/>
      <w:ind w:firstLine="574"/>
      <w:jc w:val="left"/>
    </w:pPr>
    <w:rPr>
      <w:rFonts w:ascii="宋体" w:hAnsi="宋体" w:cs="宋体"/>
      <w:kern w:val="0"/>
      <w:sz w:val="28"/>
      <w:szCs w:val="20"/>
    </w:rPr>
  </w:style>
  <w:style w:type="paragraph" w:styleId="8">
    <w:name w:val="annotation text"/>
    <w:basedOn w:val="1"/>
    <w:link w:val="111"/>
    <w:qFormat/>
    <w:uiPriority w:val="0"/>
    <w:pPr>
      <w:jc w:val="left"/>
    </w:pPr>
  </w:style>
  <w:style w:type="paragraph" w:styleId="9">
    <w:name w:val="Salutation"/>
    <w:basedOn w:val="1"/>
    <w:next w:val="1"/>
    <w:qFormat/>
    <w:uiPriority w:val="0"/>
    <w:pPr>
      <w:adjustRightInd w:val="0"/>
      <w:snapToGrid w:val="0"/>
      <w:spacing w:line="360" w:lineRule="auto"/>
      <w:ind w:firstLine="200"/>
    </w:pPr>
    <w:rPr>
      <w:sz w:val="28"/>
    </w:rPr>
  </w:style>
  <w:style w:type="paragraph" w:styleId="10">
    <w:name w:val="Body Text"/>
    <w:basedOn w:val="1"/>
    <w:qFormat/>
    <w:uiPriority w:val="0"/>
    <w:pPr>
      <w:widowControl/>
      <w:spacing w:after="120"/>
      <w:jc w:val="left"/>
    </w:pPr>
    <w:rPr>
      <w:rFonts w:ascii="宋体" w:hAnsi="宋体" w:cs="宋体"/>
      <w:kern w:val="0"/>
    </w:rPr>
  </w:style>
  <w:style w:type="paragraph" w:styleId="11">
    <w:name w:val="Body Text Indent"/>
    <w:basedOn w:val="1"/>
    <w:next w:val="1"/>
    <w:link w:val="125"/>
    <w:qFormat/>
    <w:uiPriority w:val="0"/>
    <w:pPr>
      <w:spacing w:after="120"/>
      <w:ind w:left="420" w:leftChars="200"/>
    </w:pPr>
  </w:style>
  <w:style w:type="paragraph" w:styleId="12">
    <w:name w:val="Block Text"/>
    <w:basedOn w:val="1"/>
    <w:qFormat/>
    <w:uiPriority w:val="0"/>
    <w:pPr>
      <w:spacing w:line="500" w:lineRule="exact"/>
      <w:ind w:left="-105" w:leftChars="-50" w:right="-108"/>
      <w:jc w:val="center"/>
    </w:pPr>
    <w:rPr>
      <w:rFonts w:ascii="宋体" w:hAnsi="宋体" w:eastAsia="华文中宋"/>
      <w:spacing w:val="-6"/>
      <w:szCs w:val="32"/>
    </w:rPr>
  </w:style>
  <w:style w:type="paragraph" w:styleId="13">
    <w:name w:val="toc 3"/>
    <w:basedOn w:val="1"/>
    <w:next w:val="1"/>
    <w:qFormat/>
    <w:uiPriority w:val="0"/>
    <w:pPr>
      <w:ind w:left="840" w:leftChars="400"/>
    </w:pPr>
  </w:style>
  <w:style w:type="paragraph" w:styleId="14">
    <w:name w:val="Plain Text"/>
    <w:basedOn w:val="1"/>
    <w:next w:val="15"/>
    <w:semiHidden/>
    <w:qFormat/>
    <w:uiPriority w:val="0"/>
    <w:rPr>
      <w:rFonts w:ascii="宋体" w:hAnsi="Courier New" w:cs="Courier New"/>
      <w:szCs w:val="21"/>
    </w:rPr>
  </w:style>
  <w:style w:type="paragraph" w:styleId="15">
    <w:name w:val="List Number 5"/>
    <w:basedOn w:val="1"/>
    <w:qFormat/>
    <w:uiPriority w:val="0"/>
    <w:pPr>
      <w:numPr>
        <w:ilvl w:val="0"/>
        <w:numId w:val="1"/>
      </w:numPr>
    </w:pPr>
  </w:style>
  <w:style w:type="paragraph" w:styleId="16">
    <w:name w:val="index 3"/>
    <w:basedOn w:val="1"/>
    <w:next w:val="1"/>
    <w:qFormat/>
    <w:uiPriority w:val="0"/>
    <w:pPr>
      <w:spacing w:line="520" w:lineRule="exact"/>
      <w:ind w:left="630" w:hanging="210"/>
      <w:jc w:val="left"/>
    </w:pPr>
    <w:rPr>
      <w:rFonts w:cstheme="minorBidi"/>
      <w:sz w:val="20"/>
      <w:szCs w:val="20"/>
    </w:rPr>
  </w:style>
  <w:style w:type="paragraph" w:styleId="17">
    <w:name w:val="Balloon Text"/>
    <w:basedOn w:val="1"/>
    <w:link w:val="89"/>
    <w:qFormat/>
    <w:uiPriority w:val="0"/>
    <w:pPr>
      <w:spacing w:line="240" w:lineRule="auto"/>
    </w:pPr>
    <w:rPr>
      <w:sz w:val="18"/>
      <w:szCs w:val="18"/>
    </w:rPr>
  </w:style>
  <w:style w:type="paragraph" w:styleId="18">
    <w:name w:val="footer"/>
    <w:basedOn w:val="1"/>
    <w:link w:val="107"/>
    <w:qFormat/>
    <w:uiPriority w:val="0"/>
    <w:pPr>
      <w:tabs>
        <w:tab w:val="center" w:pos="4153"/>
        <w:tab w:val="right" w:pos="8306"/>
      </w:tabs>
      <w:adjustRightInd w:val="0"/>
      <w:snapToGrid w:val="0"/>
      <w:jc w:val="left"/>
    </w:pPr>
    <w:rPr>
      <w:szCs w:val="18"/>
    </w:rPr>
  </w:style>
  <w:style w:type="paragraph" w:styleId="19">
    <w:name w:val="header"/>
    <w:basedOn w:val="1"/>
    <w:link w:val="106"/>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qFormat/>
    <w:uiPriority w:val="39"/>
  </w:style>
  <w:style w:type="paragraph" w:styleId="21">
    <w:name w:val="List Continue 4"/>
    <w:basedOn w:val="1"/>
    <w:next w:val="1"/>
    <w:qFormat/>
    <w:uiPriority w:val="0"/>
    <w:pPr>
      <w:spacing w:after="120"/>
      <w:ind w:left="1680" w:firstLine="480"/>
    </w:pPr>
    <w:rPr>
      <w:rFonts w:ascii="宋体"/>
    </w:rPr>
  </w:style>
  <w:style w:type="paragraph" w:styleId="22">
    <w:name w:val="index heading"/>
    <w:basedOn w:val="1"/>
    <w:next w:val="23"/>
    <w:unhideWhenUsed/>
    <w:qFormat/>
    <w:uiPriority w:val="99"/>
    <w:rPr>
      <w:szCs w:val="20"/>
    </w:rPr>
  </w:style>
  <w:style w:type="paragraph" w:styleId="23">
    <w:name w:val="index 1"/>
    <w:basedOn w:val="1"/>
    <w:next w:val="1"/>
    <w:qFormat/>
    <w:uiPriority w:val="0"/>
    <w:pPr>
      <w:spacing w:line="400" w:lineRule="exact"/>
    </w:pPr>
    <w:rPr>
      <w:rFonts w:ascii="宋体" w:hAnsi="宋体"/>
      <w:color w:val="000000"/>
      <w:sz w:val="28"/>
      <w:szCs w:val="28"/>
    </w:rPr>
  </w:style>
  <w:style w:type="paragraph" w:styleId="24">
    <w:name w:val="List"/>
    <w:basedOn w:val="1"/>
    <w:next w:val="1"/>
    <w:qFormat/>
    <w:uiPriority w:val="0"/>
    <w:pPr>
      <w:widowControl/>
      <w:spacing w:after="120"/>
      <w:ind w:firstLine="567"/>
      <w:jc w:val="left"/>
      <w:outlineLvl w:val="2"/>
    </w:pPr>
    <w:rPr>
      <w:rFonts w:eastAsia="黑体"/>
      <w:b/>
      <w:color w:val="000000"/>
      <w:kern w:val="0"/>
      <w:sz w:val="28"/>
      <w:szCs w:val="20"/>
      <w:lang w:eastAsia="en-US" w:bidi="en-US"/>
    </w:rPr>
  </w:style>
  <w:style w:type="paragraph" w:styleId="25">
    <w:name w:val="toc 2"/>
    <w:basedOn w:val="1"/>
    <w:next w:val="1"/>
    <w:qFormat/>
    <w:uiPriority w:val="39"/>
    <w:pPr>
      <w:ind w:left="420" w:leftChars="200"/>
    </w:pPr>
  </w:style>
  <w:style w:type="paragraph" w:styleId="26">
    <w:name w:val="Body Text 2"/>
    <w:basedOn w:val="1"/>
    <w:qFormat/>
    <w:uiPriority w:val="0"/>
    <w:pPr>
      <w:spacing w:line="480" w:lineRule="auto"/>
    </w:pPr>
    <w:rPr>
      <w:rFonts w:eastAsia="仿宋_GB2312"/>
    </w:rPr>
  </w:style>
  <w:style w:type="paragraph" w:styleId="2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28">
    <w:name w:val="Normal (Web)"/>
    <w:basedOn w:val="1"/>
    <w:next w:val="1"/>
    <w:qFormat/>
    <w:uiPriority w:val="99"/>
    <w:pPr>
      <w:widowControl/>
      <w:spacing w:before="100" w:beforeAutospacing="1" w:after="100" w:afterAutospacing="1"/>
      <w:jc w:val="left"/>
    </w:pPr>
    <w:rPr>
      <w:rFonts w:ascii="宋体" w:hAnsi="宋体" w:cs="宋体"/>
      <w:color w:val="000000"/>
      <w:kern w:val="0"/>
    </w:rPr>
  </w:style>
  <w:style w:type="paragraph" w:styleId="29">
    <w:name w:val="annotation subject"/>
    <w:basedOn w:val="8"/>
    <w:next w:val="8"/>
    <w:link w:val="112"/>
    <w:qFormat/>
    <w:uiPriority w:val="0"/>
    <w:rPr>
      <w:b/>
      <w:bCs/>
    </w:rPr>
  </w:style>
  <w:style w:type="paragraph" w:styleId="30">
    <w:name w:val="Body Text First Indent"/>
    <w:basedOn w:val="10"/>
    <w:next w:val="31"/>
    <w:qFormat/>
    <w:uiPriority w:val="0"/>
    <w:pPr>
      <w:ind w:firstLine="420" w:firstLineChars="100"/>
    </w:pPr>
  </w:style>
  <w:style w:type="paragraph" w:styleId="31">
    <w:name w:val="Body Text First Indent 2"/>
    <w:basedOn w:val="11"/>
    <w:next w:val="21"/>
    <w:link w:val="124"/>
    <w:qFormat/>
    <w:uiPriority w:val="0"/>
    <w:pPr>
      <w:spacing w:after="120"/>
      <w:ind w:left="420" w:leftChars="200" w:firstLine="420"/>
    </w:pPr>
    <w:rPr>
      <w:sz w:val="21"/>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0"/>
    <w:rPr>
      <w:b/>
    </w:rPr>
  </w:style>
  <w:style w:type="character" w:styleId="36">
    <w:name w:val="FollowedHyperlink"/>
    <w:unhideWhenUsed/>
    <w:qFormat/>
    <w:uiPriority w:val="99"/>
    <w:rPr>
      <w:color w:val="954F72"/>
      <w:u w:val="single"/>
    </w:rPr>
  </w:style>
  <w:style w:type="character" w:styleId="37">
    <w:name w:val="Emphasis"/>
    <w:qFormat/>
    <w:uiPriority w:val="0"/>
    <w:rPr>
      <w:i/>
    </w:rPr>
  </w:style>
  <w:style w:type="character" w:styleId="38">
    <w:name w:val="Hyperlink"/>
    <w:basedOn w:val="34"/>
    <w:qFormat/>
    <w:uiPriority w:val="99"/>
    <w:rPr>
      <w:color w:val="0000FF"/>
      <w:u w:val="single"/>
    </w:rPr>
  </w:style>
  <w:style w:type="character" w:styleId="39">
    <w:name w:val="annotation reference"/>
    <w:basedOn w:val="34"/>
    <w:qFormat/>
    <w:uiPriority w:val="0"/>
    <w:rPr>
      <w:sz w:val="21"/>
      <w:szCs w:val="21"/>
    </w:rPr>
  </w:style>
  <w:style w:type="paragraph" w:customStyle="1" w:styleId="40">
    <w:name w:val="Body Text 21"/>
    <w:basedOn w:val="1"/>
    <w:autoRedefine/>
    <w:semiHidden/>
    <w:qFormat/>
    <w:uiPriority w:val="0"/>
    <w:pPr>
      <w:adjustRightInd w:val="0"/>
      <w:spacing w:line="360" w:lineRule="atLeast"/>
      <w:ind w:firstLine="425"/>
      <w:textAlignment w:val="baseline"/>
    </w:pPr>
    <w:rPr>
      <w:rFonts w:ascii="宋体"/>
      <w:kern w:val="0"/>
      <w:sz w:val="24"/>
      <w:szCs w:val="20"/>
    </w:rPr>
  </w:style>
  <w:style w:type="paragraph" w:customStyle="1" w:styleId="41">
    <w:name w:val="样式 首行缩进:  2 字符1"/>
    <w:basedOn w:val="1"/>
    <w:qFormat/>
    <w:uiPriority w:val="0"/>
    <w:pPr>
      <w:spacing w:line="360" w:lineRule="auto"/>
      <w:ind w:firstLine="200"/>
    </w:pPr>
    <w:rPr>
      <w:rFonts w:cs="宋体"/>
      <w:szCs w:val="20"/>
    </w:rPr>
  </w:style>
  <w:style w:type="paragraph" w:customStyle="1" w:styleId="42">
    <w:name w:val="正文格式"/>
    <w:basedOn w:val="30"/>
    <w:next w:val="43"/>
    <w:qFormat/>
    <w:uiPriority w:val="0"/>
    <w:pPr>
      <w:widowControl w:val="0"/>
      <w:ind w:firstLine="200" w:firstLineChars="200"/>
    </w:pPr>
    <w:rPr>
      <w:rFonts w:hAnsi="Times New Roman" w:cs="Times New Roman"/>
      <w:kern w:val="2"/>
    </w:rPr>
  </w:style>
  <w:style w:type="paragraph" w:customStyle="1" w:styleId="43">
    <w:name w:val="_Style 5"/>
    <w:basedOn w:val="1"/>
    <w:qFormat/>
    <w:uiPriority w:val="0"/>
    <w:pPr>
      <w:ind w:firstLine="420"/>
    </w:pPr>
    <w:rPr>
      <w:rFonts w:ascii="Calibri" w:hAnsi="Calibri"/>
      <w:szCs w:val="22"/>
    </w:rPr>
  </w:style>
  <w:style w:type="paragraph" w:customStyle="1" w:styleId="44">
    <w:name w:val="表、图名宋旭峰"/>
    <w:basedOn w:val="1"/>
    <w:qFormat/>
    <w:uiPriority w:val="99"/>
    <w:pPr>
      <w:snapToGrid w:val="0"/>
      <w:jc w:val="center"/>
    </w:pPr>
    <w:rPr>
      <w:rFonts w:ascii="黑体" w:hAnsi="黑体" w:eastAsia="黑体"/>
    </w:rPr>
  </w:style>
  <w:style w:type="paragraph" w:customStyle="1" w:styleId="45">
    <w:name w:val="Table Paragraph"/>
    <w:basedOn w:val="1"/>
    <w:qFormat/>
    <w:uiPriority w:val="1"/>
    <w:pPr>
      <w:spacing w:before="100" w:beforeAutospacing="1"/>
      <w:jc w:val="left"/>
    </w:pPr>
    <w:rPr>
      <w:kern w:val="0"/>
      <w:sz w:val="22"/>
      <w:szCs w:val="22"/>
    </w:rPr>
  </w:style>
  <w:style w:type="paragraph" w:customStyle="1" w:styleId="46">
    <w:name w:val="表格文字样式14"/>
    <w:basedOn w:val="1"/>
    <w:qFormat/>
    <w:uiPriority w:val="99"/>
    <w:pPr>
      <w:overflowPunct w:val="0"/>
      <w:adjustRightInd w:val="0"/>
      <w:snapToGrid w:val="0"/>
      <w:spacing w:line="360" w:lineRule="exact"/>
      <w:jc w:val="center"/>
    </w:pPr>
    <w:rPr>
      <w:bCs/>
      <w:snapToGrid w:val="0"/>
      <w:sz w:val="21"/>
      <w:szCs w:val="21"/>
    </w:rPr>
  </w:style>
  <w:style w:type="paragraph" w:customStyle="1" w:styleId="47">
    <w:name w:val="表头"/>
    <w:basedOn w:val="48"/>
    <w:next w:val="49"/>
    <w:link w:val="115"/>
    <w:qFormat/>
    <w:uiPriority w:val="0"/>
    <w:pPr>
      <w:spacing w:beforeLines="0" w:afterLines="0" w:line="480" w:lineRule="exact"/>
      <w:ind w:firstLine="0" w:firstLineChars="0"/>
      <w:jc w:val="center"/>
    </w:pPr>
    <w:rPr>
      <w:b/>
    </w:rPr>
  </w:style>
  <w:style w:type="paragraph" w:customStyle="1" w:styleId="48">
    <w:name w:val="正文1"/>
    <w:basedOn w:val="7"/>
    <w:next w:val="7"/>
    <w:qFormat/>
    <w:uiPriority w:val="0"/>
    <w:pPr>
      <w:spacing w:beforeLines="25" w:afterLines="25" w:line="360" w:lineRule="auto"/>
      <w:ind w:firstLine="480"/>
    </w:pPr>
    <w:rPr>
      <w:rFonts w:ascii="Times New Roman" w:hAnsi="Times New Roman" w:cs="Times New Roman"/>
      <w:kern w:val="2"/>
      <w:sz w:val="24"/>
      <w:szCs w:val="24"/>
    </w:rPr>
  </w:style>
  <w:style w:type="paragraph" w:customStyle="1" w:styleId="49">
    <w:name w:val="别动"/>
    <w:basedOn w:val="47"/>
    <w:qFormat/>
    <w:uiPriority w:val="0"/>
    <w:pPr>
      <w:spacing w:line="340" w:lineRule="exact"/>
    </w:pPr>
    <w:rPr>
      <w:b w:val="0"/>
      <w:kern w:val="0"/>
      <w:sz w:val="21"/>
    </w:rPr>
  </w:style>
  <w:style w:type="paragraph" w:customStyle="1" w:styleId="50">
    <w:name w:val="表格内容"/>
    <w:basedOn w:val="51"/>
    <w:next w:val="1"/>
    <w:qFormat/>
    <w:uiPriority w:val="0"/>
    <w:pPr>
      <w:autoSpaceDE w:val="0"/>
      <w:autoSpaceDN w:val="0"/>
      <w:adjustRightInd w:val="0"/>
      <w:snapToGrid w:val="0"/>
      <w:spacing w:line="360" w:lineRule="exact"/>
      <w:ind w:firstLine="0" w:firstLineChars="0"/>
      <w:jc w:val="center"/>
    </w:pPr>
    <w:rPr>
      <w:kern w:val="0"/>
    </w:rPr>
  </w:style>
  <w:style w:type="paragraph" w:customStyle="1" w:styleId="51">
    <w:name w:val="附录 标题"/>
    <w:basedOn w:val="1"/>
    <w:qFormat/>
    <w:uiPriority w:val="0"/>
    <w:pPr>
      <w:ind w:firstLine="0" w:firstLineChars="0"/>
      <w:jc w:val="center"/>
    </w:pPr>
    <w:rPr>
      <w:rFonts w:ascii="Calibri" w:hAnsi="Calibri" w:eastAsia="宋体"/>
      <w:b/>
      <w:sz w:val="30"/>
    </w:rPr>
  </w:style>
  <w:style w:type="paragraph" w:customStyle="1" w:styleId="52">
    <w:name w:val="正文2002"/>
    <w:basedOn w:val="1"/>
    <w:qFormat/>
    <w:uiPriority w:val="0"/>
    <w:pPr>
      <w:spacing w:line="340" w:lineRule="exact"/>
      <w:ind w:firstLine="0" w:firstLineChars="0"/>
      <w:jc w:val="center"/>
    </w:pPr>
    <w:rPr>
      <w:sz w:val="21"/>
    </w:rPr>
  </w:style>
  <w:style w:type="paragraph" w:customStyle="1" w:styleId="53">
    <w:name w:val="表格"/>
    <w:basedOn w:val="24"/>
    <w:next w:val="1"/>
    <w:qFormat/>
    <w:uiPriority w:val="0"/>
    <w:pPr>
      <w:jc w:val="center"/>
    </w:pPr>
    <w:rPr>
      <w:rFonts w:ascii="宋体" w:hAnsi="宋体" w:cs="宋体"/>
      <w:sz w:val="24"/>
      <w:szCs w:val="21"/>
    </w:rPr>
  </w:style>
  <w:style w:type="paragraph" w:customStyle="1" w:styleId="54">
    <w:name w:val="表格内"/>
    <w:basedOn w:val="1"/>
    <w:qFormat/>
    <w:uiPriority w:val="0"/>
    <w:pPr>
      <w:adjustRightInd w:val="0"/>
      <w:snapToGrid w:val="0"/>
      <w:spacing w:line="360" w:lineRule="exact"/>
      <w:jc w:val="center"/>
    </w:pPr>
    <w:rPr>
      <w:snapToGrid w:val="0"/>
      <w:kern w:val="0"/>
      <w:szCs w:val="21"/>
    </w:rPr>
  </w:style>
  <w:style w:type="paragraph" w:customStyle="1" w:styleId="55">
    <w:name w:val="正文(首行缩进)"/>
    <w:basedOn w:val="1"/>
    <w:next w:val="1"/>
    <w:link w:val="123"/>
    <w:qFormat/>
    <w:uiPriority w:val="0"/>
    <w:pPr>
      <w:adjustRightInd w:val="0"/>
      <w:ind w:firstLine="540" w:firstLineChars="225"/>
      <w:textAlignment w:val="baseline"/>
    </w:pPr>
    <w:rPr>
      <w:color w:val="000000"/>
    </w:rPr>
  </w:style>
  <w:style w:type="paragraph" w:customStyle="1" w:styleId="56">
    <w:name w:val="A正文"/>
    <w:basedOn w:val="14"/>
    <w:qFormat/>
    <w:uiPriority w:val="0"/>
    <w:pPr>
      <w:snapToGrid w:val="0"/>
      <w:spacing w:line="360" w:lineRule="auto"/>
      <w:ind w:firstLine="200"/>
    </w:pPr>
    <w:rPr>
      <w:rFonts w:ascii="Times New Roman" w:hAnsi="Times New Roman" w:cs="宋体"/>
      <w:sz w:val="28"/>
      <w:szCs w:val="24"/>
    </w:rPr>
  </w:style>
  <w:style w:type="paragraph" w:customStyle="1" w:styleId="57">
    <w:name w:val="A表格"/>
    <w:basedOn w:val="56"/>
    <w:qFormat/>
    <w:uiPriority w:val="0"/>
    <w:pPr>
      <w:adjustRightInd w:val="0"/>
      <w:spacing w:line="240" w:lineRule="auto"/>
      <w:ind w:firstLine="0" w:firstLineChars="0"/>
    </w:pPr>
    <w:rPr>
      <w:sz w:val="21"/>
    </w:rPr>
  </w:style>
  <w:style w:type="paragraph" w:customStyle="1" w:styleId="58">
    <w:name w:val="表格正文"/>
    <w:basedOn w:val="1"/>
    <w:qFormat/>
    <w:uiPriority w:val="0"/>
    <w:pPr>
      <w:jc w:val="center"/>
    </w:pPr>
    <w:rPr>
      <w:szCs w:val="22"/>
    </w:rPr>
  </w:style>
  <w:style w:type="paragraph" w:customStyle="1" w:styleId="59">
    <w:name w:val="环评正文"/>
    <w:basedOn w:val="1"/>
    <w:qFormat/>
    <w:uiPriority w:val="0"/>
    <w:rPr>
      <w:rFonts w:ascii="宋体" w:hAnsi="宋体"/>
      <w:szCs w:val="22"/>
    </w:rPr>
  </w:style>
  <w:style w:type="paragraph" w:customStyle="1" w:styleId="6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1">
    <w:name w:val="_正文格式"/>
    <w:basedOn w:val="1"/>
    <w:qFormat/>
    <w:uiPriority w:val="0"/>
    <w:pPr>
      <w:spacing w:line="500" w:lineRule="exact"/>
      <w:ind w:firstLine="567"/>
      <w:jc w:val="left"/>
    </w:pPr>
  </w:style>
  <w:style w:type="paragraph" w:customStyle="1" w:styleId="62">
    <w:name w:val="样式 首行缩进:  2 字符 行距: 1.5 倍行距"/>
    <w:basedOn w:val="1"/>
    <w:qFormat/>
    <w:uiPriority w:val="0"/>
    <w:pPr>
      <w:spacing w:line="360" w:lineRule="auto"/>
    </w:pPr>
    <w:rPr>
      <w:rFonts w:cs="宋体"/>
    </w:rPr>
  </w:style>
  <w:style w:type="paragraph" w:customStyle="1" w:styleId="63">
    <w:name w:val="正文 楷体"/>
    <w:basedOn w:val="1"/>
    <w:qFormat/>
    <w:uiPriority w:val="0"/>
    <w:pPr>
      <w:spacing w:line="500" w:lineRule="exact"/>
      <w:ind w:firstLine="200"/>
    </w:pPr>
    <w:rPr>
      <w:rFonts w:ascii="楷体_GB2312" w:hAnsi="楷体_GB2312" w:eastAsia="楷体_GB2312" w:cs="宋体"/>
    </w:rPr>
  </w:style>
  <w:style w:type="paragraph" w:customStyle="1" w:styleId="64">
    <w:name w:val="正文-ls"/>
    <w:basedOn w:val="1"/>
    <w:qFormat/>
    <w:uiPriority w:val="0"/>
    <w:pPr>
      <w:spacing w:line="360" w:lineRule="auto"/>
      <w:ind w:firstLine="200"/>
    </w:pPr>
    <w:rPr>
      <w:rFonts w:hAnsi="宋体" w:cs="宋体"/>
      <w:szCs w:val="20"/>
    </w:rPr>
  </w:style>
  <w:style w:type="paragraph" w:customStyle="1" w:styleId="65">
    <w:name w:val="样式 首行缩进:  0.85 厘米"/>
    <w:basedOn w:val="1"/>
    <w:qFormat/>
    <w:uiPriority w:val="0"/>
    <w:pPr>
      <w:spacing w:line="500" w:lineRule="exact"/>
      <w:ind w:firstLine="200"/>
    </w:pPr>
    <w:rPr>
      <w:rFonts w:ascii="楷体_GB2312" w:hAnsi="楷体_GB2312" w:eastAsia="楷体_GB2312" w:cs="楷体_GB2312"/>
    </w:rPr>
  </w:style>
  <w:style w:type="paragraph" w:customStyle="1" w:styleId="66">
    <w:name w:val="样式 (西文) 楷体_GB2312 首行缩进:  0.85 厘米1"/>
    <w:basedOn w:val="1"/>
    <w:qFormat/>
    <w:uiPriority w:val="0"/>
    <w:pPr>
      <w:spacing w:line="500" w:lineRule="exact"/>
      <w:ind w:firstLine="200"/>
    </w:pPr>
    <w:rPr>
      <w:rFonts w:ascii="楷体_GB2312" w:hAnsi="楷体_GB2312" w:eastAsia="楷体_GB2312" w:cs="楷体_GB2312"/>
    </w:rPr>
  </w:style>
  <w:style w:type="paragraph" w:customStyle="1" w:styleId="67">
    <w:name w:val="样式 样式 样式 样式 报告正文 + 宋体 五号 黑色 + 五号 + (西文) Times New Roman (中文) 华文中..."/>
    <w:basedOn w:val="1"/>
    <w:qFormat/>
    <w:uiPriority w:val="0"/>
    <w:pPr>
      <w:adjustRightInd w:val="0"/>
      <w:snapToGrid w:val="0"/>
      <w:spacing w:line="520" w:lineRule="exact"/>
      <w:ind w:firstLine="200"/>
    </w:pPr>
    <w:rPr>
      <w:rFonts w:ascii="宋体" w:eastAsia="华文中宋" w:cs="宋体"/>
      <w:b/>
      <w:bCs/>
      <w:color w:val="000000"/>
    </w:rPr>
  </w:style>
  <w:style w:type="paragraph" w:customStyle="1" w:styleId="68">
    <w:name w:val="表内字体"/>
    <w:basedOn w:val="1"/>
    <w:qFormat/>
    <w:uiPriority w:val="0"/>
    <w:pPr>
      <w:jc w:val="center"/>
    </w:pPr>
    <w:rPr>
      <w:rFonts w:hAnsi="宋体"/>
      <w:szCs w:val="20"/>
    </w:rPr>
  </w:style>
  <w:style w:type="paragraph" w:customStyle="1" w:styleId="69">
    <w:name w:val="！正文"/>
    <w:basedOn w:val="1"/>
    <w:link w:val="104"/>
    <w:qFormat/>
    <w:uiPriority w:val="0"/>
    <w:pPr>
      <w:spacing w:line="500" w:lineRule="exact"/>
      <w:ind w:firstLine="200"/>
    </w:pPr>
    <w:rPr>
      <w:rFonts w:eastAsia="华文中宋"/>
    </w:rPr>
  </w:style>
  <w:style w:type="paragraph" w:customStyle="1" w:styleId="70">
    <w:name w:val="表格文字"/>
    <w:basedOn w:val="10"/>
    <w:next w:val="1"/>
    <w:qFormat/>
    <w:uiPriority w:val="0"/>
    <w:pPr>
      <w:widowControl w:val="0"/>
      <w:tabs>
        <w:tab w:val="left" w:pos="1119"/>
      </w:tabs>
      <w:spacing w:after="0"/>
      <w:ind w:left="-90" w:leftChars="-43"/>
    </w:pPr>
    <w:rPr>
      <w:snapToGrid w:val="0"/>
      <w:color w:val="000000"/>
      <w:sz w:val="18"/>
      <w:szCs w:val="18"/>
    </w:rPr>
  </w:style>
  <w:style w:type="paragraph" w:customStyle="1" w:styleId="71">
    <w:name w:val="正文（首行式样2）"/>
    <w:basedOn w:val="7"/>
    <w:qFormat/>
    <w:uiPriority w:val="0"/>
    <w:pPr>
      <w:snapToGrid w:val="0"/>
      <w:spacing w:line="360" w:lineRule="auto"/>
      <w:ind w:right="-13" w:rightChars="-6" w:firstLine="526" w:firstLineChars="219"/>
    </w:pPr>
    <w:rPr>
      <w:color w:val="000000"/>
      <w:sz w:val="24"/>
    </w:rPr>
  </w:style>
  <w:style w:type="paragraph" w:customStyle="1" w:styleId="72">
    <w:name w:val="样式 宋体 小四 居中 左侧:  0.74 厘米 行距: 固定值 20 磅"/>
    <w:basedOn w:val="1"/>
    <w:qFormat/>
    <w:uiPriority w:val="0"/>
    <w:pPr>
      <w:jc w:val="center"/>
    </w:pPr>
    <w:rPr>
      <w:rFonts w:ascii="黑体" w:hAnsi="宋体" w:eastAsia="黑体"/>
      <w:lang w:bidi="ar-QA"/>
    </w:rPr>
  </w:style>
  <w:style w:type="paragraph" w:customStyle="1" w:styleId="73">
    <w:name w:val="A3"/>
    <w:basedOn w:val="4"/>
    <w:qFormat/>
    <w:uiPriority w:val="0"/>
    <w:rPr>
      <w:sz w:val="28"/>
    </w:rPr>
  </w:style>
  <w:style w:type="paragraph" w:customStyle="1" w:styleId="74">
    <w:name w:val="A4"/>
    <w:basedOn w:val="4"/>
    <w:qFormat/>
    <w:uiPriority w:val="0"/>
    <w:pPr>
      <w:outlineLvl w:val="3"/>
    </w:pPr>
    <w:rPr>
      <w:sz w:val="28"/>
    </w:rPr>
  </w:style>
  <w:style w:type="paragraph" w:customStyle="1" w:styleId="75">
    <w:name w:val="A表头"/>
    <w:basedOn w:val="1"/>
    <w:qFormat/>
    <w:uiPriority w:val="0"/>
    <w:pPr>
      <w:adjustRightInd w:val="0"/>
      <w:snapToGrid w:val="0"/>
      <w:jc w:val="left"/>
    </w:pPr>
    <w:rPr>
      <w:b/>
      <w:szCs w:val="20"/>
    </w:rPr>
  </w:style>
  <w:style w:type="paragraph" w:customStyle="1" w:styleId="76">
    <w:name w:val="A-表头"/>
    <w:basedOn w:val="1"/>
    <w:qFormat/>
    <w:uiPriority w:val="0"/>
    <w:pPr>
      <w:adjustRightInd w:val="0"/>
      <w:snapToGrid w:val="0"/>
    </w:pPr>
    <w:rPr>
      <w:sz w:val="28"/>
      <w:szCs w:val="28"/>
    </w:rPr>
  </w:style>
  <w:style w:type="character" w:customStyle="1" w:styleId="77">
    <w:name w:val="fontstyle01"/>
    <w:qFormat/>
    <w:uiPriority w:val="0"/>
    <w:rPr>
      <w:rFonts w:hint="eastAsia" w:ascii="宋体" w:hAnsi="宋体" w:eastAsia="宋体"/>
      <w:color w:val="000000"/>
      <w:sz w:val="28"/>
      <w:szCs w:val="28"/>
    </w:rPr>
  </w:style>
  <w:style w:type="character" w:customStyle="1" w:styleId="78">
    <w:name w:val="fontstyle21"/>
    <w:qFormat/>
    <w:uiPriority w:val="0"/>
    <w:rPr>
      <w:rFonts w:hint="default" w:ascii="TimesNewRomanPSMT" w:hAnsi="TimesNewRomanPSMT"/>
      <w:color w:val="000000"/>
      <w:sz w:val="28"/>
      <w:szCs w:val="28"/>
    </w:rPr>
  </w:style>
  <w:style w:type="paragraph" w:customStyle="1" w:styleId="79">
    <w:name w:val="表头A"/>
    <w:basedOn w:val="47"/>
    <w:qFormat/>
    <w:uiPriority w:val="0"/>
    <w:rPr>
      <w:rFonts w:ascii="华文仿宋" w:hAnsi="华文仿宋" w:eastAsia="华文仿宋"/>
    </w:rPr>
  </w:style>
  <w:style w:type="paragraph" w:customStyle="1" w:styleId="80">
    <w:name w:val="表格1"/>
    <w:basedOn w:val="1"/>
    <w:qFormat/>
    <w:uiPriority w:val="0"/>
    <w:pPr>
      <w:adjustRightInd w:val="0"/>
      <w:spacing w:line="400" w:lineRule="atLeast"/>
      <w:jc w:val="center"/>
    </w:pPr>
    <w:rPr>
      <w:kern w:val="0"/>
    </w:rPr>
  </w:style>
  <w:style w:type="paragraph" w:customStyle="1" w:styleId="81">
    <w:name w:val="。。。。。。。。。正文格式"/>
    <w:basedOn w:val="1"/>
    <w:qFormat/>
    <w:uiPriority w:val="0"/>
    <w:pPr>
      <w:spacing w:line="360" w:lineRule="auto"/>
      <w:ind w:firstLine="480"/>
    </w:pPr>
    <w:rPr>
      <w:rFonts w:hAnsi="宋体"/>
      <w:kern w:val="0"/>
      <w:szCs w:val="20"/>
    </w:rPr>
  </w:style>
  <w:style w:type="character" w:customStyle="1" w:styleId="82">
    <w:name w:val="江正文格式 Char Char"/>
    <w:semiHidden/>
    <w:qFormat/>
    <w:uiPriority w:val="0"/>
    <w:rPr>
      <w:rFonts w:hint="default" w:ascii="Times New Roman" w:hAnsi="Times New Roman" w:eastAsia="宋体" w:cs="Times New Roman"/>
      <w:kern w:val="2"/>
      <w:sz w:val="24"/>
      <w:szCs w:val="24"/>
      <w:lang w:val="en-US" w:eastAsia="zh-CN" w:bidi="ar-SA"/>
    </w:rPr>
  </w:style>
  <w:style w:type="paragraph" w:customStyle="1" w:styleId="83">
    <w:name w:val="正文样式暗暗"/>
    <w:basedOn w:val="1"/>
    <w:qFormat/>
    <w:uiPriority w:val="0"/>
    <w:pPr>
      <w:widowControl/>
      <w:ind w:firstLine="420" w:firstLineChars="175"/>
    </w:pPr>
    <w:rPr>
      <w:rFonts w:ascii="宋体" w:hAnsi="宋体" w:cs="宋体"/>
      <w:szCs w:val="22"/>
    </w:rPr>
  </w:style>
  <w:style w:type="paragraph" w:customStyle="1" w:styleId="84">
    <w:name w:val="表中文字"/>
    <w:next w:val="1"/>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85">
    <w:name w:val="正文11"/>
    <w:basedOn w:val="7"/>
    <w:next w:val="7"/>
    <w:qFormat/>
    <w:uiPriority w:val="0"/>
    <w:pPr>
      <w:spacing w:beforeLines="25" w:afterLines="25" w:line="360" w:lineRule="auto"/>
      <w:ind w:firstLine="480"/>
    </w:pPr>
    <w:rPr>
      <w:sz w:val="24"/>
    </w:rPr>
  </w:style>
  <w:style w:type="character" w:customStyle="1" w:styleId="86">
    <w:name w:val="font21"/>
    <w:basedOn w:val="34"/>
    <w:qFormat/>
    <w:uiPriority w:val="0"/>
    <w:rPr>
      <w:rFonts w:hint="default" w:ascii="Times New Roman" w:hAnsi="Times New Roman" w:cs="Times New Roman"/>
      <w:color w:val="000000"/>
      <w:sz w:val="20"/>
      <w:szCs w:val="20"/>
      <w:u w:val="none"/>
    </w:rPr>
  </w:style>
  <w:style w:type="character" w:customStyle="1" w:styleId="87">
    <w:name w:val="font31"/>
    <w:basedOn w:val="34"/>
    <w:qFormat/>
    <w:uiPriority w:val="0"/>
    <w:rPr>
      <w:rFonts w:hint="eastAsia" w:ascii="宋体" w:hAnsi="宋体" w:eastAsia="宋体"/>
      <w:color w:val="000000"/>
      <w:sz w:val="20"/>
      <w:szCs w:val="20"/>
      <w:u w:val="none"/>
    </w:rPr>
  </w:style>
  <w:style w:type="character" w:customStyle="1" w:styleId="88">
    <w:name w:val="font41"/>
    <w:qFormat/>
    <w:uiPriority w:val="0"/>
    <w:rPr>
      <w:rFonts w:hint="eastAsia" w:ascii="宋体" w:hAnsi="宋体" w:eastAsia="宋体"/>
      <w:color w:val="000000"/>
      <w:sz w:val="14"/>
      <w:szCs w:val="14"/>
      <w:u w:val="none"/>
    </w:rPr>
  </w:style>
  <w:style w:type="character" w:customStyle="1" w:styleId="89">
    <w:name w:val="批注框文本 字符"/>
    <w:basedOn w:val="34"/>
    <w:link w:val="17"/>
    <w:qFormat/>
    <w:uiPriority w:val="0"/>
    <w:rPr>
      <w:kern w:val="2"/>
      <w:sz w:val="18"/>
      <w:szCs w:val="18"/>
    </w:rPr>
  </w:style>
  <w:style w:type="paragraph" w:customStyle="1" w:styleId="90">
    <w:name w:val="图头"/>
    <w:basedOn w:val="47"/>
    <w:next w:val="85"/>
    <w:qFormat/>
    <w:uiPriority w:val="0"/>
    <w:rPr>
      <w:color w:val="FF00FF"/>
    </w:rPr>
  </w:style>
  <w:style w:type="paragraph" w:customStyle="1" w:styleId="91">
    <w:name w:val="无间隔1"/>
    <w:qFormat/>
    <w:uiPriority w:val="99"/>
    <w:pPr>
      <w:widowControl w:val="0"/>
      <w:spacing w:before="120" w:after="120"/>
      <w:jc w:val="center"/>
    </w:pPr>
    <w:rPr>
      <w:rFonts w:ascii="Calibri" w:hAnsi="Calibri" w:eastAsia="宋体" w:cs="Calibri"/>
      <w:kern w:val="2"/>
      <w:sz w:val="21"/>
      <w:szCs w:val="21"/>
      <w:lang w:val="en-US" w:eastAsia="zh-CN" w:bidi="ar-SA"/>
    </w:rPr>
  </w:style>
  <w:style w:type="paragraph" w:customStyle="1" w:styleId="92">
    <w:name w:val="正式本文"/>
    <w:basedOn w:val="2"/>
    <w:qFormat/>
    <w:uiPriority w:val="0"/>
    <w:pPr>
      <w:keepNext w:val="0"/>
      <w:keepLines w:val="0"/>
      <w:adjustRightInd w:val="0"/>
      <w:ind w:firstLine="480" w:firstLineChars="200"/>
      <w:jc w:val="left"/>
      <w:outlineLvl w:val="9"/>
    </w:pPr>
    <w:rPr>
      <w:rFonts w:ascii="宋体" w:hAnsi="宋体"/>
      <w:b w:val="0"/>
      <w:kern w:val="2"/>
      <w:sz w:val="24"/>
      <w:szCs w:val="24"/>
    </w:rPr>
  </w:style>
  <w:style w:type="paragraph" w:customStyle="1" w:styleId="93">
    <w:name w:val="无间隔2"/>
    <w:qFormat/>
    <w:uiPriority w:val="1"/>
    <w:pPr>
      <w:widowControl w:val="0"/>
      <w:spacing w:line="360" w:lineRule="auto"/>
      <w:ind w:firstLine="200" w:firstLineChars="200"/>
    </w:pPr>
    <w:rPr>
      <w:rFonts w:ascii="Times New Roman" w:hAnsi="Times New Roman" w:eastAsia="宋体" w:cs="Times New Roman"/>
      <w:spacing w:val="10"/>
      <w:kern w:val="2"/>
      <w:sz w:val="24"/>
      <w:szCs w:val="28"/>
      <w:lang w:val="en-US" w:eastAsia="zh-CN" w:bidi="ar-SA"/>
    </w:rPr>
  </w:style>
  <w:style w:type="paragraph" w:customStyle="1" w:styleId="94">
    <w:name w:val="首行缩进"/>
    <w:basedOn w:val="1"/>
    <w:qFormat/>
    <w:uiPriority w:val="0"/>
    <w:pPr>
      <w:spacing w:line="400" w:lineRule="exact"/>
      <w:jc w:val="center"/>
    </w:pPr>
    <w:rPr>
      <w:rFonts w:eastAsia="黑体"/>
    </w:rPr>
  </w:style>
  <w:style w:type="paragraph" w:customStyle="1" w:styleId="95">
    <w:name w:val="默认段落字体 Para Char"/>
    <w:basedOn w:val="1"/>
    <w:next w:val="1"/>
    <w:qFormat/>
    <w:uiPriority w:val="0"/>
    <w:pPr>
      <w:widowControl/>
      <w:spacing w:line="360" w:lineRule="auto"/>
      <w:ind w:firstLine="200"/>
      <w:jc w:val="left"/>
    </w:pPr>
    <w:rPr>
      <w:rFonts w:ascii="宋体" w:hAnsi="宋体" w:cs="宋体"/>
      <w:kern w:val="0"/>
    </w:rPr>
  </w:style>
  <w:style w:type="paragraph" w:customStyle="1" w:styleId="96">
    <w:name w:val="报告正文小四"/>
    <w:basedOn w:val="1"/>
    <w:qFormat/>
    <w:uiPriority w:val="0"/>
    <w:pPr>
      <w:adjustRightInd w:val="0"/>
      <w:snapToGrid w:val="0"/>
      <w:spacing w:before="120" w:line="420" w:lineRule="atLeast"/>
      <w:ind w:firstLine="510"/>
    </w:pPr>
    <w:rPr>
      <w:szCs w:val="20"/>
    </w:rPr>
  </w:style>
  <w:style w:type="paragraph" w:customStyle="1" w:styleId="97">
    <w:name w:val="BodyText1I2"/>
    <w:basedOn w:val="98"/>
    <w:semiHidden/>
    <w:qFormat/>
    <w:uiPriority w:val="0"/>
    <w:pPr>
      <w:spacing w:line="560" w:lineRule="exact"/>
      <w:ind w:left="0" w:leftChars="0" w:firstLine="420"/>
    </w:pPr>
    <w:rPr>
      <w:rFonts w:eastAsia="仿宋_GB2312"/>
      <w:sz w:val="32"/>
    </w:rPr>
  </w:style>
  <w:style w:type="paragraph" w:customStyle="1" w:styleId="98">
    <w:name w:val="BodyTextIndent"/>
    <w:basedOn w:val="1"/>
    <w:semiHidden/>
    <w:qFormat/>
    <w:uiPriority w:val="0"/>
    <w:pPr>
      <w:ind w:left="420" w:leftChars="200"/>
      <w:textAlignment w:val="baseline"/>
    </w:pPr>
  </w:style>
  <w:style w:type="paragraph" w:customStyle="1" w:styleId="99">
    <w:name w:val="4正文"/>
    <w:basedOn w:val="1"/>
    <w:qFormat/>
    <w:uiPriority w:val="0"/>
    <w:pPr>
      <w:snapToGrid w:val="0"/>
      <w:spacing w:beforeLines="50"/>
    </w:pPr>
  </w:style>
  <w:style w:type="table" w:customStyle="1" w:styleId="100">
    <w:name w:val="Table Normal"/>
    <w:semiHidden/>
    <w:qFormat/>
    <w:uiPriority w:val="2"/>
    <w:pPr>
      <w:widowControl w:val="0"/>
    </w:pPr>
    <w:rPr>
      <w:rFonts w:eastAsia="Times New Roman"/>
      <w:sz w:val="22"/>
      <w:szCs w:val="22"/>
      <w:lang w:eastAsia="en-US"/>
    </w:rPr>
    <w:tblPr>
      <w:tblCellMar>
        <w:top w:w="0" w:type="dxa"/>
        <w:left w:w="0" w:type="dxa"/>
        <w:bottom w:w="0" w:type="dxa"/>
        <w:right w:w="0" w:type="dxa"/>
      </w:tblCellMar>
    </w:tblPr>
  </w:style>
  <w:style w:type="character" w:customStyle="1" w:styleId="101">
    <w:name w:val="font61"/>
    <w:basedOn w:val="34"/>
    <w:qFormat/>
    <w:uiPriority w:val="0"/>
    <w:rPr>
      <w:rFonts w:ascii="宋体" w:hAnsi="宋体" w:eastAsia="宋体" w:cs="宋体"/>
      <w:color w:val="000000"/>
      <w:sz w:val="22"/>
      <w:szCs w:val="22"/>
      <w:u w:val="none"/>
    </w:rPr>
  </w:style>
  <w:style w:type="character" w:customStyle="1" w:styleId="102">
    <w:name w:val="font11"/>
    <w:basedOn w:val="34"/>
    <w:qFormat/>
    <w:uiPriority w:val="0"/>
    <w:rPr>
      <w:rFonts w:hint="eastAsia" w:ascii="宋体" w:hAnsi="宋体" w:eastAsia="宋体" w:cs="宋体"/>
      <w:color w:val="000000"/>
      <w:sz w:val="21"/>
      <w:szCs w:val="21"/>
      <w:u w:val="none"/>
    </w:rPr>
  </w:style>
  <w:style w:type="character" w:customStyle="1" w:styleId="103">
    <w:name w:val="font01"/>
    <w:basedOn w:val="34"/>
    <w:qFormat/>
    <w:uiPriority w:val="0"/>
    <w:rPr>
      <w:rFonts w:hint="default" w:ascii="Times New Roman" w:hAnsi="Times New Roman" w:cs="Times New Roman"/>
      <w:color w:val="000000"/>
      <w:sz w:val="21"/>
      <w:szCs w:val="21"/>
      <w:u w:val="none"/>
    </w:rPr>
  </w:style>
  <w:style w:type="character" w:customStyle="1" w:styleId="104">
    <w:name w:val="！正文 Char"/>
    <w:link w:val="69"/>
    <w:qFormat/>
    <w:uiPriority w:val="0"/>
    <w:rPr>
      <w:rFonts w:eastAsia="华文中宋"/>
      <w:kern w:val="2"/>
      <w:sz w:val="24"/>
      <w:szCs w:val="24"/>
    </w:rPr>
  </w:style>
  <w:style w:type="paragraph" w:customStyle="1" w:styleId="105">
    <w:name w:val="1正文段落"/>
    <w:basedOn w:val="1"/>
    <w:qFormat/>
    <w:uiPriority w:val="0"/>
    <w:pPr>
      <w:spacing w:line="360" w:lineRule="auto"/>
      <w:ind w:firstLine="480"/>
      <w:jc w:val="left"/>
    </w:pPr>
    <w:rPr>
      <w:snapToGrid w:val="0"/>
    </w:rPr>
  </w:style>
  <w:style w:type="character" w:customStyle="1" w:styleId="106">
    <w:name w:val="页眉 字符"/>
    <w:basedOn w:val="34"/>
    <w:link w:val="19"/>
    <w:qFormat/>
    <w:uiPriority w:val="0"/>
    <w:rPr>
      <w:kern w:val="2"/>
      <w:sz w:val="24"/>
      <w:szCs w:val="18"/>
    </w:rPr>
  </w:style>
  <w:style w:type="character" w:customStyle="1" w:styleId="107">
    <w:name w:val="页脚 字符"/>
    <w:basedOn w:val="34"/>
    <w:link w:val="18"/>
    <w:qFormat/>
    <w:uiPriority w:val="0"/>
    <w:rPr>
      <w:kern w:val="2"/>
      <w:sz w:val="24"/>
      <w:szCs w:val="18"/>
    </w:rPr>
  </w:style>
  <w:style w:type="paragraph" w:customStyle="1" w:styleId="108">
    <w:name w:val="列出段落1"/>
    <w:basedOn w:val="1"/>
    <w:qFormat/>
    <w:uiPriority w:val="99"/>
    <w:pPr>
      <w:ind w:firstLine="420"/>
    </w:pPr>
  </w:style>
  <w:style w:type="paragraph" w:customStyle="1" w:styleId="109">
    <w:name w:val="表内文字"/>
    <w:basedOn w:val="1"/>
    <w:qFormat/>
    <w:uiPriority w:val="0"/>
    <w:pPr>
      <w:adjustRightInd w:val="0"/>
      <w:snapToGrid w:val="0"/>
      <w:ind w:firstLine="0" w:firstLineChars="0"/>
      <w:jc w:val="center"/>
    </w:pPr>
    <w:rPr>
      <w:rFonts w:ascii="Calibri" w:hAnsi="Calibri"/>
      <w:sz w:val="21"/>
      <w:szCs w:val="21"/>
    </w:rPr>
  </w:style>
  <w:style w:type="paragraph" w:customStyle="1" w:styleId="110">
    <w:name w:val="Char Char Char Char Char Char Char Char Char Char Char Char Char Char Char Char Char Char Char Char Char Char Char Char"/>
    <w:basedOn w:val="1"/>
    <w:qFormat/>
    <w:uiPriority w:val="0"/>
    <w:pPr>
      <w:widowControl/>
      <w:spacing w:line="360" w:lineRule="auto"/>
      <w:ind w:firstLine="0" w:firstLineChars="0"/>
      <w:jc w:val="left"/>
    </w:pPr>
    <w:rPr>
      <w:sz w:val="21"/>
      <w:szCs w:val="21"/>
    </w:rPr>
  </w:style>
  <w:style w:type="character" w:customStyle="1" w:styleId="111">
    <w:name w:val="批注文字 字符"/>
    <w:basedOn w:val="34"/>
    <w:link w:val="8"/>
    <w:qFormat/>
    <w:uiPriority w:val="0"/>
    <w:rPr>
      <w:rFonts w:ascii="Times New Roman" w:hAnsi="Times New Roman"/>
      <w:kern w:val="2"/>
      <w:sz w:val="24"/>
      <w:szCs w:val="24"/>
    </w:rPr>
  </w:style>
  <w:style w:type="character" w:customStyle="1" w:styleId="112">
    <w:name w:val="批注主题 字符"/>
    <w:basedOn w:val="111"/>
    <w:link w:val="29"/>
    <w:qFormat/>
    <w:uiPriority w:val="0"/>
    <w:rPr>
      <w:rFonts w:ascii="Times New Roman" w:hAnsi="Times New Roman"/>
      <w:b/>
      <w:bCs/>
      <w:kern w:val="2"/>
      <w:sz w:val="24"/>
      <w:szCs w:val="24"/>
    </w:rPr>
  </w:style>
  <w:style w:type="paragraph" w:customStyle="1" w:styleId="113">
    <w:name w:val="表内"/>
    <w:qFormat/>
    <w:uiPriority w:val="0"/>
    <w:pPr>
      <w:adjustRightInd w:val="0"/>
      <w:snapToGrid w:val="0"/>
      <w:ind w:left="-105" w:leftChars="-50" w:right="-105" w:rightChars="-50"/>
      <w:jc w:val="center"/>
    </w:pPr>
    <w:rPr>
      <w:rFonts w:ascii="Times New Roman" w:hAnsi="Times New Roman" w:eastAsia="宋体" w:cs="Times New Roman"/>
      <w:kern w:val="2"/>
      <w:sz w:val="21"/>
      <w:lang w:val="en-US" w:eastAsia="zh-CN" w:bidi="ar-SA"/>
    </w:rPr>
  </w:style>
  <w:style w:type="paragraph" w:customStyle="1" w:styleId="114">
    <w:name w:val="列出段落2"/>
    <w:basedOn w:val="1"/>
    <w:qFormat/>
    <w:uiPriority w:val="99"/>
    <w:pPr>
      <w:ind w:firstLine="420"/>
    </w:pPr>
  </w:style>
  <w:style w:type="character" w:customStyle="1" w:styleId="115">
    <w:name w:val="表头 Char1"/>
    <w:link w:val="47"/>
    <w:qFormat/>
    <w:uiPriority w:val="0"/>
    <w:rPr>
      <w:rFonts w:ascii="Times New Roman" w:hAnsi="Times New Roman"/>
      <w:b/>
      <w:kern w:val="2"/>
      <w:sz w:val="24"/>
      <w:szCs w:val="24"/>
    </w:rPr>
  </w:style>
  <w:style w:type="paragraph" w:customStyle="1" w:styleId="116">
    <w:name w:val="农贸市场表格表头"/>
    <w:basedOn w:val="1"/>
    <w:qFormat/>
    <w:uiPriority w:val="0"/>
    <w:pPr>
      <w:jc w:val="center"/>
    </w:pPr>
    <w:rPr>
      <w:rFonts w:ascii="Calibri" w:hAnsi="宋体" w:cs="仿宋_GB2312"/>
      <w:b/>
      <w:sz w:val="21"/>
      <w:szCs w:val="21"/>
    </w:rPr>
  </w:style>
  <w:style w:type="character" w:customStyle="1" w:styleId="117">
    <w:name w:val="页脚 字符1"/>
    <w:basedOn w:val="34"/>
    <w:qFormat/>
    <w:uiPriority w:val="0"/>
    <w:rPr>
      <w:sz w:val="18"/>
      <w:szCs w:val="18"/>
    </w:rPr>
  </w:style>
  <w:style w:type="paragraph" w:customStyle="1" w:styleId="118">
    <w:name w:val="报告正文"/>
    <w:basedOn w:val="1"/>
    <w:qFormat/>
    <w:uiPriority w:val="0"/>
    <w:pPr>
      <w:widowControl/>
      <w:suppressAutoHyphens/>
      <w:topLinePunct/>
      <w:adjustRightInd w:val="0"/>
      <w:snapToGrid w:val="0"/>
    </w:pPr>
    <w:rPr>
      <w:rFonts w:ascii="Calibri" w:hAnsi="Calibri"/>
      <w:sz w:val="21"/>
      <w:szCs w:val="22"/>
    </w:rPr>
  </w:style>
  <w:style w:type="character" w:customStyle="1" w:styleId="119">
    <w:name w:val="正文缩进 字符"/>
    <w:link w:val="7"/>
    <w:qFormat/>
    <w:uiPriority w:val="99"/>
    <w:rPr>
      <w:rFonts w:ascii="宋体" w:hAnsi="宋体" w:cs="宋体"/>
      <w:sz w:val="28"/>
    </w:rPr>
  </w:style>
  <w:style w:type="paragraph" w:customStyle="1" w:styleId="120">
    <w:name w:val="列出段落3"/>
    <w:basedOn w:val="1"/>
    <w:qFormat/>
    <w:uiPriority w:val="99"/>
    <w:pPr>
      <w:ind w:firstLine="420"/>
    </w:pPr>
  </w:style>
  <w:style w:type="paragraph" w:customStyle="1" w:styleId="121">
    <w:name w:val="样式14"/>
    <w:basedOn w:val="1"/>
    <w:qFormat/>
    <w:uiPriority w:val="0"/>
    <w:pPr>
      <w:widowControl/>
      <w:spacing w:line="500" w:lineRule="exact"/>
      <w:ind w:firstLine="0" w:firstLineChars="0"/>
      <w:jc w:val="left"/>
      <w:outlineLvl w:val="3"/>
    </w:pPr>
    <w:rPr>
      <w:rFonts w:eastAsia="华文中宋"/>
      <w:b/>
      <w:snapToGrid w:val="0"/>
      <w:color w:val="000000"/>
      <w:kern w:val="0"/>
      <w:szCs w:val="20"/>
    </w:rPr>
  </w:style>
  <w:style w:type="paragraph" w:customStyle="1" w:styleId="122">
    <w:name w:val="表格文字邓"/>
    <w:basedOn w:val="1"/>
    <w:qFormat/>
    <w:uiPriority w:val="0"/>
    <w:pPr>
      <w:widowControl/>
      <w:snapToGrid w:val="0"/>
      <w:spacing w:line="240" w:lineRule="exact"/>
      <w:jc w:val="center"/>
    </w:pPr>
    <w:rPr>
      <w:rFonts w:ascii="宋体" w:hAnsi="宋体"/>
      <w:snapToGrid w:val="0"/>
      <w:color w:val="000000"/>
      <w:sz w:val="18"/>
      <w:szCs w:val="21"/>
    </w:rPr>
  </w:style>
  <w:style w:type="character" w:customStyle="1" w:styleId="123">
    <w:name w:val="正文(首行缩进) Char"/>
    <w:link w:val="55"/>
    <w:qFormat/>
    <w:uiPriority w:val="0"/>
    <w:rPr>
      <w:rFonts w:ascii="Times New Roman" w:hAnsi="Times New Roman"/>
      <w:color w:val="000000"/>
      <w:kern w:val="2"/>
      <w:sz w:val="24"/>
      <w:szCs w:val="24"/>
    </w:rPr>
  </w:style>
  <w:style w:type="character" w:customStyle="1" w:styleId="124">
    <w:name w:val="正文首行缩进 2 字符"/>
    <w:basedOn w:val="125"/>
    <w:link w:val="31"/>
    <w:qFormat/>
    <w:uiPriority w:val="0"/>
    <w:rPr>
      <w:kern w:val="2"/>
      <w:sz w:val="21"/>
      <w:szCs w:val="22"/>
    </w:rPr>
  </w:style>
  <w:style w:type="character" w:customStyle="1" w:styleId="125">
    <w:name w:val="正文文本缩进 字符"/>
    <w:basedOn w:val="34"/>
    <w:link w:val="11"/>
    <w:qFormat/>
    <w:uiPriority w:val="0"/>
    <w:rPr>
      <w:kern w:val="2"/>
      <w:sz w:val="21"/>
      <w:szCs w:val="22"/>
    </w:rPr>
  </w:style>
  <w:style w:type="paragraph" w:styleId="126">
    <w:name w:val="List Paragraph"/>
    <w:basedOn w:val="1"/>
    <w:qFormat/>
    <w:uiPriority w:val="99"/>
    <w:pPr>
      <w:ind w:firstLine="420"/>
    </w:pPr>
  </w:style>
  <w:style w:type="paragraph" w:customStyle="1" w:styleId="127">
    <w:name w:val="正文 首行缩进:  2 字符"/>
    <w:basedOn w:val="1"/>
    <w:qFormat/>
    <w:uiPriority w:val="0"/>
    <w:pPr>
      <w:adjustRightInd w:val="0"/>
      <w:snapToGrid w:val="0"/>
      <w:spacing w:line="500" w:lineRule="exact"/>
      <w:ind w:firstLine="480"/>
    </w:pPr>
    <w:rPr>
      <w:rFonts w:eastAsia="楷体_GB2312"/>
      <w:lang w:val="zh-CN"/>
    </w:rPr>
  </w:style>
  <w:style w:type="paragraph" w:customStyle="1" w:styleId="128">
    <w:name w:val="Table Text"/>
    <w:basedOn w:val="1"/>
    <w:semiHidden/>
    <w:qFormat/>
    <w:uiPriority w:val="0"/>
    <w:rPr>
      <w:rFonts w:ascii="宋体" w:hAnsi="宋体" w:eastAsia="宋体" w:cs="宋体"/>
      <w:sz w:val="24"/>
      <w:szCs w:val="24"/>
      <w:lang w:val="en-US" w:eastAsia="en-US" w:bidi="ar-SA"/>
    </w:rPr>
  </w:style>
  <w:style w:type="paragraph" w:customStyle="1" w:styleId="129">
    <w:name w:val="武汉院露天-&gt;-5正文"/>
    <w:qFormat/>
    <w:uiPriority w:val="0"/>
    <w:pPr>
      <w:widowControl w:val="0"/>
      <w:spacing w:line="500" w:lineRule="exact"/>
      <w:ind w:firstLine="200" w:firstLineChars="200"/>
      <w:jc w:val="both"/>
    </w:pPr>
    <w:rPr>
      <w:rFonts w:ascii="宋体" w:hAnsi="Times New Roman" w:eastAsia="宋体" w:cs="Arial"/>
      <w:kern w:val="2"/>
      <w:sz w:val="28"/>
      <w:szCs w:val="22"/>
      <w:lang w:val="en-US" w:eastAsia="zh-CN" w:bidi="ar-SA"/>
    </w:rPr>
  </w:style>
  <w:style w:type="paragraph" w:customStyle="1" w:styleId="130">
    <w:name w:val="YJ-正文"/>
    <w:basedOn w:val="1"/>
    <w:qFormat/>
    <w:uiPriority w:val="0"/>
    <w:pPr>
      <w:widowControl/>
      <w:spacing w:line="500" w:lineRule="exact"/>
      <w:ind w:firstLine="200" w:firstLineChars="200"/>
    </w:pPr>
    <w:rPr>
      <w:rFonts w:ascii="宋体" w:hAnsi="宋体"/>
      <w:kern w:val="0"/>
      <w:sz w:val="24"/>
    </w:rPr>
  </w:style>
  <w:style w:type="paragraph" w:customStyle="1" w:styleId="131">
    <w:name w:val="我"/>
    <w:basedOn w:val="1"/>
    <w:qFormat/>
    <w:uiPriority w:val="0"/>
    <w:pPr>
      <w:spacing w:line="360" w:lineRule="auto"/>
      <w:ind w:firstLine="640" w:firstLineChars="200"/>
    </w:pPr>
    <w:rPr>
      <w:sz w:val="24"/>
    </w:rPr>
  </w:style>
  <w:style w:type="paragraph" w:customStyle="1" w:styleId="132">
    <w:name w:val="表头！！！！！！！！！！"/>
    <w:basedOn w:val="7"/>
    <w:qFormat/>
    <w:uiPriority w:val="0"/>
    <w:pPr>
      <w:autoSpaceDE w:val="0"/>
      <w:autoSpaceDN w:val="0"/>
      <w:adjustRightInd w:val="0"/>
      <w:spacing w:line="500" w:lineRule="exact"/>
      <w:jc w:val="center"/>
      <w:textAlignment w:val="baseline"/>
    </w:pPr>
    <w:rPr>
      <w:rFonts w:ascii="楷体_GB2312" w:eastAsia="楷体_GB2312"/>
      <w:b/>
      <w:snapToGrid w:val="0"/>
      <w:kern w:val="0"/>
      <w:sz w:val="24"/>
    </w:rPr>
  </w:style>
  <w:style w:type="table" w:customStyle="1" w:styleId="133">
    <w:name w:val="网格型1"/>
    <w:basedOn w:val="32"/>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
    <w:name w:val="A-表格文字"/>
    <w:basedOn w:val="1"/>
    <w:qFormat/>
    <w:uiPriority w:val="0"/>
    <w:pPr>
      <w:autoSpaceDE w:val="0"/>
      <w:autoSpaceDN w:val="0"/>
      <w:adjustRightInd w:val="0"/>
      <w:snapToGrid w:val="0"/>
      <w:jc w:val="center"/>
      <w:textAlignment w:val="center"/>
    </w:pPr>
    <w:rPr>
      <w:rFonts w:ascii="Times New Roman" w:hAnsi="Times New Roman" w:eastAsiaTheme="minorEastAsia" w:cstheme="minorEastAsia"/>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3.xml"/><Relationship Id="rId60" Type="http://schemas.openxmlformats.org/officeDocument/2006/relationships/customXml" Target="../customXml/item2.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31.jpeg"/><Relationship Id="rId56" Type="http://schemas.openxmlformats.org/officeDocument/2006/relationships/image" Target="media/image30.jpeg"/><Relationship Id="rId55" Type="http://schemas.openxmlformats.org/officeDocument/2006/relationships/image" Target="media/image29.jpeg"/><Relationship Id="rId54" Type="http://schemas.openxmlformats.org/officeDocument/2006/relationships/image" Target="media/image28.jpeg"/><Relationship Id="rId53" Type="http://schemas.openxmlformats.org/officeDocument/2006/relationships/image" Target="media/image27.jpeg"/><Relationship Id="rId52" Type="http://schemas.openxmlformats.org/officeDocument/2006/relationships/image" Target="media/image26.jpeg"/><Relationship Id="rId51" Type="http://schemas.openxmlformats.org/officeDocument/2006/relationships/image" Target="media/image25.jpeg"/><Relationship Id="rId50" Type="http://schemas.openxmlformats.org/officeDocument/2006/relationships/image" Target="media/image24.jpeg"/><Relationship Id="rId5" Type="http://schemas.openxmlformats.org/officeDocument/2006/relationships/header" Target="header1.xml"/><Relationship Id="rId49" Type="http://schemas.openxmlformats.org/officeDocument/2006/relationships/image" Target="media/image23.jpeg"/><Relationship Id="rId48" Type="http://schemas.openxmlformats.org/officeDocument/2006/relationships/image" Target="media/image22.jpeg"/><Relationship Id="rId47" Type="http://schemas.openxmlformats.org/officeDocument/2006/relationships/image" Target="media/image21.wmf"/><Relationship Id="rId46" Type="http://schemas.openxmlformats.org/officeDocument/2006/relationships/image" Target="media/image20.wmf"/><Relationship Id="rId45" Type="http://schemas.openxmlformats.org/officeDocument/2006/relationships/oleObject" Target="embeddings/oleObject4.bin"/><Relationship Id="rId44" Type="http://schemas.openxmlformats.org/officeDocument/2006/relationships/image" Target="media/image19.jpeg"/><Relationship Id="rId43" Type="http://schemas.openxmlformats.org/officeDocument/2006/relationships/image" Target="media/image18.wmf"/><Relationship Id="rId42" Type="http://schemas.openxmlformats.org/officeDocument/2006/relationships/oleObject" Target="embeddings/oleObject3.bin"/><Relationship Id="rId41" Type="http://schemas.openxmlformats.org/officeDocument/2006/relationships/image" Target="media/image17.emf"/><Relationship Id="rId40" Type="http://schemas.openxmlformats.org/officeDocument/2006/relationships/oleObject" Target="embeddings/oleObject2.bin"/><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wmf"/><Relationship Id="rId26" Type="http://schemas.openxmlformats.org/officeDocument/2006/relationships/oleObject" Target="embeddings/oleObject1.bin"/><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47e9b026-6a08-4d2a-934f-08847723e4b5</errorID>
      <errorWord>-</errorWord>
      <group>L1_Format</group>
      <groupName>格式问题</groupName>
      <ability>L2_HalfPunc_CN</ability>
      <abilityName/>
      <candidateList>
        <item>－</item>
      </candidateList>
      <explain>文本全半角错误。</explain>
      <paraID>6EADD635</paraID>
      <start>109</start>
      <end>110</end>
      <status>unmodified</status>
      <modifiedWord/>
      <trackRevisions>false</trackRevisions>
    </reviewItem>
    <reviewItem>
      <errorID>2b8d9bd1-b627-418d-b504-dc4eac2cd771</errorID>
      <errorWord>-</errorWord>
      <group>L1_Format</group>
      <groupName>格式问题</groupName>
      <ability>L2_HalfPunc_CN</ability>
      <abilityName/>
      <candidateList>
        <item>－</item>
      </candidateList>
      <explain>文本全半角错误。</explain>
      <paraID>6EADD635</paraID>
      <start>112</start>
      <end>113</end>
      <status>unmodified</status>
      <modifiedWord/>
      <trackRevisions>false</trackRevisions>
    </reviewItem>
    <reviewItem>
      <errorID>9c746686-5d52-4acb-89f9-c7b3d53492cd</errorID>
      <errorWord>-</errorWord>
      <group>L1_Format</group>
      <groupName>格式问题</groupName>
      <ability>L2_HalfPunc_CN</ability>
      <abilityName/>
      <candidateList>
        <item>－</item>
      </candidateList>
      <explain>文本全半角错误。</explain>
      <paraID> 814E21C</paraID>
      <start>42</start>
      <end>43</end>
      <status>unmodified</status>
      <modifiedWord/>
      <trackRevisions>false</trackRevisions>
    </reviewItem>
    <reviewItem>
      <errorID>ca541335-9748-4359-8779-bf939c7a7efd</errorID>
      <errorWord>-</errorWord>
      <group>L1_Format</group>
      <groupName>格式问题</groupName>
      <ability>L2_HalfPunc_CN</ability>
      <abilityName/>
      <candidateList>
        <item>－</item>
      </candidateList>
      <explain>文本全半角错误。</explain>
      <paraID> 814E21C</paraID>
      <start>45</start>
      <end>46</end>
      <status>unmodified</status>
      <modifiedWord/>
      <trackRevisions>false</trackRevisions>
    </reviewItem>
    <reviewItem>
      <errorID>3cafa6be-42bd-4824-8b89-1284d77ce84b</errorID>
      <errorWord>-</errorWord>
      <group>L1_Format</group>
      <groupName>格式问题</groupName>
      <ability>L2_HalfPunc_CN</ability>
      <abilityName/>
      <candidateList>
        <item>－</item>
      </candidateList>
      <explain>文本全半角错误。</explain>
      <paraID> 814E21C</paraID>
      <start>48</start>
      <end>49</end>
      <status>unmodified</status>
      <modifiedWord/>
      <trackRevisions>false</trackRevisions>
    </reviewItem>
    <reviewItem>
      <errorID>2342dfcd-f015-4693-a9e6-82a6c4f41e2e</errorID>
      <errorWord>-</errorWord>
      <group>L1_Format</group>
      <groupName>格式问题</groupName>
      <ability>L2_HalfPunc_CN</ability>
      <abilityName/>
      <candidateList>
        <item>－</item>
      </candidateList>
      <explain>文本全半角错误。</explain>
      <paraID>3504BFEF</paraID>
      <start>166</start>
      <end>167</end>
      <status>unmodified</status>
      <modifiedWord/>
      <trackRevisions>false</trackRevisions>
    </reviewItem>
    <reviewItem>
      <errorID>63f725ba-e09b-4bfb-bef8-58fef9f56cb3</errorID>
      <errorWord>其它</errorWord>
      <group>L1_Word</group>
      <groupName>字词问题</groupName>
      <ability>L2_Alias</ability>
      <abilityName>也作/曾用词</abilityName>
      <candidateList>
        <item>其他</item>
      </candidateList>
      <explain>词汇[其它]为不规范表述或旧称，其规范书面表述为[其他]。</explain>
      <paraID>69A455F2</paraID>
      <start>183</start>
      <end>185</end>
      <status>unmodified</status>
      <modifiedWord/>
      <trackRevisions>false</trackRevisions>
    </reviewItem>
    <reviewItem>
      <errorID>32a62abd-3daa-43c2-89ff-11403adc2722</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22B7ADC4</paraID>
      <start>38</start>
      <end>41</end>
      <status>unmodified</status>
      <modifiedWord/>
      <trackRevisions>false</trackRevisions>
    </reviewItem>
    <reviewItem>
      <errorID>f06a2fbb-3563-489c-99ea-42026d52fc52</errorID>
      <errorWord>准</errorWord>
      <group>L1_Word</group>
      <groupName>字词问题</groupName>
      <ability>L2_Typo</ability>
      <abilityName>字词错误</abilityName>
      <candidateList>
        <item>准和</item>
      </candidateList>
      <explain/>
      <paraID> FC49DF2</paraID>
      <start>64</start>
      <end>65</end>
      <status>unmodified</status>
      <modifiedWord/>
      <trackRevisions>false</trackRevisions>
    </reviewItem>
    <reviewItem>
      <errorID>129f512a-997c-442b-89c5-f576ab672126</errorID>
      <errorWord>（</errorWord>
      <group>L1_Format</group>
      <groupName>格式问题</groupName>
      <ability>L2_HalfPunc_CN</ability>
      <abilityName/>
      <candidateList>
        <item>(</item>
      </candidateList>
      <explain>文本全半角错误。</explain>
      <paraID>610EA46C</paraID>
      <start>0</start>
      <end>1</end>
      <status>unmodified</status>
      <modifiedWord/>
      <trackRevisions>false</trackRevisions>
    </reviewItem>
    <reviewItem>
      <errorID>bc22d055-c5e6-4861-aec6-f38447ad3876</errorID>
      <errorWord>）</errorWord>
      <group>L1_Format</group>
      <groupName>格式问题</groupName>
      <ability>L2_HalfPunc_CN</ability>
      <abilityName/>
      <candidateList>
        <item>)</item>
      </candidateList>
      <explain>文本全半角错误。</explain>
      <paraID>610EA46C</paraID>
      <start>2</start>
      <end>3</end>
      <status>unmodified</status>
      <modifiedWord/>
      <trackRevisions>false</trackRevisions>
    </reviewItem>
    <reviewItem>
      <errorID>0effe3cb-fc3d-41a9-8d50-52ba65cf9d1f</errorID>
      <errorWord>（</errorWord>
      <group>L1_Format</group>
      <groupName>格式问题</groupName>
      <ability>L2_HalfPunc_CN</ability>
      <abilityName/>
      <candidateList>
        <item>(</item>
      </candidateList>
      <explain>文本全半角错误。</explain>
      <paraID>7E79C481</paraID>
      <start>0</start>
      <end>1</end>
      <status>unmodified</status>
      <modifiedWord/>
      <trackRevisions>false</trackRevisions>
    </reviewItem>
    <reviewItem>
      <errorID>a69fdbee-774c-4a69-8d9f-cc3f4964e72b</errorID>
      <errorWord>）</errorWord>
      <group>L1_Format</group>
      <groupName>格式问题</groupName>
      <ability>L2_HalfPunc_CN</ability>
      <abilityName/>
      <candidateList>
        <item>)</item>
      </candidateList>
      <explain>文本全半角错误。</explain>
      <paraID>7E79C481</paraID>
      <start>2</start>
      <end>3</end>
      <status>unmodified</status>
      <modifiedWord/>
      <trackRevisions>false</trackRevisions>
    </reviewItem>
    <reviewItem>
      <errorID>f0c403a3-2b79-4ef4-a938-d982c84e694c</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18F9CBDC</paraID>
      <start>40</start>
      <end>47</end>
      <status>unmodified</status>
      <modifiedWord/>
      <trackRevisions>false</trackRevisions>
    </reviewItem>
    <reviewItem>
      <errorID>da4a17d4-7e9a-4c79-bad5-635ca121471a</errorID>
      <errorWord>法律、法规</errorWord>
      <group>L1_Word</group>
      <groupName>字词问题</groupName>
      <ability>L2_Typo</ability>
      <abilityName>字词错误</abilityName>
      <candidateList>
        <item>法律法规</item>
      </candidateList>
      <explain/>
      <paraID>769E8F7E</paraID>
      <start>2</start>
      <end>7</end>
      <status>unmodified</status>
      <modifiedWord/>
      <trackRevisions>false</trackRevisions>
    </reviewItem>
    <reviewItem>
      <errorID>8b8a0e45-b180-4614-9709-384c96a49cce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1D2D484</paraID>
      <start>27</start>
      <end>28</end>
      <status>unmodified</status>
      <modifiedWord/>
      <trackRevisions>false</trackRevisions>
    </reviewItem>
    <reviewItem>
      <errorID>7702c1ee-a689-4688-8dba-f8aabd2e5907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22856F49</paraID>
      <start>83</start>
      <end>84</end>
      <status>unmodified</status>
      <modifiedWord/>
      <trackRevisions>false</trackRevisions>
    </reviewItem>
    <reviewItem>
      <errorID>d1748963-8867-476a-97ab-d74104c46c79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3B64107</paraID>
      <start>92</start>
      <end>93</end>
      <status>unmodified</status>
      <modifiedWord/>
      <trackRevisions>false</trackRevisions>
    </reviewItem>
    <reviewItem>
      <errorID>b870c911-b803-4471-b029-6a9d4b4d4f47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3B64107</paraID>
      <start>192</start>
      <end>193</end>
      <status>unmodified</status>
      <modifiedWord/>
      <trackRevisions>false</trackRevisions>
    </reviewItem>
    <reviewItem>
      <errorID>1e88dfa1-4369-4a76-8887-89938ac85c55</errorID>
      <errorWord>格</errorWord>
      <group>L1_Word</group>
      <groupName>字词问题</groupName>
      <ability>L2_Typo</ability>
      <abilityName>字词错误</abilityName>
      <candidateList>
        <item>格执</item>
      </candidateList>
      <explain/>
      <paraID>526DAFCD</paraID>
      <start>9</start>
      <end>10</end>
      <status>unmodified</status>
      <modifiedWord/>
      <trackRevisions>false</trackRevisions>
    </reviewItem>
    <reviewItem>
      <errorID>bbddb989-d162-453c-8693-a9bfc867ff8b</errorID>
      <errorWord>一岗双责</errorWord>
      <group>L1_Political</group>
      <groupName>政治性问题</groupName>
      <ability>L2_Keyword</ability>
      <abilityName>固定表述</abilityName>
      <candidateList>
        <item>“一岗双责”</item>
      </candidateList>
      <explain>注意检查当前固定表述标点是否使用规范。</explain>
      <paraID>2A75A603</paraID>
      <start>140</start>
      <end>144</end>
      <status>unmodified</status>
      <modifiedWord/>
      <trackRevisions>false</trackRevisions>
    </reviewItem>
    <reviewItem>
      <errorID>2aae1107-a4ed-4969-860c-e795723536ca</errorID>
      <errorWord>提高</errorWord>
      <group>L1_Grammar</group>
      <groupName>语法问题</groupName>
      <ability>L2_Grammar</ability>
      <abilityName>语法错误</abilityName>
      <candidateList>
        <item>增强</item>
      </candidateList>
      <explain>“提高～意识”搭配不当，建议修改为“增强～意识”。</explain>
      <paraID>2A75A603</paraID>
      <start>214</start>
      <end>216</end>
      <status>unmodified</status>
      <modifiedWord/>
      <trackRevisions>false</trackRevisions>
    </reviewItem>
    <reviewItem>
      <errorID>e59f6423-1fb7-4cfc-94ea-97f044d46a04</errorID>
      <errorWord>提高</errorWord>
      <group>L1_Grammar</group>
      <groupName>语法问题</groupName>
      <ability>L2_Grammar</ability>
      <abilityName>语法错误</abilityName>
      <candidateList>
        <item>增强</item>
      </candidateList>
      <explain>“提高～意识”搭配不当，建议修改为“增强～意识”。</explain>
      <paraID> C5C876A</paraID>
      <start>166</start>
      <end>168</end>
      <status>unmodified</status>
      <modifiedWord/>
      <trackRevisions>false</trackRevisions>
    </reviewItem>
    <reviewItem>
      <errorID>8d084aa7-6ff0-4809-947f-fa2c2ba35ef1</errorID>
      <errorWord>网电</errorWord>
      <group>L1_Word</group>
      <groupName>字词问题</groupName>
      <ability>L2_Typo</ability>
      <abilityName>字词错误</abilityName>
      <candidateList>
        <item>电网</item>
      </candidateList>
      <explain/>
      <paraID>  38ACFB</paraID>
      <start>221</start>
      <end>223</end>
      <status>unmodified</status>
      <modifiedWord/>
      <trackRevisions>false</trackRevisions>
    </reviewItem>
    <reviewItem>
      <errorID>9eb1ccfa-0887-4762-81d4-49eba96b43a3</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32AA31AA</paraID>
      <start>6</start>
      <end>13</end>
      <status>unmodified</status>
      <modifiedWord/>
      <trackRevisions>false</trackRevisions>
    </reviewItem>
    <reviewItem>
      <errorID>4b247e0b-ba52-4516-9df4-b51a59a296d2</errorID>
      <errorWord>砾幕</errorWord>
      <group>L1_Word</group>
      <groupName>字词问题</groupName>
      <ability>L2_Typo</ability>
      <abilityName>字词错误</abilityName>
      <candidateList>
        <item>林木</item>
      </candidateList>
      <explain/>
      <paraID>34DEBDF4</paraID>
      <start>2</start>
      <end>4</end>
      <status>unmodified</status>
      <modifiedWord/>
      <trackRevisions>false</trackRevisions>
    </reviewItem>
    <reviewItem>
      <errorID>723d524b-0e5e-4f1b-8508-8974f51c0b02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7857BE4A</paraID>
      <start>30</start>
      <end>31</end>
      <status>unmodified</status>
      <modifiedWord/>
      <trackRevisions>false</trackRevisions>
    </reviewItem>
    <reviewItem>
      <errorID>011061f8-40f5-47bf-812c-f3e064eb82e6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6BB2C862</paraID>
      <start>24</start>
      <end>25</end>
      <status>unmodified</status>
      <modifiedWord/>
      <trackRevisions>false</trackRevisions>
    </reviewItem>
    <reviewItem>
      <errorID>20f75ce6-b330-4ae5-b794-0e6601c235e9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43631658</paraID>
      <start>48</start>
      <end>49</end>
      <status>unmodified</status>
      <modifiedWord/>
      <trackRevisions>false</trackRevisions>
    </reviewItem>
    <reviewItem>
      <errorID>60fe77ac-e849-4f16-810e-abea0cc83597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60B53659</paraID>
      <start>30</start>
      <end>31</end>
      <status>unmodified</status>
      <modifiedWord/>
      <trackRevisions>false</trackRevisions>
    </reviewItem>
    <reviewItem>
      <errorID>22338eaf-b1ff-411d-b80d-0631fdc571b4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1D70E04B</paraID>
      <start>22</start>
      <end>23</end>
      <status>unmodified</status>
      <modifiedWord/>
      <trackRevisions>false</trackRevisions>
    </reviewItem>
    <reviewItem>
      <errorID>9e6e631f-de0a-4b2e-b304-5755b8088d61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67CF006E</paraID>
      <start>26</start>
      <end>27</end>
      <status>unmodified</status>
      <modifiedWord/>
      <trackRevisions>false</trackRevisions>
    </reviewItem>
    <reviewItem>
      <errorID>2e9a2f0b-8ade-4c4b-88f6-6f34aa545244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27D2708F</paraID>
      <start>37</start>
      <end>38</end>
      <status>unmodified</status>
      <modifiedWord/>
      <trackRevisions>false</trackRevisions>
    </reviewItem>
    <reviewItem>
      <errorID>285e8740-0359-449f-9926-571c70074694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61DAA838</paraID>
      <start>30</start>
      <end>31</end>
      <status>unmodified</status>
      <modifiedWord/>
      <trackRevisions>false</trackRevisions>
    </reviewItem>
    <reviewItem>
      <errorID>ef0f1a78-743f-40c4-9ceb-19fbbc63fd55</errorID>
      <errorWord>生态文明制度改革</errorWord>
      <group>L1_Political</group>
      <groupName>政治性问题</groupName>
      <ability>L2_Keyword</ability>
      <abilityName>固定表述</abilityName>
      <candidateList>
        <item>生态文明体制改革</item>
      </candidateList>
      <explain>词汇“生态文明体制改革”在特定场景下为固定表述形式，请确认此处的“生态文明制度改革”是否存在不当。</explain>
      <paraID>554BBD14</paraID>
      <start>17</start>
      <end>25</end>
      <status>unmodified</status>
      <modifiedWord/>
      <trackRevisions>false</trackRevisions>
    </reviewItem>
    <reviewItem>
      <errorID>33c8da7d-d36b-454f-acb1-3c9dd37c0985</errorID>
      <errorWord>属</errorWord>
      <group>L1_Word</group>
      <groupName>字词问题</groupName>
      <ability>L2_Typo</ability>
      <abilityName>字词错误</abilityName>
      <candidateList>
        <item>属于</item>
      </candidateList>
      <explain/>
      <paraID>757F9450</paraID>
      <start>85</start>
      <end>87</end>
      <status>modified</status>
      <modifiedWord>属于</modifiedWord>
      <trackRevisions>false</trackRevisions>
    </reviewItem>
    <reviewItem>
      <errorID>f462ce7a-8a87-4667-ba51-20bc8e85c7aa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31EC544A</paraID>
      <start>33</start>
      <end>34</end>
      <status>unmodified</status>
      <modifiedWord/>
      <trackRevisions>false</trackRevisions>
    </reviewItem>
    <reviewItem>
      <errorID>12d96c68-a62a-4f4e-946b-d5dac184deca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5FC58E1E</paraID>
      <start>27</start>
      <end>28</end>
      <status>unmodified</status>
      <modifiedWord/>
      <trackRevisions>false</trackRevisions>
    </reviewItem>
    <reviewItem>
      <errorID>ea2902a6-26f3-44fd-b180-1475c50c8926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79202BA4</paraID>
      <start>47</start>
      <end>48</end>
      <status>unmodified</status>
      <modifiedWord/>
      <trackRevisions>false</trackRevisions>
    </reviewItem>
    <reviewItem>
      <errorID>1e2bd369-2c60-4811-acc5-f4c6c17b41a7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5FA22FA7</paraID>
      <start>29</start>
      <end>30</end>
      <status>unmodified</status>
      <modifiedWord/>
      <trackRevisions>false</trackRevisions>
    </reviewItem>
    <reviewItem>
      <errorID>c92d1b16-19d0-4de4-8af0-acde4c1e1653</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7D501541</paraID>
      <start>20</start>
      <end>21</end>
      <status>unmodified</status>
      <modifiedWord/>
      <trackRevisions>false</trackRevisions>
    </reviewItem>
    <reviewItem>
      <errorID>a594c4e4-f6b6-44b1-b7ab-293e9ca48002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2C8C5910</paraID>
      <start>96</start>
      <end>97</end>
      <status>unmodified</status>
      <modifiedWord/>
      <trackRevisions>false</trackRevisions>
    </reviewItem>
    <reviewItem>
      <errorID>f7fe7022-c17f-43a4-9da2-cfbe33f436b0</errorID>
      <errorWord>厂</errorWord>
      <group>L1_Word</group>
      <groupName>字词问题</groupName>
      <ability>L2_Typo</ability>
      <abilityName>字词错误</abilityName>
      <candidateList>
        <item>场</item>
      </candidateList>
      <explain/>
      <paraID>19CF82E2</paraID>
      <start>158</start>
      <end>159</end>
      <status>unmodified</status>
      <modifiedWord/>
      <trackRevisions>false</trackRevisions>
    </reviewItem>
    <reviewItem>
      <errorID>ffca23c0-8825-4371-a8b9-12913bccb6f6</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1BF1C5C3</paraID>
      <start>68</start>
      <end>75</end>
      <status>unmodified</status>
      <modifiedWord/>
      <trackRevisions>false</trackRevisions>
    </reviewItem>
    <reviewItem>
      <errorID>417fbdf1-5208-4222-876e-5628893f92c9</errorID>
      <errorWord>法律、法规</errorWord>
      <group>L1_Word</group>
      <groupName>字词问题</groupName>
      <ability>L2_Typo</ability>
      <abilityName>字词错误</abilityName>
      <candidateList>
        <item>法律法规</item>
      </candidateList>
      <explain/>
      <paraID>46B4B166</paraID>
      <start>136</start>
      <end>140</end>
      <status>modified</status>
      <modifiedWord>法律法规</modifiedWord>
      <trackRevisions>false</trackRevisions>
    </reviewItem>
    <reviewItem>
      <errorID>d794cc91-7b9d-430f-8deb-f0c1d2804ad6</errorID>
      <errorWord>法律、法规</errorWord>
      <group>L1_Word</group>
      <groupName>字词问题</groupName>
      <ability>L2_Typo</ability>
      <abilityName>字词错误</abilityName>
      <candidateList>
        <item>法律法规</item>
      </candidateList>
      <explain/>
      <paraID>71699E59</paraID>
      <start>64</start>
      <end>69</end>
      <status>unmodified</status>
      <modifiedWord/>
      <trackRevisions>false</trackRevisions>
    </reviewItem>
    <reviewItem>
      <errorID>aae653c9-f85f-4914-bbbd-25998a3bb0fa</errorID>
      <errorWord>法律、法规</errorWord>
      <group>L1_Word</group>
      <groupName>字词问题</groupName>
      <ability>L2_Typo</ability>
      <abilityName>字词错误</abilityName>
      <candidateList>
        <item>法律法规</item>
      </candidateList>
      <explain/>
      <paraID>7AEF6201</paraID>
      <start>68</start>
      <end>73</end>
      <status>unmodified</status>
      <modifiedWord/>
      <trackRevisions>false</trackRevisions>
    </reviewItem>
    <reviewItem>
      <errorID>1fc18598-47dc-4e9c-af62-788809c2c0bd</errorID>
      <errorWord>其它</errorWord>
      <group>L1_Word</group>
      <groupName>字词问题</groupName>
      <ability>L2_Alias</ability>
      <abilityName>也作/曾用词</abilityName>
      <candidateList>
        <item>其他</item>
      </candidateList>
      <explain>词汇[其它]为不规范表述或旧称，其规范书面表述为[其他]。</explain>
      <paraID>47611165</paraID>
      <start>4</start>
      <end>6</end>
      <status>unmodified</status>
      <modifiedWord/>
      <trackRevisions>false</trackRevisions>
    </reviewItem>
    <reviewItem>
      <errorID>241e592e-76e1-4677-9366-29addc865263</errorID>
      <errorWord>联防联动机制</errorWord>
      <group>L1_Word</group>
      <groupName>字词问题</groupName>
      <ability>L2_Typo</ability>
      <abilityName>字词错误</abilityName>
      <candidateList>
        <item>联防联控机制</item>
      </candidateList>
      <explain/>
      <paraID>269FC13E</paraID>
      <start>65</start>
      <end>71</end>
      <status>unmodified</status>
      <modifiedWord/>
      <trackRevisions>false</trackRevisions>
    </reviewItem>
    <reviewItem>
      <errorID>5b79b06d-f016-4f87-99a4-86ca18bf8538</errorID>
      <errorWord>上线</errorWord>
      <group>L1_Word</group>
      <groupName>字词问题</groupName>
      <ability>L2_Typo</ability>
      <abilityName>字词错误</abilityName>
      <candidateList>
        <item>上限</item>
      </candidateList>
      <explain/>
      <paraID>4175C5CE</paraID>
      <start>12</start>
      <end>14</end>
      <status>unmodified</status>
      <modifiedWord/>
      <trackRevisions>false</trackRevisions>
    </reviewItem>
    <reviewItem>
      <errorID>e4b1039f-5eaa-449e-9004-8bcd20f2425d</errorID>
      <errorWord>构</errorWord>
      <group>L1_Word</group>
      <groupName>字词问题</groupName>
      <ability>L2_Typo</ability>
      <abilityName>字词错误</abilityName>
      <candidateList>
        <item>构建</item>
      </candidateList>
      <explain/>
      <paraID>2AD58BAF</paraID>
      <start>88</start>
      <end>90</end>
      <status>modified</status>
      <modifiedWord>构建</modifiedWord>
      <trackRevisions>false</trackRevisions>
    </reviewItem>
    <reviewItem>
      <errorID>cc5c3af4-40ff-4c87-a2be-32549ececb06</errorID>
      <errorWord>污水用</errorWord>
      <group>L1_Word</group>
      <groupName>字词问题</groupName>
      <ability>L2_Typo</ability>
      <abilityName>字词错误</abilityName>
      <candidateList>
        <item>污水</item>
      </candidateList>
      <explain/>
      <paraID>397050DF</paraID>
      <start>46</start>
      <end>48</end>
      <status>modified</status>
      <modifiedWord>污水</modifiedWord>
      <trackRevisions>false</trackRevisions>
    </reviewItem>
    <reviewItem>
      <errorID>aaddf12b-fef8-42a5-ac04-cd734a8668fb</errorID>
      <errorWord>后</errorWord>
      <group>L1_Word</group>
      <groupName>字词问题</groupName>
      <ability>L2_Typo</ability>
      <abilityName>字词错误</abilityName>
      <candidateList>
        <item>后用</item>
      </candidateList>
      <explain/>
      <paraID>397050DF</paraID>
      <start>52</start>
      <end>53</end>
      <status>unmodified</status>
      <modifiedWord/>
      <trackRevisions>false</trackRevisions>
    </reviewItem>
    <reviewItem>
      <errorID>d060a9d7-ca30-424a-b08e-6a2d1ec9d966</errorID>
      <errorWord>法律、法规</errorWord>
      <group>L1_Word</group>
      <groupName>字词问题</groupName>
      <ability>L2_Typo</ability>
      <abilityName>字词错误</abilityName>
      <candidateList>
        <item>法律法规</item>
      </candidateList>
      <explain/>
      <paraID>3E9298D1</paraID>
      <start>12</start>
      <end>16</end>
      <status>modified</status>
      <modifiedWord>法律法规</modifiedWord>
      <trackRevisions>false</trackRevisions>
    </reviewItem>
    <reviewItem>
      <errorID>e3d3449b-2804-4c69-ae2f-193e3a140acc</errorID>
      <errorWord>&lt;</errorWord>
      <group>L1_Format</group>
      <groupName>格式问题</groupName>
      <ability>L2_HalfPunc_CN</ability>
      <abilityName/>
      <candidateList>
        <item>〈</item>
      </candidateList>
      <explain>文本全半角错误。</explain>
      <paraID>1AEC1642</paraID>
      <start>8</start>
      <end>9</end>
      <status>unmodified</status>
      <modifiedWord/>
      <trackRevisions>false</trackRevisions>
    </reviewItem>
    <reviewItem>
      <errorID>3445be7e-5d82-4484-b25c-155fb58bba60</errorID>
      <errorWord>&gt;的通知》</errorWord>
      <group>L1_Punc</group>
      <groupName>标点问题</groupName>
      <ability>L2_Punc_CN</ability>
      <abilityName/>
      <candidateList>
        <item>〉的通知》</item>
      </candidateList>
      <explain/>
      <paraID>1AEC1642</paraID>
      <start>21</start>
      <end>26</end>
      <status>unmodified</status>
      <modifiedWord/>
      <trackRevisions>false</trackRevisions>
    </reviewItem>
    <reviewItem>
      <errorID>14bc3a6d-c1fa-472b-8cff-6e568ee71f14</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 BAA3C2D</paraID>
      <start>4</start>
      <end>6</end>
      <status>unmodified</status>
      <modifiedWord/>
      <trackRevisions>false</trackRevisions>
    </reviewItem>
    <reviewItem>
      <errorID>50937974-e0a8-4354-b91f-8bf7e551fe49</errorID>
      <errorWord>》</errorWord>
      <group>L1_Punc</group>
      <groupName>标点问题</groupName>
      <ability>L2_Punc_CN</ability>
      <abilityName/>
      <candidateList/>
      <explain>此处标点可能未正确匹配，请检查句子中是否存在标点冗余、缺失或使用错误的情况。</explain>
      <paraID>4637824A</paraID>
      <start>24</start>
      <end>25</end>
      <status>unmodified</status>
      <modifiedWord/>
      <trackRevisions>false</trackRevisions>
    </reviewItem>
    <reviewItem>
      <errorID>a56cdc68-e7a1-4fc7-811d-8bd3a79f484d</errorID>
      <errorWord>&lt;</errorWord>
      <group>L1_Format</group>
      <groupName>格式问题</groupName>
      <ability>L2_HalfPunc_CN</ability>
      <abilityName/>
      <candidateList>
        <item>〈</item>
      </candidateList>
      <explain>文本全半角错误。</explain>
      <paraID>1F05A3FF</paraID>
      <start>5</start>
      <end>6</end>
      <status>unmodified</status>
      <modifiedWord/>
      <trackRevisions>false</trackRevisions>
    </reviewItem>
    <reviewItem>
      <errorID>9107d5da-9e30-4334-9d16-a963831eaa88</errorID>
      <errorWord>&gt;的通知》</errorWord>
      <group>L1_Punc</group>
      <groupName>标点问题</groupName>
      <ability>L2_Punc_CN</ability>
      <abilityName/>
      <candidateList>
        <item>〉的通知》</item>
      </candidateList>
      <explain/>
      <paraID>1F05A3FF</paraID>
      <start>32</start>
      <end>37</end>
      <status>unmodified</status>
      <modifiedWord/>
      <trackRevisions>false</trackRevisions>
    </reviewItem>
    <reviewItem>
      <errorID>728e0dbc-fb4e-4c1b-b9c1-7f0ae753860e</errorID>
      <errorWord>制</errorWord>
      <group>L1_Word</group>
      <groupName>字词问题</groupName>
      <ability>L2_Typo</ability>
      <abilityName>字词错误</abilityName>
      <candidateList>
        <item>制度</item>
      </candidateList>
      <explain/>
      <paraID>5D74726B</paraID>
      <start>18</start>
      <end>19</end>
      <status>unmodified</status>
      <modifiedWord/>
      <trackRevisions>false</trackRevisions>
    </reviewItem>
    <reviewItem>
      <errorID>ae418b5c-7bbf-4081-8310-0b1ebe0e5a17</errorID>
      <errorWord>地方法规</errorWord>
      <group>L1_Political</group>
      <groupName>政治性问题</groupName>
      <ability>L2_Unpolitical</ability>
      <abilityName>政治敏感错误</abilityName>
      <candidateList>
        <item>地方性法规</item>
      </candidateList>
      <explain/>
      <paraID>606914D8</paraID>
      <start>0</start>
      <end>5</end>
      <status>modified</status>
      <modifiedWord>地方性法规</modifiedWord>
      <trackRevisions>false</trackRevisions>
    </reviewItem>
    <reviewItem>
      <errorID>f4127898-7a09-46b4-a203-949df5c43604</errorID>
      <errorWord>区</errorWord>
      <group>L1_Word</group>
      <groupName>字词问题</groupName>
      <ability>L2_Typo</ability>
      <abilityName>字词错误</abilityName>
      <candidateList>
        <item>区第</item>
      </candidateList>
      <explain/>
      <paraID>385381CA</paraID>
      <start>7</start>
      <end>8</end>
      <status>unmodified</status>
      <modifiedWord/>
      <trackRevisions>false</trackRevisions>
    </reviewItem>
    <reviewItem>
      <errorID>3b5325a4-92e3-40fb-b4be-509cae9da3e2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1ABF58EB</paraID>
      <start>22</start>
      <end>23</end>
      <status>unmodified</status>
      <modifiedWord/>
      <trackRevisions>false</trackRevisions>
    </reviewItem>
    <reviewItem>
      <errorID>867abcff-2508-4fbb-8423-ca71bd28faff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71BB30FE</paraID>
      <start>20</start>
      <end>21</end>
      <status>unmodified</status>
      <modifiedWord/>
      <trackRevisions>false</trackRevisions>
    </reviewItem>
    <reviewItem>
      <errorID>aad65079-e316-488f-97d4-220c36c8e4e7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3BBBB08D</paraID>
      <start>17</start>
      <end>18</end>
      <status>unmodified</status>
      <modifiedWord/>
      <trackRevisions>false</trackRevisions>
    </reviewItem>
    <reviewItem>
      <errorID>5da20d27-feda-46d3-9049-bf2195c510d4</errorID>
      <errorWord>～</errorWord>
      <group>L1_Format</group>
      <groupName>格式问题</groupName>
      <ability>L2_HalfPunc_CN</ability>
      <abilityName/>
      <candidateList>
        <item>~</item>
      </candidateList>
      <explain>文本全半角错误。</explain>
      <paraID> 3827D78</paraID>
      <start>9</start>
      <end>10</end>
      <status>unmodified</status>
      <modifiedWord/>
      <trackRevisions>false</trackRevisions>
    </reviewItem>
    <reviewItem>
      <errorID>fc19585c-08be-4c14-a2bf-7121b23045ef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286A8EE0</paraID>
      <start>0</start>
      <end>2</end>
      <status>unmodified</status>
      <modifiedWord/>
      <trackRevisions>false</trackRevisions>
    </reviewItem>
    <reviewItem>
      <errorID>0ce71053-2104-41c1-aed2-a4dd8946ade5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5101BFDB</paraID>
      <start>0</start>
      <end>2</end>
      <status>unmodified</status>
      <modifiedWord/>
      <trackRevisions>false</trackRevisions>
    </reviewItem>
    <reviewItem>
      <errorID>82df633d-2e37-43f3-8c79-51da60550f96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68E2E5AD</paraID>
      <start>0</start>
      <end>2</end>
      <status>unmodified</status>
      <modifiedWord/>
      <trackRevisions>false</trackRevisions>
    </reviewItem>
    <reviewItem>
      <errorID>f5fc1688-cd93-4b3d-ac04-24882ea59864</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74A769E6</paraID>
      <start>104</start>
      <end>108</end>
      <status>unmodified</status>
      <modifiedWord/>
      <trackRevisions>false</trackRevisions>
    </reviewItem>
    <reviewItem>
      <errorID>2cfcf0bc-d4e1-43c7-96b8-335c7b10f277</errorID>
      <errorWord>～</errorWord>
      <group>L1_Format</group>
      <groupName>格式问题</groupName>
      <ability>L2_HalfPunc_CN</ability>
      <abilityName/>
      <candidateList>
        <item>~</item>
      </candidateList>
      <explain>文本全半角错误。</explain>
      <paraID>3E138605</paraID>
      <start>3</start>
      <end>4</end>
      <status>unmodified</status>
      <modifiedWord/>
      <trackRevisions>false</trackRevisions>
    </reviewItem>
    <reviewItem>
      <errorID>324f88f1-e430-45c6-9a94-220c0024d946</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64FE9894</paraID>
      <start>0</start>
      <end>4</end>
      <status>unmodified</status>
      <modifiedWord/>
      <trackRevisions>false</trackRevisions>
    </reviewItem>
    <reviewItem>
      <errorID>a54de57f-6e2a-48d6-aa91-f1a29ac72c65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7BFBE18</paraID>
      <start>0</start>
      <end>2</end>
      <status>unmodified</status>
      <modifiedWord/>
      <trackRevisions>false</trackRevisions>
    </reviewItem>
    <reviewItem>
      <errorID>7146ac0d-a005-4f18-aa8c-d0f500653d5a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57094E6E</paraID>
      <start>0</start>
      <end>2</end>
      <status>unmodified</status>
      <modifiedWord/>
      <trackRevisions>false</trackRevisions>
    </reviewItem>
    <reviewItem>
      <errorID>5d638bdf-0aa8-47f4-9c72-e675362fc026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2E5C2341</paraID>
      <start>0</start>
      <end>2</end>
      <status>unmodified</status>
      <modifiedWord/>
      <trackRevisions>false</trackRevisions>
    </reviewItem>
    <reviewItem>
      <errorID>05a4b8aa-e085-4804-9be0-8ce207d15146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2BBBE7B0</paraID>
      <start>0</start>
      <end>2</end>
      <status>unmodified</status>
      <modifiedWord/>
      <trackRevisions>false</trackRevisions>
    </reviewItem>
    <reviewItem>
      <errorID>676eb307-43cf-4e9b-9bd7-37bdc6d4004d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15581CA3</paraID>
      <start>0</start>
      <end>2</end>
      <status>unmodified</status>
      <modifiedWord/>
      <trackRevisions>false</trackRevisions>
    </reviewItem>
    <reviewItem>
      <errorID>78adfb21-247d-4741-9112-ed9f74519cf3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4C8E3F20</paraID>
      <start>0</start>
      <end>2</end>
      <status>unmodified</status>
      <modifiedWord/>
      <trackRevisions>false</trackRevisions>
    </reviewItem>
    <reviewItem>
      <errorID>439ba8e9-2ee0-4402-96e5-73117050d65b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376E9C08</paraID>
      <start>0</start>
      <end>2</end>
      <status>unmodified</status>
      <modifiedWord/>
      <trackRevisions>false</trackRevisions>
    </reviewItem>
    <reviewItem>
      <errorID>158dcce5-87bb-4a46-8aa6-53af9263a64b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364BA5A8</paraID>
      <start>0</start>
      <end>2</end>
      <status>unmodified</status>
      <modifiedWord/>
      <trackRevisions>false</trackRevisions>
    </reviewItem>
    <reviewItem>
      <errorID>06eea28f-b75a-4f12-9615-9c4b6b8e5fe9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6339C903</paraID>
      <start>0</start>
      <end>2</end>
      <status>unmodified</status>
      <modifiedWord/>
      <trackRevisions>false</trackRevisions>
    </reviewItem>
    <reviewItem>
      <errorID>a3d99bdd-eba2-4a03-9e06-4f4d28261573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14F5A174</paraID>
      <start>0</start>
      <end>2</end>
      <status>unmodified</status>
      <modifiedWord/>
      <trackRevisions>false</trackRevisions>
    </reviewItem>
    <reviewItem>
      <errorID>9eec0adf-8d7a-4d05-b1b1-e4fd21e6e75d</errorID>
      <errorWord>-</errorWord>
      <group>L1_Format</group>
      <groupName>格式问题</groupName>
      <ability>L2_HalfPunc_CN</ability>
      <abilityName/>
      <candidateList>
        <item>－</item>
      </candidateList>
      <explain>文本全半角错误。</explain>
      <paraID>7B6198AF</paraID>
      <start>95</start>
      <end>96</end>
      <status>unmodified</status>
      <modifiedWord/>
      <trackRevisions>false</trackRevisions>
    </reviewItem>
    <reviewItem>
      <errorID>fee66c07-7ac4-4754-854a-7654b788cad1</errorID>
      <errorWord>，</errorWord>
      <group>L1_Word</group>
      <groupName>字词问题</groupName>
      <ability>L2_Typo</ability>
      <abilityName>字词错误</abilityName>
      <candidateList>
        <item>，以</item>
      </candidateList>
      <explain/>
      <paraID>154AAA21</paraID>
      <start>87</start>
      <end>88</end>
      <status>unmodified</status>
      <modifiedWord/>
      <trackRevisions>false</trackRevisions>
    </reviewItem>
    <reviewItem>
      <errorID>6de84923-34ac-4350-93df-3fed16c6173e</errorID>
      <errorWord>（</errorWord>
      <group>L1_Format</group>
      <groupName>格式问题</groupName>
      <ability>L2_HalfPunc_CN</ability>
      <abilityName/>
      <candidateList>
        <item>(</item>
      </candidateList>
      <explain>文本全半角错误。</explain>
      <paraID>5F1C1747</paraID>
      <start>0</start>
      <end>1</end>
      <status>unmodified</status>
      <modifiedWord/>
      <trackRevisions>false</trackRevisions>
    </reviewItem>
    <reviewItem>
      <errorID>0f5f2d9f-29c2-4387-8dd7-4c67d1495999</errorID>
      <errorWord>）</errorWord>
      <group>L1_Format</group>
      <groupName>格式问题</groupName>
      <ability>L2_HalfPunc_CN</ability>
      <abilityName/>
      <candidateList>
        <item>)</item>
      </candidateList>
      <explain>文本全半角错误。</explain>
      <paraID>5F1C1747</paraID>
      <start>6</start>
      <end>7</end>
      <status>unmodified</status>
      <modifiedWord/>
      <trackRevisions>false</trackRevisions>
    </reviewItem>
    <reviewItem>
      <errorID>aa9435bf-89aa-4822-81a0-faebc719b531</errorID>
      <errorWord>（</errorWord>
      <group>L1_Format</group>
      <groupName>格式问题</groupName>
      <ability>L2_HalfPunc_CN</ability>
      <abilityName/>
      <candidateList>
        <item>(</item>
      </candidateList>
      <explain>文本全半角错误。</explain>
      <paraID>58ADE386</paraID>
      <start>4</start>
      <end>5</end>
      <status>unmodified</status>
      <modifiedWord/>
      <trackRevisions>false</trackRevisions>
    </reviewItem>
    <reviewItem>
      <errorID>55ae54b8-0621-4797-8093-7ecda37d5ce5</errorID>
      <errorWord>）</errorWord>
      <group>L1_Format</group>
      <groupName>格式问题</groupName>
      <ability>L2_HalfPunc_CN</ability>
      <abilityName/>
      <candidateList>
        <item>)</item>
      </candidateList>
      <explain>文本全半角错误。</explain>
      <paraID>58ADE386</paraID>
      <start>6</start>
      <end>7</end>
      <status>unmodified</status>
      <modifiedWord/>
      <trackRevisions>false</trackRevisions>
    </reviewItem>
    <reviewItem>
      <errorID>358a1eff-bed3-44b0-a1da-c4a84be76440</errorID>
      <errorWord>（</errorWord>
      <group>L1_Format</group>
      <groupName>格式问题</groupName>
      <ability>L2_HalfPunc_CN</ability>
      <abilityName/>
      <candidateList>
        <item>(</item>
      </candidateList>
      <explain>文本全半角错误。</explain>
      <paraID>165FD95B</paraID>
      <start>4</start>
      <end>5</end>
      <status>unmodified</status>
      <modifiedWord/>
      <trackRevisions>false</trackRevisions>
    </reviewItem>
    <reviewItem>
      <errorID>e605fdd8-1b98-4034-aa8a-97edbc189820</errorID>
      <errorWord>）</errorWord>
      <group>L1_Format</group>
      <groupName>格式问题</groupName>
      <ability>L2_HalfPunc_CN</ability>
      <abilityName/>
      <candidateList>
        <item>)</item>
      </candidateList>
      <explain>文本全半角错误。</explain>
      <paraID>165FD95B</paraID>
      <start>6</start>
      <end>7</end>
      <status>unmodified</status>
      <modifiedWord/>
      <trackRevisions>false</trackRevisions>
    </reviewItem>
    <reviewItem>
      <errorID>920f0da8-e79b-4399-9e59-90c1373b349b</errorID>
      <errorWord>II类</errorWord>
      <group>L1_Knowledge</group>
      <groupName>知识性问题</groupName>
      <ability>L2_Knowledge</ability>
      <abilityName>其他知识</abilityName>
      <candidateList>
        <item>Ⅱ类</item>
      </candidateList>
      <explain/>
      <paraID>5CA0A0AD</paraID>
      <start>78</start>
      <end>81</end>
      <status>unmodified</status>
      <modifiedWord/>
      <trackRevisions>false</trackRevisions>
    </reviewItem>
    <reviewItem>
      <errorID>4ed3c7fc-6cb4-4ae4-b30d-8766774d30d1</errorID>
      <errorWord>相关的其它</errorWord>
      <group>L1_Word</group>
      <groupName>字词问题</groupName>
      <ability>L2_Alias</ability>
      <abilityName>也作/曾用词</abilityName>
      <candidateList>
        <item>相关的其他</item>
      </candidateList>
      <explain>词汇[相关的其它]为不规范表述或旧称，其规范书面表述为[相关的其他]。</explain>
      <paraID>5CA0A0AD</paraID>
      <start>165</start>
      <end>170</end>
      <status>modified</status>
      <modifiedWord>相关的其他</modifiedWord>
      <trackRevisions>false</trackRevisions>
    </reviewItem>
    <reviewItem>
      <errorID>8f274477-f3b2-474c-9677-ef780d81b796</errorID>
      <errorWord>相关的其它</errorWord>
      <group>L1_Word</group>
      <groupName>字词问题</groupName>
      <ability>L2_Alias</ability>
      <abilityName>也作/曾用词</abilityName>
      <candidateList>
        <item>相关的其他</item>
      </candidateList>
      <explain>词汇[相关的其它]为不规范表述或旧称，其规范书面表述为[相关的其他]。</explain>
      <paraID>76E453D0</paraID>
      <start>72</start>
      <end>77</end>
      <status>unmodified</status>
      <modifiedWord/>
      <trackRevisions>false</trackRevisions>
    </reviewItem>
    <reviewItem>
      <errorID>ff0ffea9-768a-45b2-896a-9e348cf2219d</errorID>
      <errorWord>其它未</errorWord>
      <group>L1_Word</group>
      <groupName>字词问题</groupName>
      <ability>L2_Alias</ability>
      <abilityName>也作/曾用词</abilityName>
      <candidateList>
        <item>其他未</item>
      </candidateList>
      <explain>词汇[其它未]为不规范表述或旧称，其规范书面表述为[其他未]。</explain>
      <paraID>42317760</paraID>
      <start>117</start>
      <end>120</end>
      <status>unmodified</status>
      <modifiedWord/>
      <trackRevisions>false</trackRevisions>
    </reviewItem>
    <reviewItem>
      <errorID>24925939-e786-4d29-8911-4f864eb7a2a7</errorID>
      <errorWord>II类</errorWord>
      <group>L1_Knowledge</group>
      <groupName>知识性问题</groupName>
      <ability>L2_Knowledge</ability>
      <abilityName>其他知识</abilityName>
      <candidateList>
        <item>Ⅱ类</item>
      </candidateList>
      <explain/>
      <paraID>  D6DAF5</paraID>
      <start>0</start>
      <end>3</end>
      <status>unmodified</status>
      <modifiedWord/>
      <trackRevisions>false</trackRevisions>
    </reviewItem>
    <reviewItem>
      <errorID>4fc3421a-dbcc-47d7-9ad4-80208258613d</errorID>
      <errorWord>III类</errorWord>
      <group>L1_Knowledge</group>
      <groupName>知识性问题</groupName>
      <ability>L2_Knowledge</ability>
      <abilityName>其他知识</abilityName>
      <candidateList>
        <item>Ⅲ类</item>
      </candidateList>
      <explain/>
      <paraID>7246A4DC</paraID>
      <start>0</start>
      <end>4</end>
      <status>unmodified</status>
      <modifiedWord/>
      <trackRevisions>false</trackRevisions>
    </reviewItem>
    <reviewItem>
      <errorID>1b09de24-ded0-4f05-a4f3-423d6d33172c</errorID>
      <errorWord>II</errorWord>
      <group>L1_Knowledge</group>
      <groupName>知识性问题</groupName>
      <ability>L2_Knowledge</ability>
      <abilityName>其他知识</abilityName>
      <candidateList>
        <item>Ⅱ</item>
      </candidateList>
      <explain/>
      <paraID>140677D4</paraID>
      <start>0</start>
      <end>2</end>
      <status>unmodified</status>
      <modifiedWord/>
      <trackRevisions>false</trackRevisions>
    </reviewItem>
    <reviewItem>
      <errorID>0507f415-8da9-49eb-9870-37f2a82b052f</errorID>
      <errorWord>III</errorWord>
      <group>L1_Knowledge</group>
      <groupName>知识性问题</groupName>
      <ability>L2_Knowledge</ability>
      <abilityName>其他知识</abilityName>
      <candidateList>
        <item>Ⅲ</item>
      </candidateList>
      <explain/>
      <paraID> 89A456B</paraID>
      <start>0</start>
      <end>3</end>
      <status>unmodified</status>
      <modifiedWord/>
      <trackRevisions>false</trackRevisions>
    </reviewItem>
    <reviewItem>
      <errorID>7a2fe953-4bb4-4657-a771-aefa9eb45ce5</errorID>
      <errorWord>II</errorWord>
      <group>L1_Knowledge</group>
      <groupName>知识性问题</groupName>
      <ability>L2_Knowledge</ability>
      <abilityName>其他知识</abilityName>
      <candidateList>
        <item>Ⅱ</item>
      </candidateList>
      <explain/>
      <paraID>5AAAF19B</paraID>
      <start>0</start>
      <end>2</end>
      <status>unmodified</status>
      <modifiedWord/>
      <trackRevisions>false</trackRevisions>
    </reviewItem>
    <reviewItem>
      <errorID>e3496eff-9c38-4f60-a03c-8490ae363155</errorID>
      <errorWord>III</errorWord>
      <group>L1_Knowledge</group>
      <groupName>知识性问题</groupName>
      <ability>L2_Knowledge</ability>
      <abilityName>其他知识</abilityName>
      <candidateList>
        <item>Ⅲ</item>
      </candidateList>
      <explain/>
      <paraID>5BA33FE8</paraID>
      <start>0</start>
      <end>3</end>
      <status>unmodified</status>
      <modifiedWord/>
      <trackRevisions>false</trackRevisions>
    </reviewItem>
    <reviewItem>
      <errorID>1ca4cd3d-34d2-4816-9863-d5804d9d7a45</errorID>
      <errorWord>-</errorWord>
      <group>L1_Format</group>
      <groupName>格式问题</groupName>
      <ability>L2_HalfPunc_CN</ability>
      <abilityName/>
      <candidateList>
        <item>－</item>
      </candidateList>
      <explain>文本全半角错误。</explain>
      <paraID>6AE7A75A</paraID>
      <start>3</start>
      <end>4</end>
      <status>unmodified</status>
      <modifiedWord/>
      <trackRevisions>false</trackRevisions>
    </reviewItem>
    <reviewItem>
      <errorID>bb570ff4-2143-4c37-96b4-550165e1971c</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6BC01C02</paraID>
      <start>0</start>
      <end>2</end>
      <status>unmodified</status>
      <modifiedWord/>
      <trackRevisions>false</trackRevisions>
    </reviewItem>
    <reviewItem>
      <errorID>5ff24ff6-a544-44b5-bfe6-f3e858337649</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1C8451B6</paraID>
      <start>0</start>
      <end>2</end>
      <status>unmodified</status>
      <modifiedWord/>
      <trackRevisions>false</trackRevisions>
    </reviewItem>
    <reviewItem>
      <errorID>792dfdbc-34ab-487c-8ec8-1a9b6a9ac98c</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40946D8F</paraID>
      <start>0</start>
      <end>2</end>
      <status>unmodified</status>
      <modifiedWord/>
      <trackRevisions>false</trackRevisions>
    </reviewItem>
    <reviewItem>
      <errorID>77f9a8b7-cb83-4ad7-a939-e92a91e003c0</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2FE8DACF</paraID>
      <start>0</start>
      <end>2</end>
      <status>unmodified</status>
      <modifiedWord/>
      <trackRevisions>false</trackRevisions>
    </reviewItem>
    <reviewItem>
      <errorID>7101b5c7-7133-41c9-ae09-536023d4f90d</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503B294B</paraID>
      <start>0</start>
      <end>2</end>
      <status>unmodified</status>
      <modifiedWord/>
      <trackRevisions>false</trackRevisions>
    </reviewItem>
    <reviewItem>
      <errorID>8c736d96-8d4e-4ae5-bf01-4bc0df1fb87d</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69953675</paraID>
      <start>0</start>
      <end>2</end>
      <status>unmodified</status>
      <modifiedWord/>
      <trackRevisions>false</trackRevisions>
    </reviewItem>
    <reviewItem>
      <errorID>3722a28a-da00-4405-99e7-a6b22fa61523</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67FBD533</paraID>
      <start>0</start>
      <end>2</end>
      <status>unmodified</status>
      <modifiedWord/>
      <trackRevisions>false</trackRevisions>
    </reviewItem>
    <reviewItem>
      <errorID>40deff56-dee6-40f8-9603-7f947f7803c5</errorID>
      <errorWord>h、</errorWord>
      <group>L1_Format</group>
      <groupName>格式问题</groupName>
      <ability>L2_Ordinal</ability>
      <abilityName>序号格式</abilityName>
      <candidateList>
        <item>h.</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6387A769</paraID>
      <start>0</start>
      <end>2</end>
      <status>unmodified</status>
      <modifiedWord/>
      <trackRevisions>false</trackRevisions>
    </reviewItem>
    <reviewItem>
      <errorID>ee803191-4b44-4da7-b7f6-a2e0b1192678</errorID>
      <errorWord>IV</errorWord>
      <group>L1_Knowledge</group>
      <groupName>知识性问题</groupName>
      <ability>L2_Knowledge</ability>
      <abilityName>其他知识</abilityName>
      <candidateList>
        <item>Ⅳ</item>
      </candidateList>
      <explain/>
      <paraID>540D65E0</paraID>
      <start>121</start>
      <end>123</end>
      <status>unmodified</status>
      <modifiedWord/>
      <trackRevisions>false</trackRevisions>
    </reviewItem>
    <reviewItem>
      <errorID>4e019e7d-85a1-4f8d-b092-d5b0a04857e0</errorID>
      <errorWord>III</errorWord>
      <group>L1_Knowledge</group>
      <groupName>知识性问题</groupName>
      <ability>L2_Knowledge</ability>
      <abilityName>其他知识</abilityName>
      <candidateList>
        <item>Ⅲ</item>
      </candidateList>
      <explain/>
      <paraID>540D65E0</paraID>
      <start>171</start>
      <end>174</end>
      <status>unmodified</status>
      <modifiedWord/>
      <trackRevisions>false</trackRevisions>
    </reviewItem>
    <reviewItem>
      <errorID>065c8140-adca-4000-8054-3e336ec4c931</errorID>
      <errorWord>II</errorWord>
      <group>L1_Knowledge</group>
      <groupName>知识性问题</groupName>
      <ability>L2_Knowledge</ability>
      <abilityName>其他知识</abilityName>
      <candidateList>
        <item>Ⅱ</item>
      </candidateList>
      <explain/>
      <paraID>540D65E0</paraID>
      <start>219</start>
      <end>221</end>
      <status>unmodified</status>
      <modifiedWord/>
      <trackRevisions>false</trackRevisions>
    </reviewItem>
    <reviewItem>
      <errorID>50454092-fbd9-4c88-9a4c-3f6131e6ff9d</errorID>
      <errorWord>IV</errorWord>
      <group>L1_Knowledge</group>
      <groupName>知识性问题</groupName>
      <ability>L2_Knowledge</ability>
      <abilityName>其他知识</abilityName>
      <candidateList>
        <item>Ⅳ</item>
      </candidateList>
      <explain/>
      <paraID>76496E0C</paraID>
      <start>31</start>
      <end>33</end>
      <status>unmodified</status>
      <modifiedWord/>
      <trackRevisions>false</trackRevisions>
    </reviewItem>
    <reviewItem>
      <errorID>4ac4124b-fd24-4663-8737-0a831d2b6172</errorID>
      <errorWord>III</errorWord>
      <group>L1_Word</group>
      <groupName>字词问题</groupName>
      <ability>L2_Typo</ability>
      <abilityName>字词错误</abilityName>
      <candidateList>
        <item>Ⅲ</item>
      </candidateList>
      <explain/>
      <paraID>6B1E590E</paraID>
      <start>31</start>
      <end>34</end>
      <status>unmodified</status>
      <modifiedWord/>
      <trackRevisions>false</trackRevisions>
    </reviewItem>
    <reviewItem>
      <errorID>a9719666-560f-4d3c-993b-83a858362baa</errorID>
      <errorWord>厂</errorWord>
      <group>L1_Word</group>
      <groupName>字词问题</groupName>
      <ability>L2_Typo</ability>
      <abilityName>字词错误</abilityName>
      <candidateList>
        <item>场</item>
      </candidateList>
      <explain/>
      <paraID>254DA2AA</paraID>
      <start>13</start>
      <end>14</end>
      <status>unmodified</status>
      <modifiedWord/>
      <trackRevisions>false</trackRevisions>
    </reviewItem>
    <reviewItem>
      <errorID>4308a2bc-c7cb-4c1d-84a6-ed1b08b370fc</errorID>
      <errorWord>厂</errorWord>
      <group>L1_Word</group>
      <groupName>字词问题</groupName>
      <ability>L2_Typo</ability>
      <abilityName>字词错误</abilityName>
      <candidateList>
        <item>场</item>
      </candidateList>
      <explain/>
      <paraID>587A86D3</paraID>
      <start>32</start>
      <end>33</end>
      <status>unmodified</status>
      <modifiedWord/>
      <trackRevisions>false</trackRevisions>
    </reviewItem>
    <reviewItem>
      <errorID>a21b77f1-9136-48ca-a5bc-1e40fd40088c</errorID>
      <errorWord>厂</errorWord>
      <group>L1_Word</group>
      <groupName>字词问题</groupName>
      <ability>L2_Typo</ability>
      <abilityName>字词错误</abilityName>
      <candidateList>
        <item>场</item>
      </candidateList>
      <explain/>
      <paraID>6FB0BD19</paraID>
      <start>2</start>
      <end>3</end>
      <status>unmodified</status>
      <modifiedWord/>
      <trackRevisions>false</trackRevisions>
    </reviewItem>
    <reviewItem>
      <errorID>9a1b22fc-2024-4f0c-808f-744cf4ce2edd</errorID>
      <errorWord>III类</errorWord>
      <group>L1_Knowledge</group>
      <groupName>知识性问题</groupName>
      <ability>L2_Knowledge</ability>
      <abilityName>其他知识</abilityName>
      <candidateList>
        <item>Ⅲ类</item>
      </candidateList>
      <explain/>
      <paraID> 1604904</paraID>
      <start>92</start>
      <end>96</end>
      <status>unmodified</status>
      <modifiedWord/>
      <trackRevisions>false</trackRevisions>
    </reviewItem>
    <reviewItem>
      <errorID>0851bc16-aba3-4ed7-b994-b5ad4f5a9d1c</errorID>
      <errorWord>厂</errorWord>
      <group>L1_Word</group>
      <groupName>字词问题</groupName>
      <ability>L2_Typo</ability>
      <abilityName>字词错误</abilityName>
      <candidateList>
        <item>场</item>
      </candidateList>
      <explain/>
      <paraID> E67FF60</paraID>
      <start>2</start>
      <end>3</end>
      <status>unmodified</status>
      <modifiedWord/>
      <trackRevisions>false</trackRevisions>
    </reviewItem>
    <reviewItem>
      <errorID>16417a03-e546-464f-9ee4-6f13aaf49522</errorID>
      <errorWord>距</errorWord>
      <group>L1_Word</group>
      <groupName>字词问题</groupName>
      <ability>L2_Typo</ability>
      <abilityName>字词错误</abilityName>
      <candidateList>
        <item>距离</item>
      </candidateList>
      <explain>❶〈动〉在空间或时间上相隔：天津～北京约有一百二十公里｜现在～唐代已经有一千多年。❷〈名〉相隔的长度：等～｜拉开一定的～◇他的看法和你有～。</explain>
      <paraID> B98C673</paraID>
      <start>35</start>
      <end>37</end>
      <status>modified</status>
      <modifiedWord>距离</modifiedWord>
      <trackRevisions>false</trackRevisions>
    </reviewItem>
    <reviewItem>
      <errorID>8f04e30c-3270-4876-b649-5e659c25931c</errorID>
      <errorWord>-</errorWord>
      <group>L1_Format</group>
      <groupName>格式问题</groupName>
      <ability>L2_HalfPunc_CN</ability>
      <abilityName/>
      <candidateList>
        <item>－</item>
      </candidateList>
      <explain>文本全半角错误。</explain>
      <paraID> CEA2031</paraID>
      <start>139</start>
      <end>140</end>
      <status>unmodified</status>
      <modifiedWord/>
      <trackRevisions>false</trackRevisions>
    </reviewItem>
    <reviewItem>
      <errorID>d2257345-ec20-4e54-ad3b-d573ed813a06</errorID>
      <errorWord>-</errorWord>
      <group>L1_Format</group>
      <groupName>格式问题</groupName>
      <ability>L2_HalfPunc_CN</ability>
      <abilityName/>
      <candidateList>
        <item>－</item>
      </candidateList>
      <explain>文本全半角错误。</explain>
      <paraID> CEA2031</paraID>
      <start>142</start>
      <end>143</end>
      <status>unmodified</status>
      <modifiedWord/>
      <trackRevisions>false</trackRevisions>
    </reviewItem>
    <reviewItem>
      <errorID>7d1220aa-77cc-42dd-882b-3ca30013a0d8</errorID>
      <errorWord>减震</errorWord>
      <group>L1_Word</group>
      <groupName>字词问题</groupName>
      <ability>L2_Typo</ability>
      <abilityName>字词错误</abilityName>
      <candidateList>
        <item>减振</item>
      </candidateList>
      <explain>存在发音相同字词的误用。</explain>
      <paraID>3E957355</paraID>
      <start>10</start>
      <end>12</end>
      <status>modified</status>
      <modifiedWord>减振</modifiedWord>
      <trackRevisions>false</trackRevisions>
    </reviewItem>
    <reviewItem>
      <errorID>e7cd84eb-a616-40dd-95bf-bcd36bb990c7</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1E0939FD</paraID>
      <start>139</start>
      <end>140</end>
      <status>unmodified</status>
      <modifiedWord/>
      <trackRevisions>false</trackRevisions>
    </reviewItem>
    <reviewItem>
      <errorID>2ba265f6-8238-4dca-ae54-cdc5088fc05a</errorID>
      <errorWord>两个</errorWord>
      <group>L1_Knowledge</group>
      <groupName>知识性问题</groupName>
      <ability>L2_Knowledge</ability>
      <abilityName>其他知识</abilityName>
      <candidateList>
        <item>两座</item>
      </candidateList>
      <explain/>
      <paraID>1E0939FD</paraID>
      <start>162</start>
      <end>164</end>
      <status>modified</status>
      <modifiedWord>两座</modifiedWord>
      <trackRevisions>false</trackRevisions>
    </reviewItem>
    <reviewItem>
      <errorID>4773fa9f-f72b-4192-9a20-d5ccbfcddec7</errorID>
      <errorWord>厂</errorWord>
      <group>L1_Word</group>
      <groupName>字词问题</groupName>
      <ability>L2_Typo</ability>
      <abilityName>字词错误</abilityName>
      <candidateList>
        <item>场</item>
      </candidateList>
      <explain/>
      <paraID>422D7AA7</paraID>
      <start>4</start>
      <end>5</end>
      <status>unmodified</status>
      <modifiedWord/>
      <trackRevisions>false</trackRevisions>
    </reviewItem>
    <reviewItem>
      <errorID>fb8b0d64-4994-41ea-9873-cdb5f2a7a1f4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48E2AC47</paraID>
      <start>0</start>
      <end>2</end>
      <status>unmodified</status>
      <modifiedWord/>
      <trackRevisions>false</trackRevisions>
    </reviewItem>
    <reviewItem>
      <errorID>4a93ab68-3e4f-4367-b959-83f2e3d1ac7b</errorID>
      <errorWord>鄂式破碎</errorWord>
      <group>L1_Word</group>
      <groupName>字词问题</groupName>
      <ability>L2_Typo</ability>
      <abilityName>字词错误</abilityName>
      <candidateList>
        <item>颚式破碎</item>
      </candidateList>
      <explain/>
      <paraID>3ECDCC02</paraID>
      <start>0</start>
      <end>4</end>
      <status>modified</status>
      <modifiedWord>颚式破碎</modifiedWord>
      <trackRevisions>false</trackRevisions>
    </reviewItem>
    <reviewItem>
      <errorID>09eee5d2-9664-429a-bd04-5d364d4e3505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4285F9B4</paraID>
      <start>0</start>
      <end>2</end>
      <status>unmodified</status>
      <modifiedWord/>
      <trackRevisions>false</trackRevisions>
    </reviewItem>
    <reviewItem>
      <errorID>e53ced88-7d48-43f2-8ba4-63fd14edb325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7093719A</paraID>
      <start>0</start>
      <end>2</end>
      <status>unmodified</status>
      <modifiedWord/>
      <trackRevisions>false</trackRevisions>
    </reviewItem>
    <reviewItem>
      <errorID>4fd0f6c4-80dc-4440-9f76-933069061b21</errorID>
      <errorWord>~</errorWord>
      <group>L1_Format</group>
      <groupName>格式问题</groupName>
      <ability>L2_HalfPunc_CN</ability>
      <abilityName/>
      <candidateList>
        <item>～</item>
      </candidateList>
      <explain>文本全半角错误。</explain>
      <paraID> E3D8A62</paraID>
      <start>51</start>
      <end>52</end>
      <status>unmodified</status>
      <modifiedWord/>
      <trackRevisions>false</trackRevisions>
    </reviewItem>
    <reviewItem>
      <errorID>ac38dc8d-6828-4410-bf8f-92231eb92842</errorID>
      <errorWord>无其它</errorWord>
      <group>L1_Word</group>
      <groupName>字词问题</groupName>
      <ability>L2_Alias</ability>
      <abilityName>也作/曾用词</abilityName>
      <candidateList>
        <item>无其他</item>
      </candidateList>
      <explain>词汇[无其它]为不规范表述或旧称，其规范书面表述为[无其他]。</explain>
      <paraID>42794939</paraID>
      <start>15</start>
      <end>18</end>
      <status>modified</status>
      <modifiedWord>无其他</modifiedWord>
      <trackRevisions>false</trackRevisions>
    </reviewItem>
    <reviewItem>
      <errorID>29079d1e-7cbf-45de-a9d6-1d2a0b980b63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52564D73</paraID>
      <start>3</start>
      <end>4</end>
      <status>modified</status>
      <modifiedWord>地</modifiedWord>
      <trackRevisions>false</trackRevisions>
    </reviewItem>
    <reviewItem>
      <errorID>7ce636f4-5e0a-4bb3-9706-f6a35ad8bac7</errorID>
      <errorWord>距</errorWord>
      <group>L1_Word</group>
      <groupName>字词问题</groupName>
      <ability>L2_Typo</ability>
      <abilityName>字词错误</abilityName>
      <candidateList>
        <item>距离</item>
      </candidateList>
      <explain>❶〈动〉在空间或时间上相隔：天津～北京约有一百二十公里｜现在～唐代已经有一千多年。❷〈名〉相隔的长度：等～｜拉开一定的～◇他的看法和你有～。</explain>
      <paraID> 7B6B82A</paraID>
      <start>37</start>
      <end>39</end>
      <status>modified</status>
      <modifiedWord>距离</modifiedWord>
      <trackRevisions>false</trackRevisions>
    </reviewItem>
    <reviewItem>
      <errorID>89db18e8-d973-440a-a61a-fed5124f74e3</errorID>
      <errorWord>见</errorWord>
      <group>L1_Word</group>
      <groupName>字词问题</groupName>
      <ability>L2_Typo</ability>
      <abilityName>字词错误</abilityName>
      <candidateList>
        <item>见下</item>
      </candidateList>
      <explain/>
      <paraID>5F0A0340</paraID>
      <start>7</start>
      <end>8</end>
      <status>unmodified</status>
      <modifiedWord/>
      <trackRevisions>false</trackRevisions>
    </reviewItem>
    <reviewItem>
      <errorID>771d8822-3f79-410d-9fd6-b82b5f349eaa</errorID>
      <errorWord>：</errorWord>
      <group>L1_Format</group>
      <groupName>格式问题</groupName>
      <ability>L2_HalfPunc_CN</ability>
      <abilityName/>
      <candidateList>
        <item>:</item>
      </candidateList>
      <explain>文本全半角错误。</explain>
      <paraID>449A73CF</paraID>
      <start>123</start>
      <end>124</end>
      <status>unmodified</status>
      <modifiedWord/>
      <trackRevisions>false</trackRevisions>
    </reviewItem>
    <reviewItem>
      <errorID>845cb4ea-2f31-4c3c-ab65-f227325f793c</errorID>
      <errorWord>：</errorWord>
      <group>L1_Format</group>
      <groupName>格式问题</groupName>
      <ability>L2_HalfPunc_CN</ability>
      <abilityName/>
      <candidateList>
        <item>:</item>
      </candidateList>
      <explain>文本全半角错误。</explain>
      <paraID>449A73CF</paraID>
      <start>274</start>
      <end>275</end>
      <status>unmodified</status>
      <modifiedWord/>
      <trackRevisions>false</trackRevisions>
    </reviewItem>
    <reviewItem>
      <errorID>700a0daf-9f4b-41fd-a709-1b4f6104a63f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449A73CF</paraID>
      <start>353</start>
      <end>354</end>
      <status>unmodified</status>
      <modifiedWord/>
      <trackRevisions>false</trackRevisions>
    </reviewItem>
    <reviewItem>
      <errorID>fa5afd48-64b1-47f5-b001-1a72dfd5571e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6F82D891</paraID>
      <start>139</start>
      <end>140</end>
      <status>unmodified</status>
      <modifiedWord/>
      <trackRevisions>false</trackRevisions>
    </reviewItem>
    <reviewItem>
      <errorID>5aec315d-a651-479d-a52a-cc946ecc0bef</errorID>
      <errorWord>：</errorWord>
      <group>L1_Format</group>
      <groupName>格式问题</groupName>
      <ability>L2_HalfPunc_CN</ability>
      <abilityName/>
      <candidateList>
        <item>:</item>
      </candidateList>
      <explain>文本全半角错误。</explain>
      <paraID>12B50DEC</paraID>
      <start>110</start>
      <end>111</end>
      <status>unmodified</status>
      <modifiedWord/>
      <trackRevisions>false</trackRevisions>
    </reviewItem>
    <reviewItem>
      <errorID>e823fb94-d373-47f3-bb72-e35ebd09df00</errorID>
      <errorWord>皮带称</errorWord>
      <group>L1_Word</group>
      <groupName>字词问题</groupName>
      <ability>L2_Typo</ability>
      <abilityName>字词错误</abilityName>
      <candidateList>
        <item>皮带秤</item>
      </candidateList>
      <explain/>
      <paraID>14D20F13</paraID>
      <start>2</start>
      <end>5</end>
      <status>modified</status>
      <modifiedWord>皮带秤</modifiedWord>
      <trackRevisions>false</trackRevisions>
    </reviewItem>
    <reviewItem>
      <errorID>86dcb379-9dda-4b2c-9ba5-e81383b03fd5</errorID>
      <errorWord>皮带称</errorWord>
      <group>L1_Word</group>
      <groupName>字词问题</groupName>
      <ability>L2_Typo</ability>
      <abilityName>字词错误</abilityName>
      <candidateList>
        <item>皮带秤</item>
      </candidateList>
      <explain/>
      <paraID>326CEFD5</paraID>
      <start>2</start>
      <end>5</end>
      <status>modified</status>
      <modifiedWord>皮带秤</modifiedWord>
      <trackRevisions>false</trackRevisions>
    </reviewItem>
    <reviewItem>
      <errorID>ab95f44c-5afe-4aa1-b888-6b997e21b447</errorID>
      <errorWord>-</errorWord>
      <group>L1_Format</group>
      <groupName>格式问题</groupName>
      <ability>L2_HalfPunc_CN</ability>
      <abilityName/>
      <candidateList>
        <item>－</item>
      </candidateList>
      <explain>文本全半角错误。</explain>
      <paraID>78A965D2</paraID>
      <start>16</start>
      <end>17</end>
      <status>unmodified</status>
      <modifiedWord/>
      <trackRevisions>false</trackRevisions>
    </reviewItem>
    <reviewItem>
      <errorID>da0f3f1c-2166-4482-a084-d3484ba216a0</errorID>
      <errorWord>-</errorWord>
      <group>L1_Format</group>
      <groupName>格式问题</groupName>
      <ability>L2_HalfPunc_CN</ability>
      <abilityName/>
      <candidateList>
        <item>－</item>
      </candidateList>
      <explain>文本全半角错误。</explain>
      <paraID>4C279E64</paraID>
      <start>23</start>
      <end>24</end>
      <status>unmodified</status>
      <modifiedWord/>
      <trackRevisions>false</trackRevisions>
    </reviewItem>
    <reviewItem>
      <errorID>21118c2b-7e85-4351-af05-10b6fc96c257</errorID>
      <errorWord>,</errorWord>
      <group>L1_Format</group>
      <groupName>格式问题</groupName>
      <ability>L2_HalfPunc_CN</ability>
      <abilityName/>
      <candidateList>
        <item>，</item>
      </candidateList>
      <explain>文本全半角错误。</explain>
      <paraID>4C279E64</paraID>
      <start>75</start>
      <end>76</end>
      <status>unmodified</status>
      <modifiedWord/>
      <trackRevisions>false</trackRevisions>
    </reviewItem>
    <reviewItem>
      <errorID>b86cfe80-1ba7-408e-a2f5-3199330d10b8</errorID>
      <errorWord>-</errorWord>
      <group>L1_Format</group>
      <groupName>格式问题</groupName>
      <ability>L2_HalfPunc_CN</ability>
      <abilityName/>
      <candidateList>
        <item>－</item>
      </candidateList>
      <explain>文本全半角错误。</explain>
      <paraID>7A7B17A2</paraID>
      <start>33</start>
      <end>34</end>
      <status>unmodified</status>
      <modifiedWord/>
      <trackRevisions>false</trackRevisions>
    </reviewItem>
    <reviewItem>
      <errorID>fbdf3130-cbfd-4947-a709-cdeeac8255f1</errorID>
      <errorWord>-</errorWord>
      <group>L1_Format</group>
      <groupName>格式问题</groupName>
      <ability>L2_HalfPunc_CN</ability>
      <abilityName/>
      <candidateList>
        <item>－</item>
      </candidateList>
      <explain>文本全半角错误。</explain>
      <paraID>7A7B17A2</paraID>
      <start>38</start>
      <end>39</end>
      <status>unmodified</status>
      <modifiedWord/>
      <trackRevisions>false</trackRevisions>
    </reviewItem>
    <reviewItem>
      <errorID>33ea2b36-bff8-4a95-85c5-10a6b08a02a6</errorID>
      <errorWord>-</errorWord>
      <group>L1_Format</group>
      <groupName>格式问题</groupName>
      <ability>L2_HalfPunc_CN</ability>
      <abilityName/>
      <candidateList>
        <item>－</item>
      </candidateList>
      <explain>文本全半角错误。</explain>
      <paraID> 8653419</paraID>
      <start>3</start>
      <end>4</end>
      <status>unmodified</status>
      <modifiedWord/>
      <trackRevisions>false</trackRevisions>
    </reviewItem>
    <reviewItem>
      <errorID>90e2898c-6c24-4d31-b139-ea0b7039afc3</errorID>
      <errorWord>-</errorWord>
      <group>L1_Format</group>
      <groupName>格式问题</groupName>
      <ability>L2_HalfPunc_CN</ability>
      <abilityName/>
      <candidateList>
        <item>－</item>
      </candidateList>
      <explain>文本全半角错误。</explain>
      <paraID> 8653419</paraID>
      <start>27</start>
      <end>28</end>
      <status>unmodified</status>
      <modifiedWord/>
      <trackRevisions>false</trackRevisions>
    </reviewItem>
    <reviewItem>
      <errorID>f735111f-2f4a-4a4d-b7ae-b3b528fc8982</errorID>
      <errorWord>：</errorWord>
      <group>L1_Format</group>
      <groupName>格式问题</groupName>
      <ability>L2_HalfPunc_CN</ability>
      <abilityName/>
      <candidateList>
        <item>:</item>
      </candidateList>
      <explain>文本全半角错误。</explain>
      <paraID>574A18A3</paraID>
      <start>196</start>
      <end>197</end>
      <status>unmodified</status>
      <modifiedWord/>
      <trackRevisions>false</trackRevisions>
    </reviewItem>
    <reviewItem>
      <errorID>f5eb2d3e-4da1-4d7a-84f6-2e0d0bfc0837</errorID>
      <errorWord>：</errorWord>
      <group>L1_Format</group>
      <groupName>格式问题</groupName>
      <ability>L2_HalfPunc_CN</ability>
      <abilityName/>
      <candidateList>
        <item>:</item>
      </candidateList>
      <explain>文本全半角错误。</explain>
      <paraID> 826A836</paraID>
      <start>148</start>
      <end>149</end>
      <status>unmodified</status>
      <modifiedWord/>
      <trackRevisions>false</trackRevisions>
    </reviewItem>
    <reviewItem>
      <errorID>8ea8d958-d2dd-4d1d-a457-f7f3cd6b44e9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1C0C42E4</paraID>
      <start>106</start>
      <end>107</end>
      <status>unmodified</status>
      <modifiedWord/>
      <trackRevisions>false</trackRevisions>
    </reviewItem>
    <reviewItem>
      <errorID>79f7a1a2-e0ff-4d60-9dea-78a2c16e39b0</errorID>
      <errorWord>-</errorWord>
      <group>L1_Format</group>
      <groupName>格式问题</groupName>
      <ability>L2_HalfPunc_CN</ability>
      <abilityName/>
      <candidateList>
        <item>－</item>
      </candidateList>
      <explain>文本全半角错误。</explain>
      <paraID>5CC3E780</paraID>
      <start>21</start>
      <end>22</end>
      <status>unmodified</status>
      <modifiedWord/>
      <trackRevisions>false</trackRevisions>
    </reviewItem>
    <reviewItem>
      <errorID>d2f8cfdd-15f2-4d34-8b89-0c5e9434f8e0</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10EAB0AC</paraID>
      <start>63</start>
      <end>65</end>
      <status>modified</status>
      <modifiedWord>配备</modifiedWord>
      <trackRevisions>false</trackRevisions>
    </reviewItem>
    <reviewItem>
      <errorID>97f853ba-6c69-4807-9d2e-0ca8a16bbe9f</errorID>
      <errorWord>超高</errorWord>
      <group>L1_Word</group>
      <groupName>字词问题</groupName>
      <ability>L2_Typo</ability>
      <abilityName>字词错误</abilityName>
      <candidateList>
        <item>超过</item>
      </candidateList>
      <explain/>
      <paraID>4122C8DE</paraID>
      <start>26</start>
      <end>28</end>
      <status>modified</status>
      <modifiedWord>超过</modifiedWord>
      <trackRevisions>false</trackRevisions>
    </reviewItem>
    <reviewItem>
      <errorID>4d1cbbf9-b286-40af-b7eb-bf8aabdbd789</errorID>
      <errorWord>每日内</errorWord>
      <group>L1_Word</group>
      <groupName>字词问题</groupName>
      <ability>L2_Typo</ability>
      <abilityName>字词错误</abilityName>
      <candidateList>
        <item>每日</item>
      </candidateList>
      <explain/>
      <paraID>6D01F94D</paraID>
      <start>70</start>
      <end>72</end>
      <status>modified</status>
      <modifiedWord>每日</modifiedWord>
      <trackRevisions>false</trackRevisions>
    </reviewItem>
    <reviewItem>
      <errorID>98ccecb7-84ba-46ff-b44c-92d8a6a2e77f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31343CF7</paraID>
      <start>28</start>
      <end>29</end>
      <status>unmodified</status>
      <modifiedWord/>
      <trackRevisions>false</trackRevisions>
    </reviewItem>
    <reviewItem>
      <errorID>8c12437f-dd4f-4fef-98d8-c38f57543da6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31343CF7</paraID>
      <start>72</start>
      <end>73</end>
      <status>unmodified</status>
      <modifiedWord/>
      <trackRevisions>false</trackRevisions>
    </reviewItem>
    <reviewItem>
      <errorID>f271f941-3549-45ba-80aa-51798143831a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31343CF7</paraID>
      <start>93</start>
      <end>94</end>
      <status>unmodified</status>
      <modifiedWord/>
      <trackRevisions>false</trackRevisions>
    </reviewItem>
    <reviewItem>
      <errorID>7c2bc723-04c0-474c-b105-dd0f9d31e116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FEF823C</paraID>
      <start>59</start>
      <end>60</end>
      <status>unmodified</status>
      <modifiedWord/>
      <trackRevisions>false</trackRevisions>
    </reviewItem>
    <reviewItem>
      <errorID>02719985-734b-4d19-9e11-417e09711b41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FEF823C</paraID>
      <start>177</start>
      <end>178</end>
      <status>unmodified</status>
      <modifiedWord/>
      <trackRevisions>false</trackRevisions>
    </reviewItem>
    <reviewItem>
      <errorID>ac026285-8c67-409f-8e70-2c724c52b109</errorID>
      <errorWord>万</errorWord>
      <group>L1_Word</group>
      <groupName>字词问题</groupName>
      <ability>L2_Typo</ability>
      <abilityName>字词错误</abilityName>
      <candidateList>
        <item>万吨</item>
      </candidateList>
      <explain/>
      <paraID>1C89EBD9</paraID>
      <start>38</start>
      <end>40</end>
      <status>modified</status>
      <modifiedWord>万吨</modifiedWord>
      <trackRevisions>false</trackRevisions>
    </reviewItem>
    <reviewItem>
      <errorID>6260bfa8-7334-491c-91f2-33a4d54cd531</errorID>
      <errorWord>石</errorWord>
      <group>L1_Word</group>
      <groupName>字词问题</groupName>
      <ability>L2_Typo</ability>
      <abilityName>字词错误</abilityName>
      <candidateList>
        <item>石作</item>
      </candidateList>
      <explain/>
      <paraID>2842B374</paraID>
      <start>272</start>
      <end>274</end>
      <status>modified</status>
      <modifiedWord>石作</modifiedWord>
      <trackRevisions>false</trackRevisions>
    </reviewItem>
    <reviewItem>
      <errorID>b8e2b4b4-b3c2-4cdf-8cc2-336ffe253f43</errorID>
      <errorWord>~</errorWord>
      <group>L1_Format</group>
      <groupName>格式问题</groupName>
      <ability>L2_HalfPunc_CN</ability>
      <abilityName/>
      <candidateList>
        <item>～</item>
      </candidateList>
      <explain>文本全半角错误。</explain>
      <paraID>37C847B1</paraID>
      <start>139</start>
      <end>140</end>
      <status>unmodified</status>
      <modifiedWord/>
      <trackRevisions>false</trackRevisions>
    </reviewItem>
    <reviewItem>
      <errorID>65b84a38-1e55-46c7-b180-783c4bc19c64</errorID>
      <errorWord>厂下</errorWord>
      <group>L1_Word</group>
      <groupName>字词问题</groupName>
      <ability>L2_Typo</ability>
      <abilityName>字词错误</abilityName>
      <candidateList>
        <item>场下</item>
      </candidateList>
      <explain/>
      <paraID>4AD24FC4</paraID>
      <start>16</start>
      <end>18</end>
      <status>unmodified</status>
      <modifiedWord/>
      <trackRevisions>false</trackRevisions>
    </reviewItem>
    <reviewItem>
      <errorID>043a96af-5a29-4a08-8207-57276cd338bc</errorID>
      <errorWord>：</errorWord>
      <group>L1_Format</group>
      <groupName>格式问题</groupName>
      <ability>L2_HalfPunc_CN</ability>
      <abilityName/>
      <candidateList>
        <item>:</item>
      </candidateList>
      <explain>文本全半角错误。</explain>
      <paraID>53CCB9B8</paraID>
      <start>279</start>
      <end>280</end>
      <status>unmodified</status>
      <modifiedWord/>
      <trackRevisions>false</trackRevisions>
    </reviewItem>
    <reviewItem>
      <errorID>b139102c-7e08-425e-85c5-be2975632281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2037473B</paraID>
      <start>0</start>
      <end>2</end>
      <status>unmodified</status>
      <modifiedWord/>
      <trackRevisions>false</trackRevisions>
    </reviewItem>
    <reviewItem>
      <errorID>fce1a2c0-2895-436a-9a2e-6cccad4d2ee8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551B3D99</paraID>
      <start>0</start>
      <end>2</end>
      <status>unmodified</status>
      <modifiedWord/>
      <trackRevisions>false</trackRevisions>
    </reviewItem>
    <reviewItem>
      <errorID>0f83435d-d5a6-469b-94ab-77541b1a607b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7C5E928B</paraID>
      <start>0</start>
      <end>2</end>
      <status>unmodified</status>
      <modifiedWord/>
      <trackRevisions>false</trackRevisions>
    </reviewItem>
    <reviewItem>
      <errorID>a2806816-1a51-4aa5-855f-d45cca7a9483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31D8B216</paraID>
      <start>0</start>
      <end>2</end>
      <status>unmodified</status>
      <modifiedWord/>
      <trackRevisions>false</trackRevisions>
    </reviewItem>
    <reviewItem>
      <errorID>9cae8cf3-b8fd-4a75-af67-677e4561514d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44347CCD</paraID>
      <start>0</start>
      <end>2</end>
      <status>unmodified</status>
      <modifiedWord/>
      <trackRevisions>false</trackRevisions>
    </reviewItem>
    <reviewItem>
      <errorID>07491d24-b7ed-45aa-99da-c63a16a92871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73E906BE</paraID>
      <start>0</start>
      <end>2</end>
      <status>unmodified</status>
      <modifiedWord/>
      <trackRevisions>false</trackRevisions>
    </reviewItem>
    <reviewItem>
      <errorID>d66c0ca9-97f4-4b0d-b8d3-21f3fc36a3a4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41CF2E4E</paraID>
      <start>0</start>
      <end>2</end>
      <status>unmodified</status>
      <modifiedWord/>
      <trackRevisions>false</trackRevisions>
    </reviewItem>
    <reviewItem>
      <errorID>8aa7a6d0-c4ac-4033-b44d-c9e0255b22cb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709692B0</paraID>
      <start>0</start>
      <end>2</end>
      <status>unmodified</status>
      <modifiedWord/>
      <trackRevisions>false</trackRevisions>
    </reviewItem>
    <reviewItem>
      <errorID>fc60d7d2-4fb6-450a-9301-a96bdb2d1e37</errorID>
      <errorWord>进</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43C30004</paraID>
      <start>103</start>
      <end>104</end>
      <status>unmodified</status>
      <modifiedWord/>
      <trackRevisions>false</trackRevisions>
    </reviewItem>
    <reviewItem>
      <errorID>19e51d74-e8aa-4204-9f89-552c215736d8</errorID>
      <errorWord>存在于</errorWord>
      <group>L1_Word</group>
      <groupName>字词问题</groupName>
      <ability>L2_Typo</ability>
      <abilityName>字词错误</abilityName>
      <candidateList>
        <item>存在</item>
      </candidateList>
      <explain/>
      <paraID>6A7D5DAB</paraID>
      <start>42</start>
      <end>44</end>
      <status>modified</status>
      <modifiedWord>存在</modifiedWord>
      <trackRevisions>false</trackRevisions>
    </reviewItem>
    <reviewItem>
      <errorID>0f9558f0-a22f-4faf-a1ae-7ede1b9d5e3f</errorID>
      <errorWord>、以及</errorWord>
      <group>L1_Punc</group>
      <groupName>标点问题</groupName>
      <ability>L2_Punc_CN</ability>
      <abilityName/>
      <candidateList>
        <item>，以及</item>
      </candidateList>
      <explain>连接词前后不宜使用顿号，建议使用逗号。</explain>
      <paraID>4B4A56AC</paraID>
      <start>86</start>
      <end>89</end>
      <status>modified</status>
      <modifiedWord>，以及</modifiedWord>
      <trackRevisions>false</trackRevisions>
    </reviewItem>
    <reviewItem>
      <errorID>0c2eb0c1-5eb3-4776-ac44-35ec30b9490b</errorID>
      <errorWord>～</errorWord>
      <group>L1_Format</group>
      <groupName>格式问题</groupName>
      <ability>L2_HalfPunc_CN</ability>
      <abilityName/>
      <candidateList>
        <item>~</item>
      </candidateList>
      <explain>文本全半角错误。</explain>
      <paraID>60445C54</paraID>
      <start>2</start>
      <end>3</end>
      <status>unmodified</status>
      <modifiedWord/>
      <trackRevisions>false</trackRevisions>
    </reviewItem>
    <reviewItem>
      <errorID>282afd53-b6a8-4d38-9f5f-5dd864341549</errorID>
      <errorWord>～</errorWord>
      <group>L1_Format</group>
      <groupName>格式问题</groupName>
      <ability>L2_HalfPunc_CN</ability>
      <abilityName/>
      <candidateList>
        <item>~</item>
      </candidateList>
      <explain>文本全半角错误。</explain>
      <paraID>4CE35BBA</paraID>
      <start>2</start>
      <end>3</end>
      <status>unmodified</status>
      <modifiedWord/>
      <trackRevisions>false</trackRevisions>
    </reviewItem>
    <reviewItem>
      <errorID>ed43bf05-dfaf-4e97-9895-514a90ac66da</errorID>
      <errorWord>～</errorWord>
      <group>L1_Format</group>
      <groupName>格式问题</groupName>
      <ability>L2_HalfPunc_CN</ability>
      <abilityName/>
      <candidateList>
        <item>~</item>
      </candidateList>
      <explain>文本全半角错误。</explain>
      <paraID>3404EDEA</paraID>
      <start>2</start>
      <end>3</end>
      <status>unmodified</status>
      <modifiedWord/>
      <trackRevisions>false</trackRevisions>
    </reviewItem>
    <reviewItem>
      <errorID>d5077789-f439-4f38-b119-249dd64005ee</errorID>
      <errorWord>～</errorWord>
      <group>L1_Format</group>
      <groupName>格式问题</groupName>
      <ability>L2_HalfPunc_CN</ability>
      <abilityName/>
      <candidateList>
        <item>~</item>
      </candidateList>
      <explain>文本全半角错误。</explain>
      <paraID>6447F5C4</paraID>
      <start>3</start>
      <end>4</end>
      <status>unmodified</status>
      <modifiedWord/>
      <trackRevisions>false</trackRevisions>
    </reviewItem>
    <reviewItem>
      <errorID>2c2a07e9-e5af-4cf5-8b81-abd6e73e1d92</errorID>
      <errorWord>～</errorWord>
      <group>L1_Format</group>
      <groupName>格式问题</groupName>
      <ability>L2_HalfPunc_CN</ability>
      <abilityName/>
      <candidateList>
        <item>~</item>
      </candidateList>
      <explain>文本全半角错误。</explain>
      <paraID>111EAC8E</paraID>
      <start>3</start>
      <end>4</end>
      <status>unmodified</status>
      <modifiedWord/>
      <trackRevisions>false</trackRevisions>
    </reviewItem>
    <reviewItem>
      <errorID>8eeb89ba-5ad7-46ac-95ef-c7cf8b46bce0</errorID>
      <errorWord>～</errorWord>
      <group>L1_Format</group>
      <groupName>格式问题</groupName>
      <ability>L2_HalfPunc_CN</ability>
      <abilityName/>
      <candidateList>
        <item>~</item>
      </candidateList>
      <explain>文本全半角错误。</explain>
      <paraID>25348357</paraID>
      <start>2</start>
      <end>3</end>
      <status>unmodified</status>
      <modifiedWord/>
      <trackRevisions>false</trackRevisions>
    </reviewItem>
    <reviewItem>
      <errorID>f69068a1-f2c0-4936-970f-77e75f544e1e</errorID>
      <errorWord>～</errorWord>
      <group>L1_Format</group>
      <groupName>格式问题</groupName>
      <ability>L2_HalfPunc_CN</ability>
      <abilityName/>
      <candidateList>
        <item>~</item>
      </candidateList>
      <explain>文本全半角错误。</explain>
      <paraID>18513B42</paraID>
      <start>2</start>
      <end>3</end>
      <status>unmodified</status>
      <modifiedWord/>
      <trackRevisions>false</trackRevisions>
    </reviewItem>
    <reviewItem>
      <errorID>637a7b62-9a2e-4816-93c2-7bc5c8d08044</errorID>
      <errorWord>～</errorWord>
      <group>L1_Format</group>
      <groupName>格式问题</groupName>
      <ability>L2_HalfPunc_CN</ability>
      <abilityName/>
      <candidateList>
        <item>~</item>
      </candidateList>
      <explain>文本全半角错误。</explain>
      <paraID>660FD35F</paraID>
      <start>3</start>
      <end>4</end>
      <status>unmodified</status>
      <modifiedWord/>
      <trackRevisions>false</trackRevisions>
    </reviewItem>
    <reviewItem>
      <errorID>f4f8368e-f848-4cfb-b208-88e890b3455b</errorID>
      <errorWord>～</errorWord>
      <group>L1_Format</group>
      <groupName>格式问题</groupName>
      <ability>L2_HalfPunc_CN</ability>
      <abilityName/>
      <candidateList>
        <item>~</item>
      </candidateList>
      <explain>文本全半角错误。</explain>
      <paraID> F38F44A</paraID>
      <start>3</start>
      <end>4</end>
      <status>unmodified</status>
      <modifiedWord/>
      <trackRevisions>false</trackRevisions>
    </reviewItem>
    <reviewItem>
      <errorID>e98ca348-caf1-4035-ba58-144bb2e5afdc</errorID>
      <errorWord>～</errorWord>
      <group>L1_Format</group>
      <groupName>格式问题</groupName>
      <ability>L2_HalfPunc_CN</ability>
      <abilityName/>
      <candidateList>
        <item>~</item>
      </candidateList>
      <explain>文本全半角错误。</explain>
      <paraID>1113A1B7</paraID>
      <start>3</start>
      <end>4</end>
      <status>unmodified</status>
      <modifiedWord/>
      <trackRevisions>false</trackRevisions>
    </reviewItem>
    <reviewItem>
      <errorID>456bbf45-33c5-4dc5-9c33-45576baee256</errorID>
      <errorWord>～</errorWord>
      <group>L1_Format</group>
      <groupName>格式问题</groupName>
      <ability>L2_HalfPunc_CN</ability>
      <abilityName/>
      <candidateList>
        <item>~</item>
      </candidateList>
      <explain>文本全半角错误。</explain>
      <paraID> 2FEBD71</paraID>
      <start>2</start>
      <end>3</end>
      <status>unmodified</status>
      <modifiedWord/>
      <trackRevisions>false</trackRevisions>
    </reviewItem>
    <reviewItem>
      <errorID>a65d6432-a155-4f68-9994-a6b841e6df9b</errorID>
      <errorWord>～</errorWord>
      <group>L1_Format</group>
      <groupName>格式问题</groupName>
      <ability>L2_HalfPunc_CN</ability>
      <abilityName/>
      <candidateList>
        <item>~</item>
      </candidateList>
      <explain>文本全半角错误。</explain>
      <paraID>51760BDE</paraID>
      <start>3</start>
      <end>4</end>
      <status>unmodified</status>
      <modifiedWord/>
      <trackRevisions>false</trackRevisions>
    </reviewItem>
    <reviewItem>
      <errorID>64aba271-05d4-4809-8d22-73287f1d412b</errorID>
      <errorWord>～</errorWord>
      <group>L1_Format</group>
      <groupName>格式问题</groupName>
      <ability>L2_HalfPunc_CN</ability>
      <abilityName/>
      <candidateList>
        <item>~</item>
      </candidateList>
      <explain>文本全半角错误。</explain>
      <paraID>34CA490B</paraID>
      <start>2</start>
      <end>3</end>
      <status>unmodified</status>
      <modifiedWord/>
      <trackRevisions>false</trackRevisions>
    </reviewItem>
    <reviewItem>
      <errorID>1c7ffd32-ceab-4467-a716-de0cfd5eeb84</errorID>
      <errorWord>～</errorWord>
      <group>L1_Format</group>
      <groupName>格式问题</groupName>
      <ability>L2_HalfPunc_CN</ability>
      <abilityName/>
      <candidateList>
        <item>~</item>
      </candidateList>
      <explain>文本全半角错误。</explain>
      <paraID>1FF3552A</paraID>
      <start>2</start>
      <end>3</end>
      <status>unmodified</status>
      <modifiedWord/>
      <trackRevisions>false</trackRevisions>
    </reviewItem>
    <reviewItem>
      <errorID>017d8c10-aed1-4367-87f8-6b2bedaa650b</errorID>
      <errorWord>～</errorWord>
      <group>L1_Format</group>
      <groupName>格式问题</groupName>
      <ability>L2_HalfPunc_CN</ability>
      <abilityName/>
      <candidateList>
        <item>~</item>
      </candidateList>
      <explain>文本全半角错误。</explain>
      <paraID> 5C70425</paraID>
      <start>2</start>
      <end>3</end>
      <status>unmodified</status>
      <modifiedWord/>
      <trackRevisions>false</trackRevisions>
    </reviewItem>
    <reviewItem>
      <errorID>5d98b16a-3f2b-47b7-b18e-defd0f14771e</errorID>
      <errorWord>-</errorWord>
      <group>L1_Format</group>
      <groupName>格式问题</groupName>
      <ability>L2_HalfPunc_CN</ability>
      <abilityName/>
      <candidateList>
        <item>－</item>
      </candidateList>
      <explain>文本全半角错误。</explain>
      <paraID>41F8650B</paraID>
      <start>8</start>
      <end>9</end>
      <status>unmodified</status>
      <modifiedWord/>
      <trackRevisions>false</trackRevisions>
    </reviewItem>
    <reviewItem>
      <errorID>c65d1020-f51c-4096-9963-e0be81849147</errorID>
      <errorWord>-</errorWord>
      <group>L1_Format</group>
      <groupName>格式问题</groupName>
      <ability>L2_HalfPunc_CN</ability>
      <abilityName/>
      <candidateList>
        <item>－</item>
      </candidateList>
      <explain>文本全半角错误。</explain>
      <paraID>41F8650B</paraID>
      <start>11</start>
      <end>12</end>
      <status>unmodified</status>
      <modifiedWord/>
      <trackRevisions>false</trackRevisions>
    </reviewItem>
    <reviewItem>
      <errorID>9f7b5861-e9a6-404e-8471-4e5b43df0d9a</errorID>
      <errorWord>程</errorWord>
      <group>L1_Word</group>
      <groupName>字词问题</groupName>
      <ability>L2_Typo</ability>
      <abilityName>字词错误</abilityName>
      <candidateList>
        <item>程中</item>
      </candidateList>
      <explain/>
      <paraID>41F8650B</paraID>
      <start>54</start>
      <end>55</end>
      <status>unmodified</status>
      <modifiedWord/>
      <trackRevisions>false</trackRevisions>
    </reviewItem>
    <reviewItem>
      <errorID>f7e1e5f0-8122-464b-ad82-4ed72bc37e1d</errorID>
      <errorWord>-</errorWord>
      <group>L1_Format</group>
      <groupName>格式问题</groupName>
      <ability>L2_HalfPunc_CN</ability>
      <abilityName/>
      <candidateList>
        <item>－</item>
      </candidateList>
      <explain>文本全半角错误。</explain>
      <paraID>41F8650B</paraID>
      <start>99</start>
      <end>100</end>
      <status>unmodified</status>
      <modifiedWord/>
      <trackRevisions>false</trackRevisions>
    </reviewItem>
    <reviewItem>
      <errorID>ddc32751-271c-4140-bef8-d78f606aac9d</errorID>
      <errorWord>-</errorWord>
      <group>L1_Format</group>
      <groupName>格式问题</groupName>
      <ability>L2_HalfPunc_CN</ability>
      <abilityName/>
      <candidateList>
        <item>－</item>
      </candidateList>
      <explain>文本全半角错误。</explain>
      <paraID>41F8650B</paraID>
      <start>117</start>
      <end>118</end>
      <status>unmodified</status>
      <modifiedWord/>
      <trackRevisions>false</trackRevisions>
    </reviewItem>
    <reviewItem>
      <errorID>5b606908-a51d-4c38-80a7-04d947b60cc4</errorID>
      <errorWord>-</errorWord>
      <group>L1_Format</group>
      <groupName>格式问题</groupName>
      <ability>L2_HalfPunc_CN</ability>
      <abilityName/>
      <candidateList>
        <item>－</item>
      </candidateList>
      <explain>文本全半角错误。</explain>
      <paraID>41F8650B</paraID>
      <start>140</start>
      <end>141</end>
      <status>unmodified</status>
      <modifiedWord/>
      <trackRevisions>false</trackRevisions>
    </reviewItem>
    <reviewItem>
      <errorID>2a3af038-d8ee-4c86-af98-fdce93a09866</errorID>
      <errorWord>-</errorWord>
      <group>L1_Format</group>
      <groupName>格式问题</groupName>
      <ability>L2_HalfPunc_CN</ability>
      <abilityName/>
      <candidateList>
        <item>－</item>
      </candidateList>
      <explain>文本全半角错误。</explain>
      <paraID>41F8650B</paraID>
      <start>143</start>
      <end>144</end>
      <status>unmodified</status>
      <modifiedWord/>
      <trackRevisions>false</trackRevisions>
    </reviewItem>
    <reviewItem>
      <errorID>103563c6-18a1-4afc-97c3-2583644c2d77</errorID>
      <errorWord>-</errorWord>
      <group>L1_Format</group>
      <groupName>格式问题</groupName>
      <ability>L2_HalfPunc_CN</ability>
      <abilityName/>
      <candidateList>
        <item>－</item>
      </candidateList>
      <explain>文本全半角错误。</explain>
      <paraID>41F8650B</paraID>
      <start>146</start>
      <end>147</end>
      <status>unmodified</status>
      <modifiedWord/>
      <trackRevisions>false</trackRevisions>
    </reviewItem>
    <reviewItem>
      <errorID>48a84843-6609-488f-8e3b-a1eb6c654c4c</errorID>
      <errorWord>-</errorWord>
      <group>L1_Format</group>
      <groupName>格式问题</groupName>
      <ability>L2_HalfPunc_CN</ability>
      <abilityName/>
      <candidateList>
        <item>－</item>
      </candidateList>
      <explain>文本全半角错误。</explain>
      <paraID>41F8650B</paraID>
      <start>149</start>
      <end>150</end>
      <status>unmodified</status>
      <modifiedWord/>
      <trackRevisions>false</trackRevisions>
    </reviewItem>
    <reviewItem>
      <errorID>d14d9ec3-6ecb-4a75-bc93-90faeef4a143</errorID>
      <errorWord>-</errorWord>
      <group>L1_Format</group>
      <groupName>格式问题</groupName>
      <ability>L2_HalfPunc_CN</ability>
      <abilityName/>
      <candidateList>
        <item>－</item>
      </candidateList>
      <explain>文本全半角错误。</explain>
      <paraID> B900B0D</paraID>
      <start>5</start>
      <end>6</end>
      <status>unmodified</status>
      <modifiedWord/>
      <trackRevisions>false</trackRevisions>
    </reviewItem>
    <reviewItem>
      <errorID>aa300555-2e6c-4f74-9aa4-37de16f9cfb2</errorID>
      <errorWord>-</errorWord>
      <group>L1_Format</group>
      <groupName>格式问题</groupName>
      <ability>L2_HalfPunc_CN</ability>
      <abilityName/>
      <candidateList>
        <item>－</item>
      </candidateList>
      <explain>文本全半角错误。</explain>
      <paraID>7FDFA4F5</paraID>
      <start>6</start>
      <end>7</end>
      <status>unmodified</status>
      <modifiedWord/>
      <trackRevisions>false</trackRevisions>
    </reviewItem>
    <reviewItem>
      <errorID>d0c2a3bd-210f-4969-877c-ae7451b539ce</errorID>
      <errorWord>-</errorWord>
      <group>L1_Format</group>
      <groupName>格式问题</groupName>
      <ability>L2_HalfPunc_CN</ability>
      <abilityName/>
      <candidateList>
        <item>－</item>
      </candidateList>
      <explain>文本全半角错误。</explain>
      <paraID>5136D2FA</paraID>
      <start>62</start>
      <end>63</end>
      <status>unmodified</status>
      <modifiedWord/>
      <trackRevisions>false</trackRevisions>
    </reviewItem>
    <reviewItem>
      <errorID>def00f4f-2096-4c25-b0ad-b894f7fec6e5</errorID>
      <errorWord>：</errorWord>
      <group>L1_Format</group>
      <groupName>格式问题</groupName>
      <ability>L2_HalfPunc_CN</ability>
      <abilityName/>
      <candidateList>
        <item>:</item>
      </candidateList>
      <explain>文本全半角错误。</explain>
      <paraID>4C463574</paraID>
      <start>151</start>
      <end>152</end>
      <status>unmodified</status>
      <modifiedWord/>
      <trackRevisions>false</trackRevisions>
    </reviewItem>
    <reviewItem>
      <errorID>5c7fabe0-ab1e-4c55-8c9a-1ff008f19663</errorID>
      <errorWord>（</errorWord>
      <group>L1_Format</group>
      <groupName>格式问题</groupName>
      <ability>L2_HalfPunc_CN</ability>
      <abilityName/>
      <candidateList>
        <item>(</item>
      </candidateList>
      <explain>文本全半角错误。</explain>
      <paraID>723BAC5A</paraID>
      <start>2</start>
      <end>3</end>
      <status>unmodified</status>
      <modifiedWord/>
      <trackRevisions>false</trackRevisions>
    </reviewItem>
    <reviewItem>
      <errorID>edbe016d-5845-4b0a-85e1-76f5a1848c5a</errorID>
      <errorWord>）</errorWord>
      <group>L1_Format</group>
      <groupName>格式问题</groupName>
      <ability>L2_HalfPunc_CN</ability>
      <abilityName/>
      <candidateList>
        <item>)</item>
      </candidateList>
      <explain>文本全半角错误。</explain>
      <paraID>723BAC5A</paraID>
      <start>4</start>
      <end>5</end>
      <status>unmodified</status>
      <modifiedWord/>
      <trackRevisions>false</trackRevisions>
    </reviewItem>
    <reviewItem>
      <errorID>2da179c0-09b5-4694-8df3-7e8da62843de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4A583DAA</paraID>
      <start>215</start>
      <end>216</end>
      <status>unmodified</status>
      <modifiedWord/>
      <trackRevisions>false</trackRevisions>
    </reviewItem>
    <reviewItem>
      <errorID>d39108ab-5582-44cb-a1a0-5fd7c61729fc</errorID>
      <errorWord>交有</errorWord>
      <group>L1_Word</group>
      <groupName>字词问题</groupName>
      <ability>L2_Typo</ability>
      <abilityName>字词错误</abilityName>
      <candidateList>
        <item>交由</item>
      </candidateList>
      <explain/>
      <paraID>354C689D</paraID>
      <start>16</start>
      <end>18</end>
      <status>unmodified</status>
      <modifiedWord/>
      <trackRevisions>false</trackRevisions>
    </reviewItem>
    <reviewItem>
      <errorID>b068f749-8641-4110-a596-aaacd8aec65a</errorID>
      <errorWord>考虑到</errorWord>
      <group>L1_Word</group>
      <groupName>字词问题</groupName>
      <ability>L2_Typo</ability>
      <abilityName>字词错误</abilityName>
      <candidateList>
        <item>考虑</item>
      </candidateList>
      <explain/>
      <paraID>40036FC2</paraID>
      <start>45</start>
      <end>47</end>
      <status>modified</status>
      <modifiedWord>考虑</modifiedWord>
      <trackRevisions>false</trackRevisions>
    </reviewItem>
    <reviewItem>
      <errorID>cb41eeca-dbc4-4e50-8bbc-6a4ed6d4f470</errorID>
      <errorWord>才用</errorWord>
      <group>L1_Word</group>
      <groupName>字词问题</groupName>
      <ability>L2_Typo</ability>
      <abilityName>字词错误</abilityName>
      <candidateList>
        <item>采用</item>
      </candidateList>
      <explain>〈动〉认为合适而使用：～新工艺｜～举手表决方式｜那篇稿子已被编辑部～。</explain>
      <paraID>490EF160</paraID>
      <start>57</start>
      <end>59</end>
      <status>modified</status>
      <modifiedWord>采用</modifiedWord>
      <trackRevisions>false</trackRevisions>
    </reviewItem>
    <reviewItem>
      <errorID>35b304b9-848f-4acd-a45b-5e83a7f17b63</errorID>
      <errorWord>鄂</errorWord>
      <group>L1_Word</group>
      <groupName>字词问题</groupName>
      <ability>L2_Typo</ability>
      <abilityName>字词错误</abilityName>
      <candidateList>
        <item>颚</item>
      </candidateList>
      <explain>存在发音相同字词的误用。</explain>
      <paraID>4AB2171E</paraID>
      <start>11</start>
      <end>12</end>
      <status>modified</status>
      <modifiedWord>颚</modifiedWord>
      <trackRevisions>false</trackRevisions>
    </reviewItem>
    <reviewItem>
      <errorID>d7c549eb-980f-4ec7-827c-f576a00d993b</errorID>
      <errorWord>冲气</errorWord>
      <group>L1_Word</group>
      <groupName>字词问题</groupName>
      <ability>L2_Typo</ability>
      <abilityName>字词错误</abilityName>
      <candidateList>
        <item>充气</item>
      </candidateList>
      <explain>存在发音相同字词的误用。</explain>
      <paraID>434BCBBC</paraID>
      <start>46</start>
      <end>48</end>
      <status>unmodified</status>
      <modifiedWord/>
      <trackRevisions>false</trackRevisions>
    </reviewItem>
    <reviewItem>
      <errorID>20e3261a-2e92-410b-8851-bb474483e148</errorID>
      <errorWord>法律、法规</errorWord>
      <group>L1_Word</group>
      <groupName>字词问题</groupName>
      <ability>L2_Typo</ability>
      <abilityName>字词错误</abilityName>
      <candidateList>
        <item>法律法规</item>
      </candidateList>
      <explain/>
      <paraID>54F15247</paraID>
      <start>11</start>
      <end>15</end>
      <status>modified</status>
      <modifiedWord>法律法规</modifiedWord>
      <trackRevisions>false</trackRevisions>
    </reviewItem>
    <reviewItem>
      <errorID>55590cc4-30c3-4f51-b18a-fe15452445df</errorID>
      <errorWord>完善的</errorWord>
      <group>L1_Word</group>
      <groupName>字词问题</groupName>
      <ability>L2_Typo</ability>
      <abilityName>字词错误</abilityName>
      <candidateList>
        <item>完善</item>
      </candidateList>
      <explain>❶〈形〉完备美好：设备～。❷〈动〉使完善：～管理制度。</explain>
      <paraID>74F38F59</paraID>
      <start>3</start>
      <end>6</end>
      <status>unmodified</status>
      <modifiedWord/>
      <trackRevisions>false</trackRevisions>
    </reviewItem>
    <reviewItem>
      <errorID>b73aecfd-b1fe-4d84-b3a9-a46233576644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37ED668E</paraID>
      <start>0</start>
      <end>2</end>
      <status>unmodified</status>
      <modifiedWord/>
      <trackRevisions>false</trackRevisions>
    </reviewItem>
    <reviewItem>
      <errorID>2702bd32-35c8-4b7d-9359-4b9c3816e6c0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6BFB8FA2</paraID>
      <start>0</start>
      <end>2</end>
      <status>unmodified</status>
      <modifiedWord/>
      <trackRevisions>false</trackRevisions>
    </reviewItem>
    <reviewItem>
      <errorID>df80c8bc-8d3e-44bc-a2ff-aa0c0f18107e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72C7A386</paraID>
      <start>0</start>
      <end>2</end>
      <status>unmodified</status>
      <modifiedWord/>
      <trackRevisions>false</trackRevisions>
    </reviewItem>
    <reviewItem>
      <errorID>c5532a7b-46f3-49f2-884d-6ba1722688e6</errorID>
      <errorWord>（</errorWord>
      <group>L1_Punc</group>
      <groupName>标点问题</groupName>
      <ability>L2_Punc_CN</ability>
      <abilityName/>
      <candidateList/>
      <explain>此处标点可能未正确匹配，请检查句子中是否存在标点冗余、缺失或使用错误的情况。</explain>
      <paraID>45903169</paraID>
      <start>21</start>
      <end>22</end>
      <status>unmodified</status>
      <modifiedWord/>
      <trackRevisions>false</trackRevisions>
    </reviewItem>
    <reviewItem>
      <errorID>a5febd86-4f34-4b98-ab81-b67cfd2293ce</errorID>
      <errorWord>-</errorWord>
      <group>L1_Format</group>
      <groupName>格式问题</groupName>
      <ability>L2_HalfPunc_CN</ability>
      <abilityName/>
      <candidateList>
        <item>－</item>
      </candidateList>
      <explain>文本全半角错误。</explain>
      <paraID>237A8048</paraID>
      <start>3</start>
      <end>4</end>
      <status>unmodified</status>
      <modifiedWord/>
      <trackRevisions>false</trackRevisions>
    </reviewItem>
    <reviewItem>
      <errorID>8ab34f7c-4b5a-4eed-b2aa-7e30d967e00e</errorID>
      <errorWord>-</errorWord>
      <group>L1_Format</group>
      <groupName>格式问题</groupName>
      <ability>L2_HalfPunc_CN</ability>
      <abilityName/>
      <candidateList>
        <item>－</item>
      </candidateList>
      <explain>文本全半角错误。</explain>
      <paraID>237A8048</paraID>
      <start>8</start>
      <end>9</end>
      <status>unmodified</status>
      <modifiedWord/>
      <trackRevisions>false</trackRevisions>
    </reviewItem>
    <reviewItem>
      <errorID>c5bacddc-ee51-4bb2-9f30-aa7c3995d200</errorID>
      <errorWord>土峰</errorWord>
      <group>L1_Word</group>
      <groupName>字词问题</groupName>
      <ability>L2_Typo</ability>
      <abilityName>字词错误</abilityName>
      <candidateList>
        <item>主峰</item>
      </candidateList>
      <explain>存在字形相近字词的误用。</explain>
      <paraID>46888215</paraID>
      <start>121</start>
      <end>123</end>
      <status>modified</status>
      <modifiedWord>主峰</modifiedWord>
      <trackRevisions>false</trackRevisions>
    </reviewItem>
    <reviewItem>
      <errorID>e9b6a7fc-c9c6-4005-adba-392ede9c198d</errorID>
      <errorWord>海拔高度</errorWord>
      <group>L1_Word</group>
      <groupName>字词问题</groupName>
      <ability>L2_Typo</ability>
      <abilityName>字词错误</abilityName>
      <candidateList>
        <item>海拔</item>
      </candidateList>
      <explain>〈名〉从平均海平面起算的高度。</explain>
      <paraID>1E8CEBAF</paraID>
      <start>11</start>
      <end>13</end>
      <status>modified</status>
      <modifiedWord>海拔</modifiedWord>
      <trackRevisions>false</trackRevisions>
    </reviewItem>
    <reviewItem>
      <errorID>9d1ded1c-dd4f-43e1-ac82-76fcf62c077e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175DE89A</paraID>
      <start>134</start>
      <end>135</end>
      <status>unmodified</status>
      <modifiedWord/>
      <trackRevisions>false</trackRevisions>
    </reviewItem>
    <reviewItem>
      <errorID>7a0b4ea4-6606-4f58-826c-1f66fecc8857</errorID>
      <errorWord>-</errorWord>
      <group>L1_Format</group>
      <groupName>格式问题</groupName>
      <ability>L2_HalfPunc_CN</ability>
      <abilityName/>
      <candidateList>
        <item>－</item>
      </candidateList>
      <explain>文本全半角错误。</explain>
      <paraID>14E1DD37</paraID>
      <start>25</start>
      <end>26</end>
      <status>unmodified</status>
      <modifiedWord/>
      <trackRevisions>false</trackRevisions>
    </reviewItem>
    <reviewItem>
      <errorID>73f1c4b4-815b-4206-bd29-719de5fcad36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5AE7D026</paraID>
      <start>0</start>
      <end>2</end>
      <status>unmodified</status>
      <modifiedWord/>
      <trackRevisions>false</trackRevisions>
    </reviewItem>
    <reviewItem>
      <errorID>e073e0c3-4668-4758-b835-9c36b0bfefce</errorID>
      <errorWord>寒武统</errorWord>
      <group>L1_Word</group>
      <groupName>字词问题</groupName>
      <ability>L2_Typo</ability>
      <abilityName>字词错误</abilityName>
      <candidateList>
        <item>寒武纪</item>
      </candidateList>
      <explain/>
      <paraID>426D23BC</paraID>
      <start>42</start>
      <end>45</end>
      <status>unmodified</status>
      <modifiedWord/>
      <trackRevisions>false</trackRevisions>
    </reviewItem>
    <reviewItem>
      <errorID>6ee7a420-0dd3-4d0b-b26c-b8e713b1636c</errorID>
      <errorWord>-</errorWord>
      <group>L1_Format</group>
      <groupName>格式问题</groupName>
      <ability>L2_HalfPunc_CN</ability>
      <abilityName/>
      <candidateList>
        <item>－</item>
      </candidateList>
      <explain>文本全半角错误。</explain>
      <paraID>7F1D8BA7</paraID>
      <start>34</start>
      <end>35</end>
      <status>unmodified</status>
      <modifiedWord/>
      <trackRevisions>false</trackRevisions>
    </reviewItem>
    <reviewItem>
      <errorID>2a5a28f2-f1c7-4939-b006-c4365314f65d</errorID>
      <errorWord>粘土</errorWord>
      <group>L1_Word</group>
      <groupName>字词问题</groupName>
      <ability>L2_Typo</ability>
      <abilityName>字词错误</abilityName>
      <candidateList>
        <item>黏土</item>
      </candidateList>
      <explain>存在发音相同字词的误用。</explain>
      <paraID>7F1D8BA7</paraID>
      <start>56</start>
      <end>58</end>
      <status>unmodified</status>
      <modifiedWord/>
      <trackRevisions>false</trackRevisions>
    </reviewItem>
    <reviewItem>
      <errorID>a855b695-fdd7-4ecd-a4bf-3611a49e1ae0</errorID>
      <errorWord>-</errorWord>
      <group>L1_Format</group>
      <groupName>格式问题</groupName>
      <ability>L2_HalfPunc_CN</ability>
      <abilityName/>
      <candidateList>
        <item>－</item>
      </candidateList>
      <explain>文本全半角错误。</explain>
      <paraID>17C6BBCA</paraID>
      <start>21</start>
      <end>22</end>
      <status>unmodified</status>
      <modifiedWord/>
      <trackRevisions>false</trackRevisions>
    </reviewItem>
    <reviewItem>
      <errorID>a14df8b1-00b3-466b-9c9c-a3b6f31dc621</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4CD23076</paraID>
      <start>52</start>
      <end>54</end>
      <status>modified</status>
      <modifiedWord>成分</modifiedWord>
      <trackRevisions>false</trackRevisions>
    </reviewItem>
    <reviewItem>
      <errorID>33672f88-779d-4bb3-893e-73d6e5df552e</errorID>
      <errorWord>-</errorWord>
      <group>L1_Format</group>
      <groupName>格式问题</groupName>
      <ability>L2_HalfPunc_CN</ability>
      <abilityName/>
      <candidateList>
        <item>－</item>
      </candidateList>
      <explain>文本全半角错误。</explain>
      <paraID>757B7027</paraID>
      <start>52</start>
      <end>53</end>
      <status>unmodified</status>
      <modifiedWord/>
      <trackRevisions>false</trackRevisions>
    </reviewItem>
    <reviewItem>
      <errorID>a52d7a3c-64f6-43fd-b527-2b2880f2dd07</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757B7027</paraID>
      <start>75</start>
      <end>77</end>
      <status>modified</status>
      <modifiedWord>成分</modifiedWord>
      <trackRevisions>false</trackRevisions>
    </reviewItem>
    <reviewItem>
      <errorID>da7f374f-ab1a-4bf7-b7f1-fbecdba0991e</errorID>
      <errorWord>-</errorWord>
      <group>L1_Format</group>
      <groupName>格式问题</groupName>
      <ability>L2_HalfPunc_CN</ability>
      <abilityName/>
      <candidateList>
        <item>－</item>
      </candidateList>
      <explain>文本全半角错误。</explain>
      <paraID>6F21EFD6</paraID>
      <start>14</start>
      <end>15</end>
      <status>unmodified</status>
      <modifiedWord/>
      <trackRevisions>false</trackRevisions>
    </reviewItem>
    <reviewItem>
      <errorID>682bdcfb-54df-4176-a02a-2d8a93f3b60b</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6F21EFD6</paraID>
      <start>37</start>
      <end>39</end>
      <status>modified</status>
      <modifiedWord>成分</modifiedWord>
      <trackRevisions>false</trackRevisions>
    </reviewItem>
    <reviewItem>
      <errorID>cfd019c0-6501-4796-8593-3a4430d6ee4a</errorID>
      <errorWord>-</errorWord>
      <group>L1_Format</group>
      <groupName>格式问题</groupName>
      <ability>L2_HalfPunc_CN</ability>
      <abilityName/>
      <candidateList>
        <item>－</item>
      </candidateList>
      <explain>文本全半角错误。</explain>
      <paraID>6F21EFD6</paraID>
      <start>159</start>
      <end>160</end>
      <status>unmodified</status>
      <modifiedWord/>
      <trackRevisions>false</trackRevisions>
    </reviewItem>
    <reviewItem>
      <errorID>44f33658-f376-4f52-9d7f-94bee5492dae</errorID>
      <errorWord>成</errorWord>
      <group>L1_Word</group>
      <groupName>字词问题</groupName>
      <ability>L2_Typo</ability>
      <abilityName>字词错误</abilityName>
      <candidateList>
        <item>呈</item>
      </candidateList>
      <explain>存在发音相同字词的误用。</explain>
      <paraID>6F21EFD6</paraID>
      <start>180</start>
      <end>181</end>
      <status>modified</status>
      <modifiedWord>呈</modifiedWord>
      <trackRevisions>false</trackRevisions>
    </reviewItem>
    <reviewItem>
      <errorID>342b3ef6-9caa-4e5f-ada0-4d2e7b5230f7</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4C772809</paraID>
      <start>29</start>
      <end>31</end>
      <status>modified</status>
      <modifiedWord>成分</modifiedWord>
      <trackRevisions>false</trackRevisions>
    </reviewItem>
    <reviewItem>
      <errorID>70c512a1-2379-4266-9aae-865173237ae1</errorID>
      <errorWord>-</errorWord>
      <group>L1_Format</group>
      <groupName>格式问题</groupName>
      <ability>L2_HalfPunc_CN</ability>
      <abilityName/>
      <candidateList>
        <item>－</item>
      </candidateList>
      <explain>文本全半角错误。</explain>
      <paraID>4C772809</paraID>
      <start>166</start>
      <end>167</end>
      <status>unmodified</status>
      <modifiedWord/>
      <trackRevisions>false</trackRevisions>
    </reviewItem>
    <reviewItem>
      <errorID>8fbb7e4a-4256-464d-9c2d-b42b42e56a86</errorID>
      <errorWord>-</errorWord>
      <group>L1_Format</group>
      <groupName>格式问题</groupName>
      <ability>L2_HalfPunc_CN</ability>
      <abilityName/>
      <candidateList>
        <item>－</item>
      </candidateList>
      <explain>文本全半角错误。</explain>
      <paraID>4C8DB698</paraID>
      <start>17</start>
      <end>18</end>
      <status>unmodified</status>
      <modifiedWord/>
      <trackRevisions>false</trackRevisions>
    </reviewItem>
    <reviewItem>
      <errorID>27941c36-e0e8-4695-a08b-82ec5cabb512</errorID>
      <errorWord>成</errorWord>
      <group>L1_Word</group>
      <groupName>字词问题</groupName>
      <ability>L2_Typo</ability>
      <abilityName>字词错误</abilityName>
      <candidateList>
        <item>呈</item>
      </candidateList>
      <explain>存在发音相同字词的误用。</explain>
      <paraID>4C8DB698</paraID>
      <start>163</start>
      <end>164</end>
      <status>modified</status>
      <modifiedWord>呈</modifiedWord>
      <trackRevisions>false</trackRevisions>
    </reviewItem>
    <reviewItem>
      <errorID>a6222ad7-9927-4222-b5db-2c32e03d411b</errorID>
      <errorWord>-</errorWord>
      <group>L1_Format</group>
      <groupName>格式问题</groupName>
      <ability>L2_HalfPunc_CN</ability>
      <abilityName/>
      <candidateList>
        <item>－</item>
      </candidateList>
      <explain>文本全半角错误。</explain>
      <paraID> 4C5F4FA</paraID>
      <start>15</start>
      <end>16</end>
      <status>unmodified</status>
      <modifiedWord/>
      <trackRevisions>false</trackRevisions>
    </reviewItem>
    <reviewItem>
      <errorID>7777ac56-a796-4c30-9b31-c39c1ac6d7e8</errorID>
      <errorWord>成</errorWord>
      <group>L1_Word</group>
      <groupName>字词问题</groupName>
      <ability>L2_Typo</ability>
      <abilityName>字词错误</abilityName>
      <candidateList>
        <item>呈</item>
      </candidateList>
      <explain>存在发音相同字词的误用。</explain>
      <paraID> 4C5F4FA</paraID>
      <start>163</start>
      <end>164</end>
      <status>modified</status>
      <modifiedWord>呈</modifiedWord>
      <trackRevisions>false</trackRevisions>
    </reviewItem>
    <reviewItem>
      <errorID>69653d6d-8ec6-4c14-b5a9-225ce7f0bd64</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44D16CA9</paraID>
      <start>57</start>
      <end>59</end>
      <status>modified</status>
      <modifiedWord>成分</modifiedWord>
      <trackRevisions>false</trackRevisions>
    </reviewItem>
    <reviewItem>
      <errorID>07484f0d-4ced-484d-a9bc-e74b33d14200</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55DAF2D9</paraID>
      <start>59</start>
      <end>61</end>
      <status>modified</status>
      <modifiedWord>成分</modifiedWord>
      <trackRevisions>false</trackRevisions>
    </reviewItem>
    <reviewItem>
      <errorID>809d3da1-8714-48be-a493-628a63f5380a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1D53C40F</paraID>
      <start>0</start>
      <end>2</end>
      <status>unmodified</status>
      <modifiedWord/>
      <trackRevisions>false</trackRevisions>
    </reviewItem>
    <reviewItem>
      <errorID>2416bb4b-c6f2-441a-909b-5ba98029bc60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20B81ADA</paraID>
      <start>0</start>
      <end>2</end>
      <status>unmodified</status>
      <modifiedWord/>
      <trackRevisions>false</trackRevisions>
    </reviewItem>
    <reviewItem>
      <errorID>09d9f8c4-417b-417c-aa71-4fb9c1a1e19a</errorID>
      <errorWord>-</errorWord>
      <group>L1_Format</group>
      <groupName>格式问题</groupName>
      <ability>L2_HalfPunc_CN</ability>
      <abilityName/>
      <candidateList>
        <item>－</item>
      </candidateList>
      <explain>文本全半角错误。</explain>
      <paraID>6E14E254</paraID>
      <start>34</start>
      <end>35</end>
      <status>unmodified</status>
      <modifiedWord/>
      <trackRevisions>false</trackRevisions>
    </reviewItem>
    <reviewItem>
      <errorID>afa35b0d-a776-42c0-a236-a76a84372782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D8FC0C4</paraID>
      <start>0</start>
      <end>2</end>
      <status>unmodified</status>
      <modifiedWord/>
      <trackRevisions>false</trackRevisions>
    </reviewItem>
    <reviewItem>
      <errorID>2e929f83-a7df-439b-8acf-8393d87010a8</errorID>
      <errorWord>,</errorWord>
      <group>L1_Format</group>
      <groupName>格式问题</groupName>
      <ability>L2_HalfPunc_CN</ability>
      <abilityName/>
      <candidateList>
        <item>，</item>
      </candidateList>
      <explain>文本全半角错误。</explain>
      <paraID> D5FDC82</paraID>
      <start>30</start>
      <end>31</end>
      <status>unmodified</status>
      <modifiedWord/>
      <trackRevisions>false</trackRevisions>
    </reviewItem>
    <reviewItem>
      <errorID>0d4b3a9f-56e8-4033-84c0-25049987e8e8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142679D4</paraID>
      <start>0</start>
      <end>2</end>
      <status>unmodified</status>
      <modifiedWord/>
      <trackRevisions>false</trackRevisions>
    </reviewItem>
    <reviewItem>
      <errorID>3c2609a0-55c8-4d35-9a9b-35a3f5c614dd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6F806551</paraID>
      <start>0</start>
      <end>2</end>
      <status>unmodified</status>
      <modifiedWord/>
      <trackRevisions>false</trackRevisions>
    </reviewItem>
    <reviewItem>
      <errorID>57ddca6e-7eb4-4544-9fd5-dbcb62949baf</errorID>
      <errorWord>海拔高度</errorWord>
      <group>L1_Word</group>
      <groupName>字词问题</groupName>
      <ability>L2_Typo</ability>
      <abilityName>字词错误</abilityName>
      <candidateList>
        <item>海拔</item>
      </candidateList>
      <explain>〈名〉从平均海平面起算的高度。</explain>
      <paraID>1A8CBC21</paraID>
      <start>11</start>
      <end>13</end>
      <status>modified</status>
      <modifiedWord>海拔</modifiedWord>
      <trackRevisions>false</trackRevisions>
    </reviewItem>
    <reviewItem>
      <errorID>b312baba-6904-437f-a2c5-ee0f2bd60263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5E23435A</paraID>
      <start>0</start>
      <end>2</end>
      <status>unmodified</status>
      <modifiedWord/>
      <trackRevisions>false</trackRevisions>
    </reviewItem>
    <reviewItem>
      <errorID>adc033aa-4232-4291-ab4e-be18bf7198d9</errorID>
      <errorWord>主要以含碳硅质板岩和大理岩为主</errorWord>
      <group>L1_Grammar</group>
      <groupName>语法问题</groupName>
      <ability>L2_Grammar</ability>
      <abilityName>语法错误</abilityName>
      <candidateList>
        <item>以含碳硅质板岩和大理岩为主</item>
      </candidateList>
      <explain/>
      <paraID>2A8A2A63</paraID>
      <start>57</start>
      <end>70</end>
      <status>modified</status>
      <modifiedWord>以含碳硅质板岩和大理岩为主</modifiedWord>
      <trackRevisions>false</trackRevisions>
    </reviewItem>
    <reviewItem>
      <errorID>82753c87-9c73-4c31-a0c9-5473c68ba612</errorID>
      <errorWord>形成了</errorWord>
      <group>L1_Word</group>
      <groupName>字词问题</groupName>
      <ability>L2_Typo</ability>
      <abilityName>字词错误</abilityName>
      <candidateList>
        <item>形成</item>
      </candidateList>
      <explain>〈动〉通过发展变化而成为具有某种特点的事物，或者出现某种情形或局面：销售网已经～｜～鲜明的对比｜～难以打破的僵局。</explain>
      <paraID>2A8A2A63</paraID>
      <start>162</start>
      <end>164</end>
      <status>modified</status>
      <modifiedWord>形成</modifiedWord>
      <trackRevisions>false</trackRevisions>
    </reviewItem>
    <reviewItem>
      <errorID>dc3620c0-a2b6-4551-a80b-0513a6fc4a36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4DFEC90A</paraID>
      <start>0</start>
      <end>2</end>
      <status>unmodified</status>
      <modifiedWord/>
      <trackRevisions>false</trackRevisions>
    </reviewItem>
    <reviewItem>
      <errorID>bafc0d31-3160-482d-a343-b63bbbc20bdb</errorID>
      <errorWord>防治</errorWord>
      <group>L1_Word</group>
      <groupName>字词问题</groupName>
      <ability>L2_Typo</ability>
      <abilityName>字词错误</abilityName>
      <candidateList>
        <item>防止</item>
      </candidateList>
      <explain>〈动〉预先设法制止（坏事发生）：～煤气中毒｜～交通事故。</explain>
      <paraID> 8DFB69F</paraID>
      <start>59</start>
      <end>61</end>
      <status>modified</status>
      <modifiedWord>防止</modifiedWord>
      <trackRevisions>false</trackRevisions>
    </reviewItem>
    <reviewItem>
      <errorID>7aadb698-141c-4e36-81d5-076953057738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3FFE641A</paraID>
      <start>0</start>
      <end>2</end>
      <status>unmodified</status>
      <modifiedWord/>
      <trackRevisions>false</trackRevisions>
    </reviewItem>
    <reviewItem>
      <errorID>34ebb72e-8a69-466c-b38c-fdca30fa13d3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55DF524B</paraID>
      <start>0</start>
      <end>2</end>
      <status>unmodified</status>
      <modifiedWord/>
      <trackRevisions>false</trackRevisions>
    </reviewItem>
    <reviewItem>
      <errorID>4d02c442-77fd-4732-ab96-8750d2642be2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7BCC038D</paraID>
      <start>0</start>
      <end>2</end>
      <status>unmodified</status>
      <modifiedWord/>
      <trackRevisions>false</trackRevisions>
    </reviewItem>
    <reviewItem>
      <errorID>82d8646f-eaf4-4ae8-9601-5ef0f1e9ffc9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2274F21F</paraID>
      <start>0</start>
      <end>2</end>
      <status>unmodified</status>
      <modifiedWord/>
      <trackRevisions>false</trackRevisions>
    </reviewItem>
    <reviewItem>
      <errorID>cd694030-c00f-4ffc-bf08-c10ae448e121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36AA518E</paraID>
      <start>0</start>
      <end>2</end>
      <status>unmodified</status>
      <modifiedWord/>
      <trackRevisions>false</trackRevisions>
    </reviewItem>
    <reviewItem>
      <errorID>a9eaac81-b9e6-42d6-bb5c-8940a6d6048d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48B36242</paraID>
      <start>0</start>
      <end>2</end>
      <status>unmodified</status>
      <modifiedWord/>
      <trackRevisions>false</trackRevisions>
    </reviewItem>
    <reviewItem>
      <errorID>549e6624-381a-4a3f-9ed8-0a1310920dc9</errorID>
      <errorWord>》</errorWord>
      <group>L1_Punc</group>
      <groupName>标点问题</groupName>
      <ability>L2_Punc_CN</ability>
      <abilityName/>
      <candidateList/>
      <explain>此处标点可能未正确匹配，请检查句子中是否存在标点冗余、缺失或使用错误的情况。</explain>
      <paraID>2EB97F18</paraID>
      <start>47</start>
      <end>48</end>
      <status>unmodified</status>
      <modifiedWord/>
      <trackRevisions>false</trackRevisions>
    </reviewItem>
    <reviewItem>
      <errorID>4d05268e-58de-493a-a253-c4d9a29fe81c</errorID>
      <errorWord>-</errorWord>
      <group>L1_Format</group>
      <groupName>格式问题</groupName>
      <ability>L2_HalfPunc_CN</ability>
      <abilityName/>
      <candidateList>
        <item>－</item>
      </candidateList>
      <explain>文本全半角错误。</explain>
      <paraID>2EB97F18</paraID>
      <start>54</start>
      <end>55</end>
      <status>unmodified</status>
      <modifiedWord/>
      <trackRevisions>false</trackRevisions>
    </reviewItem>
    <reviewItem>
      <errorID>49ad6aeb-c17c-4ee5-ac2b-01cca39d2286</errorID>
      <errorWord>-</errorWord>
      <group>L1_Format</group>
      <groupName>格式问题</groupName>
      <ability>L2_HalfPunc_CN</ability>
      <abilityName/>
      <candidateList>
        <item>－</item>
      </candidateList>
      <explain>文本全半角错误。</explain>
      <paraID>2EB97F18</paraID>
      <start>61</start>
      <end>62</end>
      <status>unmodified</status>
      <modifiedWord/>
      <trackRevisions>false</trackRevisions>
    </reviewItem>
    <reviewItem>
      <errorID>8a0b2764-884c-4fdc-b0fa-15904babf47c</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44D7F41D</paraID>
      <start>12</start>
      <end>16</end>
      <status>unmodified</status>
      <modifiedWord/>
      <trackRevisions>false</trackRevisions>
    </reviewItem>
    <reviewItem>
      <errorID>27b219a0-a874-4032-a0bd-a6d7e07559c0</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3909AFB6</paraID>
      <start>0</start>
      <end>4</end>
      <status>unmodified</status>
      <modifiedWord/>
      <trackRevisions>false</trackRevisions>
    </reviewItem>
    <reviewItem>
      <errorID>f42a4182-f8ae-46de-bbfa-c26cce4117b8</errorID>
      <errorWord>）中</errorWord>
      <group>L1_Word</group>
      <groupName>字词问题</groupName>
      <ability>L2_Typo</ability>
      <abilityName>字词错误</abilityName>
      <candidateList>
        <item>）</item>
      </candidateList>
      <explain/>
      <paraID>5CE37A7B</paraID>
      <start>23</start>
      <end>24</end>
      <status>modified</status>
      <modifiedWord>）</modifiedWord>
      <trackRevisions>false</trackRevisions>
    </reviewItem>
    <reviewItem>
      <errorID>23d21b51-fc75-4ab3-8377-de1f56cac866</errorID>
      <errorWord>（</errorWord>
      <group>L1_Punc</group>
      <groupName>标点问题</groupName>
      <ability>L2_Punc_CN</ability>
      <abilityName/>
      <candidateList/>
      <explain>同一形式括号套用。</explain>
      <paraID>28BCD501</paraID>
      <start>72</start>
      <end>73</end>
      <status>unmodified</status>
      <modifiedWord/>
      <trackRevisions>false</trackRevisions>
    </reviewItem>
    <reviewItem>
      <errorID>082cabf3-9140-4dc8-9ad9-5c9a37008462</errorID>
      <errorWord>）</errorWord>
      <group>L1_Punc</group>
      <groupName>标点问题</groupName>
      <ability>L2_Punc_CN</ability>
      <abilityName/>
      <candidateList/>
      <explain>同一形式括号套用。</explain>
      <paraID>28BCD501</paraID>
      <start>74</start>
      <end>75</end>
      <status>unmodified</status>
      <modifiedWord/>
      <trackRevisions>false</trackRevisions>
    </reviewItem>
    <reviewItem>
      <errorID>693a9447-a60a-45ab-9e52-01b6907c8c4e</errorID>
      <errorWord>（</errorWord>
      <group>L1_Punc</group>
      <groupName>标点问题</groupName>
      <ability>L2_Punc_CN</ability>
      <abilityName/>
      <candidateList/>
      <explain>同一形式括号套用。</explain>
      <paraID>28BCD501</paraID>
      <start>83</start>
      <end>84</end>
      <status>unmodified</status>
      <modifiedWord/>
      <trackRevisions>false</trackRevisions>
    </reviewItem>
    <reviewItem>
      <errorID>9b4e2326-4828-4de0-9eef-880dc89f6706</errorID>
      <errorWord>）</errorWord>
      <group>L1_Punc</group>
      <groupName>标点问题</groupName>
      <ability>L2_Punc_CN</ability>
      <abilityName/>
      <candidateList/>
      <explain>同一形式括号套用。</explain>
      <paraID>28BCD501</paraID>
      <start>85</start>
      <end>86</end>
      <status>unmodified</status>
      <modifiedWord/>
      <trackRevisions>false</trackRevisions>
    </reviewItem>
    <reviewItem>
      <errorID>a1afd1a2-5971-4e1c-bc16-7d8a2da58b65</errorID>
      <errorWord>，</errorWord>
      <group>L1_Format</group>
      <groupName>格式问题</groupName>
      <ability>L2_HalfPunc_CN</ability>
      <abilityName/>
      <candidateList>
        <item>, </item>
      </candidateList>
      <explain>文本全半角错误。</explain>
      <paraID>48FAF1C8</paraID>
      <start>13</start>
      <end>14</end>
      <status>unmodified</status>
      <modifiedWord/>
      <trackRevisions>false</trackRevisions>
    </reviewItem>
    <reviewItem>
      <errorID>7aba4bc6-8b72-4cb1-838a-e25a48ecc68a</errorID>
      <errorWord>，</errorWord>
      <group>L1_Format</group>
      <groupName>格式问题</groupName>
      <ability>L2_HalfPunc_CN</ability>
      <abilityName/>
      <candidateList>
        <item>, </item>
      </candidateList>
      <explain>文本全半角错误。</explain>
      <paraID>440B7CFA</paraID>
      <start>13</start>
      <end>14</end>
      <status>unmodified</status>
      <modifiedWord/>
      <trackRevisions>false</trackRevisions>
    </reviewItem>
    <reviewItem>
      <errorID>c64271fc-4db0-4592-888a-96d4065af818</errorID>
      <errorWord>，</errorWord>
      <group>L1_Format</group>
      <groupName>格式问题</groupName>
      <ability>L2_HalfPunc_CN</ability>
      <abilityName/>
      <candidateList>
        <item>, </item>
      </candidateList>
      <explain>文本全半角错误。</explain>
      <paraID>26FECAB4</paraID>
      <start>13</start>
      <end>14</end>
      <status>unmodified</status>
      <modifiedWord/>
      <trackRevisions>false</trackRevisions>
    </reviewItem>
    <reviewItem>
      <errorID>c3d79253-6af1-4980-aeb4-f9a558269621</errorID>
      <errorWord>，</errorWord>
      <group>L1_Format</group>
      <groupName>格式问题</groupName>
      <ability>L2_HalfPunc_CN</ability>
      <abilityName/>
      <candidateList>
        <item>, </item>
      </candidateList>
      <explain>文本全半角错误。</explain>
      <paraID>7DADBDF0</paraID>
      <start>13</start>
      <end>14</end>
      <status>unmodified</status>
      <modifiedWord/>
      <trackRevisions>false</trackRevisions>
    </reviewItem>
    <reviewItem>
      <errorID>99a64e35-66c1-4c2a-94e6-e6421dbba4a6</errorID>
      <errorWord>，</errorWord>
      <group>L1_Format</group>
      <groupName>格式问题</groupName>
      <ability>L2_HalfPunc_CN</ability>
      <abilityName/>
      <candidateList>
        <item>, </item>
      </candidateList>
      <explain>文本全半角错误。</explain>
      <paraID>3EB30F7C</paraID>
      <start>13</start>
      <end>14</end>
      <status>unmodified</status>
      <modifiedWord/>
      <trackRevisions>false</trackRevisions>
    </reviewItem>
    <reviewItem>
      <errorID>cf6fbb77-0eb4-463e-9dd1-f24e3309161d</errorID>
      <errorWord>，</errorWord>
      <group>L1_Format</group>
      <groupName>格式问题</groupName>
      <ability>L2_HalfPunc_CN</ability>
      <abilityName/>
      <candidateList>
        <item>, </item>
      </candidateList>
      <explain>文本全半角错误。</explain>
      <paraID>64FC79E3</paraID>
      <start>13</start>
      <end>14</end>
      <status>unmodified</status>
      <modifiedWord/>
      <trackRevisions>false</trackRevisions>
    </reviewItem>
    <reviewItem>
      <errorID>a4b2190b-882c-43d5-a785-b6a78ffbc02f</errorID>
      <errorWord>，</errorWord>
      <group>L1_Format</group>
      <groupName>格式问题</groupName>
      <ability>L2_HalfPunc_CN</ability>
      <abilityName/>
      <candidateList>
        <item>, </item>
      </candidateList>
      <explain>文本全半角错误。</explain>
      <paraID>26C0E297</paraID>
      <start>13</start>
      <end>14</end>
      <status>unmodified</status>
      <modifiedWord/>
      <trackRevisions>false</trackRevisions>
    </reviewItem>
    <reviewItem>
      <errorID>56e89e98-8ee6-412b-bdf3-ac12db26f372</errorID>
      <errorWord>，</errorWord>
      <group>L1_Format</group>
      <groupName>格式问题</groupName>
      <ability>L2_HalfPunc_CN</ability>
      <abilityName/>
      <candidateList>
        <item>, </item>
      </candidateList>
      <explain>文本全半角错误。</explain>
      <paraID>64B5F6E4</paraID>
      <start>13</start>
      <end>14</end>
      <status>unmodified</status>
      <modifiedWord/>
      <trackRevisions>false</trackRevisions>
    </reviewItem>
    <reviewItem>
      <errorID>6f5069c0-00da-4a08-bcbe-02febf4bb50f</errorID>
      <errorWord>，</errorWord>
      <group>L1_Format</group>
      <groupName>格式问题</groupName>
      <ability>L2_HalfPunc_CN</ability>
      <abilityName/>
      <candidateList>
        <item>, </item>
      </candidateList>
      <explain>文本全半角错误。</explain>
      <paraID>52DC38F6</paraID>
      <start>13</start>
      <end>14</end>
      <status>unmodified</status>
      <modifiedWord/>
      <trackRevisions>false</trackRevisions>
    </reviewItem>
    <reviewItem>
      <errorID>c45da0e3-26d0-4372-bda0-d4c206bd253f</errorID>
      <errorWord>，</errorWord>
      <group>L1_Format</group>
      <groupName>格式问题</groupName>
      <ability>L2_HalfPunc_CN</ability>
      <abilityName/>
      <candidateList>
        <item>, </item>
      </candidateList>
      <explain>文本全半角错误。</explain>
      <paraID>5A17F706</paraID>
      <start>13</start>
      <end>14</end>
      <status>unmodified</status>
      <modifiedWord/>
      <trackRevisions>false</trackRevisions>
    </reviewItem>
    <reviewItem>
      <errorID>ed5b2304-7b0f-48ae-980b-7863dc3dd779</errorID>
      <errorWord>，</errorWord>
      <group>L1_Format</group>
      <groupName>格式问题</groupName>
      <ability>L2_HalfPunc_CN</ability>
      <abilityName/>
      <candidateList>
        <item>, </item>
      </candidateList>
      <explain>文本全半角错误。</explain>
      <paraID>47696805</paraID>
      <start>13</start>
      <end>14</end>
      <status>unmodified</status>
      <modifiedWord/>
      <trackRevisions>false</trackRevisions>
    </reviewItem>
    <reviewItem>
      <errorID>c4af735b-b9c7-4806-b45a-a3049e0cce98</errorID>
      <errorWord>，</errorWord>
      <group>L1_Format</group>
      <groupName>格式问题</groupName>
      <ability>L2_HalfPunc_CN</ability>
      <abilityName/>
      <candidateList>
        <item>, </item>
      </candidateList>
      <explain>文本全半角错误。</explain>
      <paraID>40990ACF</paraID>
      <start>13</start>
      <end>14</end>
      <status>unmodified</status>
      <modifiedWord/>
      <trackRevisions>false</trackRevisions>
    </reviewItem>
    <reviewItem>
      <errorID>88092c32-da2b-4b8d-b403-606a9451974e</errorID>
      <errorWord>~</errorWord>
      <group>L1_Format</group>
      <groupName>格式问题</groupName>
      <ability>L2_HalfPunc_CN</ability>
      <abilityName/>
      <candidateList>
        <item>～</item>
      </candidateList>
      <explain>文本全半角错误。</explain>
      <paraID>5BD946F7</paraID>
      <start>41</start>
      <end>42</end>
      <status>unmodified</status>
      <modifiedWord/>
      <trackRevisions>false</trackRevisions>
    </reviewItem>
    <reviewItem>
      <errorID>157d3e26-df85-4aa8-bd05-a81538b7d604</errorID>
      <errorWord>~</errorWord>
      <group>L1_Format</group>
      <groupName>格式问题</groupName>
      <ability>L2_HalfPunc_CN</ability>
      <abilityName/>
      <candidateList>
        <item>～</item>
      </candidateList>
      <explain>文本全半角错误。</explain>
      <paraID>5BD946F7</paraID>
      <start>50</start>
      <end>51</end>
      <status>unmodified</status>
      <modifiedWord/>
      <trackRevisions>false</trackRevisions>
    </reviewItem>
    <reviewItem>
      <errorID>61faf85d-0a31-489a-90a6-0d4e49d42c9a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2F012589</paraID>
      <start>0</start>
      <end>2</end>
      <status>unmodified</status>
      <modifiedWord/>
      <trackRevisions>false</trackRevisions>
    </reviewItem>
    <reviewItem>
      <errorID>cecac141-8ca3-44a0-84cc-768c8102b32a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203EB13D</paraID>
      <start>0</start>
      <end>2</end>
      <status>unmodified</status>
      <modifiedWord/>
      <trackRevisions>false</trackRevisions>
    </reviewItem>
    <reviewItem>
      <errorID>96168591-b7d0-4b24-a5b8-ff1b8c00ef26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1AACC59A</paraID>
      <start>0</start>
      <end>2</end>
      <status>unmodified</status>
      <modifiedWord/>
      <trackRevisions>false</trackRevisions>
    </reviewItem>
    <reviewItem>
      <errorID>bf2d4028-c5eb-4922-bca8-ef56777c93b9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41FB74B1</paraID>
      <start>0</start>
      <end>2</end>
      <status>unmodified</status>
      <modifiedWord/>
      <trackRevisions>false</trackRevisions>
    </reviewItem>
    <reviewItem>
      <errorID>d54939c4-3086-433a-b628-6bd1c7b3ce30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446C6251</paraID>
      <start>0</start>
      <end>2</end>
      <status>unmodified</status>
      <modifiedWord/>
      <trackRevisions>false</trackRevisions>
    </reviewItem>
    <reviewItem>
      <errorID>c4595e38-6a42-48bd-9179-947e64de329d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4BFCA5D7</paraID>
      <start>0</start>
      <end>2</end>
      <status>unmodified</status>
      <modifiedWord/>
      <trackRevisions>false</trackRevisions>
    </reviewItem>
    <reviewItem>
      <errorID>db863551-4674-484e-9e9c-0ccb9aba9863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1FB2779E</paraID>
      <start>0</start>
      <end>2</end>
      <status>unmodified</status>
      <modifiedWord/>
      <trackRevisions>false</trackRevisions>
    </reviewItem>
    <reviewItem>
      <errorID>72a0c529-ac7a-49c4-a4af-ba8555ad36c9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504522E4</paraID>
      <start>0</start>
      <end>2</end>
      <status>unmodified</status>
      <modifiedWord/>
      <trackRevisions>false</trackRevisions>
    </reviewItem>
    <reviewItem>
      <errorID>1205a9e5-9348-4644-abe2-eaa16613915c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4262E15C</paraID>
      <start>0</start>
      <end>2</end>
      <status>unmodified</status>
      <modifiedWord/>
      <trackRevisions>false</trackRevisions>
    </reviewItem>
    <reviewItem>
      <errorID>ba6263f7-a9a9-42d2-9beb-7d992d466dff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69E20CCA</paraID>
      <start>0</start>
      <end>2</end>
      <status>unmodified</status>
      <modifiedWord/>
      <trackRevisions>false</trackRevisions>
    </reviewItem>
    <reviewItem>
      <errorID>b0773d39-2764-4e27-8936-9a5fd11912c8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4E97C449</paraID>
      <start>0</start>
      <end>2</end>
      <status>unmodified</status>
      <modifiedWord/>
      <trackRevisions>false</trackRevisions>
    </reviewItem>
    <reviewItem>
      <errorID>9d752ee1-3bd5-45ca-83ab-436acdc65fee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29299EB3</paraID>
      <start>0</start>
      <end>2</end>
      <status>unmodified</status>
      <modifiedWord/>
      <trackRevisions>false</trackRevisions>
    </reviewItem>
    <reviewItem>
      <errorID>65a60f85-1fdf-4c52-ae18-703a2c5cd2c8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19FDB590</paraID>
      <start>0</start>
      <end>2</end>
      <status>unmodified</status>
      <modifiedWord/>
      <trackRevisions>false</trackRevisions>
    </reviewItem>
    <reviewItem>
      <errorID>c58b4879-3148-4fed-a8d9-2b6237945fb3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4128AF07</paraID>
      <start>0</start>
      <end>2</end>
      <status>unmodified</status>
      <modifiedWord/>
      <trackRevisions>false</trackRevisions>
    </reviewItem>
    <reviewItem>
      <errorID>33ccfe56-4c9d-4ebc-ac06-8099db6290bc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29E54467</paraID>
      <start>0</start>
      <end>2</end>
      <status>unmodified</status>
      <modifiedWord/>
      <trackRevisions>false</trackRevisions>
    </reviewItem>
    <reviewItem>
      <errorID>e32931c0-d072-4aac-8645-ead8c0e1a616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5E048083</paraID>
      <start>0</start>
      <end>2</end>
      <status>unmodified</status>
      <modifiedWord/>
      <trackRevisions>false</trackRevisions>
    </reviewItem>
    <reviewItem>
      <errorID>106db713-0e8a-46a3-b027-667502e4d06e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7EF8B342</paraID>
      <start>0</start>
      <end>2</end>
      <status>unmodified</status>
      <modifiedWord/>
      <trackRevisions>false</trackRevisions>
    </reviewItem>
    <reviewItem>
      <errorID>785c3be1-c455-40ad-93d2-9b283e8f3323</errorID>
      <errorWord>1,</errorWord>
      <group>L1_Format</group>
      <groupName>格式问题</groupName>
      <ability>L2_Ordinal</ability>
      <abilityName>序号格式</abilityName>
      <candidateList>
        <item>1.</item>
      </candidateList>
      <explain>当前序号格式不规范，建议修改为规范格式[1.]。</explain>
      <paraID> 91A5911</paraID>
      <start>0</start>
      <end>2</end>
      <status>unmodified</status>
      <modifiedWord/>
      <trackRevisions>false</trackRevisions>
    </reviewItem>
    <reviewItem>
      <errorID>c251ba02-848c-4799-8fe5-96e26bea7438</errorID>
      <errorWord>1,</errorWord>
      <group>L1_Format</group>
      <groupName>格式问题</groupName>
      <ability>L2_Ordinal</ability>
      <abilityName>序号格式</abilityName>
      <candidateList>
        <item>1.</item>
      </candidateList>
      <explain>当前序号格式不规范，建议修改为规范格式[1.]。</explain>
      <paraID>68AB4FFD</paraID>
      <start>0</start>
      <end>2</end>
      <status>unmodified</status>
      <modifiedWord/>
      <trackRevisions>false</trackRevisions>
    </reviewItem>
    <reviewItem>
      <errorID>0d0d415f-f1a7-43fe-924c-0001379ee744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35AC37D3</paraID>
      <start>0</start>
      <end>2</end>
      <status>unmodified</status>
      <modifiedWord/>
      <trackRevisions>false</trackRevisions>
    </reviewItem>
    <reviewItem>
      <errorID>df2e8bee-a4ba-46f1-bb46-bdaf74cd6608</errorID>
      <errorWord>1,</errorWord>
      <group>L1_Format</group>
      <groupName>格式问题</groupName>
      <ability>L2_Ordinal</ability>
      <abilityName>序号格式</abilityName>
      <candidateList>
        <item>1.</item>
      </candidateList>
      <explain>当前序号格式不规范，建议修改为规范格式[1.]。</explain>
      <paraID>1E59DF03</paraID>
      <start>0</start>
      <end>2</end>
      <status>unmodified</status>
      <modifiedWord/>
      <trackRevisions>false</trackRevisions>
    </reviewItem>
    <reviewItem>
      <errorID>dfa022af-4c00-4bd0-9160-7261a6d77041</errorID>
      <errorWord>1,</errorWord>
      <group>L1_Format</group>
      <groupName>格式问题</groupName>
      <ability>L2_Ordinal</ability>
      <abilityName>序号格式</abilityName>
      <candidateList>
        <item>1.</item>
      </candidateList>
      <explain>当前序号格式不规范，建议修改为规范格式[1.]。</explain>
      <paraID>4AA73A0A</paraID>
      <start>0</start>
      <end>2</end>
      <status>unmodified</status>
      <modifiedWord/>
      <trackRevisions>false</trackRevisions>
    </reviewItem>
    <reviewItem>
      <errorID>9c783f8f-5671-4058-87b4-2bf711cb4e01</errorID>
      <errorWord>-</errorWord>
      <group>L1_Format</group>
      <groupName>格式问题</groupName>
      <ability>L2_HalfPunc_CN</ability>
      <abilityName/>
      <candidateList>
        <item>－</item>
      </candidateList>
      <explain>文本全半角错误。</explain>
      <paraID>609E388F</paraID>
      <start>1</start>
      <end>2</end>
      <status>unmodified</status>
      <modifiedWord/>
      <trackRevisions>false</trackRevisions>
    </reviewItem>
    <reviewItem>
      <errorID>e049327d-f5c7-4ec6-861b-5eebd83fa2f0</errorID>
      <errorWord>15%-20%</errorWord>
      <group>L1_Knowledge</group>
      <groupName>知识性问题</groupName>
      <ability>L2_Knowledge</ability>
      <abilityName>其他知识</abilityName>
      <candidateList>
        <item>15%—20%</item>
      </candidateList>
      <explain>1. “15%-20%”中的单位“%”仅出现在后一个数字上，容易引起歧义；根据《现代汉语标点符号数字用法规范手册》，数字表示范围两边需要使用统一的格式。2. 根据标点国标 4.13 中的规则，数字、时间或地域连接符应使用（视觉上更长的）“—”或“～”。</explain>
      <paraID>5D8108E3</paraID>
      <start>113</start>
      <end>120</end>
      <status>unmodified</status>
      <modifiedWord/>
      <trackRevisions>false</trackRevisions>
    </reviewItem>
    <reviewItem>
      <errorID>a583b312-6547-41e2-8d20-bf66f312094e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5D8108E3</paraID>
      <start>129</start>
      <end>130</end>
      <status>unmodified</status>
      <modifiedWord/>
      <trackRevisions>false</trackRevisions>
    </reviewItem>
    <reviewItem>
      <errorID>4ed22b0f-c7f6-4670-be30-f964f334092b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5D8108E3</paraID>
      <start>149</start>
      <end>150</end>
      <status>unmodified</status>
      <modifiedWord/>
      <trackRevisions>false</trackRevisions>
    </reviewItem>
    <reviewItem>
      <errorID>7a452627-dbb4-4d44-84a8-d57292feae8a</errorID>
      <errorWord>，</errorWord>
      <group>L1_Format</group>
      <groupName>格式问题</groupName>
      <ability>L2_HalfPunc_CN</ability>
      <abilityName/>
      <candidateList>
        <item>, </item>
      </candidateList>
      <explain>文本全半角错误。</explain>
      <paraID>73303C0D</paraID>
      <start>13</start>
      <end>14</end>
      <status>unmodified</status>
      <modifiedWord/>
      <trackRevisions>false</trackRevisions>
    </reviewItem>
    <reviewItem>
      <errorID>b0eb6782-55b3-4a04-82ae-c045c0c768c4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B6BCE76</paraID>
      <start>2</start>
      <end>3</end>
      <status>unmodified</status>
      <modifiedWord/>
      <trackRevisions>false</trackRevisions>
    </reviewItem>
    <reviewItem>
      <errorID>f21e4d9c-00cc-4d44-ab9e-9a0aa8106f3f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54E60BB9</paraID>
      <start>3</start>
      <end>4</end>
      <status>unmodified</status>
      <modifiedWord/>
      <trackRevisions>false</trackRevisions>
    </reviewItem>
    <reviewItem>
      <errorID>fcdc22eb-4838-426d-9145-ed46259ae9f9</errorID>
      <errorWord>：</errorWord>
      <group>L1_Format</group>
      <groupName>格式问题</groupName>
      <ability>L2_HalfPunc_CN</ability>
      <abilityName/>
      <candidateList>
        <item>:</item>
      </candidateList>
      <explain>文本全半角错误。</explain>
      <paraID> 11AD1CB</paraID>
      <start>44</start>
      <end>45</end>
      <status>unmodified</status>
      <modifiedWord/>
      <trackRevisions>false</trackRevisions>
    </reviewItem>
    <reviewItem>
      <errorID>3b2af9eb-a48d-4d26-8b7a-3d11012e2db3</errorID>
      <errorWord>15-20%</errorWord>
      <group>L1_Knowledge</group>
      <groupName>知识性问题</groupName>
      <ability>L2_Knowledge</ability>
      <abilityName>其他知识</abilityName>
      <candidateList>
        <item>15%—20%</item>
      </candidateList>
      <explain>1. “15-20%”中的单位“%”仅出现在后一个数字上，容易引起歧义；根据《现代汉语标点符号数字用法规范手册》，数字表示范围两边需要使用统一的格式。2. 根据标点国标 4.13 中的规则，数字、时间或地域连接符应使用（视觉上更长的）“—”或“～”。</explain>
      <paraID>65A7CF32</paraID>
      <start>87</start>
      <end>93</end>
      <status>unmodified</status>
      <modifiedWord/>
      <trackRevisions>false</trackRevisions>
    </reviewItem>
    <reviewItem>
      <errorID>9a6b65fd-9721-4923-82a5-51e4b1131eb0</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367C2DAF</paraID>
      <start>6</start>
      <end>13</end>
      <status>unmodified</status>
      <modifiedWord/>
      <trackRevisions>false</trackRevisions>
    </reviewItem>
    <reviewItem>
      <errorID>0c62a7f2-262b-459f-88ca-3e79a2ad077e</errorID>
      <errorWord>砾幕</errorWord>
      <group>L1_Word</group>
      <groupName>字词问题</groupName>
      <ability>L2_Typo</ability>
      <abilityName>字词错误</abilityName>
      <candidateList>
        <item>林木</item>
      </candidateList>
      <explain/>
      <paraID>7B1310F4</paraID>
      <start>2</start>
      <end>4</end>
      <status>unmodified</status>
      <modifiedWord/>
      <trackRevisions>false</trackRevisions>
    </reviewItem>
    <reviewItem>
      <errorID>cc89d04a-4534-499e-b3a0-ad7c4f6e1f4d</errorID>
      <errorWord>程</errorWord>
      <group>L1_Word</group>
      <groupName>字词问题</groupName>
      <ability>L2_Typo</ability>
      <abilityName>字词错误</abilityName>
      <candidateList>
        <item>程中</item>
      </candidateList>
      <explain/>
      <paraID>25E4FDE2</paraID>
      <start>13</start>
      <end>14</end>
      <status>unmodified</status>
      <modifiedWord/>
      <trackRevisions>false</trackRevisions>
    </reviewItem>
    <reviewItem>
      <errorID>9fe7394c-80a3-4ecb-80e3-a06a95989a6b</errorID>
      <errorWord>～</errorWord>
      <group>L1_Format</group>
      <groupName>格式问题</groupName>
      <ability>L2_HalfPunc_CN</ability>
      <abilityName/>
      <candidateList>
        <item>~</item>
      </candidateList>
      <explain>文本全半角错误。</explain>
      <paraID>5F109AA1</paraID>
      <start>2</start>
      <end>3</end>
      <status>unmodified</status>
      <modifiedWord/>
      <trackRevisions>false</trackRevisions>
    </reviewItem>
    <reviewItem>
      <errorID>ded8494f-86d3-43f7-b5c5-4acb1acfa006</errorID>
      <errorWord>～</errorWord>
      <group>L1_Format</group>
      <groupName>格式问题</groupName>
      <ability>L2_HalfPunc_CN</ability>
      <abilityName/>
      <candidateList>
        <item>~</item>
      </candidateList>
      <explain>文本全半角错误。</explain>
      <paraID>1A0B27E4</paraID>
      <start>2</start>
      <end>3</end>
      <status>unmodified</status>
      <modifiedWord/>
      <trackRevisions>false</trackRevisions>
    </reviewItem>
    <reviewItem>
      <errorID>c3441d4a-a4f4-4fab-a399-8efb2cff7030</errorID>
      <errorWord>～</errorWord>
      <group>L1_Format</group>
      <groupName>格式问题</groupName>
      <ability>L2_HalfPunc_CN</ability>
      <abilityName/>
      <candidateList>
        <item>~</item>
      </candidateList>
      <explain>文本全半角错误。</explain>
      <paraID>71CE9E6E</paraID>
      <start>2</start>
      <end>3</end>
      <status>unmodified</status>
      <modifiedWord/>
      <trackRevisions>false</trackRevisions>
    </reviewItem>
    <reviewItem>
      <errorID>8ff244de-f674-4547-a87a-6fe45c96a723</errorID>
      <errorWord>～</errorWord>
      <group>L1_Format</group>
      <groupName>格式问题</groupName>
      <ability>L2_HalfPunc_CN</ability>
      <abilityName/>
      <candidateList>
        <item>~</item>
      </candidateList>
      <explain>文本全半角错误。</explain>
      <paraID>3C211694</paraID>
      <start>3</start>
      <end>4</end>
      <status>unmodified</status>
      <modifiedWord/>
      <trackRevisions>false</trackRevisions>
    </reviewItem>
    <reviewItem>
      <errorID>246bba15-a5ce-4497-9a55-3544dd8d9ea8</errorID>
      <errorWord>～</errorWord>
      <group>L1_Format</group>
      <groupName>格式问题</groupName>
      <ability>L2_HalfPunc_CN</ability>
      <abilityName/>
      <candidateList>
        <item>~</item>
      </candidateList>
      <explain>文本全半角错误。</explain>
      <paraID>50102484</paraID>
      <start>3</start>
      <end>4</end>
      <status>unmodified</status>
      <modifiedWord/>
      <trackRevisions>false</trackRevisions>
    </reviewItem>
    <reviewItem>
      <errorID>b6f7bd78-26e0-49ed-a062-f2a48a1dd2d4</errorID>
      <errorWord>～</errorWord>
      <group>L1_Format</group>
      <groupName>格式问题</groupName>
      <ability>L2_HalfPunc_CN</ability>
      <abilityName/>
      <candidateList>
        <item>~</item>
      </candidateList>
      <explain>文本全半角错误。</explain>
      <paraID>2456DFED</paraID>
      <start>2</start>
      <end>3</end>
      <status>unmodified</status>
      <modifiedWord/>
      <trackRevisions>false</trackRevisions>
    </reviewItem>
    <reviewItem>
      <errorID>31d23240-5786-4daa-b3b4-89bd957abac5</errorID>
      <errorWord>～</errorWord>
      <group>L1_Format</group>
      <groupName>格式问题</groupName>
      <ability>L2_HalfPunc_CN</ability>
      <abilityName/>
      <candidateList>
        <item>~</item>
      </candidateList>
      <explain>文本全半角错误。</explain>
      <paraID>400B3210</paraID>
      <start>2</start>
      <end>3</end>
      <status>unmodified</status>
      <modifiedWord/>
      <trackRevisions>false</trackRevisions>
    </reviewItem>
    <reviewItem>
      <errorID>4a90ece1-1551-4a1c-b29a-3bc129f98926</errorID>
      <errorWord>～</errorWord>
      <group>L1_Format</group>
      <groupName>格式问题</groupName>
      <ability>L2_HalfPunc_CN</ability>
      <abilityName/>
      <candidateList>
        <item>~</item>
      </candidateList>
      <explain>文本全半角错误。</explain>
      <paraID>67D30F5F</paraID>
      <start>3</start>
      <end>4</end>
      <status>unmodified</status>
      <modifiedWord/>
      <trackRevisions>false</trackRevisions>
    </reviewItem>
    <reviewItem>
      <errorID>aa4c223b-1e75-4312-b632-fb10808e6ef1</errorID>
      <errorWord>～</errorWord>
      <group>L1_Format</group>
      <groupName>格式问题</groupName>
      <ability>L2_HalfPunc_CN</ability>
      <abilityName/>
      <candidateList>
        <item>~</item>
      </candidateList>
      <explain>文本全半角错误。</explain>
      <paraID>49D74B8D</paraID>
      <start>3</start>
      <end>4</end>
      <status>unmodified</status>
      <modifiedWord/>
      <trackRevisions>false</trackRevisions>
    </reviewItem>
    <reviewItem>
      <errorID>4f4657b2-f704-4d4c-9cb7-c1e6e97ebe36</errorID>
      <errorWord>～</errorWord>
      <group>L1_Format</group>
      <groupName>格式问题</groupName>
      <ability>L2_HalfPunc_CN</ability>
      <abilityName/>
      <candidateList>
        <item>~</item>
      </candidateList>
      <explain>文本全半角错误。</explain>
      <paraID>54807052</paraID>
      <start>3</start>
      <end>4</end>
      <status>unmodified</status>
      <modifiedWord/>
      <trackRevisions>false</trackRevisions>
    </reviewItem>
    <reviewItem>
      <errorID>77ca564c-576c-4fc6-a700-f39228c22821</errorID>
      <errorWord>～</errorWord>
      <group>L1_Format</group>
      <groupName>格式问题</groupName>
      <ability>L2_HalfPunc_CN</ability>
      <abilityName/>
      <candidateList>
        <item>~</item>
      </candidateList>
      <explain>文本全半角错误。</explain>
      <paraID>3817BEA0</paraID>
      <start>2</start>
      <end>3</end>
      <status>unmodified</status>
      <modifiedWord/>
      <trackRevisions>false</trackRevisions>
    </reviewItem>
    <reviewItem>
      <errorID>7a487db4-1806-405e-818f-fa9fff538388</errorID>
      <errorWord>～</errorWord>
      <group>L1_Format</group>
      <groupName>格式问题</groupName>
      <ability>L2_HalfPunc_CN</ability>
      <abilityName/>
      <candidateList>
        <item>~</item>
      </candidateList>
      <explain>文本全半角错误。</explain>
      <paraID>789F8A35</paraID>
      <start>3</start>
      <end>4</end>
      <status>unmodified</status>
      <modifiedWord/>
      <trackRevisions>false</trackRevisions>
    </reviewItem>
    <reviewItem>
      <errorID>b29e4610-44a4-4432-9888-f805db54c932</errorID>
      <errorWord>～</errorWord>
      <group>L1_Format</group>
      <groupName>格式问题</groupName>
      <ability>L2_HalfPunc_CN</ability>
      <abilityName/>
      <candidateList>
        <item>~</item>
      </candidateList>
      <explain>文本全半角错误。</explain>
      <paraID> DFC1C70</paraID>
      <start>2</start>
      <end>3</end>
      <status>unmodified</status>
      <modifiedWord/>
      <trackRevisions>false</trackRevisions>
    </reviewItem>
    <reviewItem>
      <errorID>efb5afc7-e8a2-418d-a9a2-1d304c45a9a9</errorID>
      <errorWord>～</errorWord>
      <group>L1_Format</group>
      <groupName>格式问题</groupName>
      <ability>L2_HalfPunc_CN</ability>
      <abilityName/>
      <candidateList>
        <item>~</item>
      </candidateList>
      <explain>文本全半角错误。</explain>
      <paraID>3C366702</paraID>
      <start>2</start>
      <end>3</end>
      <status>unmodified</status>
      <modifiedWord/>
      <trackRevisions>false</trackRevisions>
    </reviewItem>
    <reviewItem>
      <errorID>8970c7db-69b4-4a7e-8879-3ebeb81eaa78</errorID>
      <errorWord>～</errorWord>
      <group>L1_Format</group>
      <groupName>格式问题</groupName>
      <ability>L2_HalfPunc_CN</ability>
      <abilityName/>
      <candidateList>
        <item>~</item>
      </candidateList>
      <explain>文本全半角错误。</explain>
      <paraID>621F35F2</paraID>
      <start>2</start>
      <end>3</end>
      <status>unmodified</status>
      <modifiedWord/>
      <trackRevisions>false</trackRevisions>
    </reviewItem>
    <reviewItem>
      <errorID>1f046622-2d6b-41d1-b710-e21600222c6c</errorID>
      <errorWord>其它</errorWord>
      <group>L1_Word</group>
      <groupName>字词问题</groupName>
      <ability>L2_Alias</ability>
      <abilityName>也作/曾用词</abilityName>
      <candidateList>
        <item>其他</item>
      </candidateList>
      <explain>词汇[其它]为不规范表述或旧称，其规范书面表述为[其他]。</explain>
      <paraID>793730A8</paraID>
      <start>67</start>
      <end>69</end>
      <status>modified</status>
      <modifiedWord>其他</modifiedWord>
      <trackRevisions>false</trackRevisions>
    </reviewItem>
    <reviewItem>
      <errorID>3b3d5361-f334-486b-a9a6-5a629e631bb8</errorID>
      <errorWord>珍惜</errorWord>
      <group>L1_Word</group>
      <groupName>字词问题</groupName>
      <ability>L2_Typo</ability>
      <abilityName>字词错误</abilityName>
      <candidateList>
        <item>珍稀</item>
      </candidateList>
      <explain>〈形〉珍贵而稀有：大熊猫、金丝猴、野牦牛是我国的～动物。</explain>
      <paraID>2396929E</paraID>
      <start>44</start>
      <end>46</end>
      <status>modified</status>
      <modifiedWord>珍稀</modifiedWord>
      <trackRevisions>false</trackRevisions>
    </reviewItem>
    <reviewItem>
      <errorID>c70b3853-2d97-47e8-b2cb-5174e318d9c2</errorID>
      <errorWord>辗轧</errorWord>
      <group>L1_Word</group>
      <groupName>字词问题</groupName>
      <ability>L2_Typo</ability>
      <abilityName>字词错误</abilityName>
      <candidateList>
        <item>碾轧</item>
      </candidateList>
      <explain>存在发音相同字词的误用。</explain>
      <paraID> B249508</paraID>
      <start>24</start>
      <end>26</end>
      <status>modified</status>
      <modifiedWord>碾轧</modifiedWord>
      <trackRevisions>false</trackRevisions>
    </reviewItem>
    <reviewItem>
      <errorID>31f933cf-d3b5-4ab8-b320-de6987303876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1C3FDB99</paraID>
      <start>0</start>
      <end>2</end>
      <status>unmodified</status>
      <modifiedWord/>
      <trackRevisions>false</trackRevisions>
    </reviewItem>
    <reviewItem>
      <errorID>ca017779-f0bf-4401-900a-67f8bee7e827</errorID>
      <errorWord>践踏</errorWord>
      <group>L1_Word</group>
      <groupName>字词问题</groupName>
      <ability>L2_Typo</ability>
      <abilityName>字词错误</abilityName>
      <candidateList>
        <item>踩踏</item>
      </candidateList>
      <explain/>
      <paraID>430F113F</paraID>
      <start>25</start>
      <end>27</end>
      <status>modified</status>
      <modifiedWord>踩踏</modifiedWord>
      <trackRevisions>false</trackRevisions>
    </reviewItem>
    <reviewItem>
      <errorID>1878b882-f3fd-4137-b23a-4798a567e8f5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31E4C3D4</paraID>
      <start>0</start>
      <end>2</end>
      <status>unmodified</status>
      <modifiedWord/>
      <trackRevisions>false</trackRevisions>
    </reviewItem>
    <reviewItem>
      <errorID>8f92a90d-753c-45f6-9c9f-40d8b7199857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72DC645A</paraID>
      <start>0</start>
      <end>2</end>
      <status>unmodified</status>
      <modifiedWord/>
      <trackRevisions>false</trackRevisions>
    </reviewItem>
    <reviewItem>
      <errorID>964d9c3b-bd4e-4056-b44a-0e71718ad0bd</errorID>
      <errorWord>期</errorWord>
      <group>L1_Word</group>
      <groupName>字词问题</groupName>
      <ability>L2_Typo</ability>
      <abilityName>字词错误</abilityName>
      <candidateList>
        <item>期间</item>
      </candidateList>
      <explain>〈名〉某个时期里面：农忙～｜春节～｜抗战～。</explain>
      <paraID>2F605550</paraID>
      <start>52</start>
      <end>53</end>
      <status>unmodified</status>
      <modifiedWord/>
      <trackRevisions>false</trackRevisions>
    </reviewItem>
    <reviewItem>
      <errorID>9daaf8e9-4595-487f-a456-192d89e2eabb</errorID>
      <errorWord>安生</errorWord>
      <group>L1_Word</group>
      <groupName>字词问题</groupName>
      <ability>L2_Typo</ability>
      <abilityName>字词错误</abilityName>
      <candidateList>
        <item>安身</item>
      </candidateList>
      <explain/>
      <paraID>7505837A</paraID>
      <start>58</start>
      <end>60</end>
      <status>modified</status>
      <modifiedWord>安身</modifiedWord>
      <trackRevisions>false</trackRevisions>
    </reviewItem>
    <reviewItem>
      <errorID>09f2949a-ca7f-4113-ad9b-7dc651816473</errorID>
      <errorWord>减小</errorWord>
      <group>L1_Grammar</group>
      <groupName>语法问题</groupName>
      <ability>L2_Grammar</ability>
      <abilityName>语法错误</abilityName>
      <candidateList>
        <item>减少</item>
      </candidateList>
      <explain>“减小～排放”搭配不当，建议修改为“减少～排放”。</explain>
      <paraID>7505837A</paraID>
      <start>74</start>
      <end>76</end>
      <status>unmodified</status>
      <modifiedWord/>
      <trackRevisions>false</trackRevisions>
    </reviewItem>
    <reviewItem>
      <errorID>ce372276-6ec6-4015-88dc-309eb657a31c</errorID>
      <errorWord>野生动的</errorWord>
      <group>L1_Word</group>
      <groupName>字词问题</groupName>
      <ability>L2_Typo</ability>
      <abilityName>字词错误</abilityName>
      <candidateList>
        <item>野生动物的</item>
      </candidateList>
      <explain/>
      <paraID>7505837A</paraID>
      <start>115</start>
      <end>120</end>
      <status>modified</status>
      <modifiedWord>野生动物的</modifiedWord>
      <trackRevisions>false</trackRevisions>
    </reviewItem>
    <reviewItem>
      <errorID>293df9b0-9c5a-4bed-bcef-dc101a995ca9</errorID>
      <errorWord>（</errorWord>
      <group>L1_Format</group>
      <groupName>格式问题</groupName>
      <ability>L2_HalfPunc_CN</ability>
      <abilityName/>
      <candidateList>
        <item>(</item>
      </candidateList>
      <explain>文本全半角错误。</explain>
      <paraID>6F2E9A2A</paraID>
      <start>0</start>
      <end>1</end>
      <status>unmodified</status>
      <modifiedWord/>
      <trackRevisions>false</trackRevisions>
    </reviewItem>
    <reviewItem>
      <errorID>ee8777d5-c0cb-42e1-9221-d4c3663a8f38</errorID>
      <errorWord>）</errorWord>
      <group>L1_Format</group>
      <groupName>格式问题</groupName>
      <ability>L2_HalfPunc_CN</ability>
      <abilityName/>
      <candidateList>
        <item>)</item>
      </candidateList>
      <explain>文本全半角错误。</explain>
      <paraID>6F2E9A2A</paraID>
      <start>6</start>
      <end>7</end>
      <status>unmodified</status>
      <modifiedWord/>
      <trackRevisions>false</trackRevisions>
    </reviewItem>
    <reviewItem>
      <errorID>db36c0d1-150f-43d6-ab53-7265666947dc</errorID>
      <errorWord>（</errorWord>
      <group>L1_Format</group>
      <groupName>格式问题</groupName>
      <ability>L2_HalfPunc_CN</ability>
      <abilityName/>
      <candidateList>
        <item>(</item>
      </candidateList>
      <explain>文本全半角错误。</explain>
      <paraID>679199C4</paraID>
      <start>0</start>
      <end>1</end>
      <status>unmodified</status>
      <modifiedWord/>
      <trackRevisions>false</trackRevisions>
    </reviewItem>
    <reviewItem>
      <errorID>60c79746-e0cc-4aa5-ae4b-133def7d3b61</errorID>
      <errorWord>）</errorWord>
      <group>L1_Format</group>
      <groupName>格式问题</groupName>
      <ability>L2_HalfPunc_CN</ability>
      <abilityName/>
      <candidateList>
        <item>)</item>
      </candidateList>
      <explain>文本全半角错误。</explain>
      <paraID>679199C4</paraID>
      <start>4</start>
      <end>5</end>
      <status>unmodified</status>
      <modifiedWord/>
      <trackRevisions>false</trackRevisions>
    </reviewItem>
    <reviewItem>
      <errorID>d9fceb31-9f62-4d7b-9f49-87000c612f63</errorID>
      <errorWord>-</errorWord>
      <group>L1_Format</group>
      <groupName>格式问题</groupName>
      <ability>L2_HalfPunc_CN</ability>
      <abilityName/>
      <candidateList>
        <item>－</item>
      </candidateList>
      <explain>文本全半角错误。</explain>
      <paraID>4028E838</paraID>
      <start>8</start>
      <end>9</end>
      <status>unmodified</status>
      <modifiedWord/>
      <trackRevisions>false</trackRevisions>
    </reviewItem>
    <reviewItem>
      <errorID>d13995fc-fb2b-4d4a-8405-94e07782f5ef</errorID>
      <errorWord>-</errorWord>
      <group>L1_Format</group>
      <groupName>格式问题</groupName>
      <ability>L2_HalfPunc_CN</ability>
      <abilityName/>
      <candidateList>
        <item>－</item>
      </candidateList>
      <explain>文本全半角错误。</explain>
      <paraID>4028E838</paraID>
      <start>11</start>
      <end>12</end>
      <status>unmodified</status>
      <modifiedWord/>
      <trackRevisions>false</trackRevisions>
    </reviewItem>
    <reviewItem>
      <errorID>2f4eb8f4-1632-47a8-b8da-451c34892f7c</errorID>
      <errorWord>～</errorWord>
      <group>L1_Format</group>
      <groupName>格式问题</groupName>
      <ability>L2_HalfPunc_CN</ability>
      <abilityName/>
      <candidateList>
        <item>~</item>
      </candidateList>
      <explain>文本全半角错误。</explain>
      <paraID>6B8FEB3D</paraID>
      <start>3</start>
      <end>4</end>
      <status>unmodified</status>
      <modifiedWord/>
      <trackRevisions>false</trackRevisions>
    </reviewItem>
    <reviewItem>
      <errorID>e2a5da9b-1b32-4b12-93de-d830abebe0f1</errorID>
      <errorWord>＜</errorWord>
      <group>L1_Format</group>
      <groupName>格式问题</groupName>
      <ability>L2_HalfPunc_CN</ability>
      <abilityName/>
      <candidateList>
        <item>&lt;</item>
      </candidateList>
      <explain>文本全半角错误。</explain>
      <paraID>4DD15FF9</paraID>
      <start>0</start>
      <end>1</end>
      <status>unmodified</status>
      <modifiedWord/>
      <trackRevisions>false</trackRevisions>
    </reviewItem>
    <reviewItem>
      <errorID>a5200b80-3fbd-4414-a3e6-188f8e0b2ed9</errorID>
      <errorWord>（/</errorWord>
      <group>L1_Punc</group>
      <groupName>标点问题</groupName>
      <ability>L2_Punc_CN</ability>
      <abilityName/>
      <candidateList>
        <item>（</item>
      </candidateList>
      <explain/>
      <paraID>2ACECC39</paraID>
      <start>7</start>
      <end>9</end>
      <status>unmodified</status>
      <modifiedWord/>
      <trackRevisions>false</trackRevisions>
    </reviewItem>
    <reviewItem>
      <errorID>c9362ad2-191b-42ec-8576-15b05201f5de</errorID>
      <errorWord>＞</errorWord>
      <group>L1_Format</group>
      <groupName>格式问题</groupName>
      <ability>L2_HalfPunc_CN</ability>
      <abilityName/>
      <candidateList>
        <item>&gt;</item>
      </candidateList>
      <explain>文本全半角错误。</explain>
      <paraID>25A255D8</paraID>
      <start>1</start>
      <end>2</end>
      <status>unmodified</status>
      <modifiedWord/>
      <trackRevisions>false</trackRevisions>
    </reviewItem>
    <reviewItem>
      <errorID>0571c166-f8c1-4901-8b7e-b15a939cdb5e</errorID>
      <errorWord>（/</errorWord>
      <group>L1_Punc</group>
      <groupName>标点问题</groupName>
      <ability>L2_Punc_CN</ability>
      <abilityName/>
      <candidateList>
        <item>（</item>
      </candidateList>
      <explain/>
      <paraID>2311C1DE</paraID>
      <start>4</start>
      <end>6</end>
      <status>unmodified</status>
      <modifiedWord/>
      <trackRevisions>false</trackRevisions>
    </reviewItem>
    <reviewItem>
      <errorID>f17ee4b3-2b1b-489b-91be-eaf847e8f2da</errorID>
      <errorWord>）</errorWord>
      <group>L1_Format</group>
      <groupName>格式问题</groupName>
      <ability>L2_HalfPunc_CN</ability>
      <abilityName/>
      <candidateList>
        <item>)</item>
      </candidateList>
      <explain>文本全半角错误。</explain>
      <paraID>2311C1DE</paraID>
      <start>6</start>
      <end>7</end>
      <status>unmodified</status>
      <modifiedWord/>
      <trackRevisions>false</trackRevisions>
    </reviewItem>
    <reviewItem>
      <errorID>2c65e2f7-54d2-4202-be54-89d0f1ea0e2a</errorID>
      <errorWord>（/</errorWord>
      <group>L1_Punc</group>
      <groupName>标点问题</groupName>
      <ability>L2_Punc_CN</ability>
      <abilityName/>
      <candidateList>
        <item>（</item>
      </candidateList>
      <explain/>
      <paraID>4C353784</paraID>
      <start>4</start>
      <end>6</end>
      <status>unmodified</status>
      <modifiedWord/>
      <trackRevisions>false</trackRevisions>
    </reviewItem>
    <reviewItem>
      <errorID>36a0e492-be4f-45b9-b4bd-0ea4c3b67404</errorID>
      <errorWord>）</errorWord>
      <group>L1_Format</group>
      <groupName>格式问题</groupName>
      <ability>L2_HalfPunc_CN</ability>
      <abilityName/>
      <candidateList>
        <item>)</item>
      </candidateList>
      <explain>文本全半角错误。</explain>
      <paraID>4C353784</paraID>
      <start>6</start>
      <end>7</end>
      <status>unmodified</status>
      <modifiedWord/>
      <trackRevisions>false</trackRevisions>
    </reviewItem>
    <reviewItem>
      <errorID>bc4e99d6-9798-44ad-a543-5e72451dc21d</errorID>
      <errorWord>（/</errorWord>
      <group>L1_Punc</group>
      <groupName>标点问题</groupName>
      <ability>L2_Punc_CN</ability>
      <abilityName/>
      <candidateList>
        <item>（</item>
      </candidateList>
      <explain/>
      <paraID>52AAC8F9</paraID>
      <start>5</start>
      <end>7</end>
      <status>unmodified</status>
      <modifiedWord/>
      <trackRevisions>false</trackRevisions>
    </reviewItem>
    <reviewItem>
      <errorID>e2ab0674-80f5-4eeb-bf71-b4359b589c28</errorID>
      <errorWord>）</errorWord>
      <group>L1_Format</group>
      <groupName>格式问题</groupName>
      <ability>L2_HalfPunc_CN</ability>
      <abilityName/>
      <candidateList>
        <item>)</item>
      </candidateList>
      <explain>文本全半角错误。</explain>
      <paraID>52AAC8F9</paraID>
      <start>7</start>
      <end>8</end>
      <status>unmodified</status>
      <modifiedWord/>
      <trackRevisions>false</trackRevisions>
    </reviewItem>
    <reviewItem>
      <errorID>5c748252-dd3f-4d0c-927b-bc3c56388189</errorID>
      <errorWord>~</errorWord>
      <group>L1_Format</group>
      <groupName>格式问题</groupName>
      <ability>L2_HalfPunc_CN</ability>
      <abilityName/>
      <candidateList>
        <item>～</item>
      </candidateList>
      <explain>文本全半角错误。</explain>
      <paraID>181438A3</paraID>
      <start>170</start>
      <end>171</end>
      <status>unmodified</status>
      <modifiedWord/>
      <trackRevisions>false</trackRevisions>
    </reviewItem>
    <reviewItem>
      <errorID>bbff617f-d26d-4551-ba98-b2b35d0daae6</errorID>
      <errorWord>，</errorWord>
      <group>L1_Word</group>
      <groupName>字词问题</groupName>
      <ability>L2_Typo</ability>
      <abilityName>字词错误</abilityName>
      <candidateList>
        <item>，事</item>
      </candidateList>
      <explain/>
      <paraID>181438A3</paraID>
      <start>240</start>
      <end>242</end>
      <status>modified</status>
      <modifiedWord>，事</modifiedWord>
      <trackRevisions>false</trackRevisions>
    </reviewItem>
    <reviewItem>
      <errorID>653c9eb1-b86e-4559-9b7b-7beaa266395f</errorID>
      <errorWord>；</errorWord>
      <group>L1_Word</group>
      <groupName>字词问题</groupName>
      <ability>L2_Typo</ability>
      <abilityName>字词错误</abilityName>
      <candidateList>
        <item>；有</item>
      </candidateList>
      <explain/>
      <paraID> 67D8583</paraID>
      <start>7</start>
      <end>9</end>
      <status>modified</status>
      <modifiedWord>；有</modifiedWord>
      <trackRevisions>false</trackRevisions>
    </reviewItem>
    <reviewItem>
      <errorID>fd99bc29-bedd-4b1f-9aae-15a5a94c76b1</errorID>
      <errorWord>（/</errorWord>
      <group>L1_Punc</group>
      <groupName>标点问题</groupName>
      <ability>L2_Punc_CN</ability>
      <abilityName/>
      <candidateList>
        <item>（</item>
      </candidateList>
      <explain/>
      <paraID>1E24B4A1</paraID>
      <start>0</start>
      <end>2</end>
      <status>unmodified</status>
      <modifiedWord/>
      <trackRevisions>false</trackRevisions>
    </reviewItem>
    <reviewItem>
      <errorID>2a1edef9-f2e9-4ac7-b200-20b7c3f3bec1</errorID>
      <errorWord>（/</errorWord>
      <group>L1_Punc</group>
      <groupName>标点问题</groupName>
      <ability>L2_Punc_CN</ability>
      <abilityName/>
      <candidateList>
        <item>（</item>
      </candidateList>
      <explain/>
      <paraID>32EFC21A</paraID>
      <start>7</start>
      <end>9</end>
      <status>unmodified</status>
      <modifiedWord/>
      <trackRevisions>false</trackRevisions>
    </reviewItem>
    <reviewItem>
      <errorID>4ec1e742-d533-46e6-b731-2a9b04a129e9</errorID>
      <errorWord>测</errorWord>
      <group>L1_Word</group>
      <groupName>字词问题</groupName>
      <ability>L2_Typo</ability>
      <abilityName>字词错误</abilityName>
      <candidateList>
        <item>的</item>
      </candidateList>
      <explain>“的”常用于连接修饰语与名词性中心语，表示属性、所属或描述。</explain>
      <paraID>156D56CB</paraID>
      <start>3</start>
      <end>4</end>
      <status>unmodified</status>
      <modifiedWord/>
      <trackRevisions>false</trackRevisions>
    </reviewItem>
    <reviewItem>
      <errorID>56bbf8c9-db59-4627-907d-14dca2d6c322</errorID>
      <errorWord>/）</errorWord>
      <group>L1_Punc</group>
      <groupName>标点问题</groupName>
      <ability>L2_Punc_CN</ability>
      <abilityName/>
      <candidateList>
        <item>）</item>
      </candidateList>
      <explain/>
      <paraID>3A1BF6DC</paraID>
      <start>7</start>
      <end>9</end>
      <status>unmodified</status>
      <modifiedWord/>
      <trackRevisions>false</trackRevisions>
    </reviewItem>
    <reviewItem>
      <errorID>5c3534b5-c93b-448a-9333-77a193bf8356</errorID>
      <errorWord>（/</errorWord>
      <group>L1_Punc</group>
      <groupName>标点问题</groupName>
      <ability>L2_Punc_CN</ability>
      <abilityName/>
      <candidateList>
        <item>（</item>
      </candidateList>
      <explain/>
      <paraID>3A1BF6DC</paraID>
      <start>25</start>
      <end>27</end>
      <status>unmodified</status>
      <modifiedWord/>
      <trackRevisions>false</trackRevisions>
    </reviewItem>
    <reviewItem>
      <errorID>a9fca370-34f7-4f2f-8fab-0e43886f8ede</errorID>
      <errorWord>（/</errorWord>
      <group>L1_Punc</group>
      <groupName>标点问题</groupName>
      <ability>L2_Punc_CN</ability>
      <abilityName/>
      <candidateList>
        <item>（</item>
      </candidateList>
      <explain/>
      <paraID>5BEB78FC</paraID>
      <start>0</start>
      <end>2</end>
      <status>unmodified</status>
      <modifiedWord/>
      <trackRevisions>false</trackRevisions>
    </reviewItem>
    <reviewItem>
      <errorID>d81a72d0-5525-448e-81b6-3b39d0acb0cd</errorID>
      <errorWord>（/</errorWord>
      <group>L1_Punc</group>
      <groupName>标点问题</groupName>
      <ability>L2_Punc_CN</ability>
      <abilityName/>
      <candidateList>
        <item>（</item>
      </candidateList>
      <explain/>
      <paraID> A9753E1</paraID>
      <start>0</start>
      <end>2</end>
      <status>unmodified</status>
      <modifiedWord/>
      <trackRevisions>false</trackRevisions>
    </reviewItem>
    <reviewItem>
      <errorID>9bf7acf8-7b06-4d4b-aaac-2266e74cc7ab</errorID>
      <errorWord>（/</errorWord>
      <group>L1_Punc</group>
      <groupName>标点问题</groupName>
      <ability>L2_Punc_CN</ability>
      <abilityName/>
      <candidateList>
        <item>（</item>
      </candidateList>
      <explain/>
      <paraID>3F3D60C1</paraID>
      <start>0</start>
      <end>2</end>
      <status>unmodified</status>
      <modifiedWord/>
      <trackRevisions>false</trackRevisions>
    </reviewItem>
    <reviewItem>
      <errorID>dac62fe5-03fb-4949-859b-08fa2429a317</errorID>
      <errorWord>（/</errorWord>
      <group>L1_Punc</group>
      <groupName>标点问题</groupName>
      <ability>L2_Punc_CN</ability>
      <abilityName/>
      <candidateList>
        <item>（</item>
      </candidateList>
      <explain/>
      <paraID>382863F8</paraID>
      <start>0</start>
      <end>2</end>
      <status>unmodified</status>
      <modifiedWord/>
      <trackRevisions>false</trackRevisions>
    </reviewItem>
    <reviewItem>
      <errorID>3a8b1287-0a81-4c1a-8b35-b4dfbf25265a</errorID>
      <errorWord>（/</errorWord>
      <group>L1_Punc</group>
      <groupName>标点问题</groupName>
      <ability>L2_Punc_CN</ability>
      <abilityName/>
      <candidateList>
        <item>（</item>
      </candidateList>
      <explain/>
      <paraID>1949A16C</paraID>
      <start>0</start>
      <end>2</end>
      <status>unmodified</status>
      <modifiedWord/>
      <trackRevisions>false</trackRevisions>
    </reviewItem>
    <reviewItem>
      <errorID>7be976c0-748f-4629-a2bb-d6f10eec8318</errorID>
      <errorWord>（/</errorWord>
      <group>L1_Punc</group>
      <groupName>标点问题</groupName>
      <ability>L2_Punc_CN</ability>
      <abilityName/>
      <candidateList>
        <item>（</item>
      </candidateList>
      <explain/>
      <paraID> EF2A285</paraID>
      <start>0</start>
      <end>2</end>
      <status>unmodified</status>
      <modifiedWord/>
      <trackRevisions>false</trackRevisions>
    </reviewItem>
    <reviewItem>
      <errorID>f54ecacf-b56f-4c67-93a8-39f8434c1981</errorID>
      <errorWord>（/</errorWord>
      <group>L1_Punc</group>
      <groupName>标点问题</groupName>
      <ability>L2_Punc_CN</ability>
      <abilityName/>
      <candidateList>
        <item>（</item>
      </candidateList>
      <explain/>
      <paraID>6F9F764B</paraID>
      <start>0</start>
      <end>2</end>
      <status>unmodified</status>
      <modifiedWord/>
      <trackRevisions>false</trackRevisions>
    </reviewItem>
    <reviewItem>
      <errorID>34c49c51-8a9b-4297-b043-3caae9845155</errorID>
      <errorWord>（/</errorWord>
      <group>L1_Punc</group>
      <groupName>标点问题</groupName>
      <ability>L2_Punc_CN</ability>
      <abilityName/>
      <candidateList>
        <item>（</item>
      </candidateList>
      <explain/>
      <paraID>1AD14FBE</paraID>
      <start>0</start>
      <end>2</end>
      <status>unmodified</status>
      <modifiedWord/>
      <trackRevisions>false</trackRevisions>
    </reviewItem>
    <reviewItem>
      <errorID>e33fc5bd-ebe9-46de-90fd-21388affc690</errorID>
      <errorWord>（/</errorWord>
      <group>L1_Punc</group>
      <groupName>标点问题</groupName>
      <ability>L2_Punc_CN</ability>
      <abilityName/>
      <candidateList>
        <item>（</item>
      </candidateList>
      <explain/>
      <paraID> 9CADF76</paraID>
      <start>0</start>
      <end>2</end>
      <status>unmodified</status>
      <modifiedWord/>
      <trackRevisions>false</trackRevisions>
    </reviewItem>
    <reviewItem>
      <errorID>fc7f98fc-8a5b-41bf-a1b4-c2dfcd1b2d80</errorID>
      <errorWord>（/</errorWord>
      <group>L1_Punc</group>
      <groupName>标点问题</groupName>
      <ability>L2_Punc_CN</ability>
      <abilityName/>
      <candidateList>
        <item>（</item>
      </candidateList>
      <explain/>
      <paraID>65038640</paraID>
      <start>0</start>
      <end>2</end>
      <status>unmodified</status>
      <modifiedWord/>
      <trackRevisions>false</trackRevisions>
    </reviewItem>
    <reviewItem>
      <errorID>1e00ca3e-e333-4bbe-8bcf-64111e003685</errorID>
      <errorWord>（/</errorWord>
      <group>L1_Punc</group>
      <groupName>标点问题</groupName>
      <ability>L2_Punc_CN</ability>
      <abilityName/>
      <candidateList>
        <item>（</item>
      </candidateList>
      <explain/>
      <paraID>1A620823</paraID>
      <start>0</start>
      <end>2</end>
      <status>unmodified</status>
      <modifiedWord/>
      <trackRevisions>false</trackRevisions>
    </reviewItem>
    <reviewItem>
      <errorID>90b78a46-42e7-4729-b71e-a86282fbeea8</errorID>
      <errorWord>（/</errorWord>
      <group>L1_Punc</group>
      <groupName>标点问题</groupName>
      <ability>L2_Punc_CN</ability>
      <abilityName/>
      <candidateList>
        <item>（</item>
      </candidateList>
      <explain/>
      <paraID>6636B326</paraID>
      <start>0</start>
      <end>2</end>
      <status>unmodified</status>
      <modifiedWord/>
      <trackRevisions>false</trackRevisions>
    </reviewItem>
    <reviewItem>
      <errorID>46b18de2-e1d9-4b84-912d-2dad801434e1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7EBC593C</paraID>
      <start>0</start>
      <end>2</end>
      <status>unmodified</status>
      <modifiedWord/>
      <trackRevisions>false</trackRevisions>
    </reviewItem>
    <reviewItem>
      <errorID>6df2972e-8232-4019-8137-898563010464</errorID>
      <errorWord>主要以含碳硅质板岩和大理岩为主</errorWord>
      <group>L1_Grammar</group>
      <groupName>语法问题</groupName>
      <ability>L2_Grammar</ability>
      <abilityName>语法错误</abilityName>
      <candidateList>
        <item>以含碳硅质板岩和大理岩为主</item>
      </candidateList>
      <explain/>
      <paraID>6AC3C28B</paraID>
      <start>57</start>
      <end>70</end>
      <status>modified</status>
      <modifiedWord>以含碳硅质板岩和大理岩为主</modifiedWord>
      <trackRevisions>false</trackRevisions>
    </reviewItem>
    <reviewItem>
      <errorID>ce5d21d9-2295-4ec3-be32-49ef5c98dc6b</errorID>
      <errorWord>形成了</errorWord>
      <group>L1_Word</group>
      <groupName>字词问题</groupName>
      <ability>L2_Typo</ability>
      <abilityName>字词错误</abilityName>
      <candidateList>
        <item>形成</item>
      </candidateList>
      <explain>〈动〉通过发展变化而成为具有某种特点的事物，或者出现某种情形或局面：销售网已经～｜～鲜明的对比｜～难以打破的僵局。</explain>
      <paraID>6AC3C28B</paraID>
      <start>162</start>
      <end>164</end>
      <status>modified</status>
      <modifiedWord>形成</modifiedWord>
      <trackRevisions>false</trackRevisions>
    </reviewItem>
    <reviewItem>
      <errorID>a58d8660-089e-4b62-839f-5283e14dbd36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3572A694</paraID>
      <start>0</start>
      <end>2</end>
      <status>unmodified</status>
      <modifiedWord/>
      <trackRevisions>false</trackRevisions>
    </reviewItem>
    <reviewItem>
      <errorID>f38404a3-0fc9-49ca-9698-52f764c89e69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5D3BD36C</paraID>
      <start>0</start>
      <end>2</end>
      <status>unmodified</status>
      <modifiedWord/>
      <trackRevisions>false</trackRevisions>
    </reviewItem>
    <reviewItem>
      <errorID>944b9982-fcfb-4c17-b99e-a9dc3abae724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5997518E</paraID>
      <start>0</start>
      <end>2</end>
      <status>unmodified</status>
      <modifiedWord/>
      <trackRevisions>false</trackRevisions>
    </reviewItem>
    <reviewItem>
      <errorID>94dbc09a-b817-4bae-bbc5-e27797425618</errorID>
      <errorWord>是由于污染物迁移穿过包气带进入含水层造成</errorWord>
      <group>L1_Grammar</group>
      <groupName>语法问题</groupName>
      <ability>L2_Grammar</ability>
      <abilityName>语法错误</abilityName>
      <candidateList>
        <item>是由于污染物迁移穿过包气带进入含水层</item>
      </candidateList>
      <explain/>
      <paraID>4C95A41D</paraID>
      <start>14</start>
      <end>34</end>
      <status>unmodified</status>
      <modifiedWord/>
      <trackRevisions>false</trackRevisions>
    </reviewItem>
    <reviewItem>
      <errorID>2df0faac-d14f-476d-a7a8-91b98adc3949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131FE2AD</paraID>
      <start>70</start>
      <end>71</end>
      <status>unmodified</status>
      <modifiedWord/>
      <trackRevisions>false</trackRevisions>
    </reviewItem>
    <reviewItem>
      <errorID>d95b4a0f-4c02-4389-8a82-34e81622db8a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131FE2AD</paraID>
      <start>85</start>
      <end>86</end>
      <status>unmodified</status>
      <modifiedWord/>
      <trackRevisions>false</trackRevisions>
    </reviewItem>
    <reviewItem>
      <errorID>74625484-dc79-49b9-b6e1-f3f5c42de5df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131FE2AD</paraID>
      <start>200</start>
      <end>201</end>
      <status>unmodified</status>
      <modifiedWord/>
      <trackRevisions>false</trackRevisions>
    </reviewItem>
    <reviewItem>
      <errorID>ee07c40c-3da7-434f-8fbc-8423252817de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131FE2AD</paraID>
      <start>295</start>
      <end>296</end>
      <status>unmodified</status>
      <modifiedWord/>
      <trackRevisions>false</trackRevisions>
    </reviewItem>
    <reviewItem>
      <errorID>31c5c673-f9fd-476e-b937-3d42b04cfe71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131FE2AD</paraID>
      <start>395</start>
      <end>396</end>
      <status>unmodified</status>
      <modifiedWord/>
      <trackRevisions>false</trackRevisions>
    </reviewItem>
    <reviewItem>
      <errorID>cec07f6a-a3a1-4ac4-a09a-d751f9129add</errorID>
      <errorWord>为</errorWord>
      <group>L1_Word</group>
      <groupName>字词问题</groupName>
      <ability>L2_Typo</ability>
      <abilityName>字词错误</abilityName>
      <candidateList>
        <item>为一</item>
      </candidateList>
      <explain/>
      <paraID>693EDEED</paraID>
      <start>60</start>
      <end>61</end>
      <status>unmodified</status>
      <modifiedWord/>
      <trackRevisions>false</trackRevisions>
    </reviewItem>
    <reviewItem>
      <errorID>c0624146-7753-45d7-9a19-2095e5c13640</errorID>
      <errorWord>~</errorWord>
      <group>L1_Format</group>
      <groupName>格式问题</groupName>
      <ability>L2_HalfPunc_CN</ability>
      <abilityName/>
      <candidateList>
        <item>～</item>
      </candidateList>
      <explain>文本全半角错误。</explain>
      <paraID>63A38BDA</paraID>
      <start>70</start>
      <end>71</end>
      <status>unmodified</status>
      <modifiedWord/>
      <trackRevisions>false</trackRevisions>
    </reviewItem>
    <reviewItem>
      <errorID>35d957c3-b30b-44bb-a885-3af2f493046c</errorID>
      <errorWord>~</errorWord>
      <group>L1_Format</group>
      <groupName>格式问题</groupName>
      <ability>L2_HalfPunc_CN</ability>
      <abilityName/>
      <candidateList>
        <item>～</item>
      </candidateList>
      <explain>文本全半角错误。</explain>
      <paraID> D64D141</paraID>
      <start>38</start>
      <end>39</end>
      <status>unmodified</status>
      <modifiedWord/>
      <trackRevisions>false</trackRevisions>
    </reviewItem>
    <reviewItem>
      <errorID>7d1eee27-285c-4ccc-b7f0-a694ef1feaf2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52259F88</paraID>
      <start>0</start>
      <end>2</end>
      <status>unmodified</status>
      <modifiedWord/>
      <trackRevisions>false</trackRevisions>
    </reviewItem>
    <reviewItem>
      <errorID>09ac74b6-1142-4a64-9f8b-9051f08a6ca1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5042EAE6</paraID>
      <start>0</start>
      <end>2</end>
      <status>unmodified</status>
      <modifiedWord/>
      <trackRevisions>false</trackRevisions>
    </reviewItem>
    <reviewItem>
      <errorID>c5724cb9-f760-414b-a3f2-c4957cecd506</errorID>
      <errorWord>)</errorWord>
      <group>L1_Format</group>
      <groupName>格式问题</groupName>
      <ability>L2_HalfPunc_CN</ability>
      <abilityName/>
      <candidateList>
        <item>）</item>
      </candidateList>
      <explain>文本全半角错误。</explain>
      <paraID> 23DC45B</paraID>
      <start>14</start>
      <end>15</end>
      <status>unmodified</status>
      <modifiedWord/>
      <trackRevisions>false</trackRevisions>
    </reviewItem>
    <reviewItem>
      <errorID>4a8dcac0-8f3a-481f-acad-478b65024761</errorID>
      <errorWord>（</errorWord>
      <group>L1_Punc</group>
      <groupName>标点问题</groupName>
      <ability>L2_Punc_CN</ability>
      <abilityName/>
      <candidateList/>
      <explain>同一形式括号套用。</explain>
      <paraID>4D18BE41</paraID>
      <start>31</start>
      <end>32</end>
      <status>unmodified</status>
      <modifiedWord/>
      <trackRevisions>false</trackRevisions>
    </reviewItem>
    <reviewItem>
      <errorID>50af1648-936e-4d79-89c4-29ab587ab41f</errorID>
      <errorWord>）</errorWord>
      <group>L1_Punc</group>
      <groupName>标点问题</groupName>
      <ability>L2_Punc_CN</ability>
      <abilityName/>
      <candidateList/>
      <explain>同一形式括号套用。</explain>
      <paraID>4D18BE41</paraID>
      <start>33</start>
      <end>34</end>
      <status>unmodified</status>
      <modifiedWord/>
      <trackRevisions>false</trackRevisions>
    </reviewItem>
    <reviewItem>
      <errorID>1013fefb-9d19-442d-98dd-1303e2c7935c</errorID>
      <errorWord>r、</errorWord>
      <group>L1_Format</group>
      <groupName>格式问题</groupName>
      <ability>L2_Ordinal</ability>
      <abilityName>序号格式</abilityName>
      <candidateList>
        <item>r.</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39BDCAF1</paraID>
      <start>0</start>
      <end>2</end>
      <status>unmodified</status>
      <modifiedWord/>
      <trackRevisions>false</trackRevisions>
    </reviewItem>
    <reviewItem>
      <errorID>d1468560-5225-4dbd-8d9c-d7963593a9ab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161D5AAF</paraID>
      <start>0</start>
      <end>2</end>
      <status>unmodified</status>
      <modifiedWord/>
      <trackRevisions>false</trackRevisions>
    </reviewItem>
    <reviewItem>
      <errorID>94ddad38-a365-464c-a52f-ba5829242f11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C52B4E9</paraID>
      <start>0</start>
      <end>2</end>
      <status>unmodified</status>
      <modifiedWord/>
      <trackRevisions>false</trackRevisions>
    </reviewItem>
    <reviewItem>
      <errorID>4ee9d354-ccfe-4940-b589-28055182d747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4B186100</paraID>
      <start>0</start>
      <end>2</end>
      <status>unmodified</status>
      <modifiedWord/>
      <trackRevisions>false</trackRevisions>
    </reviewItem>
    <reviewItem>
      <errorID>fb7decae-24c7-4b3c-a8ae-1f8604927ae1</errorID>
      <errorWord>）</errorWord>
      <group>L1_Word</group>
      <groupName>字词问题</groupName>
      <ability>L2_Typo</ability>
      <abilityName>字词错误</abilityName>
      <candidateList>
        <item>）和</item>
      </candidateList>
      <explain/>
      <paraID>2F82E672</paraID>
      <start>108</start>
      <end>110</end>
      <status>modified</status>
      <modifiedWord>）和</modifiedWord>
      <trackRevisions>false</trackRevisions>
    </reviewItem>
    <reviewItem>
      <errorID>2e613de8-2b71-436e-8629-1a021be3f45e</errorID>
      <errorWord>~</errorWord>
      <group>L1_Format</group>
      <groupName>格式问题</groupName>
      <ability>L2_HalfPunc_CN</ability>
      <abilityName/>
      <candidateList>
        <item>～</item>
      </candidateList>
      <explain>文本全半角错误。</explain>
      <paraID>1B5F2694</paraID>
      <start>35</start>
      <end>36</end>
      <status>unmodified</status>
      <modifiedWord/>
      <trackRevisions>false</trackRevisions>
    </reviewItem>
    <reviewItem>
      <errorID>63f35e08-7cd4-4332-b83b-ca068ea1eaa2</errorID>
      <errorWord>（</errorWord>
      <group>L1_Format</group>
      <groupName>格式问题</groupName>
      <ability>L2_HalfPunc_CN</ability>
      <abilityName/>
      <candidateList>
        <item>(</item>
      </candidateList>
      <explain>文本全半角错误。</explain>
      <paraID>4CFB8EA1</paraID>
      <start>15</start>
      <end>16</end>
      <status>unmodified</status>
      <modifiedWord/>
      <trackRevisions>false</trackRevisions>
    </reviewItem>
    <reviewItem>
      <errorID>c4da211f-614f-4373-a90b-f2a862e961cb</errorID>
      <errorWord>）</errorWord>
      <group>L1_Format</group>
      <groupName>格式问题</groupName>
      <ability>L2_HalfPunc_CN</ability>
      <abilityName/>
      <candidateList>
        <item>)</item>
      </candidateList>
      <explain>文本全半角错误。</explain>
      <paraID>4CFB8EA1</paraID>
      <start>22</start>
      <end>23</end>
      <status>unmodified</status>
      <modifiedWord/>
      <trackRevisions>false</trackRevisions>
    </reviewItem>
    <reviewItem>
      <errorID>eab96e2e-738b-4f0a-a315-6c02466209b0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3E5177B2</paraID>
      <start>14</start>
      <end>15</end>
      <status>unmodified</status>
      <modifiedWord/>
      <trackRevisions>false</trackRevisions>
    </reviewItem>
    <reviewItem>
      <errorID>0479da12-5248-4038-8a53-ddd68f1bceb4</errorID>
      <errorWord>（</errorWord>
      <group>L1_Format</group>
      <groupName>格式问题</groupName>
      <ability>L2_HalfPunc_CN</ability>
      <abilityName/>
      <candidateList>
        <item>(</item>
      </candidateList>
      <explain>文本全半角错误。</explain>
      <paraID>26F026FC</paraID>
      <start>7</start>
      <end>8</end>
      <status>unmodified</status>
      <modifiedWord/>
      <trackRevisions>false</trackRevisions>
    </reviewItem>
    <reviewItem>
      <errorID>43741025-1fd0-49e2-b4ef-a965b0f4fa52</errorID>
      <errorWord>）</errorWord>
      <group>L1_Format</group>
      <groupName>格式问题</groupName>
      <ability>L2_HalfPunc_CN</ability>
      <abilityName/>
      <candidateList>
        <item>)</item>
      </candidateList>
      <explain>文本全半角错误。</explain>
      <paraID>26F026FC</paraID>
      <start>24</start>
      <end>25</end>
      <status>unmodified</status>
      <modifiedWord/>
      <trackRevisions>false</trackRevisions>
    </reviewItem>
    <reviewItem>
      <errorID>ae958b44-9dfa-4e92-9490-da89be305675</errorID>
      <errorWord>（</errorWord>
      <group>L1_Format</group>
      <groupName>格式问题</groupName>
      <ability>L2_HalfPunc_CN</ability>
      <abilityName/>
      <candidateList>
        <item>(</item>
      </candidateList>
      <explain>文本全半角错误。</explain>
      <paraID>4D642B61</paraID>
      <start>7</start>
      <end>8</end>
      <status>unmodified</status>
      <modifiedWord/>
      <trackRevisions>false</trackRevisions>
    </reviewItem>
    <reviewItem>
      <errorID>8b5df9dd-eaeb-4fe9-b1ed-d5db94429fe3</errorID>
      <errorWord>）</errorWord>
      <group>L1_Format</group>
      <groupName>格式问题</groupName>
      <ability>L2_HalfPunc_CN</ability>
      <abilityName/>
      <candidateList>
        <item>)</item>
      </candidateList>
      <explain>文本全半角错误。</explain>
      <paraID>4D642B61</paraID>
      <start>24</start>
      <end>25</end>
      <status>unmodified</status>
      <modifiedWord/>
      <trackRevisions>false</trackRevisions>
    </reviewItem>
    <reviewItem>
      <errorID>65d089f6-47b0-4dfa-8917-c524f89a6ad8</errorID>
      <errorWord>（</errorWord>
      <group>L1_Format</group>
      <groupName>格式问题</groupName>
      <ability>L2_HalfPunc_CN</ability>
      <abilityName/>
      <candidateList>
        <item>(</item>
      </candidateList>
      <explain>文本全半角错误。</explain>
      <paraID>3FAE244C</paraID>
      <start>7</start>
      <end>8</end>
      <status>unmodified</status>
      <modifiedWord/>
      <trackRevisions>false</trackRevisions>
    </reviewItem>
    <reviewItem>
      <errorID>08c2bd5d-e0a8-43ae-8645-ba1cb3e75785</errorID>
      <errorWord>）</errorWord>
      <group>L1_Format</group>
      <groupName>格式问题</groupName>
      <ability>L2_HalfPunc_CN</ability>
      <abilityName/>
      <candidateList>
        <item>)</item>
      </candidateList>
      <explain>文本全半角错误。</explain>
      <paraID>3FAE244C</paraID>
      <start>24</start>
      <end>25</end>
      <status>unmodified</status>
      <modifiedWord/>
      <trackRevisions>false</trackRevisions>
    </reviewItem>
    <reviewItem>
      <errorID>99d4aeda-d063-4105-bc21-88c9423424d6</errorID>
      <errorWord>（</errorWord>
      <group>L1_Format</group>
      <groupName>格式问题</groupName>
      <ability>L2_HalfPunc_CN</ability>
      <abilityName/>
      <candidateList>
        <item>(</item>
      </candidateList>
      <explain>文本全半角错误。</explain>
      <paraID>598525A9</paraID>
      <start>7</start>
      <end>8</end>
      <status>unmodified</status>
      <modifiedWord/>
      <trackRevisions>false</trackRevisions>
    </reviewItem>
    <reviewItem>
      <errorID>8cdb0e85-c104-422b-8329-59603066034c</errorID>
      <errorWord>）</errorWord>
      <group>L1_Format</group>
      <groupName>格式问题</groupName>
      <ability>L2_HalfPunc_CN</ability>
      <abilityName/>
      <candidateList>
        <item>)</item>
      </candidateList>
      <explain>文本全半角错误。</explain>
      <paraID>598525A9</paraID>
      <start>22</start>
      <end>23</end>
      <status>unmodified</status>
      <modifiedWord/>
      <trackRevisions>false</trackRevisions>
    </reviewItem>
    <reviewItem>
      <errorID>c3b80de1-0a0a-4e14-8fe4-1f825df0381d</errorID>
      <errorWord>（</errorWord>
      <group>L1_Format</group>
      <groupName>格式问题</groupName>
      <ability>L2_HalfPunc_CN</ability>
      <abilityName/>
      <candidateList>
        <item>(</item>
      </candidateList>
      <explain>文本全半角错误。</explain>
      <paraID>2328E3FF</paraID>
      <start>7</start>
      <end>8</end>
      <status>unmodified</status>
      <modifiedWord/>
      <trackRevisions>false</trackRevisions>
    </reviewItem>
    <reviewItem>
      <errorID>512d0673-1d71-4ea8-bd7c-b93a3834b646</errorID>
      <errorWord>）</errorWord>
      <group>L1_Format</group>
      <groupName>格式问题</groupName>
      <ability>L2_HalfPunc_CN</ability>
      <abilityName/>
      <candidateList>
        <item>)</item>
      </candidateList>
      <explain>文本全半角错误。</explain>
      <paraID>2328E3FF</paraID>
      <start>22</start>
      <end>23</end>
      <status>unmodified</status>
      <modifiedWord/>
      <trackRevisions>false</trackRevisions>
    </reviewItem>
    <reviewItem>
      <errorID>887f95bf-6814-4e37-b566-f3e764adb026</errorID>
      <errorWord>，</errorWord>
      <group>L1_Format</group>
      <groupName>格式问题</groupName>
      <ability>L2_HalfPunc_CN</ability>
      <abilityName/>
      <candidateList>
        <item>, </item>
      </candidateList>
      <explain>文本全半角错误。</explain>
      <paraID>5D775A96</paraID>
      <start>14</start>
      <end>15</end>
      <status>unmodified</status>
      <modifiedWord/>
      <trackRevisions>false</trackRevisions>
    </reviewItem>
    <reviewItem>
      <errorID>deab49e5-bef0-4b45-b849-6fba5b76dc3f</errorID>
      <errorWord>，</errorWord>
      <group>L1_Format</group>
      <groupName>格式问题</groupName>
      <ability>L2_HalfPunc_CN</ability>
      <abilityName/>
      <candidateList>
        <item>, </item>
      </candidateList>
      <explain>文本全半角错误。</explain>
      <paraID>684E0C71</paraID>
      <start>15</start>
      <end>16</end>
      <status>unmodified</status>
      <modifiedWord/>
      <trackRevisions>false</trackRevisions>
    </reviewItem>
    <reviewItem>
      <errorID>c5ad2152-af04-43c7-8a37-2fcd151a7750</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7BB1DB63</paraID>
      <start>89</start>
      <end>90</end>
      <status>unmodified</status>
      <modifiedWord/>
      <trackRevisions>false</trackRevisions>
    </reviewItem>
    <reviewItem>
      <errorID>0744c1ed-2d21-4333-bedb-6df556ef2f71</errorID>
      <errorWord>~</errorWord>
      <group>L1_Format</group>
      <groupName>格式问题</groupName>
      <ability>L2_HalfPunc_CN</ability>
      <abilityName/>
      <candidateList>
        <item>～</item>
      </candidateList>
      <explain>文本全半角错误。</explain>
      <paraID>7BB1DB63</paraID>
      <start>112</start>
      <end>113</end>
      <status>unmodified</status>
      <modifiedWord/>
      <trackRevisions>false</trackRevisions>
    </reviewItem>
    <reviewItem>
      <errorID>524949da-6cc1-46e4-9b56-884f5fc79307</errorID>
      <errorWord>~</errorWord>
      <group>L1_Format</group>
      <groupName>格式问题</groupName>
      <ability>L2_HalfPunc_CN</ability>
      <abilityName/>
      <candidateList>
        <item>～</item>
      </candidateList>
      <explain>文本全半角错误。</explain>
      <paraID> 297E9CE</paraID>
      <start>55</start>
      <end>56</end>
      <status>unmodified</status>
      <modifiedWord/>
      <trackRevisions>false</trackRevisions>
    </reviewItem>
    <reviewItem>
      <errorID>7b91556f-1c60-4c75-ba92-9633d7ab85f3</errorID>
      <errorWord>（</errorWord>
      <group>L1_Format</group>
      <groupName>格式问题</groupName>
      <ability>L2_HalfPunc_CN</ability>
      <abilityName/>
      <candidateList>
        <item>(</item>
      </candidateList>
      <explain>文本全半角错误。</explain>
      <paraID>5DD8DA8A</paraID>
      <start>0</start>
      <end>1</end>
      <status>unmodified</status>
      <modifiedWord/>
      <trackRevisions>false</trackRevisions>
    </reviewItem>
    <reviewItem>
      <errorID>1cc5c46f-629c-4821-8c79-a452ca377729</errorID>
      <errorWord>）</errorWord>
      <group>L1_Format</group>
      <groupName>格式问题</groupName>
      <ability>L2_HalfPunc_CN</ability>
      <abilityName/>
      <candidateList>
        <item>)</item>
      </candidateList>
      <explain>文本全半角错误。</explain>
      <paraID>5DD8DA8A</paraID>
      <start>6</start>
      <end>7</end>
      <status>unmodified</status>
      <modifiedWord/>
      <trackRevisions>false</trackRevisions>
    </reviewItem>
    <reviewItem>
      <errorID>9d9181f8-4e1b-4f3f-873a-9962d7d628a7</errorID>
      <errorWord>）</errorWord>
      <group>L1_Format</group>
      <groupName>格式问题</groupName>
      <ability>L2_HalfPunc_CN</ability>
      <abilityName/>
      <candidateList>
        <item>)</item>
      </candidateList>
      <explain>文本全半角错误。</explain>
      <paraID> 630F1C3</paraID>
      <start>1</start>
      <end>2</end>
      <status>unmodified</status>
      <modifiedWord/>
      <trackRevisions>false</trackRevisions>
    </reviewItem>
    <reviewItem>
      <errorID>f198aeb2-ba11-4826-9eca-aeaec159bec3</errorID>
      <errorWord>；</errorWord>
      <group>L1_Format</group>
      <groupName>格式问题</groupName>
      <ability>L2_HalfPunc_CN</ability>
      <abilityName/>
      <candidateList>
        <item>; </item>
      </candidateList>
      <explain>文本全半角错误。</explain>
      <paraID> 630F1C3</paraID>
      <start>3</start>
      <end>4</end>
      <status>unmodified</status>
      <modifiedWord/>
      <trackRevisions>false</trackRevisions>
    </reviewItem>
    <reviewItem>
      <errorID>03e5d2eb-4b91-4c3a-a312-c3085328ae1e</errorID>
      <errorWord>）</errorWord>
      <group>L1_Format</group>
      <groupName>格式问题</groupName>
      <ability>L2_HalfPunc_CN</ability>
      <abilityName/>
      <candidateList>
        <item>)</item>
      </candidateList>
      <explain>文本全半角错误。</explain>
      <paraID> 630F1C3</paraID>
      <start>5</start>
      <end>6</end>
      <status>unmodified</status>
      <modifiedWord/>
      <trackRevisions>false</trackRevisions>
    </reviewItem>
    <reviewItem>
      <errorID>f38a1bc2-a519-4a0e-af07-f624dd12c601</errorID>
      <errorWord>；</errorWord>
      <group>L1_Format</group>
      <groupName>格式问题</groupName>
      <ability>L2_HalfPunc_CN</ability>
      <abilityName/>
      <candidateList>
        <item>; </item>
      </candidateList>
      <explain>文本全半角错误。</explain>
      <paraID> 630F1C3</paraID>
      <start>7</start>
      <end>8</end>
      <status>unmodified</status>
      <modifiedWord/>
      <trackRevisions>false</trackRevisions>
    </reviewItem>
    <reviewItem>
      <errorID>89416f8b-de97-46a9-9ffa-d4e70ab7ace8</errorID>
      <errorWord>）</errorWord>
      <group>L1_Format</group>
      <groupName>格式问题</groupName>
      <ability>L2_HalfPunc_CN</ability>
      <abilityName/>
      <candidateList>
        <item>)</item>
      </candidateList>
      <explain>文本全半角错误。</explain>
      <paraID> 630F1C3</paraID>
      <start>9</start>
      <end>10</end>
      <status>unmodified</status>
      <modifiedWord/>
      <trackRevisions>false</trackRevisions>
    </reviewItem>
    <reviewItem>
      <errorID>2e9fc810-07be-43dc-8aa7-30b4b74fa717</errorID>
      <errorWord>；</errorWord>
      <group>L1_Format</group>
      <groupName>格式问题</groupName>
      <ability>L2_HalfPunc_CN</ability>
      <abilityName/>
      <candidateList>
        <item>; </item>
      </candidateList>
      <explain>文本全半角错误。</explain>
      <paraID> 630F1C3</paraID>
      <start>11</start>
      <end>12</end>
      <status>unmodified</status>
      <modifiedWord/>
      <trackRevisions>false</trackRevisions>
    </reviewItem>
    <reviewItem>
      <errorID>30db3336-721f-4d76-9e9d-1d4964446c9d</errorID>
      <errorWord>）</errorWord>
      <group>L1_Format</group>
      <groupName>格式问题</groupName>
      <ability>L2_HalfPunc_CN</ability>
      <abilityName/>
      <candidateList>
        <item>)</item>
      </candidateList>
      <explain>文本全半角错误。</explain>
      <paraID> 630F1C3</paraID>
      <start>13</start>
      <end>14</end>
      <status>unmodified</status>
      <modifiedWord/>
      <trackRevisions>false</trackRevisions>
    </reviewItem>
    <reviewItem>
      <errorID>7f46c707-59ea-4a88-af01-16f7df8001a3</errorID>
      <errorWord>~</errorWord>
      <group>L1_Format</group>
      <groupName>格式问题</groupName>
      <ability>L2_HalfPunc_CN</ability>
      <abilityName/>
      <candidateList>
        <item>～</item>
      </candidateList>
      <explain>文本全半角错误。</explain>
      <paraID>7A2E2C66</paraID>
      <start>3</start>
      <end>4</end>
      <status>unmodified</status>
      <modifiedWord/>
      <trackRevisions>false</trackRevisions>
    </reviewItem>
    <reviewItem>
      <errorID>2c02e433-aed9-49f7-bfa5-c16c0749b5e1</errorID>
      <errorWord>~</errorWord>
      <group>L1_Format</group>
      <groupName>格式问题</groupName>
      <ability>L2_HalfPunc_CN</ability>
      <abilityName/>
      <candidateList>
        <item>～</item>
      </candidateList>
      <explain>文本全半角错误。</explain>
      <paraID>5FE920A4</paraID>
      <start>3</start>
      <end>4</end>
      <status>unmodified</status>
      <modifiedWord/>
      <trackRevisions>false</trackRevisions>
    </reviewItem>
    <reviewItem>
      <errorID>9aeae69b-f11a-4f0f-84a7-8c69f503305c</errorID>
      <errorWord>测</errorWord>
      <group>L1_Word</group>
      <groupName>字词问题</groupName>
      <ability>L2_Typo</ability>
      <abilityName>字词错误</abilityName>
      <candidateList>
        <item>的</item>
      </candidateList>
      <explain>“的”常用于连接修饰语与名词性中心语，表示属性、所属或描述。</explain>
      <paraID>3E90B9FD</paraID>
      <start>3</start>
      <end>4</end>
      <status>unmodified</status>
      <modifiedWord/>
      <trackRevisions>false</trackRevisions>
    </reviewItem>
    <reviewItem>
      <errorID>c3f85ca1-87dc-4637-afac-7948f3b0c5e5</errorID>
      <errorWord>程</errorWord>
      <group>L1_Word</group>
      <groupName>字词问题</groupName>
      <ability>L2_Typo</ability>
      <abilityName>字词错误</abilityName>
      <candidateList>
        <item>程中</item>
      </candidateList>
      <explain/>
      <paraID>1C41E3CF</paraID>
      <start>14</start>
      <end>15</end>
      <status>unmodified</status>
      <modifiedWord/>
      <trackRevisions>false</trackRevisions>
    </reviewItem>
    <reviewItem>
      <errorID>4298f523-dcf2-4463-9ae9-93a1b7e47250</errorID>
      <errorWord>生产</errorWord>
      <group>L1_Word</group>
      <groupName>字词问题</groupName>
      <ability>L2_Typo</ability>
      <abilityName>字词错误</abilityName>
      <candidateList>
        <item>产生</item>
      </candidateList>
      <explain/>
      <paraID>4F1227C0</paraID>
      <start>45</start>
      <end>47</end>
      <status>modified</status>
      <modifiedWord>产生</modifiedWord>
      <trackRevisions>false</trackRevisions>
    </reviewItem>
    <reviewItem>
      <errorID>1f32afa7-9e2b-4b16-aa6f-a241823a089d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4489E702</paraID>
      <start>0</start>
      <end>2</end>
      <status>unmodified</status>
      <modifiedWord/>
      <trackRevisions>false</trackRevisions>
    </reviewItem>
    <reviewItem>
      <errorID>b048ecd1-9a01-4af2-bfce-45f6a4c5ee8d</errorID>
      <errorWord>辗轧</errorWord>
      <group>L1_Word</group>
      <groupName>字词问题</groupName>
      <ability>L2_Typo</ability>
      <abilityName>字词错误</abilityName>
      <candidateList>
        <item>碾轧</item>
      </candidateList>
      <explain>存在发音相同字词的误用。</explain>
      <paraID>2AAA3AFD</paraID>
      <start>40</start>
      <end>42</end>
      <status>modified</status>
      <modifiedWord>碾轧</modifiedWord>
      <trackRevisions>false</trackRevisions>
    </reviewItem>
    <reviewItem>
      <errorID>7264fbf1-0822-4502-97a8-753e8f08a3d4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2AAA3AFD</paraID>
      <start>49</start>
      <end>50</end>
      <status>modified</status>
      <modifiedWord>地</modifiedWord>
      <trackRevisions>false</trackRevisions>
    </reviewItem>
    <reviewItem>
      <errorID>58a13c44-d373-4f69-8288-9d2f8dd0f43b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5882C083</paraID>
      <start>0</start>
      <end>2</end>
      <status>unmodified</status>
      <modifiedWord/>
      <trackRevisions>false</trackRevisions>
    </reviewItem>
    <reviewItem>
      <errorID>b5b44e8a-e5b5-47b8-8803-433c86c15bec</errorID>
      <errorWord>，</errorWord>
      <group>L1_Word</group>
      <groupName>字词问题</groupName>
      <ability>L2_Typo</ability>
      <abilityName>字词错误</abilityName>
      <candidateList>
        <item>，对</item>
      </candidateList>
      <explain/>
      <paraID>4282620F</paraID>
      <start>83</start>
      <end>84</end>
      <status>unmodified</status>
      <modifiedWord/>
      <trackRevisions>false</trackRevisions>
    </reviewItem>
    <reviewItem>
      <errorID>b154905e-b39f-4400-a880-e25d06f36b89</errorID>
      <errorWord>,</errorWord>
      <group>L1_Format</group>
      <groupName>格式问题</groupName>
      <ability>L2_HalfPunc_CN</ability>
      <abilityName/>
      <candidateList>
        <item>，</item>
      </candidateList>
      <explain>文本全半角错误。</explain>
      <paraID>5382FD65</paraID>
      <start>46</start>
      <end>47</end>
      <status>unmodified</status>
      <modifiedWord/>
      <trackRevisions>false</trackRevisions>
    </reviewItem>
    <reviewItem>
      <errorID>b3364434-22e2-4a40-9207-331ab74c76b1</errorID>
      <errorWord>-</errorWord>
      <group>L1_Format</group>
      <groupName>格式问题</groupName>
      <ability>L2_HalfPunc_CN</ability>
      <abilityName/>
      <candidateList>
        <item>－</item>
      </candidateList>
      <explain>文本全半角错误。</explain>
      <paraID>13E04C53</paraID>
      <start>8</start>
      <end>9</end>
      <status>unmodified</status>
      <modifiedWord/>
      <trackRevisions>false</trackRevisions>
    </reviewItem>
    <reviewItem>
      <errorID>7d644048-6ac9-4e73-82fe-c6fdea52e1ec</errorID>
      <errorWord>-</errorWord>
      <group>L1_Format</group>
      <groupName>格式问题</groupName>
      <ability>L2_HalfPunc_CN</ability>
      <abilityName/>
      <candidateList>
        <item>－</item>
      </candidateList>
      <explain>文本全半角错误。</explain>
      <paraID>5C83E08F</paraID>
      <start>10</start>
      <end>11</end>
      <status>unmodified</status>
      <modifiedWord/>
      <trackRevisions>false</trackRevisions>
    </reviewItem>
    <reviewItem>
      <errorID>2d7e1854-e073-4fb1-a55a-dc59644857f3</errorID>
      <errorWord>灭活</errorWord>
      <group>L1_Word</group>
      <groupName>字词问题</groupName>
      <ability>L2_Typo</ability>
      <abilityName>字词错误</abilityName>
      <candidateList>
        <item>灭火</item>
      </candidateList>
      <explain>存在发音相同字词的误用。</explain>
      <paraID>6B074D51</paraID>
      <start>54</start>
      <end>56</end>
      <status>modified</status>
      <modifiedWord>灭火</modifiedWord>
      <trackRevisions>false</trackRevisions>
    </reviewItem>
    <reviewItem>
      <errorID>0102a3f3-346d-4b86-9bc3-841f828290cd</errorID>
      <errorWord>综合症</errorWord>
      <group>L1_Word</group>
      <groupName>字词问题</groupName>
      <ability>L2_Typo</ability>
      <abilityName>字词错误</abilityName>
      <candidateList>
        <item>综合征</item>
      </candidateList>
      <explain>存在发音相同字词的误用。</explain>
      <paraID>29F81689</paraID>
      <start>73</start>
      <end>76</end>
      <status>unmodified</status>
      <modifiedWord/>
      <trackRevisions>false</trackRevisions>
    </reviewItem>
    <reviewItem>
      <errorID>00ea88b4-0f11-4c6a-b737-97a16a50b5fd</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29F81689</paraID>
      <start>82</start>
      <end>85</end>
      <status>unmodified</status>
      <modifiedWord/>
      <trackRevisions>false</trackRevisions>
    </reviewItem>
    <reviewItem>
      <errorID>f13f7512-55c9-4c6a-a4b8-8812a0712e2a</errorID>
      <errorWord>眼镜</errorWord>
      <group>L1_Word</group>
      <groupName>字词问题</groupName>
      <ability>L2_Typo</ability>
      <abilityName>字词错误</abilityName>
      <candidateList>
        <item>眼睛</item>
      </candidateList>
      <explain>〈名〉眼的通称。</explain>
      <paraID>7BB183CA</paraID>
      <start>0</start>
      <end>2</end>
      <status>modified</status>
      <modifiedWord>眼睛</modifiedWord>
      <trackRevisions>false</trackRevisions>
    </reviewItem>
    <reviewItem>
      <errorID>9fda9415-523d-4678-b06e-e8496a39f135</errorID>
      <errorWord>切记</errorWord>
      <group>L1_Word</group>
      <groupName>字词问题</groupName>
      <ability>L2_Typo</ability>
      <abilityName>字词错误</abilityName>
      <candidateList>
        <item>切忌</item>
      </candidateList>
      <explain>〈动〉切实避免或防止：～滋长骄傲情绪。</explain>
      <paraID>514F509A</paraID>
      <start>30</start>
      <end>32</end>
      <status>modified</status>
      <modifiedWord>切忌</modifiedWord>
      <trackRevisions>false</trackRevisions>
    </reviewItem>
    <reviewItem>
      <errorID>98bcda9f-1ff3-4b82-b82f-de7c540df0c5</errorID>
      <errorWord>防治</errorWord>
      <group>L1_Word</group>
      <groupName>字词问题</groupName>
      <ability>L2_Typo</ability>
      <abilityName>字词错误</abilityName>
      <candidateList>
        <item>防止</item>
      </candidateList>
      <explain>〈动〉预先设法制止（坏事发生）：～煤气中毒｜～交通事故。</explain>
      <paraID>33E5324A</paraID>
      <start>66</start>
      <end>68</end>
      <status>modified</status>
      <modifiedWord>防止</modifiedWord>
      <trackRevisions>false</trackRevisions>
    </reviewItem>
    <reviewItem>
      <errorID>61412d92-5538-4e8c-a7a9-7af8c29ea520</errorID>
      <errorWord>位堤</errorWord>
      <group>L1_Word</group>
      <groupName>字词问题</groupName>
      <ability>L2_Typo</ability>
      <abilityName>字词错误</abilityName>
      <candidateList>
        <item>围堤</item>
      </candidateList>
      <explain/>
      <paraID>33E5324A</paraID>
      <start>112</start>
      <end>114</end>
      <status>modified</status>
      <modifiedWord>围堤</modifiedWord>
      <trackRevisions>false</trackRevisions>
    </reviewItem>
    <reviewItem>
      <errorID>38a413f6-196a-4e23-992d-b42f2a051273</errorID>
      <errorWord>、…</errorWord>
      <group>L1_Punc</group>
      <groupName>标点问题</groupName>
      <ability>L2_Punc_CN</ability>
      <abilityName/>
      <candidateList>
        <item>、</item>
      </candidateList>
      <explain/>
      <paraID>13A0C500</paraID>
      <start>8</start>
      <end>10</end>
      <status>unmodified</status>
      <modifiedWord/>
      <trackRevisions>false</trackRevisions>
    </reviewItem>
    <reviewItem>
      <errorID>79682e0a-06ba-4398-9c3a-8b00baff08ee</errorID>
      <errorWord>、…</errorWord>
      <group>L1_Punc</group>
      <groupName>标点问题</groupName>
      <ability>L2_Punc_CN</ability>
      <abilityName/>
      <candidateList>
        <item>、</item>
      </candidateList>
      <explain/>
      <paraID>494B3D29</paraID>
      <start>5</start>
      <end>7</end>
      <status>unmodified</status>
      <modifiedWord/>
      <trackRevisions>false</trackRevisions>
    </reviewItem>
    <reviewItem>
      <errorID>79f94e81-3748-431f-9b68-2af1b7a9270e</errorID>
      <errorWord>II</errorWord>
      <group>L1_Knowledge</group>
      <groupName>知识性问题</groupName>
      <ability>L2_Knowledge</ability>
      <abilityName>其他知识</abilityName>
      <candidateList>
        <item>Ⅱ</item>
      </candidateList>
      <explain/>
      <paraID>51440A0F</paraID>
      <start>46</start>
      <end>48</end>
      <status>unmodified</status>
      <modifiedWord/>
      <trackRevisions>false</trackRevisions>
    </reviewItem>
    <reviewItem>
      <errorID>1391f8d6-b332-4c4b-89c0-00d06c8958f7</errorID>
      <errorWord>II</errorWord>
      <group>L1_Knowledge</group>
      <groupName>知识性问题</groupName>
      <ability>L2_Knowledge</ability>
      <abilityName>其他知识</abilityName>
      <candidateList>
        <item>Ⅱ</item>
      </candidateList>
      <explain/>
      <paraID>51440A0F</paraID>
      <start>49</start>
      <end>51</end>
      <status>unmodified</status>
      <modifiedWord/>
      <trackRevisions>false</trackRevisions>
    </reviewItem>
    <reviewItem>
      <errorID>1351983a-ad20-4163-bafe-53e1aad118ca</errorID>
      <errorWord>III</errorWord>
      <group>L1_Word</group>
      <groupName>字词问题</groupName>
      <ability>L2_Typo</ability>
      <abilityName>字词错误</abilityName>
      <candidateList>
        <item>Ⅲ</item>
      </candidateList>
      <explain/>
      <paraID>7677DEB0</paraID>
      <start>0</start>
      <end>3</end>
      <status>unmodified</status>
      <modifiedWord/>
      <trackRevisions>false</trackRevisions>
    </reviewItem>
    <reviewItem>
      <errorID>e5b3bce9-77c9-4d25-91ff-fbcbdf41c95a</errorID>
      <errorWord>III</errorWord>
      <group>L1_Word</group>
      <groupName>字词问题</groupName>
      <ability>L2_Typo</ability>
      <abilityName>字词错误</abilityName>
      <candidateList>
        <item>Ⅲ</item>
      </candidateList>
      <explain/>
      <paraID>3A5F0687</paraID>
      <start>0</start>
      <end>3</end>
      <status>unmodified</status>
      <modifiedWord/>
      <trackRevisions>false</trackRevisions>
    </reviewItem>
    <reviewItem>
      <errorID>15ad61c0-befb-4985-aad4-fead398b1e75</errorID>
      <errorWord>III</errorWord>
      <group>L1_Word</group>
      <groupName>字词问题</groupName>
      <ability>L2_Typo</ability>
      <abilityName>字词错误</abilityName>
      <candidateList>
        <item>Ⅲ</item>
      </candidateList>
      <explain/>
      <paraID> 9A79CE6</paraID>
      <start>0</start>
      <end>3</end>
      <status>unmodified</status>
      <modifiedWord/>
      <trackRevisions>false</trackRevisions>
    </reviewItem>
    <reviewItem>
      <errorID>3b7ca10f-ecf7-466b-bb48-390e7139582c</errorID>
      <errorWord>III</errorWord>
      <group>L1_Word</group>
      <groupName>字词问题</groupName>
      <ability>L2_Typo</ability>
      <abilityName>字词错误</abilityName>
      <candidateList>
        <item>Ⅲ</item>
      </candidateList>
      <explain/>
      <paraID>4DC25465</paraID>
      <start>0</start>
      <end>3</end>
      <status>unmodified</status>
      <modifiedWord/>
      <trackRevisions>false</trackRevisions>
    </reviewItem>
    <reviewItem>
      <errorID>202b4d51-711e-481a-8ff3-c53ff29a9dc8</errorID>
      <errorWord>III</errorWord>
      <group>L1_Word</group>
      <groupName>字词问题</groupName>
      <ability>L2_Typo</ability>
      <abilityName>字词错误</abilityName>
      <candidateList>
        <item>Ⅲ</item>
      </candidateList>
      <explain/>
      <paraID>53EE16FA</paraID>
      <start>0</start>
      <end>3</end>
      <status>unmodified</status>
      <modifiedWord/>
      <trackRevisions>false</trackRevisions>
    </reviewItem>
    <reviewItem>
      <errorID>b880ba08-9c9c-482e-920c-e56a18f6be7e</errorID>
      <errorWord>III</errorWord>
      <group>L1_Word</group>
      <groupName>字词问题</groupName>
      <ability>L2_Typo</ability>
      <abilityName>字词错误</abilityName>
      <candidateList>
        <item>Ⅲ</item>
      </candidateList>
      <explain/>
      <paraID>60990998</paraID>
      <start>0</start>
      <end>3</end>
      <status>unmodified</status>
      <modifiedWord/>
      <trackRevisions>false</trackRevisions>
    </reviewItem>
    <reviewItem>
      <errorID>b2a69935-823c-4a52-b049-c51a1590e3e7</errorID>
      <errorWord>IV</errorWord>
      <group>L1_Knowledge</group>
      <groupName>知识性问题</groupName>
      <ability>L2_Knowledge</ability>
      <abilityName>其他知识</abilityName>
      <candidateList>
        <item>Ⅳ</item>
      </candidateList>
      <explain/>
      <paraID>1A7F95B0</paraID>
      <start>2</start>
      <end>4</end>
      <status>unmodified</status>
      <modifiedWord/>
      <trackRevisions>false</trackRevisions>
    </reviewItem>
    <reviewItem>
      <errorID>b947c01d-061d-460a-974f-93ed3c0c71d4</errorID>
      <errorWord>，</errorWord>
      <group>L1_Word</group>
      <groupName>字词问题</groupName>
      <ability>L2_Typo</ability>
      <abilityName>字词错误</abilityName>
      <candidateList>
        <item>，对</item>
      </candidateList>
      <explain/>
      <paraID>3E5AB213</paraID>
      <start>31</start>
      <end>32</end>
      <status>unmodified</status>
      <modifiedWord/>
      <trackRevisions>false</trackRevisions>
    </reviewItem>
    <reviewItem>
      <errorID>a8a4a6b7-121b-4941-90f0-2f1ed27f49e3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7FD97C7B</paraID>
      <start>0</start>
      <end>2</end>
      <status>unmodified</status>
      <modifiedWord/>
      <trackRevisions>false</trackRevisions>
    </reviewItem>
    <reviewItem>
      <errorID>0f26a36c-a8e7-4760-97f2-78e71f2b9343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738690FF</paraID>
      <start>0</start>
      <end>2</end>
      <status>unmodified</status>
      <modifiedWord/>
      <trackRevisions>false</trackRevisions>
    </reviewItem>
    <reviewItem>
      <errorID>61d69b26-7a71-436c-a5c2-4c80b1884bc6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58665718</paraID>
      <start>0</start>
      <end>2</end>
      <status>unmodified</status>
      <modifiedWord/>
      <trackRevisions>false</trackRevisions>
    </reviewItem>
    <reviewItem>
      <errorID>6619b740-255f-48e0-b2bb-293669a079d0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5601603A</paraID>
      <start>0</start>
      <end>2</end>
      <status>unmodified</status>
      <modifiedWord/>
      <trackRevisions>false</trackRevisions>
    </reviewItem>
    <reviewItem>
      <errorID>13f5640d-6846-42ee-9e8b-1b73ea0e5382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53B2A255</paraID>
      <start>0</start>
      <end>2</end>
      <status>unmodified</status>
      <modifiedWord/>
      <trackRevisions>false</trackRevisions>
    </reviewItem>
    <reviewItem>
      <errorID>44fa135d-02e8-4b0a-9488-6ecc25fab0dd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523431EF</paraID>
      <start>0</start>
      <end>2</end>
      <status>unmodified</status>
      <modifiedWord/>
      <trackRevisions>false</trackRevisions>
    </reviewItem>
    <reviewItem>
      <errorID>0cdb718d-79d9-4517-ae45-f7bcae870ea6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BA155E5</paraID>
      <start>0</start>
      <end>2</end>
      <status>unmodified</status>
      <modifiedWord/>
      <trackRevisions>false</trackRevisions>
    </reviewItem>
    <reviewItem>
      <errorID>f03352b8-1c7f-4c46-b34d-e585e9191cc8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43B71E3B</paraID>
      <start>0</start>
      <end>2</end>
      <status>unmodified</status>
      <modifiedWord/>
      <trackRevisions>false</trackRevisions>
    </reviewItem>
    <reviewItem>
      <errorID>5ca19970-bdb7-44d3-b5ba-2078d2588dc1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66089850</paraID>
      <start>0</start>
      <end>2</end>
      <status>unmodified</status>
      <modifiedWord/>
      <trackRevisions>false</trackRevisions>
    </reviewItem>
    <reviewItem>
      <errorID>036e61fb-72a4-430f-a920-36e54efdef0e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63EAACBA</paraID>
      <start>0</start>
      <end>3</end>
      <status>unmodified</status>
      <modifiedWord/>
      <trackRevisions>false</trackRevisions>
    </reviewItem>
    <reviewItem>
      <errorID>33d81ec8-8c72-489f-bcee-252ff0d6eccc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5B6C390B</paraID>
      <start>0</start>
      <end>3</end>
      <status>unmodified</status>
      <modifiedWord/>
      <trackRevisions>false</trackRevisions>
    </reviewItem>
    <reviewItem>
      <errorID>a7f62d79-be38-45bb-9be1-fbdf757ee080</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4F3C4A8D</paraID>
      <start>0</start>
      <end>3</end>
      <status>unmodified</status>
      <modifiedWord/>
      <trackRevisions>false</trackRevisions>
    </reviewItem>
    <reviewItem>
      <errorID>c6f0c228-e096-4325-a2fa-6316ec9f066d</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1F002158</paraID>
      <start>0</start>
      <end>3</end>
      <status>unmodified</status>
      <modifiedWord/>
      <trackRevisions>false</trackRevisions>
    </reviewItem>
    <reviewItem>
      <errorID>214b811f-14cf-49ce-bb5a-e28296d8e7c6</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58E0B268</paraID>
      <start>0</start>
      <end>3</end>
      <status>unmodified</status>
      <modifiedWord/>
      <trackRevisions>false</trackRevisions>
    </reviewItem>
    <reviewItem>
      <errorID>335bb9a8-d963-4da4-a9ab-8b6926eec6aa</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1B2E519F</paraID>
      <start>0</start>
      <end>3</end>
      <status>unmodified</status>
      <modifiedWord/>
      <trackRevisions>false</trackRevisions>
    </reviewItem>
    <reviewItem>
      <errorID>e3336f9b-6cb8-44a7-b0e2-0a6b7655b439</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78D4738</paraID>
      <start>0</start>
      <end>3</end>
      <status>unmodified</status>
      <modifiedWord/>
      <trackRevisions>false</trackRevisions>
    </reviewItem>
    <reviewItem>
      <errorID>7612f79d-f627-47a8-ba39-909d563804d1</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FCD5C35</paraID>
      <start>0</start>
      <end>3</end>
      <status>unmodified</status>
      <modifiedWord/>
      <trackRevisions>false</trackRevisions>
    </reviewItem>
    <reviewItem>
      <errorID>69a303a5-df61-4554-9d5d-3cf1039fdac0</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949ED4B</paraID>
      <start>0</start>
      <end>3</end>
      <status>unmodified</status>
      <modifiedWord/>
      <trackRevisions>false</trackRevisions>
    </reviewItem>
    <reviewItem>
      <errorID>402c7045-aa9e-4208-a3df-d7570ec93fec</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50436063</paraID>
      <start>0</start>
      <end>3</end>
      <status>unmodified</status>
      <modifiedWord/>
      <trackRevisions>false</trackRevisions>
    </reviewItem>
    <reviewItem>
      <errorID>89e2c82c-33d1-460d-b41c-59d1b10c70d8</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3A24B736</paraID>
      <start>0</start>
      <end>3</end>
      <status>unmodified</status>
      <modifiedWord/>
      <trackRevisions>false</trackRevisions>
    </reviewItem>
    <reviewItem>
      <errorID>826f7626-09db-4c62-ba1b-536b49d490e1</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4C263CD6</paraID>
      <start>0</start>
      <end>3</end>
      <status>unmodified</status>
      <modifiedWord/>
      <trackRevisions>false</trackRevisions>
    </reviewItem>
    <reviewItem>
      <errorID>b8df714f-99ba-4ebe-a5cd-340158bda5b3</errorID>
      <errorWord>、以及</errorWord>
      <group>L1_Punc</group>
      <groupName>标点问题</groupName>
      <ability>L2_Punc_CN</ability>
      <abilityName/>
      <candidateList>
        <item>，以及</item>
      </candidateList>
      <explain>连接词前后不宜使用顿号，建议使用逗号。</explain>
      <paraID>4C263CD6</paraID>
      <start>48</start>
      <end>51</end>
      <status>unmodified</status>
      <modifiedWord/>
      <trackRevisions>false</trackRevisions>
    </reviewItem>
    <reviewItem>
      <errorID>f1ee216c-976d-440e-af6c-763b27505d41</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2C8601B0</paraID>
      <start>0</start>
      <end>3</end>
      <status>unmodified</status>
      <modifiedWord/>
      <trackRevisions>false</trackRevisions>
    </reviewItem>
    <reviewItem>
      <errorID>4e2c0d0c-08d9-4665-9652-ada49b7cd080</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2C25A420</paraID>
      <start>0</start>
      <end>3</end>
      <status>unmodified</status>
      <modifiedWord/>
      <trackRevisions>false</trackRevisions>
    </reviewItem>
    <reviewItem>
      <errorID>bd9daa23-02c3-4ca7-9269-35a1a366987c</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60DCCCB5</paraID>
      <start>0</start>
      <end>3</end>
      <status>unmodified</status>
      <modifiedWord/>
      <trackRevisions>false</trackRevisions>
    </reviewItem>
    <reviewItem>
      <errorID>606d10e0-042b-4a3d-8b61-edfcdd136f39</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AE4460B</paraID>
      <start>0</start>
      <end>3</end>
      <status>unmodified</status>
      <modifiedWord/>
      <trackRevisions>false</trackRevisions>
    </reviewItem>
    <reviewItem>
      <errorID>2b9918ff-a2a0-431f-a7cc-eb8bb5ae354e</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D21C6B1</paraID>
      <start>0</start>
      <end>3</end>
      <status>unmodified</status>
      <modifiedWord/>
      <trackRevisions>false</trackRevisions>
    </reviewItem>
    <reviewItem>
      <errorID>c807ba77-ab4e-4c2c-809e-76b9a9c34bdd</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66247154</paraID>
      <start>0</start>
      <end>3</end>
      <status>unmodified</status>
      <modifiedWord/>
      <trackRevisions>false</trackRevisions>
    </reviewItem>
    <reviewItem>
      <errorID>b68d7b34-ce08-4619-a010-93a273678ceb</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76583EF4</paraID>
      <start>0</start>
      <end>3</end>
      <status>unmodified</status>
      <modifiedWord/>
      <trackRevisions>false</trackRevisions>
    </reviewItem>
    <reviewItem>
      <errorID>f8cac147-4fb4-494a-b6ce-54691c8757e1</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76583EF4</paraID>
      <start>16</start>
      <end>19</end>
      <status>unmodified</status>
      <modifiedWord/>
      <trackRevisions>false</trackRevisions>
    </reviewItem>
    <reviewItem>
      <errorID>2fb023ae-234a-4764-b4e0-93eb55196234</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56FD3089</paraID>
      <start>0</start>
      <end>3</end>
      <status>unmodified</status>
      <modifiedWord/>
      <trackRevisions>false</trackRevisions>
    </reviewItem>
    <reviewItem>
      <errorID>39ba22d5-fb95-4552-ac42-31a7b6ac1e38</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17E4C4BA</paraID>
      <start>0</start>
      <end>3</end>
      <status>unmodified</status>
      <modifiedWord/>
      <trackRevisions>false</trackRevisions>
    </reviewItem>
    <reviewItem>
      <errorID>41f00467-eed7-47b6-85e7-c8d97b61bdd3</errorID>
      <errorWord>涉及到</errorWord>
      <group>L1_Grammar</group>
      <groupName>语法问题</groupName>
      <ability>L2_Grammar</ability>
      <abilityName>语法错误</abilityName>
      <candidateList>
        <item>涉及</item>
      </candidateList>
      <explain>〈动〉牵涉到；关联到：案子～好几个人｜这个问题～面很广。</explain>
      <paraID>2354C537</paraID>
      <start>62</start>
      <end>64</end>
      <status>modified</status>
      <modifiedWord>涉及</modifiedWord>
      <trackRevisions>false</trackRevisions>
    </reviewItem>
    <reviewItem>
      <errorID>1347fde2-aa5b-41d7-a6c8-c05a4e229755</errorID>
      <errorWord>润游</errorWord>
      <group>L1_Word</group>
      <groupName>字词问题</groupName>
      <ability>L2_Typo</ability>
      <abilityName>字词错误</abilityName>
      <candidateList>
        <item>洄游</item>
      </candidateList>
      <explain/>
      <paraID>2354C537</paraID>
      <start>204</start>
      <end>206</end>
      <status>modified</status>
      <modifiedWord>洄游</modifiedWord>
      <trackRevisions>false</trackRevisions>
    </reviewItem>
    <reviewItem>
      <errorID>f70780b2-a1bb-4c2d-b87f-b32f75151f80</errorID>
      <errorWord>几率</errorWord>
      <group>L1_Word</group>
      <groupName>字词问题</groupName>
      <ability>L2_Typo</ability>
      <abilityName>字词错误</abilityName>
      <candidateList>
        <item>概率</item>
      </candidateList>
      <explain/>
      <paraID>32AE4F44</paraID>
      <start>67</start>
      <end>69</end>
      <status>modified</status>
      <modifiedWord>概率</modifiedWord>
      <trackRevisions>false</trackRevisions>
    </reviewItem>
    <reviewItem>
      <errorID>44528093-1044-4b2e-99a4-c8c80f6d178c</errorID>
      <errorWord>项目项目</errorWord>
      <group>L1_Word</group>
      <groupName>字词问题</groupName>
      <ability>L2_Typo</ability>
      <abilityName>字词错误</abilityName>
      <candidateList>
        <item>项目</item>
      </candidateList>
      <explain>〈名〉事物分成的门类：服务～｜体育～｜建设～。</explain>
      <paraID>6FE03BC7</paraID>
      <start>0</start>
      <end>2</end>
      <status>modified</status>
      <modifiedWord>项目</modifiedWord>
      <trackRevisions>false</trackRevisions>
    </reviewItem>
    <reviewItem>
      <errorID>f5029edc-3060-4cb5-8ac2-4678e7e2d174</errorID>
      <errorWord>、</errorWord>
      <group>L1_Punc</group>
      <groupName>标点问题</groupName>
      <ability>L2_Punc_CN</ability>
      <abilityName/>
      <candidateList>
        <item>.</item>
      </candidateList>
      <explain/>
      <paraID>282902EE</paraID>
      <start>1</start>
      <end>2</end>
      <status>unmodified</status>
      <modifiedWord/>
      <trackRevisions>false</trackRevisions>
    </reviewItem>
    <reviewItem>
      <errorID>6221d376-3823-4f3c-8305-7b1100c4832f</errorID>
      <errorWord>KW</errorWord>
      <group>L1_Word</group>
      <groupName>字词问题</groupName>
      <ability>L2_Typo</ability>
      <abilityName>字词错误</abilityName>
      <candidateList>
        <item>kW</item>
      </candidateList>
      <explain/>
      <paraID>61621526</paraID>
      <start>5</start>
      <end>7</end>
      <status>unmodified</status>
      <modifiedWord/>
      <trackRevisions>false</trackRevisions>
    </reviewItem>
    <reviewItem>
      <errorID>55c9fd9b-4cd6-45cc-9228-54a520589bcf</errorID>
      <errorWord>、</errorWord>
      <group>L1_Punc</group>
      <groupName>标点问题</groupName>
      <ability>L2_Punc_CN</ability>
      <abilityName/>
      <candidateList>
        <item>.</item>
      </candidateList>
      <explain/>
      <paraID>744027DA</paraID>
      <start>1</start>
      <end>2</end>
      <status>unmodified</status>
      <modifiedWord/>
      <trackRevisions>false</trackRevisions>
    </reviewItem>
    <reviewItem>
      <errorID>af1f9334-c0b7-4b22-bf8f-357c23f48d4e</errorID>
      <errorWord>、</errorWord>
      <group>L1_Punc</group>
      <groupName>标点问题</groupName>
      <ability>L2_Punc_CN</ability>
      <abilityName/>
      <candidateList>
        <item>.</item>
      </candidateList>
      <explain/>
      <paraID>6178DB53</paraID>
      <start>1</start>
      <end>2</end>
      <status>unmodified</status>
      <modifiedWord/>
      <trackRevisions>false</trackRevisions>
    </reviewItem>
    <reviewItem>
      <errorID>f29c0860-1c19-4d61-b73e-1e0acd324823</errorID>
      <errorWord>、</errorWord>
      <group>L1_Punc</group>
      <groupName>标点问题</groupName>
      <ability>L2_Punc_CN</ability>
      <abilityName/>
      <candidateList>
        <item>.</item>
      </candidateList>
      <explain/>
      <paraID>48915BB4</paraID>
      <start>1</start>
      <end>2</end>
      <status>unmodified</status>
      <modifiedWord/>
      <trackRevisions>false</trackRevisions>
    </reviewItem>
    <reviewItem>
      <errorID>26114ab2-5557-4811-849a-cf36dea2ba0c</errorID>
      <errorWord>即便</errorWord>
      <group>L1_Word</group>
      <groupName>字词问题</groupName>
      <ability>L2_Typo</ability>
      <abilityName>字词错误</abilityName>
      <candidateList>
        <item>即使</item>
      </candidateList>
      <explain>〈连〉表示假设的让步：～我们的工作取得了很大的成绩，也不能骄傲自满｜～你当时在场，也未必有更好的办法。注意“即使”所表示的条件，可以是尚未实现的事情，也可以是与既成事实相反的事情。</explain>
      <paraID>6630C538</paraID>
      <start>26</start>
      <end>28</end>
      <status>modified</status>
      <modifiedWord>即使</modifiedWord>
      <trackRevisions>false</trackRevisions>
    </reviewItem>
    <reviewItem>
      <errorID>d03cf0fe-a723-4688-b133-909923b34b14</errorID>
      <errorWord>警示标示</errorWord>
      <group>L1_Knowledge</group>
      <groupName>知识性问题</groupName>
      <ability>L2_Term</ability>
      <abilityName>专业术语</abilityName>
      <candidateList>
        <item>警示标志</item>
      </candidateList>
      <explain/>
      <paraID>30908AFB</paraID>
      <start>91</start>
      <end>95</end>
      <status>modified</status>
      <modifiedWord>警示标志</modifiedWord>
      <trackRevisions>false</trackRevisions>
    </reviewItem>
    <reviewItem>
      <errorID>a5b33dcb-d37b-47de-a3d2-013e70484ec1</errorID>
      <errorWord>劳损</errorWord>
      <group>L1_Word</group>
      <groupName>字词问题</groupName>
      <ability>L2_Typo</ability>
      <abilityName>字词错误</abilityName>
      <candidateList>
        <item>破损</item>
      </candidateList>
      <explain/>
      <paraID>64CDE220</paraID>
      <start>28</start>
      <end>30</end>
      <status>modified</status>
      <modifiedWord>破损</modifiedWord>
      <trackRevisions>false</trackRevisions>
    </reviewItem>
    <reviewItem>
      <errorID>05928943-0758-47fa-897c-57ac331e7674</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2E278200</paraID>
      <start>0</start>
      <end>2</end>
      <status>unmodified</status>
      <modifiedWord/>
      <trackRevisions>false</trackRevisions>
    </reviewItem>
    <reviewItem>
      <errorID>1e215742-4e09-4e2a-8c5f-010e17ce95bf</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49FADDD6</paraID>
      <start>0</start>
      <end>2</end>
      <status>unmodified</status>
      <modifiedWord/>
      <trackRevisions>false</trackRevisions>
    </reviewItem>
    <reviewItem>
      <errorID>60e73bce-3342-42df-9a08-d4d822e3e451</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1BACAAC7</paraID>
      <start>0</start>
      <end>2</end>
      <status>unmodified</status>
      <modifiedWord/>
      <trackRevisions>false</trackRevisions>
    </reviewItem>
    <reviewItem>
      <errorID>dd41ce6c-9d29-4a5c-9daa-3db8de22ca21</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2D7CB0F5</paraID>
      <start>0</start>
      <end>2</end>
      <status>unmodified</status>
      <modifiedWord/>
      <trackRevisions>false</trackRevisions>
    </reviewItem>
    <reviewItem>
      <errorID>c6d6c925-0b01-42c3-aa52-74d397590a3f</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62C48AC</paraID>
      <start>0</start>
      <end>2</end>
      <status>unmodified</status>
      <modifiedWord/>
      <trackRevisions>false</trackRevisions>
    </reviewItem>
    <reviewItem>
      <errorID>cf919ddf-cbb0-44cb-8f31-c02e2386967a</errorID>
      <errorWord>程</errorWord>
      <group>L1_Word</group>
      <groupName>字词问题</groupName>
      <ability>L2_Typo</ability>
      <abilityName>字词错误</abilityName>
      <candidateList>
        <item>程中</item>
      </candidateList>
      <explain/>
      <paraID>3694F237</paraID>
      <start>7</start>
      <end>8</end>
      <status>unmodified</status>
      <modifiedWord/>
      <trackRevisions>false</trackRevisions>
    </reviewItem>
    <reviewItem>
      <errorID>af23a4d5-36f2-42be-9288-01858a38d8f0</errorID>
      <errorWord>》</errorWord>
      <group>L1_Word</group>
      <groupName>字词问题</groupName>
      <ability>L2_Typo</ability>
      <abilityName>字词错误</abilityName>
      <candidateList>
        <item>》和</item>
      </candidateList>
      <explain/>
      <paraID>39E363D6</paraID>
      <start>45</start>
      <end>46</end>
      <status>unmodified</status>
      <modifiedWord/>
      <trackRevisions>false</trackRevisions>
    </reviewItem>
    <reviewItem>
      <errorID>c4feb30f-337a-4ed8-87e5-6ddd56b8a1fb</errorID>
      <errorWord>渡汛</errorWord>
      <group>L1_Word</group>
      <groupName>字词问题</groupName>
      <ability>L2_Typo</ability>
      <abilityName>字词错误</abilityName>
      <candidateList>
        <item>度汛</item>
      </candidateList>
      <explain>〈动〉度过汛期。</explain>
      <paraID>4CB4C4D1</paraID>
      <start>5</start>
      <end>7</end>
      <status>modified</status>
      <modifiedWord>度汛</modifiedWord>
      <trackRevisions>false</trackRevisions>
    </reviewItem>
    <reviewItem>
      <errorID>614d642a-0f2d-4cac-b3b0-34cd616fb7cb</errorID>
      <errorWord>渡汛</errorWord>
      <group>L1_Word</group>
      <groupName>字词问题</groupName>
      <ability>L2_Typo</ability>
      <abilityName>字词错误</abilityName>
      <candidateList>
        <item>度汛</item>
      </candidateList>
      <explain>〈动〉度过汛期。</explain>
      <paraID>75787DEC</paraID>
      <start>12</start>
      <end>14</end>
      <status>modified</status>
      <modifiedWord>度汛</modifiedWord>
      <trackRevisions>false</trackRevisions>
    </reviewItem>
    <reviewItem>
      <errorID>d8e99edc-af05-4942-aa54-afb9159a0a98</errorID>
      <errorWord>有否</errorWord>
      <group>L1_Word</group>
      <groupName>字词问题</groupName>
      <ability>L2_Typo</ability>
      <abilityName>字词错误</abilityName>
      <candidateList>
        <item>有无</item>
      </candidateList>
      <explain/>
      <paraID>43172E8C</paraID>
      <start>36</start>
      <end>38</end>
      <status>modified</status>
      <modifiedWord>有无</modifiedWord>
      <trackRevisions>false</trackRevisions>
    </reviewItem>
    <reviewItem>
      <errorID>3c43d337-f319-4ffc-adf8-54a706cd1c2a</errorID>
      <errorWord>协</errorWord>
      <group>L1_Word</group>
      <groupName>字词问题</groupName>
      <ability>L2_Typo</ability>
      <abilityName>字词错误</abilityName>
      <candidateList>
        <item>协调</item>
      </candidateList>
      <explain>❶〈形〉配合得适当：色彩～｜动作～。❷〈动〉使配合得适当：～产销关系。</explain>
      <paraID>23B8C94D</paraID>
      <start>61</start>
      <end>63</end>
      <status>modified</status>
      <modifiedWord>协调</modifiedWord>
      <trackRevisions>false</trackRevisions>
    </reviewItem>
    <reviewItem>
      <errorID>0ebc9847-0a36-4ff4-bd3a-fd80e3cf4e7b</errorID>
      <errorWord>混水</errorWord>
      <group>L1_Word</group>
      <groupName>字词问题</groupName>
      <ability>L2_Typo</ability>
      <abilityName>字词错误</abilityName>
      <candidateList>
        <item>浑水</item>
      </candidateList>
      <explain/>
      <paraID>1746D9B2</paraID>
      <start>14</start>
      <end>16</end>
      <status>modified</status>
      <modifiedWord>浑水</modifiedWord>
      <trackRevisions>false</trackRevisions>
    </reviewItem>
    <reviewItem>
      <errorID>5ea7196a-8900-4765-8b60-ff21fbdf4cc4</errorID>
      <errorWord>预防在</errorWord>
      <group>L1_Word</group>
      <groupName>字词问题</groupName>
      <ability>L2_Typo</ability>
      <abilityName>字词错误</abilityName>
      <candidateList>
        <item>预防</item>
      </candidateList>
      <explain/>
      <paraID>6B3E89AD</paraID>
      <start>7</start>
      <end>9</end>
      <status>modified</status>
      <modifiedWord>预防</modifiedWord>
      <trackRevisions>false</trackRevisions>
    </reviewItem>
    <reviewItem>
      <errorID>a2189b6b-748f-4953-a9a2-a3617656e53a</errorID>
      <errorWord>应急物质</errorWord>
      <group>L1_Word</group>
      <groupName>字词问题</groupName>
      <ability>L2_Typo</ability>
      <abilityName>字词错误</abilityName>
      <candidateList>
        <item>应急物资</item>
      </candidateList>
      <explain/>
      <paraID> 43BFB87</paraID>
      <start>117</start>
      <end>121</end>
      <status>modified</status>
      <modifiedWord>应急物资</modifiedWord>
      <trackRevisions>false</trackRevisions>
    </reviewItem>
    <reviewItem>
      <errorID>3d1e1b0c-a95d-410b-aa32-f168038d5f48</errorID>
      <errorWord>制</errorWord>
      <group>L1_Word</group>
      <groupName>字词问题</groupName>
      <ability>L2_Typo</ability>
      <abilityName>字词错误</abilityName>
      <candidateList>
        <item>制和</item>
      </candidateList>
      <explain/>
      <paraID>66AFAB75</paraID>
      <start>6</start>
      <end>8</end>
      <status>modified</status>
      <modifiedWord>制和</modifiedWord>
      <trackRevisions>false</trackRevisions>
    </reviewItem>
    <reviewItem>
      <errorID>c52ec68b-e90b-4cf1-bea4-e8009b0097c0</errorID>
      <errorWord>在一</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7690F78F</paraID>
      <start>129</start>
      <end>130</end>
      <status>modified</status>
      <modifiedWord>在</modifiedWord>
      <trackRevisions>false</trackRevisions>
    </reviewItem>
    <reviewItem>
      <errorID>fa0c03f3-4455-4a9f-b5d4-096f073bb1b4</errorID>
      <errorWord>到</errorWord>
      <group>L1_Word</group>
      <groupName>字词问题</groupName>
      <ability>L2_Typo</ability>
      <abilityName>字词错误</abilityName>
      <candidateList>
        <item>待</item>
      </candidateList>
      <explain>存在发音相近字词的误用。</explain>
      <paraID> 331FCD9</paraID>
      <start>136</start>
      <end>137</end>
      <status>modified</status>
      <modifiedWord>待</modifiedWord>
      <trackRevisions>false</trackRevisions>
    </reviewItem>
    <reviewItem>
      <errorID>abade01a-5eed-4a41-92ad-a1639220801a</errorID>
      <errorWord>排</errorWord>
      <group>L1_Word</group>
      <groupName>字词问题</groupName>
      <ability>L2_Typo</ability>
      <abilityName>字词错误</abilityName>
      <candidateList>
        <item>排责</item>
      </candidateList>
      <explain/>
      <paraID>10A7431E</paraID>
      <start>74</start>
      <end>76</end>
      <status>modified</status>
      <modifiedWord>排责</modifiedWord>
      <trackRevisions>false</trackRevisions>
    </reviewItem>
    <reviewItem>
      <errorID>bb3e2690-58de-4dab-92cd-2b02dbfe20ae</errorID>
      <errorWord>制订</errorWord>
      <group>L1_Word</group>
      <groupName>字词问题</groupName>
      <ability>L2_Typo</ability>
      <abilityName>字词错误</abilityName>
      <candidateList>
        <item>制定</item>
      </candidateList>
      <explain>〈动〉定出（法律、规程、政策等）：～宪法｜～学会章程。</explain>
      <paraID>646D2BDE</paraID>
      <start>25</start>
      <end>27</end>
      <status>modified</status>
      <modifiedWord>制定</modifiedWord>
      <trackRevisions>false</trackRevisions>
    </reviewItem>
    <reviewItem>
      <errorID>60f3d7cd-ace3-467d-8f90-eec3f4236097</errorID>
      <errorWord>水</errorWord>
      <group>L1_Word</group>
      <groupName>字词问题</groupName>
      <ability>L2_Typo</ability>
      <abilityName>字词错误</abilityName>
      <candidateList>
        <item>水利</item>
      </candidateList>
      <explain/>
      <paraID>230792EE</paraID>
      <start>16</start>
      <end>18</end>
      <status>modified</status>
      <modifiedWord>水利</modifiedWord>
      <trackRevisions>false</trackRevisions>
    </reviewItem>
    <reviewItem>
      <errorID>a58d7ea9-7e05-4913-baed-b08deb60efac</errorID>
      <errorWord>程</errorWord>
      <group>L1_Word</group>
      <groupName>字词问题</groupName>
      <ability>L2_Typo</ability>
      <abilityName>字词错误</abilityName>
      <candidateList>
        <item>程中</item>
      </candidateList>
      <explain/>
      <paraID> 40B2443</paraID>
      <start>62</start>
      <end>63</end>
      <status>unmodified</status>
      <modifiedWord/>
      <trackRevisions>false</trackRevisions>
    </reviewItem>
    <reviewItem>
      <errorID>a2e03ced-98c9-4c7b-a24b-e414ffffbb16</errorID>
      <errorWord>（/</errorWord>
      <group>L1_Punc</group>
      <groupName>标点问题</groupName>
      <ability>L2_Punc_CN</ability>
      <abilityName/>
      <candidateList>
        <item>（</item>
      </candidateList>
      <explain/>
      <paraID>42304E94</paraID>
      <start>0</start>
      <end>2</end>
      <status>unmodified</status>
      <modifiedWord/>
      <trackRevisions>false</trackRevisions>
    </reviewItem>
    <reviewItem>
      <errorID>8d644c78-c30c-4b3b-ac20-df2f324a7c74</errorID>
      <errorWord>，</errorWord>
      <group>L1_Word</group>
      <groupName>字词问题</groupName>
      <ability>L2_Typo</ability>
      <abilityName>字词错误</abilityName>
      <candidateList>
        <item>，对</item>
      </candidateList>
      <explain/>
      <paraID> BCD27D6</paraID>
      <start>56</start>
      <end>58</end>
      <status>modified</status>
      <modifiedWord>，对</modifiedWord>
      <trackRevisions>false</trackRevisions>
    </reviewItem>
    <reviewItem>
      <errorID>18c8f6c0-5472-4cbc-ab84-e9429178ccf9</errorID>
      <errorWord>；</errorWord>
      <group>L1_Word</group>
      <groupName>字词问题</groupName>
      <ability>L2_Typo</ability>
      <abilityName>字词错误</abilityName>
      <candidateList>
        <item>；危</item>
      </candidateList>
      <explain/>
      <paraID> BCD27D6</paraID>
      <start>79</start>
      <end>81</end>
      <status>modified</status>
      <modifiedWord>；危</modifiedWord>
      <trackRevisions>false</trackRevisions>
    </reviewItem>
    <reviewItem>
      <errorID>087502dd-536c-4339-853c-95bf88895e93</errorID>
      <errorWord>期</errorWord>
      <group>L1_Word</group>
      <groupName>字词问题</groupName>
      <ability>L2_Typo</ability>
      <abilityName>字词错误</abilityName>
      <candidateList>
        <item>期间</item>
      </candidateList>
      <explain>〈名〉某个时期里面：农忙～｜春节～｜抗战～。</explain>
      <paraID>108E96E4</paraID>
      <start>42</start>
      <end>43</end>
      <status>unmodified</status>
      <modifiedWord/>
      <trackRevisions>false</trackRevisions>
    </reviewItem>
    <reviewItem>
      <errorID>cb176062-8ef7-4602-a386-573e73b36729</errorID>
      <errorWord>标示</errorWord>
      <group>L1_Word</group>
      <groupName>字词问题</groupName>
      <ability>L2_Typo</ability>
      <abilityName>字词错误</abilityName>
      <candidateList>
        <item>标识</item>
      </candidateList>
      <explain>存在发音相同字词的误用。</explain>
      <paraID>2579F92D</paraID>
      <start>10</start>
      <end>12</end>
      <status>modified</status>
      <modifiedWord>标识</modifiedWord>
      <trackRevisions>false</trackRevisions>
    </reviewItem>
    <reviewItem>
      <errorID>07d51614-b569-449c-8175-1fc1ab571a2e</errorID>
      <errorWord>完</errorWord>
      <group>L1_Word</group>
      <groupName>字词问题</groupName>
      <ability>L2_Typo</ability>
      <abilityName>字词错误</abilityName>
      <candidateList>
        <item>完成</item>
      </candidateList>
      <explain>〈动〉按照预期的目的结束；做成：～任务｜～作业｜计划完得成。</explain>
      <paraID>5FBCE8D9</paraID>
      <start>8</start>
      <end>10</end>
      <status>modified</status>
      <modifiedWord>完成</modifiedWord>
      <trackRevisions>false</trackRevisions>
    </reviewItem>
    <reviewItem>
      <errorID>3f79324e-cc0d-460b-8b35-a980ab3e88c7</errorID>
      <errorWord>蓬布</errorWord>
      <group>L1_Word</group>
      <groupName>字词问题</groupName>
      <ability>L2_Typo</ability>
      <abilityName>字词错误</abilityName>
      <candidateList>
        <item>篷布</item>
      </candidateList>
      <explain/>
      <paraID>3E442FE9</paraID>
      <start>42</start>
      <end>44</end>
      <status>modified</status>
      <modifiedWord>篷布</modifiedWord>
      <trackRevisions>false</trackRevisions>
    </reviewItem>
    <reviewItem>
      <errorID>4038e1b9-b184-4fe0-8da7-9742277e0a9f</errorID>
      <errorWord>抛洒</errorWord>
      <group>L1_Word</group>
      <groupName>字词问题</groupName>
      <ability>L2_Typo</ability>
      <abilityName>字词错误</abilityName>
      <candidateList>
        <item>抛撒</item>
      </candidateList>
      <explain/>
      <paraID>3E442FE9</paraID>
      <start>53</start>
      <end>55</end>
      <status>modified</status>
      <modifiedWord>抛撒</modifiedWord>
      <trackRevisions>false</trackRevisions>
    </reviewItem>
    <reviewItem>
      <errorID>baae49f7-8f52-4be2-b3e0-b7e3034dfa6a</errorID>
      <errorWord>程</errorWord>
      <group>L1_Word</group>
      <groupName>字词问题</groupName>
      <ability>L2_Typo</ability>
      <abilityName>字词错误</abilityName>
      <candidateList>
        <item>程中</item>
      </candidateList>
      <explain/>
      <paraID>71D65C32</paraID>
      <start>45</start>
      <end>46</end>
      <status>unmodified</status>
      <modifiedWord/>
      <trackRevisions>false</trackRevisions>
    </reviewItem>
    <reviewItem>
      <errorID>d2285324-d293-492d-91dc-1c19e83199c5</errorID>
      <errorWord>遗留有</errorWord>
      <group>L1_Word</group>
      <groupName>字词问题</groupName>
      <ability>L2_Typo</ability>
      <abilityName>字词错误</abilityName>
      <candidateList>
        <item>遗留</item>
      </candidateList>
      <explain/>
      <paraID>4DF9D02C</paraID>
      <start>26</start>
      <end>28</end>
      <status>modified</status>
      <modifiedWord>遗留</modifiedWord>
      <trackRevisions>false</trackRevisions>
    </reviewItem>
    <reviewItem>
      <errorID>84b552a8-8338-498f-b302-0fa6b2ac8e39</errorID>
      <errorWord>占</errorWord>
      <group>L1_Word</group>
      <groupName>字词问题</groupName>
      <ability>L2_Typo</ability>
      <abilityName>字词错误</abilityName>
      <candidateList>
        <item>占用</item>
      </candidateList>
      <explain/>
      <paraID>579332FF</paraID>
      <start>44</start>
      <end>45</end>
      <status>unmodified</status>
      <modifiedWord/>
      <trackRevisions>false</trackRevisions>
    </reviewItem>
    <reviewItem>
      <errorID>300c41f4-bdf0-41dc-93ac-d83ed85044e0</errorID>
      <errorWord>；</errorWord>
      <group>L1_Word</group>
      <groupName>字词问题</groupName>
      <ability>L2_Typo</ability>
      <abilityName>字词错误</abilityName>
      <candidateList>
        <item>；在</item>
      </candidateList>
      <explain/>
      <paraID>579332FF</paraID>
      <start>152</start>
      <end>154</end>
      <status>modified</status>
      <modifiedWord>；在</modifiedWord>
      <trackRevisions>false</trackRevisions>
    </reviewItem>
    <reviewItem>
      <errorID>57b6f0f7-dcf7-461d-95e4-c65fcda7f04b</errorID>
      <errorWord>辗压</errorWord>
      <group>L1_Word</group>
      <groupName>字词问题</groupName>
      <ability>L2_Typo</ability>
      <abilityName>字词错误</abilityName>
      <candidateList>
        <item>碾压</item>
      </candidateList>
      <explain/>
      <paraID>4AA04C1C</paraID>
      <start>86</start>
      <end>88</end>
      <status>modified</status>
      <modifiedWord>碾压</modifiedWord>
      <trackRevisions>false</trackRevisions>
    </reviewItem>
    <reviewItem>
      <errorID>7a3bc119-f3a4-4330-9432-ba2084d18f1d</errorID>
      <errorWord>尽量建设</errorWord>
      <group>L1_Word</group>
      <groupName>字词问题</groupName>
      <ability>L2_Typo</ability>
      <abilityName>字词错误</abilityName>
      <candidateList>
        <item>尽量减少</item>
      </candidateList>
      <explain/>
      <paraID> B13870C</paraID>
      <start>7</start>
      <end>11</end>
      <status>modified</status>
      <modifiedWord>尽量减少</modifiedWord>
      <trackRevisions>false</trackRevisions>
    </reviewItem>
    <reviewItem>
      <errorID>390e9309-5f5c-40aa-b80f-f85d067eafda</errorID>
      <errorWord>滥砍滥伐</errorWord>
      <group>L1_Word</group>
      <groupName>字词问题</groupName>
      <ability>L2_Typo</ability>
      <abilityName>字词错误</abilityName>
      <candidateList>
        <item>乱砍滥伐</item>
      </candidateList>
      <explain/>
      <paraID>266C6BC3</paraID>
      <start>28</start>
      <end>32</end>
      <status>modified</status>
      <modifiedWord>乱砍滥伐</modifiedWord>
      <trackRevisions>false</trackRevisions>
    </reviewItem>
    <reviewItem>
      <errorID>31dbf087-5fba-4fc8-9bbb-4a9056cd0b9b</errorID>
      <errorWord>乱</errorWord>
      <group>L1_Word</group>
      <groupName>字词问题</groupName>
      <ability>L2_Typo</ability>
      <abilityName>字词错误</abilityName>
      <candidateList>
        <item>滥</item>
      </candidateList>
      <explain/>
      <paraID>266C6BC3</paraID>
      <start>35</start>
      <end>36</end>
      <status>modified</status>
      <modifiedWord>滥</modifiedWord>
      <trackRevisions>false</trackRevisions>
    </reviewItem>
    <reviewItem>
      <errorID>9e524fde-84b3-489a-8b1e-66bd60954b46</errorID>
      <errorWord>提高</errorWord>
      <group>L1_Grammar</group>
      <groupName>语法问题</groupName>
      <ability>L2_Grammar</ability>
      <abilityName>语法错误</abilityName>
      <candidateList>
        <item>增强</item>
      </candidateList>
      <explain>“提高～意识”搭配不当，建议修改为“增强～意识”。</explain>
      <paraID>665C3485</paraID>
      <start>8</start>
      <end>10</end>
      <status>unmodified</status>
      <modifiedWord/>
      <trackRevisions>false</trackRevisions>
    </reviewItem>
    <reviewItem>
      <errorID>cba74bb6-debf-4625-9b42-279c8c26b99b</errorID>
      <errorWord>法律、法规</errorWord>
      <group>L1_Word</group>
      <groupName>字词问题</groupName>
      <ability>L2_Typo</ability>
      <abilityName>字词错误</abilityName>
      <candidateList>
        <item>法律法规</item>
      </candidateList>
      <explain/>
      <paraID>665C3485</paraID>
      <start>58</start>
      <end>62</end>
      <status>modified</status>
      <modifiedWord>法律法规</modifiedWord>
      <trackRevisions>false</trackRevisions>
    </reviewItem>
    <reviewItem>
      <errorID>943b9b7d-1cf5-4828-993a-57c84bc7ffed</errorID>
      <errorWord>次</errorWord>
      <group>L1_Word</group>
      <groupName>字词问题</groupName>
      <ability>L2_Typo</ability>
      <abilityName>字词错误</abilityName>
      <candidateList>
        <item>次是</item>
      </candidateList>
      <explain/>
      <paraID>665C3485</paraID>
      <start>69</start>
      <end>71</end>
      <status>modified</status>
      <modifiedWord>次是</modifiedWord>
      <trackRevisions>false</trackRevisions>
    </reviewItem>
    <reviewItem>
      <errorID>9f107323-3b26-4758-a0d0-122270e0bb1a</errorID>
      <errorWord>既可</errorWord>
      <group>L1_Word</group>
      <groupName>字词问题</groupName>
      <ability>L2_Typo</ability>
      <abilityName>字词错误</abilityName>
      <candidateList>
        <item>即可</item>
      </candidateList>
      <explain>存在发音相同字词的误用。</explain>
      <paraID>2AF54E1F</paraID>
      <start>35</start>
      <end>37</end>
      <status>modified</status>
      <modifiedWord>即可</modifiedWord>
      <trackRevisions>false</trackRevisions>
    </reviewItem>
    <reviewItem>
      <errorID>4edf7f85-a9d9-434e-9594-c493b0b42a29</errorID>
      <errorWord>，，</errorWord>
      <group>L1_Punc</group>
      <groupName>标点问题</groupName>
      <ability>L2_Punc_CN</ability>
      <abilityName/>
      <candidateList>
        <item>，</item>
      </candidateList>
      <explain/>
      <paraID>18F963EE</paraID>
      <start>33</start>
      <end>34</end>
      <status>modified</status>
      <modifiedWord>，</modifiedWord>
      <trackRevisions>false</trackRevisions>
    </reviewItem>
    <reviewItem>
      <errorID>67988cdd-b46e-4877-a7bb-d3342686bb97</errorID>
      <errorWord>粘度</errorWord>
      <group>L1_Word</group>
      <groupName>字词问题</groupName>
      <ability>L2_Alias</ability>
      <abilityName>也作/曾用词</abilityName>
      <candidateList>
        <item>黏度</item>
      </candidateList>
      <explain>词汇[粘度]为不规范表述或旧称，其规范书面表述为[黏度]。</explain>
      <paraID>39CA437D</paraID>
      <start>0</start>
      <end>2</end>
      <status>modified</status>
      <modifiedWord>黏度</modifiedWord>
      <trackRevisions>false</trackRevisions>
    </reviewItem>
    <reviewItem>
      <errorID>7b1f4cee-0e81-41b6-b2e8-8c34667a6933</errorID>
      <errorWord>因地适宜</errorWord>
      <group>L1_Knowledge</group>
      <groupName>知识性问题</groupName>
      <ability>L2_Idiom</ability>
      <abilityName>成语和诗歌</abilityName>
      <candidateList>
        <item>因地制宜</item>
      </candidateList>
      <explain>根据当地的实际情况，制定适当的措施。汉赵晔《吴越春秋·阖闾内传》：“夫筑城郭，立仓库，因地制宜，岂有天气之数以威邻国者乎？”宜：适当。</explain>
      <paraID>4AA4C7EB</paraID>
      <start>70</start>
      <end>74</end>
      <status>modified</status>
      <modifiedWord>因地制宜</modifiedWord>
      <trackRevisions>false</trackRevisions>
    </reviewItem>
    <reviewItem>
      <errorID>b5160fc5-a9b2-4d27-981c-f5a3db356e74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4AA4C7EB</paraID>
      <start>74</start>
      <end>75</end>
      <status>modified</status>
      <modifiedWord>地</modifiedWord>
      <trackRevisions>false</trackRevisions>
    </reviewItem>
    <reviewItem>
      <errorID>96d38bdf-4d13-4b39-abf5-f0f3317e46cf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DE20796</paraID>
      <start>0</start>
      <end>2</end>
      <status>unmodified</status>
      <modifiedWord/>
      <trackRevisions>false</trackRevisions>
    </reviewItem>
    <reviewItem>
      <errorID>23b7f623-e561-4d8c-817b-2375625218ca</errorID>
      <errorWord>管理制度便</errorWord>
      <group>L1_Word</group>
      <groupName>字词问题</groupName>
      <ability>L2_Typo</ability>
      <abilityName>字词错误</abilityName>
      <candidateList>
        <item>管理制度</item>
      </candidateList>
      <explain/>
      <paraID>54A8CC14</paraID>
      <start>123</start>
      <end>128</end>
      <status>unmodified</status>
      <modifiedWord/>
      <trackRevisions>false</trackRevisions>
    </reviewItem>
    <reviewItem>
      <errorID>8040c043-7b94-4966-9d0b-f8bc1d587d56</errorID>
      <errorWord>出场</errorWord>
      <group>L1_Word</group>
      <groupName>字词问题</groupName>
      <ability>L2_Typo</ability>
      <abilityName>字词错误</abilityName>
      <candidateList>
        <item>出厂</item>
      </candidateList>
      <explain/>
      <paraID>4EC31C27</paraID>
      <start>9</start>
      <end>11</end>
      <status>unmodified</status>
      <modifiedWord/>
      <trackRevisions>false</trackRevisions>
    </reviewItem>
    <reviewItem>
      <errorID>0d414de0-573d-468b-86b9-1fc82078efa4</errorID>
      <errorWord>，</errorWord>
      <group>L1_Word</group>
      <groupName>字词问题</groupName>
      <ability>L2_Typo</ability>
      <abilityName>字词错误</abilityName>
      <candidateList>
        <item>，对</item>
      </candidateList>
      <explain/>
      <paraID>4EC31C27</paraID>
      <start>53</start>
      <end>55</end>
      <status>modified</status>
      <modifiedWord>，对</modifiedWord>
      <trackRevisions>false</trackRevisions>
    </reviewItem>
    <reviewItem>
      <errorID>259fb882-5750-4e13-94c9-748b9d47e50a</errorID>
      <errorWord>地</errorWord>
      <group>L1_Word</group>
      <groupName>字词问题</groupName>
      <ability>L2_DDD</ability>
      <abilityName>的地得用法</abilityName>
      <candidateList>
        <item>的</item>
      </candidateList>
      <explain>“的”常用于连接修饰语与名词性中心语，表示属性、所属或描述。</explain>
      <paraID>171C4E55</paraID>
      <start>39</start>
      <end>40</end>
      <status>unmodified</status>
      <modifiedWord/>
      <trackRevisions>false</trackRevisions>
    </reviewItem>
    <reviewItem>
      <errorID>00595b08-802b-485a-98eb-d89f36965590</errorID>
      <errorWord>：</errorWord>
      <group>L1_Format</group>
      <groupName>格式问题</groupName>
      <ability>L2_HalfPunc_CN</ability>
      <abilityName/>
      <candidateList>
        <item>:</item>
      </candidateList>
      <explain>文本全半角错误。</explain>
      <paraID>7A146469</paraID>
      <start>104</start>
      <end>105</end>
      <status>unmodified</status>
      <modifiedWord/>
      <trackRevisions>false</trackRevisions>
    </reviewItem>
    <reviewItem>
      <errorID>374851a4-3cdb-4f42-bdf9-d716fde741e3</errorID>
      <errorWord>，</errorWord>
      <group>L1_Word</group>
      <groupName>字词问题</groupName>
      <ability>L2_Typo</ability>
      <abilityName>字词错误</abilityName>
      <candidateList>
        <item>，具</item>
      </candidateList>
      <explain/>
      <paraID>7A146469</paraID>
      <start>213</start>
      <end>215</end>
      <status>modified</status>
      <modifiedWord>，具</modifiedWord>
      <trackRevisions>false</trackRevisions>
    </reviewItem>
    <reviewItem>
      <errorID>aed2c44d-23fe-48e5-8d3f-505944a38a6b</errorID>
      <errorWord>漫延</errorWord>
      <group>L1_Word</group>
      <groupName>字词问题</groupName>
      <ability>L2_Typo</ability>
      <abilityName>字词错误</abilityName>
      <candidateList>
        <item>蔓延</item>
      </candidateList>
      <explain>存在发音相同字词的误用。</explain>
      <paraID> 26EC191</paraID>
      <start>29</start>
      <end>31</end>
      <status>modified</status>
      <modifiedWord>蔓延</modifiedWord>
      <trackRevisions>false</trackRevisions>
    </reviewItem>
    <reviewItem>
      <errorID>3f409c3d-b62d-43fd-aac4-2455683917a8</errorID>
      <errorWord>环境环境</errorWord>
      <group>L1_Word</group>
      <groupName>字词问题</groupName>
      <ability>L2_Typo</ability>
      <abilityName>字词错误</abilityName>
      <candidateList>
        <item>环境</item>
      </candidateList>
      <explain>〈名〉❶周围的地方：～优美｜～卫生。❷周围的情况和条件：客观～｜工作～。</explain>
      <paraID>76A7A9FF</paraID>
      <start>14</start>
      <end>16</end>
      <status>modified</status>
      <modifiedWord>环境</modifiedWord>
      <trackRevisions>false</trackRevisions>
    </reviewItem>
    <reviewItem>
      <errorID>02fbb246-aeec-46ae-aae5-b41aadf43c61</errorID>
      <errorWord>质质</errorWord>
      <group>L1_Word</group>
      <groupName>字词问题</groupName>
      <ability>L2_Typo</ability>
      <abilityName>字词错误</abilityName>
      <candidateList>
        <item>质</item>
      </candidateList>
      <explain/>
      <paraID>5C78F65E</paraID>
      <start>25</start>
      <end>26</end>
      <status>modified</status>
      <modifiedWord>质</modifiedWord>
      <trackRevisions>false</trackRevisions>
    </reviewItem>
    <reviewItem>
      <errorID>9f3afee0-969b-4e20-bd89-f71a409cc513</errorID>
      <errorWord>滲</errorWord>
      <group>L1_Word</group>
      <groupName>字词问题</groupName>
      <ability>L2_Fanti</ability>
      <abilityName>繁转简</abilityName>
      <candidateList>
        <item>渗</item>
      </candidateList>
      <explain/>
      <paraID>5D71D999</paraID>
      <start>98</start>
      <end>99</end>
      <status>modified</status>
      <modifiedWord>渗</modifiedWord>
      <trackRevisions>false</trackRevisions>
    </reviewItem>
    <reviewItem>
      <errorID>1a46547e-ac3d-44f2-b458-744973a3687d</errorID>
      <errorWord>须率</errorWord>
      <group>L1_Word</group>
      <groupName>字词问题</groupName>
      <ability>L2_Typo</ability>
      <abilityName>字词错误</abilityName>
      <candidateList>
        <item>频率</item>
      </candidateList>
      <explain>存在字形相近字词的误用。</explain>
      <paraID>3AB9FF0F</paraID>
      <start>38</start>
      <end>40</end>
      <status>modified</status>
      <modifiedWord>频率</modifiedWord>
      <trackRevisions>false</trackRevisions>
    </reviewItem>
    <reviewItem>
      <errorID>ce128777-d03d-4e2c-898a-0b57a1832b5d</errorID>
      <errorWord>在第一时间内</errorWord>
      <group>L1_Word</group>
      <groupName>字词问题</groupName>
      <ability>L2_Typo</ability>
      <abilityName>字词错误</abilityName>
      <candidateList>
        <item>在第一时间</item>
      </candidateList>
      <explain/>
      <paraID>3DDF1334</paraID>
      <start>28</start>
      <end>33</end>
      <status>modified</status>
      <modifiedWord>在第一时间</modifiedWord>
      <trackRevisions>false</trackRevisions>
    </reviewItem>
    <reviewItem>
      <errorID>3f67be5f-29a3-460e-9c86-5d39f947dfd2</errorID>
      <errorWord>防止</errorWord>
      <group>L1_Word</group>
      <groupName>字词问题</groupName>
      <ability>L2_Typo</ability>
      <abilityName>字词错误</abilityName>
      <candidateList>
        <item>防治</item>
      </candidateList>
      <explain>存在发音相同字词的误用。</explain>
      <paraID>5BFF8050</paraID>
      <start>32</start>
      <end>34</end>
      <status>modified</status>
      <modifiedWord>防治</modifiedWord>
      <trackRevisions>false</trackRevisions>
    </reviewItem>
    <reviewItem>
      <errorID>f60c96a9-7ff9-4429-ad16-e75733c3e2eb</errorID>
      <errorWord>以上的</errorWord>
      <group>L1_Word</group>
      <groupName>字词问题</groupName>
      <ability>L2_Typo</ability>
      <abilityName>字词错误</abilityName>
      <candidateList>
        <item>以上</item>
      </candidateList>
      <explain/>
      <paraID>67019ABD</paraID>
      <start>13</start>
      <end>15</end>
      <status>modified</status>
      <modifiedWord>以上</modifiedWord>
      <trackRevisions>false</trackRevisions>
    </reviewItem>
    <reviewItem>
      <errorID>744d4f92-df8a-4e8d-b4fb-f6c2573f4793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5768E890</paraID>
      <start>65</start>
      <end>66</end>
      <status>modified</status>
      <modifiedWord>地</modifiedWord>
      <trackRevisions>false</trackRevisions>
    </reviewItem>
    <reviewItem>
      <errorID>20472553-32e7-4997-9966-d75b67123366</errorID>
      <errorWord>）</errorWord>
      <group>L1_Word</group>
      <groupName>字词问题</groupName>
      <ability>L2_Typo</ability>
      <abilityName>字词错误</abilityName>
      <candidateList>
        <item>）在</item>
      </candidateList>
      <explain/>
      <paraID> 7807543</paraID>
      <start>2</start>
      <end>4</end>
      <status>modified</status>
      <modifiedWord>）在</modifiedWord>
      <trackRevisions>false</trackRevisions>
    </reviewItem>
    <reviewItem>
      <errorID>12e9e8e7-4198-4e6b-92b3-13f9d02e40b5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17C832C6</paraID>
      <start>103</start>
      <end>104</end>
      <status>unmodified</status>
      <modifiedWord/>
      <trackRevisions>false</trackRevisions>
    </reviewItem>
    <reviewItem>
      <errorID>e22cbdd8-55a8-481c-a497-307ea50e6ce7</errorID>
      <errorWord>其它</errorWord>
      <group>L1_Word</group>
      <groupName>字词问题</groupName>
      <ability>L2_Alias</ability>
      <abilityName>也作/曾用词</abilityName>
      <candidateList>
        <item>其他</item>
      </candidateList>
      <explain>词汇[其它]为不规范表述或旧称，其规范书面表述为[其他]。</explain>
      <paraID>6B361B3E</paraID>
      <start>8</start>
      <end>10</end>
      <status>modified</status>
      <modifiedWord>其他</modifiedWord>
      <trackRevisions>false</trackRevisions>
    </reviewItem>
    <reviewItem>
      <errorID>7ddeea3a-40d5-4f72-b739-30ebf372ac0e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6B361B3E</paraID>
      <start>49</start>
      <end>50</end>
      <status>unmodified</status>
      <modifiedWord/>
      <trackRevisions>false</trackRevisions>
    </reviewItem>
    <reviewItem>
      <errorID>5d1e22e8-211b-4192-b970-7618cb389bce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1D0AC1DE</paraID>
      <start>22</start>
      <end>23</end>
      <status>unmodified</status>
      <modifiedWord/>
      <trackRevisions>false</trackRevisions>
    </reviewItem>
    <reviewItem>
      <errorID>6fd327c3-65f1-4243-95bc-6928cfc838f6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130B0138</paraID>
      <start>24</start>
      <end>25</end>
      <status>unmodified</status>
      <modifiedWord/>
      <trackRevisions>false</trackRevisions>
    </reviewItem>
    <reviewItem>
      <errorID>dc91e71e-d6ca-4163-860b-b6382ea9445e</errorID>
      <errorWord>阻滞</errorWord>
      <group>L1_Word</group>
      <groupName>字词问题</groupName>
      <ability>L2_Typo</ability>
      <abilityName>字词错误</abilityName>
      <candidateList>
        <item>阻止</item>
      </candidateList>
      <explain/>
      <paraID>4D6C815F</paraID>
      <start>39</start>
      <end>41</end>
      <status>modified</status>
      <modifiedWord>阻止</modifiedWord>
      <trackRevisions>false</trackRevisions>
    </reviewItem>
    <reviewItem>
      <errorID>692ef490-bb74-45d3-afc5-8e9b96666fc0</errorID>
      <errorWord>垃圾产</errorWord>
      <group>L1_Word</group>
      <groupName>字词问题</groupName>
      <ability>L2_Typo</ability>
      <abilityName>字词错误</abilityName>
      <candidateList>
        <item>垃圾</item>
      </candidateList>
      <explain/>
      <paraID>4620BD65</paraID>
      <start>5</start>
      <end>7</end>
      <status>modified</status>
      <modifiedWord>垃圾</modifiedWord>
      <trackRevisions>false</trackRevisions>
    </reviewItem>
    <reviewItem>
      <errorID>17c8130a-ba19-4ebc-9e27-6e9ef3c58386</errorID>
      <errorWord>其它</errorWord>
      <group>L1_Word</group>
      <groupName>字词问题</groupName>
      <ability>L2_Alias</ability>
      <abilityName>也作/曾用词</abilityName>
      <candidateList>
        <item>其他</item>
      </candidateList>
      <explain>词汇[其它]为不规范表述或旧称，其规范书面表述为[其他]。</explain>
      <paraID>596495DA</paraID>
      <start>153</start>
      <end>155</end>
      <status>modified</status>
      <modifiedWord>其他</modifiedWord>
      <trackRevisions>false</trackRevisions>
    </reviewItem>
    <reviewItem>
      <errorID>b05fdb41-d12e-4497-9d4a-098161bb7e7f</errorID>
      <errorWord>测</errorWord>
      <group>L1_Word</group>
      <groupName>字词问题</groupName>
      <ability>L2_Typo</ability>
      <abilityName>字词错误</abilityName>
      <candidateList>
        <item>测等</item>
      </candidateList>
      <explain/>
      <paraID>26654172</paraID>
      <start>42</start>
      <end>44</end>
      <status>modified</status>
      <modifiedWord>测等</modifiedWord>
      <trackRevisions>false</trackRevisions>
    </reviewItem>
    <reviewItem>
      <errorID>01a452a9-b0a3-443a-8d96-20e8a7c4c185</errorID>
      <errorWord>设</errorWord>
      <group>L1_Word</group>
      <groupName>字词问题</groupName>
      <ability>L2_Typo</ability>
      <abilityName>字词错误</abilityName>
      <candidateList>
        <item>设置</item>
      </candidateList>
      <explain>〈动〉❶设立：这座剧院是为儿童～的。❷安放；安装：～障碍。</explain>
      <paraID>305324AE</paraID>
      <start>31</start>
      <end>33</end>
      <status>modified</status>
      <modifiedWord>设置</modifiedWord>
      <trackRevisions>false</trackRevisions>
    </reviewItem>
    <reviewItem>
      <errorID>880f0c77-dec2-43d0-9a48-39327fa9a793</errorID>
      <errorWord>两、三年</errorWord>
      <group>L1_Knowledge</group>
      <groupName>知识性问题</groupName>
      <ability>L2_Knowledge</ability>
      <abilityName>其他知识</abilityName>
      <candidateList>
        <item>两三年</item>
      </candidateList>
      <explain>根据国标GB/T 15834-2011《标点符号用法》中的4.5.3.4节，相邻或相近两数字连用表概数时，通常不使用顿号。如“只能看到八九公里范围内的地面”。</explain>
      <paraID>305A7924</paraID>
      <start>4</start>
      <end>7</end>
      <status>modified</status>
      <modifiedWord>两三年</modifiedWord>
      <trackRevisions>false</trackRevisions>
    </reviewItem>
    <reviewItem>
      <errorID>4b65f80e-e6e6-42df-8a79-23f42687aaee</errorID>
      <errorWord>法律、法规</errorWord>
      <group>L1_Word</group>
      <groupName>字词问题</groupName>
      <ability>L2_Typo</ability>
      <abilityName>字词错误</abilityName>
      <candidateList>
        <item>法律法规</item>
      </candidateList>
      <explain/>
      <paraID>1C876D77</paraID>
      <start>13</start>
      <end>17</end>
      <status>modified</status>
      <modifiedWord>法律法规</modifiedWord>
      <trackRevisions>false</trackRevisions>
    </reviewItem>
    <reviewItem>
      <errorID>eae8db09-79a3-45e7-ab35-4003024e9104</errorID>
      <errorWord>法律、法规</errorWord>
      <group>L1_Word</group>
      <groupName>字词问题</groupName>
      <ability>L2_Typo</ability>
      <abilityName>字词错误</abilityName>
      <candidateList>
        <item>法律法规</item>
      </candidateList>
      <explain/>
      <paraID>54D528CA</paraID>
      <start>21</start>
      <end>25</end>
      <status>modified</status>
      <modifiedWord>法律法规</modifiedWord>
      <trackRevisions>false</trackRevisions>
    </reviewItem>
    <reviewItem>
      <errorID>93e62a62-725f-4c12-9d47-d10892181421</errorID>
      <errorWord>~</errorWord>
      <group>L1_Format</group>
      <groupName>格式问题</groupName>
      <ability>L2_HalfPunc_CN</ability>
      <abilityName/>
      <candidateList>
        <item>～</item>
      </candidateList>
      <explain>文本全半角错误。</explain>
      <paraID>39AE4C05</paraID>
      <start>118</start>
      <end>119</end>
      <status>unmodified</status>
      <modifiedWord/>
      <trackRevisions>false</trackRevisions>
    </reviewItem>
    <reviewItem>
      <errorID>74de29b1-c581-4386-8632-2699e691b43f</errorID>
      <errorWord>，</errorWord>
      <group>L1_Word</group>
      <groupName>字词问题</groupName>
      <ability>L2_Typo</ability>
      <abilityName>字词错误</abilityName>
      <candidateList>
        <item>，事</item>
      </candidateList>
      <explain/>
      <paraID>39AE4C05</paraID>
      <start>188</start>
      <end>190</end>
      <status>modified</status>
      <modifiedWord>，事</modifiedWord>
      <trackRevisions>false</trackRevisions>
    </reviewItem>
    <reviewItem>
      <errorID>ea2fc590-b5ca-4312-a9f0-15539315e297</errorID>
      <errorWord>项目项目区</errorWord>
      <group>L1_Word</group>
      <groupName>字词问题</groupName>
      <ability>L2_Typo</ability>
      <abilityName>字词错误</abilityName>
      <candidateList>
        <item>项目区</item>
      </candidateList>
      <explain/>
      <paraID>13ABB572</paraID>
      <start>4</start>
      <end>7</end>
      <status>modified</status>
      <modifiedWord>项目区</modifiedWord>
      <trackRevisions>false</trackRevisions>
    </reviewItem>
    <reviewItem>
      <errorID>a0602232-c6e3-4078-9213-5fd361bbf7e5</errorID>
      <errorWord>、其</errorWord>
      <group>L1_Word</group>
      <groupName>字词问题</groupName>
      <ability>L2_Typo</ability>
      <abilityName>字词错误</abilityName>
      <candidateList>
        <item>、</item>
      </candidateList>
      <explain/>
      <paraID>2B7775EC</paraID>
      <start>47</start>
      <end>48</end>
      <status>modified</status>
      <modifiedWord>、</modifiedWord>
      <trackRevisions>false</trackRevisions>
    </reviewItem>
    <reviewItem>
      <errorID>9700743c-57fe-4d3d-9313-7668aacc31ef</errorID>
      <errorWord>期</errorWord>
      <group>L1_Word</group>
      <groupName>字词问题</groupName>
      <ability>L2_Typo</ability>
      <abilityName>字词错误</abilityName>
      <candidateList>
        <item>期间</item>
      </candidateList>
      <explain>〈名〉某个时期里面：农忙～｜春节～｜抗战～。</explain>
      <paraID>113EA9DA</paraID>
      <start>92</start>
      <end>93</end>
      <status>unmodified</status>
      <modifiedWord/>
      <trackRevisions>false</trackRevisions>
    </reviewItem>
    <reviewItem>
      <errorID>27669530-785b-4832-b5d0-6be44bcea5c9</errorID>
      <errorWord>期</errorWord>
      <group>L1_Word</group>
      <groupName>字词问题</groupName>
      <ability>L2_Typo</ability>
      <abilityName>字词错误</abilityName>
      <candidateList>
        <item>期间</item>
      </candidateList>
      <explain>〈名〉某个时期里面：农忙～｜春节～｜抗战～。</explain>
      <paraID>2859FD6F</paraID>
      <start>75</start>
      <end>76</end>
      <status>unmodified</status>
      <modifiedWord/>
      <trackRevisions>false</trackRevisions>
    </reviewItem>
    <reviewItem>
      <errorID>22f734a8-65db-4824-bd76-b5c41020c946</errorID>
      <errorWord>防止防止</errorWord>
      <group>L1_Word</group>
      <groupName>字词问题</groupName>
      <ability>L2_Typo</ability>
      <abilityName>字词错误</abilityName>
      <candidateList>
        <item>防止</item>
      </candidateList>
      <explain>〈动〉预先设法制止（坏事发生）：～煤气中毒｜～交通事故。</explain>
      <paraID>724D5C57</paraID>
      <start>69</start>
      <end>71</end>
      <status>modified</status>
      <modifiedWord>防止</modifiedWord>
      <trackRevisions>false</trackRevisions>
    </reviewItem>
    <reviewItem>
      <errorID>0385f781-4d9f-4193-8d14-006d653b5497</errorID>
      <errorWord>重要的</errorWord>
      <group>L1_Word</group>
      <groupName>字词问题</groupName>
      <ability>L2_Typo</ability>
      <abilityName>字词错误</abilityName>
      <candidateList>
        <item>重要</item>
      </candidateList>
      <explain>〈形〉具有重大的意义、作用和影响的：～人物｜～问题｜这文件很～。</explain>
      <paraID>1C466B10</paraID>
      <start>63</start>
      <end>65</end>
      <status>modified</status>
      <modifiedWord>重要</modifiedWord>
      <trackRevisions>false</trackRevisions>
    </reviewItem>
    <reviewItem>
      <errorID>355b5b8d-cdda-4b3c-a6ff-fcb10669b7e6</errorID>
      <errorWord>纳入到</errorWord>
      <group>L1_Word</group>
      <groupName>字词问题</groupName>
      <ability>L2_Typo</ability>
      <abilityName>字词错误</abilityName>
      <candidateList>
        <item>纳入</item>
      </candidateList>
      <explain>〈动〉放进；归入（多用于抽象事物）：～正轨｜～计划。</explain>
      <paraID>6F6312DF</paraID>
      <start>117</start>
      <end>119</end>
      <status>modified</status>
      <modifiedWord>纳入</modifiedWord>
      <trackRevisions>false</trackRevisions>
    </reviewItem>
    <reviewItem>
      <errorID>cfcd87eb-c6eb-4b86-abdd-2966f39dcfc7</errorID>
      <errorWord>队</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5C6B4712</paraID>
      <start>45</start>
      <end>46</end>
      <status>modified</status>
      <modifiedWord>对</modifiedWord>
      <trackRevisions>false</trackRevisions>
    </reviewItem>
    <reviewItem>
      <errorID>b2e850f8-6412-4769-8281-c95d9daee273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6EA1552D</paraID>
      <start>0</start>
      <end>2</end>
      <status>unmodified</status>
      <modifiedWord/>
      <trackRevisions>false</trackRevisions>
    </reviewItem>
    <reviewItem>
      <errorID>d024d6a2-cc46-4d2e-8b01-d31f774a3012</errorID>
      <errorWord>程</errorWord>
      <group>L1_Word</group>
      <groupName>字词问题</groupName>
      <ability>L2_Typo</ability>
      <abilityName>字词错误</abilityName>
      <candidateList>
        <item>程中</item>
      </candidateList>
      <explain/>
      <paraID>78882966</paraID>
      <start>3</start>
      <end>4</end>
      <status>unmodified</status>
      <modifiedWord/>
      <trackRevisions>false</trackRevisions>
    </reviewItem>
    <reviewItem>
      <errorID>2d349c94-9dae-4fed-b9b5-5061f9299c9f</errorID>
      <errorWord>防治</errorWord>
      <group>L1_Word</group>
      <groupName>字词问题</groupName>
      <ability>L2_Typo</ability>
      <abilityName>字词错误</abilityName>
      <candidateList>
        <item>防止</item>
      </candidateList>
      <explain>〈动〉预先设法制止（坏事发生）：～煤气中毒｜～交通事故。</explain>
      <paraID>78882966</paraID>
      <start>30</start>
      <end>32</end>
      <status>modified</status>
      <modifiedWord>防止</modifiedWord>
      <trackRevisions>false</trackRevisions>
    </reviewItem>
    <reviewItem>
      <errorID>12f0b052-ba51-4c5f-ac79-ac5468cec03f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5B7547A4</paraID>
      <start>0</start>
      <end>2</end>
      <status>unmodified</status>
      <modifiedWord/>
      <trackRevisions>false</trackRevisions>
    </reviewItem>
    <reviewItem>
      <errorID>0d75386b-34d2-4200-83f0-2b4e47044527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502C471C</paraID>
      <start>0</start>
      <end>2</end>
      <status>unmodified</status>
      <modifiedWord/>
      <trackRevisions>false</trackRevisions>
    </reviewItem>
    <reviewItem>
      <errorID>807ed458-f861-4baf-8169-97d7a529d8d5</errorID>
      <errorWord>厂</errorWord>
      <group>L1_Word</group>
      <groupName>字词问题</groupName>
      <ability>L2_Typo</ability>
      <abilityName>字词错误</abilityName>
      <candidateList>
        <item>场</item>
      </candidateList>
      <explain/>
      <paraID>502C471C</paraID>
      <start>6</start>
      <end>7</end>
      <status>unmodified</status>
      <modifiedWord/>
      <trackRevisions>false</trackRevisions>
    </reviewItem>
    <reviewItem>
      <errorID>d9ffd9d5-90f3-4da8-bf04-ea80f46c5d10</errorID>
      <errorWord>当地的</errorWord>
      <group>L1_Word</group>
      <groupName>字词问题</groupName>
      <ability>L2_Typo</ability>
      <abilityName>字词错误</abilityName>
      <candidateList>
        <item>当地</item>
      </candidateList>
      <explain/>
      <paraID>502C471C</paraID>
      <start>24</start>
      <end>26</end>
      <status>modified</status>
      <modifiedWord>当地</modifiedWord>
      <trackRevisions>false</trackRevisions>
    </reviewItem>
    <reviewItem>
      <errorID>f89aa9a5-8364-49e3-9ff5-7953d14007f1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CED22BC</paraID>
      <start>0</start>
      <end>2</end>
      <status>unmodified</status>
      <modifiedWord/>
      <trackRevisions>false</trackRevisions>
    </reviewItem>
    <reviewItem>
      <errorID>038f3d3c-4abd-401b-bd56-b06a8cdcd559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62D9FB22</paraID>
      <start>0</start>
      <end>2</end>
      <status>unmodified</status>
      <modifiedWord/>
      <trackRevisions>false</trackRevisions>
    </reviewItem>
    <reviewItem>
      <errorID>7e5dfd9c-686b-4b4c-955c-26219c94de99</errorID>
      <errorWord>中华人民共和国水土保持法实施条例</errorWord>
      <group>L1_Knowledge</group>
      <groupName>知识性问题</groupName>
      <ability>L2_Knowledge</ability>
      <abilityName>其他知识</abilityName>
      <candidateList/>
      <explain>该法规于2011年1月8日由国务院制定，当前已废止，请注意检查引用是否正确。</explain>
      <paraID>62D9FB22</paraID>
      <start>19</start>
      <end>35</end>
      <status>unmodified</status>
      <modifiedWord/>
      <trackRevisions>false</trackRevisions>
    </reviewItem>
    <reviewItem>
      <errorID>ea132a37-9599-4760-be5d-5293eda92297</errorID>
      <errorWord>毕</errorWord>
      <group>L1_Word</group>
      <groupName>字词问题</groupName>
      <ability>L2_Typo</ability>
      <abilityName>字词错误</abilityName>
      <candidateList>
        <item>闭</item>
      </candidateList>
      <explain>存在发音相同字词的误用。</explain>
      <paraID>  F881A0</paraID>
      <start>19</start>
      <end>20</end>
      <status>modified</status>
      <modifiedWord>闭</modifiedWord>
      <trackRevisions>false</trackRevisions>
    </reviewItem>
    <reviewItem>
      <errorID>3ddf11ce-e9d8-4494-8252-7837a6f4d98b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77E76C6C</paraID>
      <start>0</start>
      <end>2</end>
      <status>unmodified</status>
      <modifiedWord/>
      <trackRevisions>false</trackRevisions>
    </reviewItem>
    <reviewItem>
      <errorID>651e7750-9486-4ca7-9c77-3e27cb7565de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6220319</paraID>
      <start>0</start>
      <end>2</end>
      <status>unmodified</status>
      <modifiedWord/>
      <trackRevisions>false</trackRevisions>
    </reviewItem>
    <reviewItem>
      <errorID>06d3c0e3-1e38-4f7c-8c07-b43871894318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161AEF46</paraID>
      <start>0</start>
      <end>2</end>
      <status>unmodified</status>
      <modifiedWord/>
      <trackRevisions>false</trackRevisions>
    </reviewItem>
    <reviewItem>
      <errorID>92238d35-0448-4a6f-89e7-ca7063b120f4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3C9851CC</paraID>
      <start>0</start>
      <end>2</end>
      <status>unmodified</status>
      <modifiedWord/>
      <trackRevisions>false</trackRevisions>
    </reviewItem>
    <reviewItem>
      <errorID>af80ff44-a981-40e9-be2c-a66f2da74d62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474C91BF</paraID>
      <start>0</start>
      <end>2</end>
      <status>unmodified</status>
      <modifiedWord/>
      <trackRevisions>false</trackRevisions>
    </reviewItem>
    <reviewItem>
      <errorID>301fa1f3-4c36-4ff4-9014-095df8a11dcd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3831EE0C</paraID>
      <start>0</start>
      <end>2</end>
      <status>unmodified</status>
      <modifiedWord/>
      <trackRevisions>false</trackRevisions>
    </reviewItem>
    <reviewItem>
      <errorID>3f952f5a-e65e-4f6d-8cbf-849fd0237d22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577EF901</paraID>
      <start>0</start>
      <end>2</end>
      <status>unmodified</status>
      <modifiedWord/>
      <trackRevisions>false</trackRevisions>
    </reviewItem>
    <reviewItem>
      <errorID>ba34863b-59de-4bca-9abd-188f9524eec0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52F020FD</paraID>
      <start>0</start>
      <end>2</end>
      <status>unmodified</status>
      <modifiedWord/>
      <trackRevisions>false</trackRevisions>
    </reviewItem>
    <reviewItem>
      <errorID>5b72b03b-274e-4dc8-9b39-d51a18a92580</errorID>
      <errorWord>作到</errorWord>
      <group>L1_Word</group>
      <groupName>字词问题</groupName>
      <ability>L2_Typo</ability>
      <abilityName>字词错误</abilityName>
      <candidateList>
        <item>做到</item>
      </candidateList>
      <explain/>
      <paraID>52F020FD</paraID>
      <start>34</start>
      <end>36</end>
      <status>modified</status>
      <modifiedWord>做到</modifiedWord>
      <trackRevisions>false</trackRevisions>
    </reviewItem>
    <reviewItem>
      <errorID>ba85e9c2-0774-4c32-8e4d-b609db4985d7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741F4086</paraID>
      <start>0</start>
      <end>2</end>
      <status>unmodified</status>
      <modifiedWord/>
      <trackRevisions>false</trackRevisions>
    </reviewItem>
    <reviewItem>
      <errorID>69fbd12b-4cdf-4eed-87c3-cb2c1980ef1b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C2D7FDA</paraID>
      <start>0</start>
      <end>2</end>
      <status>unmodified</status>
      <modifiedWord/>
      <trackRevisions>false</trackRevisions>
    </reviewItem>
    <reviewItem>
      <errorID>2528105c-ebfb-4b83-b159-c3001a0f448a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36962D3A</paraID>
      <start>0</start>
      <end>2</end>
      <status>unmodified</status>
      <modifiedWord/>
      <trackRevisions>false</trackRevisions>
    </reviewItem>
    <reviewItem>
      <errorID>6d367c77-8846-435f-9a35-9840da105fd0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268C640</paraID>
      <start>0</start>
      <end>2</end>
      <status>unmodified</status>
      <modifiedWord/>
      <trackRevisions>false</trackRevisions>
    </reviewItem>
    <reviewItem>
      <errorID>27a1174d-806d-423d-864e-4216c91b8bd8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76E997AA</paraID>
      <start>0</start>
      <end>2</end>
      <status>unmodified</status>
      <modifiedWord/>
      <trackRevisions>false</trackRevisions>
    </reviewItem>
    <reviewItem>
      <errorID>5bf37531-e0d7-4b17-ad98-753b5e44e855</errorID>
      <errorWord>收到</errorWord>
      <group>L1_Word</group>
      <groupName>字词问题</groupName>
      <ability>L2_Typo</ability>
      <abilityName>字词错误</abilityName>
      <candidateList>
        <item>受到</item>
      </candidateList>
      <explain/>
      <paraID> 26C1560</paraID>
      <start>75</start>
      <end>77</end>
      <status>unmodified</status>
      <modifiedWord/>
      <trackRevisions>false</trackRevisions>
    </reviewItem>
    <reviewItem>
      <errorID>1e4578a9-e1f1-4f1a-9500-854803767dc3</errorID>
      <errorWord>的</errorWord>
      <group>L1_Word</group>
      <groupName>字词问题</groupName>
      <ability>L2_Typo</ability>
      <abilityName>字词错误</abilityName>
      <candidateList>
        <item>的可</item>
      </candidateList>
      <explain/>
      <paraID> 26C1560</paraID>
      <start>134</start>
      <end>135</end>
      <status>unmodified</status>
      <modifiedWord/>
      <trackRevisions>false</trackRevisions>
    </reviewItem>
    <reviewItem>
      <errorID>b5802559-b299-4a1a-b855-3483ff21c198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4D3DBF40</paraID>
      <start>0</start>
      <end>2</end>
      <status>unmodified</status>
      <modifiedWord/>
      <trackRevisions>false</trackRevisions>
    </reviewItem>
    <reviewItem>
      <errorID>adc24c43-54bb-49f5-9e58-fff20f5d4127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43A6D13E</paraID>
      <start>0</start>
      <end>2</end>
      <status>unmodified</status>
      <modifiedWord/>
      <trackRevisions>false</trackRevisions>
    </reviewItem>
    <reviewItem>
      <errorID>1b9e12f4-bc40-42c1-97d7-3c6c8bea96a4</errorID>
      <errorWord>处</errorWord>
      <group>L1_Word</group>
      <groupName>字词问题</groupName>
      <ability>L2_Typo</ability>
      <abilityName>字词错误</abilityName>
      <candidateList>
        <item>处于</item>
      </candidateList>
      <explain>〈动〉在某种地位或状态：～优势｜伤员～昏迷状态。</explain>
      <paraID>4429EB9D</paraID>
      <start>56</start>
      <end>58</end>
      <status>modified</status>
      <modifiedWord>处于</modifiedWord>
      <trackRevisions>false</trackRevisions>
    </reviewItem>
    <reviewItem>
      <errorID>2f09b7de-619f-49ba-813e-82d8ad8e72a6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6D5B1BA3</paraID>
      <start>0</start>
      <end>2</end>
      <status>unmodified</status>
      <modifiedWord/>
      <trackRevisions>false</trackRevisions>
    </reviewItem>
    <reviewItem>
      <errorID>53a178ef-5687-4f7d-9ffe-e28a60ed83ba</errorID>
      <errorWord>有</errorWord>
      <group>L1_Word</group>
      <groupName>字词问题</groupName>
      <ability>L2_Typo</ability>
      <abilityName>字词错误</abilityName>
      <candidateList>
        <item>由</item>
      </candidateList>
      <explain>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39EB585D</paraID>
      <start>8</start>
      <end>9</end>
      <status>modified</status>
      <modifiedWord>由</modifiedWord>
      <trackRevisions>false</trackRevisions>
    </reviewItem>
    <reviewItem>
      <errorID>76e29436-59ba-4361-a621-b0cc18324ac2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764350B8</paraID>
      <start>0</start>
      <end>2</end>
      <status>unmodified</status>
      <modifiedWord/>
      <trackRevisions>false</trackRevisions>
    </reviewItem>
    <reviewItem>
      <errorID>42437023-4038-4d19-9411-5dd554e6f90a</errorID>
      <errorWord>达产年</errorWord>
      <group>L1_Word</group>
      <groupName>字词问题</groupName>
      <ability>L2_Typo</ability>
      <abilityName>字词错误</abilityName>
      <candidateList>
        <item>达产</item>
      </candidateList>
      <explain/>
      <paraID>60C971CE</paraID>
      <start>2</start>
      <end>4</end>
      <status>modified</status>
      <modifiedWord>达产</modifiedWord>
      <trackRevisions>false</trackRevisions>
    </reviewItem>
    <reviewItem>
      <errorID>1791f79f-6236-4b27-b21f-58dee95c3e09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2138C1CC</paraID>
      <start>0</start>
      <end>2</end>
      <status>unmodified</status>
      <modifiedWord/>
      <trackRevisions>false</trackRevisions>
    </reviewItem>
    <reviewItem>
      <errorID>668c38e1-d6a0-4aca-b60a-e3239dfb6d6b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6012B042</paraID>
      <start>0</start>
      <end>2</end>
      <status>unmodified</status>
      <modifiedWord/>
      <trackRevisions>false</trackRevisions>
    </reviewItem>
    <reviewItem>
      <errorID>ab2bd418-474c-414e-937b-9ebdcf6ed03c</errorID>
      <errorWord>除尘除尘</errorWord>
      <group>L1_Word</group>
      <groupName>字词问题</groupName>
      <ability>L2_Typo</ability>
      <abilityName>字词错误</abilityName>
      <candidateList>
        <item>除尘</item>
      </candidateList>
      <explain/>
      <paraID>493D10DA</paraID>
      <start>13</start>
      <end>15</end>
      <status>modified</status>
      <modifiedWord>除尘</modifiedWord>
      <trackRevisions>false</trackRevisions>
    </reviewItem>
    <reviewItem>
      <errorID>658ca683-4729-42ff-b4f4-4bd51d3edc57</errorID>
      <errorWord>除尘除尘</errorWord>
      <group>L1_Word</group>
      <groupName>字词问题</groupName>
      <ability>L2_Typo</ability>
      <abilityName>字词错误</abilityName>
      <candidateList>
        <item>除尘</item>
      </candidateList>
      <explain/>
      <paraID>28074F96</paraID>
      <start>13</start>
      <end>15</end>
      <status>modified</status>
      <modifiedWord>除尘</modifiedWord>
      <trackRevisions>false</trackRevisions>
    </reviewItem>
    <reviewItem>
      <errorID>fce1bc19-2cc2-4d36-bcc3-69db2f7153d6</errorID>
      <errorWord>除尘除尘</errorWord>
      <group>L1_Word</group>
      <groupName>字词问题</groupName>
      <ability>L2_Typo</ability>
      <abilityName>字词错误</abilityName>
      <candidateList>
        <item>除尘</item>
      </candidateList>
      <explain/>
      <paraID>63AC3379</paraID>
      <start>17</start>
      <end>19</end>
      <status>modified</status>
      <modifiedWord>除尘</modifiedWord>
      <trackRevisions>false</trackRevisions>
    </reviewItem>
    <reviewItem>
      <errorID>0b05e475-5d4b-4d32-92b3-284bb1582841</errorID>
      <errorWord>指定</errorWord>
      <group>L1_Word</group>
      <groupName>字词问题</groupName>
      <ability>L2_Typo</ability>
      <abilityName>字词错误</abilityName>
      <candidateList>
        <item>制定</item>
      </candidateList>
      <explain>存在发音相同字词的误用。</explain>
      <paraID>2B3C3191</paraID>
      <start>142</start>
      <end>144</end>
      <status>modified</status>
      <modifiedWord>制定</modifiedWord>
      <trackRevisions>false</trackRevisions>
    </reviewItem>
    <reviewItem>
      <errorID>09197aac-cbca-4e7e-a418-d0ec9852af97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5BD885A1</paraID>
      <start>0</start>
      <end>2</end>
      <status>unmodified</status>
      <modifiedWord/>
      <trackRevisions>false</trackRevisions>
    </reviewItem>
    <reviewItem>
      <errorID>515f9a13-5f9d-4b34-b886-551cb1c3ea9d</errorID>
      <errorWord>法律、法规</errorWord>
      <group>L1_Word</group>
      <groupName>字词问题</groupName>
      <ability>L2_Typo</ability>
      <abilityName>字词错误</abilityName>
      <candidateList>
        <item>法律法规</item>
      </candidateList>
      <explain/>
      <paraID> A1CB5EE</paraID>
      <start>16</start>
      <end>21</end>
      <status>unmodified</status>
      <modifiedWord/>
      <trackRevisions>false</trackRevisions>
    </reviewItem>
    <reviewItem>
      <errorID>6151437e-ac5b-478b-b43f-a066306b5fdd</errorID>
      <errorWord>要</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 A1CB5EE</paraID>
      <start>54</start>
      <end>56</end>
      <status>modified</status>
      <modifiedWord>要求</modifiedWord>
      <trackRevisions>false</trackRevisions>
    </reviewItem>
    <reviewItem>
      <errorID>1da2285e-1bfd-468e-8c2e-f68c0102cf54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A1CB5EE</paraID>
      <start>133</start>
      <end>134</end>
      <status>modified</status>
      <modifiedWord>地</modifiedWord>
      <trackRevisions>false</trackRevisions>
    </reviewItem>
    <reviewItem>
      <errorID>e1b9fef9-222c-4692-a140-40e0577029b5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5B4145BC</paraID>
      <start>0</start>
      <end>2</end>
      <status>unmodified</status>
      <modifiedWord/>
      <trackRevisions>false</trackRevisions>
    </reviewItem>
    <reviewItem>
      <errorID>93d6d479-3654-455d-b3e1-0dfa9fc1ae5f</errorID>
      <errorWord>制</errorWord>
      <group>L1_Word</group>
      <groupName>字词问题</groupName>
      <ability>L2_Typo</ability>
      <abilityName>字词错误</abilityName>
      <candidateList>
        <item>制和</item>
      </candidateList>
      <explain/>
      <paraID> CC679FC</paraID>
      <start>22</start>
      <end>24</end>
      <status>modified</status>
      <modifiedWord>制和</modifiedWord>
      <trackRevisions>false</trackRevisions>
    </reviewItem>
    <reviewItem>
      <errorID>c7f18a70-a9f6-48dc-96a7-eb93cfca5f69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446DD8BB</paraID>
      <start>0</start>
      <end>2</end>
      <status>unmodified</status>
      <modifiedWord/>
      <trackRevisions>false</trackRevisions>
    </reviewItem>
    <reviewItem>
      <errorID>2b7e8433-bc9e-4ae0-b2d4-183ee1789964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71558BC</paraID>
      <start>0</start>
      <end>2</end>
      <status>unmodified</status>
      <modifiedWord/>
      <trackRevisions>false</trackRevisions>
    </reviewItem>
    <reviewItem>
      <errorID>0859c222-4446-427e-a826-acd3471bd2f3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5A6A693F</paraID>
      <start>0</start>
      <end>2</end>
      <status>unmodified</status>
      <modifiedWord/>
      <trackRevisions>false</trackRevisions>
    </reviewItem>
    <reviewItem>
      <errorID>c11627d5-421b-4025-9aa9-9c851d319719</errorID>
      <errorWord>管理条列</errorWord>
      <group>L1_Word</group>
      <groupName>字词问题</groupName>
      <ability>L2_Typo</ability>
      <abilityName>字词错误</abilityName>
      <candidateList>
        <item>管理条例</item>
      </candidateList>
      <explain/>
      <paraID>2ED68355</paraID>
      <start>7</start>
      <end>11</end>
      <status>modified</status>
      <modifiedWord>管理条例</modifiedWord>
      <trackRevisions>false</trackRevisions>
    </reviewItem>
    <reviewItem>
      <errorID>bec05f7b-f119-4110-9549-8fa87c07c2da</errorID>
      <errorWord>位</errorWord>
      <group>L1_Word</group>
      <groupName>字词问题</groupName>
      <ability>L2_Typo</ability>
      <abilityName>字词错误</abilityName>
      <candidateList>
        <item>位在</item>
      </candidateList>
      <explain/>
      <paraID>188D1F35</paraID>
      <start>11</start>
      <end>13</end>
      <status>modified</status>
      <modifiedWord>位在</modifiedWord>
      <trackRevisions>false</trackRevisions>
    </reviewItem>
    <reviewItem>
      <errorID>8c888d04-ccd1-48c6-9de1-844be3ac1a7e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257D3847</paraID>
      <start>0</start>
      <end>2</end>
      <status>unmodified</status>
      <modifiedWord/>
      <trackRevisions>false</trackRevisions>
    </reviewItem>
    <reviewItem>
      <errorID>adc8b924-be97-4c37-8569-006045e02c88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38476129</paraID>
      <start>0</start>
      <end>2</end>
      <status>unmodified</status>
      <modifiedWord/>
      <trackRevisions>false</trackRevisions>
    </reviewItem>
    <reviewItem>
      <errorID>9f5d9793-eeb8-44fe-968c-336547737fdb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7EB84167</paraID>
      <start>0</start>
      <end>2</end>
      <status>unmodified</status>
      <modifiedWord/>
      <trackRevisions>false</trackRevisions>
    </reviewItem>
    <reviewItem>
      <errorID>59ae00a2-df80-467b-9a6b-7d966f949bda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4AD33C36</paraID>
      <start>0</start>
      <end>2</end>
      <status>unmodified</status>
      <modifiedWord/>
      <trackRevisions>false</trackRevisions>
    </reviewItem>
    <reviewItem>
      <errorID>9eac41f2-cb8c-4e5a-af32-69cb12b3ba2a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FAD7787</paraID>
      <start>0</start>
      <end>2</end>
      <status>unmodified</status>
      <modifiedWord/>
      <trackRevisions>false</trackRevisions>
    </reviewItem>
    <reviewItem>
      <errorID>30343e65-89cc-4bb7-927f-07867d8ab5e3</errorID>
      <errorWord>厂</errorWord>
      <group>L1_Word</group>
      <groupName>字词问题</groupName>
      <ability>L2_Typo</ability>
      <abilityName>字词错误</abilityName>
      <candidateList>
        <item>场</item>
      </candidateList>
      <explain/>
      <paraID>63241B8E</paraID>
      <start>6</start>
      <end>7</end>
      <status>unmodified</status>
      <modifiedWord/>
      <trackRevisions>false</trackRevisions>
    </reviewItem>
    <reviewItem>
      <errorID>f5460aa9-0f67-459a-9b4f-c523a091052d</errorID>
      <errorWord>作</errorWord>
      <group>L1_Word</group>
      <groupName>字词问题</groupName>
      <ability>L2_Typo</ability>
      <abilityName>字词错误</abilityName>
      <candidateList>
        <item>做</item>
      </candidateList>
      <explain>存在发音相同字词的误用。</explain>
      <paraID>46332E45</paraID>
      <start>7</start>
      <end>8</end>
      <status>modified</status>
      <modifiedWord>做</modifiedWord>
      <trackRevisions>false</trackRevisions>
    </reviewItem>
    <reviewItem>
      <errorID>50e93c28-418b-41c3-9e56-849eaf9d1d5c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2389AE6B</paraID>
      <start>35</start>
      <end>36</end>
      <status>modified</status>
      <modifiedWord>地</modifiedWord>
      <trackRevisions>false</trackRevisions>
    </reviewItem>
    <reviewItem>
      <errorID>cf932361-de21-4bca-85d0-e9ed9bb5aeb0</errorID>
      <errorWord>项目取</errorWord>
      <group>L1_Word</group>
      <groupName>字词问题</groupName>
      <ability>L2_Typo</ability>
      <abilityName>字词错误</abilityName>
      <candidateList>
        <item>项目区</item>
      </candidateList>
      <explain>存在发音相同字词的误用。</explain>
      <paraID>2389AE6B</paraID>
      <start>38</start>
      <end>41</end>
      <status>modified</status>
      <modifiedWord>项目区</modifiedWord>
      <trackRevisions>false</trackRevisions>
    </reviewItem>
    <reviewItem>
      <errorID>bfb81ae4-3f5a-4310-91a4-29e7517585b3</errorID>
      <errorWord>工序回</errorWord>
      <group>L1_Word</group>
      <groupName>字词问题</groupName>
      <ability>L2_Typo</ability>
      <abilityName>字词错误</abilityName>
      <candidateList>
        <item>工序</item>
      </candidateList>
      <explain/>
      <paraID>281DCAA7</paraID>
      <start>9</start>
      <end>11</end>
      <status>modified</status>
      <modifiedWord>工序</modifiedWord>
      <trackRevisions>false</trackRevisions>
    </reviewItem>
    <reviewItem>
      <errorID>5a1660fa-0c88-4e81-b3ab-d93df3cdd50d</errorID>
      <errorWord>生态态</errorWord>
      <group>L1_Word</group>
      <groupName>字词问题</groupName>
      <ability>L2_Typo</ability>
      <abilityName>字词错误</abilityName>
      <candidateList>
        <item>生态</item>
      </candidateList>
      <explain/>
      <paraID>6F7EF368</paraID>
      <start>0</start>
      <end>2</end>
      <status>modified</status>
      <modifiedWord>生态</modifiedWord>
      <trackRevisions>false</trackRevisions>
    </reviewItem>
    <reviewItem>
      <errorID>6e3e1006-43d2-4a4a-ad73-c44d10ff7880</errorID>
      <errorWord>交有</errorWord>
      <group>L1_Word</group>
      <groupName>字词问题</groupName>
      <ability>L2_Typo</ability>
      <abilityName>字词错误</abilityName>
      <candidateList>
        <item>交由</item>
      </candidateList>
      <explain/>
      <paraID>518E5B33</paraID>
      <start>13</start>
      <end>15</end>
      <status>unmodified</status>
      <modifiedWord/>
      <trackRevisions>false</trackRevisions>
    </reviewItem>
    <reviewItem>
      <errorID>516bfb07-cdd6-46ad-92e2-33d4c9a8fd0f</errorID>
      <errorWord>距</errorWord>
      <group>L1_Word</group>
      <groupName>字词问题</groupName>
      <ability>L2_Typo</ability>
      <abilityName>字词错误</abilityName>
      <candidateList>
        <item>距离</item>
      </candidateList>
      <explain>❶〈动〉在空间或时间上相隔：天津～北京约有一百二十公里｜现在～唐代已经有一千多年。❷〈名〉相隔的长度：等～｜拉开一定的～◇他的看法和你有～。</explain>
      <paraID>13329D9B</paraID>
      <start>37</start>
      <end>39</end>
      <status>modified</status>
      <modifiedWord>距离</modifiedWord>
      <trackRevisions>false</trackRevisions>
    </reviewItem>
    <reviewItem>
      <errorID>806aa250-592d-4fa8-862c-428f8f17120b</errorID>
      <errorWord>~</errorWord>
      <group>L1_Format</group>
      <groupName>格式问题</groupName>
      <ability>L2_HalfPunc_CN</ability>
      <abilityName/>
      <candidateList>
        <item>～</item>
      </candidateList>
      <explain>文本全半角错误。</explain>
      <paraID>1DAE7BAF</paraID>
      <start>49</start>
      <end>50</end>
      <status>unmodified</status>
      <modifiedWord/>
      <trackRevisions>false</trackRevisions>
    </reviewItem>
    <reviewItem>
      <errorID>7f66df0c-ae23-4ae9-8564-631f7b505397</errorID>
      <errorWord>环保治理</errorWord>
      <group>L1_Word</group>
      <groupName>字词问题</groupName>
      <ability>L2_Typo</ability>
      <abilityName>字词错误</abilityName>
      <candidateList>
        <item>环境治理</item>
      </candidateList>
      <explain/>
      <paraID>57CBC2CD</paraID>
      <start>19</start>
      <end>23</end>
      <status>modified</status>
      <modifiedWord>环境治理</modifiedWord>
      <trackRevisions>false</trackRevisions>
    </reviewItem>
    <reviewItem>
      <errorID>1ffd107e-e4d9-41e8-99e2-d345e69464d6</errorID>
      <errorWord>防治</errorWord>
      <group>L1_Word</group>
      <groupName>字词问题</groupName>
      <ability>L2_Typo</ability>
      <abilityName>字词错误</abilityName>
      <candidateList>
        <item>防止</item>
      </candidateList>
      <explain>〈动〉预先设法制止（坏事发生）：～煤气中毒｜～交通事故。</explain>
      <paraID>57CBC2CD</paraID>
      <start>32</start>
      <end>34</end>
      <status>modified</status>
      <modifiedWord>防止</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E4B2AB-1A92-4952-9B0D-E0B01FB49912}">
  <ds:schemaRefs/>
</ds:datastoreItem>
</file>

<file path=customXml/itemProps3.xml><?xml version="1.0" encoding="utf-8"?>
<ds:datastoreItem xmlns:ds="http://schemas.openxmlformats.org/officeDocument/2006/customXml" ds:itemID="{a4132a4d-4d6d-49b3-8b13-6473d095477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68</Pages>
  <Words>3082</Words>
  <Characters>3516</Characters>
  <Lines>2090</Lines>
  <Paragraphs>588</Paragraphs>
  <TotalTime>3</TotalTime>
  <ScaleCrop>false</ScaleCrop>
  <LinksUpToDate>false</LinksUpToDate>
  <CharactersWithSpaces>3576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2020-08-05T02:46:00Z</dcterms:created>
  <dc:creator>鲍 宏岩</dc:creator>
  <cp:lastModifiedBy>杜强</cp:lastModifiedBy>
  <cp:lastPrinted>2022-11-14T16:46:00Z</cp:lastPrinted>
  <dcterms:modified xsi:type="dcterms:W3CDTF">2026-05-25T11:57:34Z</dcterms:modified>
  <cp:revision>953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D8AD1A331C654134AE19F8C26DA058D1_13</vt:lpwstr>
  </property>
  <property fmtid="{D5CDD505-2E9C-101B-9397-08002B2CF9AE}" pid="4" name="KSOTemplateDocerSaveRecord">
    <vt:lpwstr>eyJoZGlkIjoiMWEwNDc3MjQwOGU1YzE5YjA2ZTUzYTAwYThkZWE5M2YiLCJ1c2VySWQiOiIxMTI1OTg4NDE1In0=</vt:lpwstr>
  </property>
</Properties>
</file>