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545C56">
      <w:pPr>
        <w:jc w:val="center"/>
        <w:rPr>
          <w:b/>
          <w:color w:val="EE0000"/>
          <w:sz w:val="44"/>
          <w:szCs w:val="44"/>
        </w:rPr>
      </w:pPr>
    </w:p>
    <w:p w14:paraId="76527CA4">
      <w:pPr>
        <w:jc w:val="center"/>
        <w:rPr>
          <w:b/>
          <w:color w:val="000000" w:themeColor="text1"/>
          <w:sz w:val="44"/>
          <w:szCs w:val="44"/>
          <w14:textFill>
            <w14:solidFill>
              <w14:schemeClr w14:val="tx1"/>
            </w14:solidFill>
          </w14:textFill>
        </w:rPr>
      </w:pPr>
    </w:p>
    <w:p w14:paraId="7F1CAE94">
      <w:pPr>
        <w:jc w:val="center"/>
        <w:rPr>
          <w:rFonts w:hint="eastAsia" w:ascii="黑体" w:hAnsi="黑体" w:eastAsia="黑体"/>
          <w:b/>
          <w:color w:val="000000" w:themeColor="text1"/>
          <w:sz w:val="44"/>
          <w:szCs w:val="44"/>
          <w14:textFill>
            <w14:solidFill>
              <w14:schemeClr w14:val="tx1"/>
            </w14:solidFill>
          </w14:textFill>
        </w:rPr>
      </w:pPr>
      <w:r>
        <w:rPr>
          <w:rFonts w:hint="eastAsia" w:ascii="黑体" w:hAnsi="黑体" w:eastAsia="黑体"/>
          <w:b/>
          <w:color w:val="000000" w:themeColor="text1"/>
          <w:sz w:val="44"/>
          <w:szCs w:val="44"/>
          <w14:textFill>
            <w14:solidFill>
              <w14:schemeClr w14:val="tx1"/>
            </w14:solidFill>
          </w14:textFill>
        </w:rPr>
        <w:t>新疆华瑞化工技术有限公司</w:t>
      </w:r>
      <w:bookmarkStart w:id="12" w:name="_GoBack"/>
      <w:bookmarkEnd w:id="12"/>
    </w:p>
    <w:p w14:paraId="3A19BC09">
      <w:pPr>
        <w:jc w:val="center"/>
        <w:rPr>
          <w:rFonts w:hint="eastAsia" w:ascii="黑体" w:hAnsi="黑体" w:eastAsia="黑体"/>
          <w:b/>
          <w:color w:val="000000" w:themeColor="text1"/>
          <w:sz w:val="44"/>
          <w:szCs w:val="44"/>
          <w14:textFill>
            <w14:solidFill>
              <w14:schemeClr w14:val="tx1"/>
            </w14:solidFill>
          </w14:textFill>
        </w:rPr>
      </w:pPr>
      <w:r>
        <w:rPr>
          <w:rFonts w:hint="eastAsia" w:ascii="黑体" w:hAnsi="黑体" w:eastAsia="黑体"/>
          <w:b/>
          <w:color w:val="000000" w:themeColor="text1"/>
          <w:sz w:val="44"/>
          <w:szCs w:val="44"/>
          <w14:textFill>
            <w14:solidFill>
              <w14:schemeClr w14:val="tx1"/>
            </w14:solidFill>
          </w14:textFill>
        </w:rPr>
        <w:t>甘泉堡经开区华瑞化工年产5万吨工业废盐回收项目</w:t>
      </w:r>
    </w:p>
    <w:p w14:paraId="27F12D2F">
      <w:pPr>
        <w:spacing w:line="600" w:lineRule="auto"/>
        <w:jc w:val="center"/>
        <w:rPr>
          <w:rFonts w:ascii="黑体" w:eastAsia="黑体"/>
          <w:b/>
          <w:color w:val="000000" w:themeColor="text1"/>
          <w:sz w:val="72"/>
          <w:szCs w:val="84"/>
          <w14:textFill>
            <w14:solidFill>
              <w14:schemeClr w14:val="tx1"/>
            </w14:solidFill>
          </w14:textFill>
        </w:rPr>
      </w:pPr>
      <w:r>
        <w:rPr>
          <w:rFonts w:hint="eastAsia" w:ascii="黑体" w:eastAsia="黑体"/>
          <w:b/>
          <w:color w:val="000000" w:themeColor="text1"/>
          <w:sz w:val="72"/>
          <w:szCs w:val="84"/>
          <w14:textFill>
            <w14:solidFill>
              <w14:schemeClr w14:val="tx1"/>
            </w14:solidFill>
          </w14:textFill>
        </w:rPr>
        <w:t>环境影响评价公众参与说明</w:t>
      </w:r>
    </w:p>
    <w:p w14:paraId="6A5F372B">
      <w:pPr>
        <w:jc w:val="center"/>
        <w:rPr>
          <w:b/>
          <w:color w:val="000000" w:themeColor="text1"/>
          <w:sz w:val="44"/>
          <w:szCs w:val="44"/>
          <w14:textFill>
            <w14:solidFill>
              <w14:schemeClr w14:val="tx1"/>
            </w14:solidFill>
          </w14:textFill>
        </w:rPr>
      </w:pPr>
    </w:p>
    <w:p w14:paraId="61D45751">
      <w:pPr>
        <w:jc w:val="center"/>
        <w:rPr>
          <w:b/>
          <w:color w:val="000000" w:themeColor="text1"/>
          <w:sz w:val="44"/>
          <w:szCs w:val="44"/>
          <w14:textFill>
            <w14:solidFill>
              <w14:schemeClr w14:val="tx1"/>
            </w14:solidFill>
          </w14:textFill>
        </w:rPr>
      </w:pPr>
    </w:p>
    <w:p w14:paraId="2A26B171">
      <w:pPr>
        <w:jc w:val="center"/>
        <w:rPr>
          <w:b/>
          <w:color w:val="000000" w:themeColor="text1"/>
          <w:sz w:val="44"/>
          <w:szCs w:val="44"/>
          <w14:textFill>
            <w14:solidFill>
              <w14:schemeClr w14:val="tx1"/>
            </w14:solidFill>
          </w14:textFill>
        </w:rPr>
      </w:pPr>
    </w:p>
    <w:p w14:paraId="29720EEC">
      <w:pPr>
        <w:jc w:val="center"/>
        <w:rPr>
          <w:b/>
          <w:color w:val="000000" w:themeColor="text1"/>
          <w:sz w:val="44"/>
          <w:szCs w:val="44"/>
          <w14:textFill>
            <w14:solidFill>
              <w14:schemeClr w14:val="tx1"/>
            </w14:solidFill>
          </w14:textFill>
        </w:rPr>
      </w:pPr>
    </w:p>
    <w:p w14:paraId="31CDBA89">
      <w:pPr>
        <w:jc w:val="center"/>
        <w:rPr>
          <w:b/>
          <w:color w:val="000000" w:themeColor="text1"/>
          <w:sz w:val="44"/>
          <w:szCs w:val="44"/>
          <w14:textFill>
            <w14:solidFill>
              <w14:schemeClr w14:val="tx1"/>
            </w14:solidFill>
          </w14:textFill>
        </w:rPr>
      </w:pPr>
    </w:p>
    <w:p w14:paraId="2C4187D4">
      <w:pPr>
        <w:jc w:val="center"/>
        <w:rPr>
          <w:b/>
          <w:color w:val="000000" w:themeColor="text1"/>
          <w:sz w:val="44"/>
          <w:szCs w:val="44"/>
          <w14:textFill>
            <w14:solidFill>
              <w14:schemeClr w14:val="tx1"/>
            </w14:solidFill>
          </w14:textFill>
        </w:rPr>
      </w:pPr>
    </w:p>
    <w:p w14:paraId="7311C6EF">
      <w:pPr>
        <w:jc w:val="center"/>
        <w:rPr>
          <w:b/>
          <w:color w:val="000000" w:themeColor="text1"/>
          <w:sz w:val="44"/>
          <w:szCs w:val="44"/>
          <w14:textFill>
            <w14:solidFill>
              <w14:schemeClr w14:val="tx1"/>
            </w14:solidFill>
          </w14:textFill>
        </w:rPr>
      </w:pPr>
    </w:p>
    <w:p w14:paraId="6C73C6FA">
      <w:pPr>
        <w:jc w:val="center"/>
        <w:rPr>
          <w:b/>
          <w:color w:val="000000" w:themeColor="text1"/>
          <w:sz w:val="44"/>
          <w:szCs w:val="44"/>
          <w14:textFill>
            <w14:solidFill>
              <w14:schemeClr w14:val="tx1"/>
            </w14:solidFill>
          </w14:textFill>
        </w:rPr>
      </w:pPr>
    </w:p>
    <w:p w14:paraId="17B34988">
      <w:pPr>
        <w:jc w:val="center"/>
        <w:rPr>
          <w:b/>
          <w:color w:val="000000" w:themeColor="text1"/>
          <w:sz w:val="44"/>
          <w:szCs w:val="44"/>
          <w14:textFill>
            <w14:solidFill>
              <w14:schemeClr w14:val="tx1"/>
            </w14:solidFill>
          </w14:textFill>
        </w:rPr>
      </w:pPr>
    </w:p>
    <w:p w14:paraId="5418990F">
      <w:pPr>
        <w:jc w:val="center"/>
        <w:rPr>
          <w:b/>
          <w:color w:val="000000" w:themeColor="text1"/>
          <w:sz w:val="44"/>
          <w:szCs w:val="44"/>
          <w14:textFill>
            <w14:solidFill>
              <w14:schemeClr w14:val="tx1"/>
            </w14:solidFill>
          </w14:textFill>
        </w:rPr>
      </w:pPr>
    </w:p>
    <w:p w14:paraId="4EB4A632">
      <w:pPr>
        <w:jc w:val="center"/>
        <w:rPr>
          <w:b/>
          <w:color w:val="000000" w:themeColor="text1"/>
          <w:sz w:val="44"/>
          <w:szCs w:val="44"/>
          <w14:textFill>
            <w14:solidFill>
              <w14:schemeClr w14:val="tx1"/>
            </w14:solidFill>
          </w14:textFill>
        </w:rPr>
      </w:pPr>
    </w:p>
    <w:p w14:paraId="0358AC87">
      <w:pPr>
        <w:jc w:val="center"/>
        <w:rPr>
          <w:b/>
          <w:color w:val="000000" w:themeColor="text1"/>
          <w:sz w:val="44"/>
          <w:szCs w:val="44"/>
          <w14:textFill>
            <w14:solidFill>
              <w14:schemeClr w14:val="tx1"/>
            </w14:solidFill>
          </w14:textFill>
        </w:rPr>
      </w:pPr>
    </w:p>
    <w:p w14:paraId="7BDF5AC8">
      <w:pPr>
        <w:jc w:val="center"/>
        <w:rPr>
          <w:b/>
          <w:color w:val="000000" w:themeColor="text1"/>
          <w:sz w:val="44"/>
          <w:szCs w:val="44"/>
          <w14:textFill>
            <w14:solidFill>
              <w14:schemeClr w14:val="tx1"/>
            </w14:solidFill>
          </w14:textFill>
        </w:rPr>
      </w:pPr>
    </w:p>
    <w:p w14:paraId="264BB6F0">
      <w:pPr>
        <w:jc w:val="center"/>
        <w:rPr>
          <w:rFonts w:hint="eastAsia" w:ascii="黑体" w:hAnsi="黑体" w:eastAsia="黑体"/>
          <w:b/>
          <w:color w:val="000000" w:themeColor="text1"/>
          <w:sz w:val="40"/>
          <w:szCs w:val="44"/>
          <w14:textFill>
            <w14:solidFill>
              <w14:schemeClr w14:val="tx1"/>
            </w14:solidFill>
          </w14:textFill>
        </w:rPr>
      </w:pPr>
      <w:r>
        <w:rPr>
          <w:rFonts w:hint="eastAsia" w:ascii="黑体" w:hAnsi="黑体" w:eastAsia="黑体"/>
          <w:b/>
          <w:color w:val="000000" w:themeColor="text1"/>
          <w:sz w:val="40"/>
          <w:szCs w:val="44"/>
          <w14:textFill>
            <w14:solidFill>
              <w14:schemeClr w14:val="tx1"/>
            </w14:solidFill>
          </w14:textFill>
        </w:rPr>
        <w:t>建设单位：新疆华瑞化工技术有限公司</w:t>
      </w:r>
    </w:p>
    <w:p w14:paraId="40C51CCB">
      <w:pPr>
        <w:jc w:val="center"/>
        <w:rPr>
          <w:b/>
          <w:color w:val="000000" w:themeColor="text1"/>
          <w:sz w:val="44"/>
          <w:szCs w:val="44"/>
          <w14:textFill>
            <w14:solidFill>
              <w14:schemeClr w14:val="tx1"/>
            </w14:solidFill>
          </w14:textFill>
        </w:rPr>
        <w:sectPr>
          <w:type w:val="continuous"/>
          <w:pgSz w:w="11906" w:h="16838"/>
          <w:pgMar w:top="1276" w:right="1418" w:bottom="851" w:left="1418" w:header="936" w:footer="822" w:gutter="0"/>
          <w:cols w:space="425" w:num="1"/>
          <w:docGrid w:type="lines" w:linePitch="312" w:charSpace="0"/>
        </w:sectPr>
      </w:pPr>
      <w:r>
        <w:rPr>
          <w:rFonts w:hint="eastAsia" w:ascii="黑体" w:hAnsi="黑体" w:eastAsia="黑体"/>
          <w:b/>
          <w:color w:val="000000" w:themeColor="text1"/>
          <w:sz w:val="44"/>
          <w:szCs w:val="44"/>
          <w14:textFill>
            <w14:solidFill>
              <w14:schemeClr w14:val="tx1"/>
            </w14:solidFill>
          </w14:textFill>
        </w:rPr>
        <w:t>二〇二六</w:t>
      </w:r>
      <w:r>
        <w:rPr>
          <w:rFonts w:ascii="黑体" w:hAnsi="黑体" w:eastAsia="黑体"/>
          <w:b/>
          <w:color w:val="000000" w:themeColor="text1"/>
          <w:sz w:val="44"/>
          <w:szCs w:val="44"/>
          <w14:textFill>
            <w14:solidFill>
              <w14:schemeClr w14:val="tx1"/>
            </w14:solidFill>
          </w14:textFill>
        </w:rPr>
        <w:t>年</w:t>
      </w:r>
      <w:r>
        <w:rPr>
          <w:rFonts w:hint="eastAsia" w:ascii="黑体" w:hAnsi="黑体" w:eastAsia="黑体"/>
          <w:b/>
          <w:color w:val="000000" w:themeColor="text1"/>
          <w:sz w:val="44"/>
          <w:szCs w:val="44"/>
          <w14:textFill>
            <w14:solidFill>
              <w14:schemeClr w14:val="tx1"/>
            </w14:solidFill>
          </w14:textFill>
        </w:rPr>
        <w:t>四</w:t>
      </w:r>
      <w:r>
        <w:rPr>
          <w:rFonts w:ascii="黑体" w:hAnsi="黑体" w:eastAsia="黑体"/>
          <w:b/>
          <w:color w:val="000000" w:themeColor="text1"/>
          <w:sz w:val="44"/>
          <w:szCs w:val="44"/>
          <w14:textFill>
            <w14:solidFill>
              <w14:schemeClr w14:val="tx1"/>
            </w14:solidFill>
          </w14:textFill>
        </w:rPr>
        <w:t>月</w:t>
      </w:r>
    </w:p>
    <w:p w14:paraId="71C71B76">
      <w:pPr>
        <w:pStyle w:val="3"/>
      </w:pPr>
      <w:r>
        <w:rPr>
          <w:rFonts w:hint="eastAsia"/>
        </w:rPr>
        <w:t>公众参与目的</w:t>
      </w:r>
    </w:p>
    <w:p w14:paraId="7E757885">
      <w:pPr>
        <w:pStyle w:val="36"/>
        <w:rPr>
          <w:rFonts w:hint="eastAsia"/>
        </w:rPr>
      </w:pPr>
      <w:r>
        <w:rPr>
          <w:rFonts w:hint="eastAsia"/>
        </w:rPr>
        <w:t>公众参与是项目建设单位与社会公众之间的一种双向交流，其目的在于加强项目建设单位同当地公众的联系与沟通，使公众了解项目并有效介入工程的建设和环境影响评价过程，获取项目周边居民、单位、相关的领导以及专家对该项目建成前后在区域环境质量方面、项目环保方面的意见、建议和要求。</w:t>
      </w:r>
    </w:p>
    <w:p w14:paraId="7B9D93DA">
      <w:pPr>
        <w:pStyle w:val="36"/>
        <w:rPr>
          <w:rFonts w:hint="eastAsia"/>
        </w:rPr>
      </w:pPr>
      <w:r>
        <w:rPr>
          <w:rFonts w:hint="eastAsia"/>
        </w:rPr>
        <w:t>新疆华瑞化工技术有限公司甘泉堡经开区华瑞化工年产5万吨工业废盐回收项目</w:t>
      </w:r>
      <w:r>
        <w:t>环境影响评价公众参与严格按照《</w:t>
      </w:r>
      <w:r>
        <w:rPr>
          <w:rFonts w:hint="eastAsia"/>
        </w:rPr>
        <w:t>环境</w:t>
      </w:r>
      <w:r>
        <w:t>影响评价公众参与办法》</w:t>
      </w:r>
      <w:r>
        <w:rPr>
          <w:rFonts w:hint="eastAsia"/>
        </w:rPr>
        <w:t>（部</w:t>
      </w:r>
      <w:r>
        <w:t>令</w:t>
      </w:r>
      <w:r>
        <w:rPr>
          <w:rFonts w:hint="eastAsia"/>
        </w:rPr>
        <w:t>第4号）和</w:t>
      </w:r>
      <w:r>
        <w:t>《</w:t>
      </w:r>
      <w:r>
        <w:rPr>
          <w:rFonts w:hint="eastAsia"/>
        </w:rPr>
        <w:t>关于</w:t>
      </w:r>
      <w:r>
        <w:t>发布</w:t>
      </w:r>
      <w:r>
        <w:rPr>
          <w:rFonts w:hint="eastAsia"/>
        </w:rPr>
        <w:t>&lt;环境</w:t>
      </w:r>
      <w:r>
        <w:t>影响评价</w:t>
      </w:r>
      <w:r>
        <w:rPr>
          <w:rFonts w:hint="eastAsia"/>
        </w:rPr>
        <w:t>公众</w:t>
      </w:r>
      <w:r>
        <w:t>参与办法</w:t>
      </w:r>
      <w:r>
        <w:rPr>
          <w:rFonts w:hint="eastAsia"/>
        </w:rPr>
        <w:t>&gt;配套</w:t>
      </w:r>
      <w:r>
        <w:t>文件的公告》</w:t>
      </w:r>
      <w:r>
        <w:rPr>
          <w:rFonts w:hint="eastAsia"/>
        </w:rPr>
        <w:t>（部</w:t>
      </w:r>
      <w:r>
        <w:t>令</w:t>
      </w:r>
      <w:r>
        <w:rPr>
          <w:rFonts w:hint="eastAsia"/>
        </w:rPr>
        <w:t>第48号）的</w:t>
      </w:r>
      <w:r>
        <w:t>相关要求开展工作。</w:t>
      </w:r>
    </w:p>
    <w:p w14:paraId="673E170B">
      <w:pPr>
        <w:pStyle w:val="3"/>
      </w:pPr>
      <w:bookmarkStart w:id="0" w:name="_Toc229759585"/>
      <w:bookmarkStart w:id="1" w:name="_Toc235763312"/>
      <w:bookmarkStart w:id="2" w:name="_Toc161452097"/>
      <w:bookmarkStart w:id="3" w:name="_Toc144799898"/>
      <w:bookmarkStart w:id="4" w:name="_Toc97942342"/>
      <w:bookmarkStart w:id="5" w:name="_Toc95102964"/>
      <w:bookmarkStart w:id="6" w:name="_Toc100389725"/>
      <w:bookmarkStart w:id="7" w:name="_Toc94608683"/>
      <w:bookmarkStart w:id="8" w:name="_Toc109460748"/>
      <w:bookmarkStart w:id="9" w:name="_Toc237190124"/>
      <w:r>
        <w:rPr>
          <w:rFonts w:hint="eastAsia"/>
        </w:rPr>
        <w:t>公众参与工作概述</w:t>
      </w:r>
    </w:p>
    <w:p w14:paraId="5406DCC8">
      <w:pPr>
        <w:pStyle w:val="36"/>
        <w:rPr>
          <w:rFonts w:hint="eastAsia"/>
          <w:color w:val="EE0000"/>
        </w:rPr>
      </w:pPr>
      <w:r>
        <w:rPr>
          <w:rFonts w:hint="eastAsia"/>
        </w:rPr>
        <w:t>本项目公众参与工作进行了两个阶段。第一个阶段公示自2025年8月10日开始</w:t>
      </w:r>
      <w:r>
        <w:t>，</w:t>
      </w:r>
      <w:r>
        <w:rPr>
          <w:rFonts w:hint="eastAsia"/>
        </w:rPr>
        <w:t>建设单位新疆华瑞化工技术有限公司于2025年8月9日</w:t>
      </w:r>
      <w:r>
        <w:t>确定评价单位</w:t>
      </w:r>
      <w:r>
        <w:rPr>
          <w:rFonts w:hint="eastAsia"/>
        </w:rPr>
        <w:t>，2025年8月10日</w:t>
      </w:r>
      <w:r>
        <w:t>进行了</w:t>
      </w:r>
      <w:r>
        <w:rPr>
          <w:rFonts w:hint="eastAsia"/>
        </w:rPr>
        <w:t>本项目环境影响评价公众参与首次</w:t>
      </w:r>
      <w:r>
        <w:t>信息公示</w:t>
      </w:r>
      <w:r>
        <w:rPr>
          <w:rFonts w:hint="eastAsia"/>
        </w:rPr>
        <w:t>；第二个阶段是环境</w:t>
      </w:r>
      <w:r>
        <w:t>影响报告书征求意见稿编制完成后</w:t>
      </w:r>
      <w:r>
        <w:rPr>
          <w:rFonts w:hint="eastAsia"/>
        </w:rPr>
        <w:t>，自2</w:t>
      </w:r>
      <w:r>
        <w:t>02</w:t>
      </w:r>
      <w:r>
        <w:rPr>
          <w:rFonts w:hint="eastAsia"/>
        </w:rPr>
        <w:t>6年4月1日-4月14日，</w:t>
      </w:r>
      <w:r>
        <w:t>进行了</w:t>
      </w:r>
      <w:r>
        <w:rPr>
          <w:rFonts w:hint="eastAsia"/>
        </w:rPr>
        <w:t>本项目征求</w:t>
      </w:r>
      <w:r>
        <w:t>意见稿公示</w:t>
      </w:r>
      <w:r>
        <w:rPr>
          <w:rFonts w:hint="eastAsia"/>
        </w:rPr>
        <w:t>。</w:t>
      </w:r>
      <w:r>
        <w:rPr>
          <w:rFonts w:hint="eastAsia"/>
          <w:color w:val="EE0000"/>
        </w:rPr>
        <w:t xml:space="preserve"> </w:t>
      </w:r>
    </w:p>
    <w:bookmarkEnd w:id="0"/>
    <w:bookmarkEnd w:id="1"/>
    <w:bookmarkEnd w:id="2"/>
    <w:bookmarkEnd w:id="3"/>
    <w:bookmarkEnd w:id="4"/>
    <w:bookmarkEnd w:id="5"/>
    <w:bookmarkEnd w:id="6"/>
    <w:bookmarkEnd w:id="7"/>
    <w:bookmarkEnd w:id="8"/>
    <w:bookmarkEnd w:id="9"/>
    <w:p w14:paraId="2650D20E">
      <w:pPr>
        <w:pStyle w:val="3"/>
      </w:pPr>
      <w:r>
        <w:rPr>
          <w:rFonts w:hint="eastAsia"/>
        </w:rPr>
        <w:t>第一次</w:t>
      </w:r>
      <w:r>
        <w:t>环境影响评价信息公开情况</w:t>
      </w:r>
    </w:p>
    <w:p w14:paraId="05971E0F">
      <w:pPr>
        <w:pStyle w:val="4"/>
        <w:adjustRightInd w:val="0"/>
        <w:snapToGrid w:val="0"/>
        <w:spacing w:before="156" w:beforeLines="50" w:after="0"/>
        <w:ind w:left="0" w:firstLine="0"/>
        <w:rPr>
          <w:rFonts w:hint="eastAsia"/>
        </w:rPr>
      </w:pPr>
      <w:bookmarkStart w:id="10" w:name="_Toc105478132"/>
      <w:bookmarkStart w:id="11" w:name="_Toc104358072"/>
      <w:r>
        <w:rPr>
          <w:rFonts w:hint="eastAsia"/>
        </w:rPr>
        <w:t>公开内容</w:t>
      </w:r>
      <w:r>
        <w:t>及日期</w:t>
      </w:r>
    </w:p>
    <w:bookmarkEnd w:id="10"/>
    <w:bookmarkEnd w:id="11"/>
    <w:p w14:paraId="1168D70E">
      <w:pPr>
        <w:pStyle w:val="36"/>
        <w:rPr>
          <w:rFonts w:hint="eastAsia"/>
        </w:rPr>
      </w:pPr>
      <w:r>
        <w:rPr>
          <w:rFonts w:hint="eastAsia"/>
        </w:rPr>
        <w:t>建设</w:t>
      </w:r>
      <w:r>
        <w:t>单位在</w:t>
      </w:r>
      <w:r>
        <w:rPr>
          <w:rFonts w:hint="eastAsia"/>
        </w:rPr>
        <w:t>确定环评报告书编制单位后通过乌鲁木齐市生态环境协会网站进行了首次环境影响评价信息公开情况的公示。公示内容主要包括建设</w:t>
      </w:r>
      <w:r>
        <w:t>项目名称</w:t>
      </w:r>
      <w:r>
        <w:rPr>
          <w:rFonts w:hint="eastAsia"/>
        </w:rPr>
        <w:t>和</w:t>
      </w:r>
      <w:r>
        <w:t>建设内容等基本情况</w:t>
      </w:r>
      <w:r>
        <w:rPr>
          <w:rFonts w:hint="eastAsia"/>
        </w:rPr>
        <w:t>、</w:t>
      </w:r>
      <w:r>
        <w:t>建设项目性质和现有工程及其环境保护情况</w:t>
      </w:r>
      <w:r>
        <w:rPr>
          <w:rFonts w:hint="eastAsia"/>
        </w:rPr>
        <w:t>、</w:t>
      </w:r>
      <w:r>
        <w:t>建设单位名称和联系方式、环境影响报告书编制单位的名称、</w:t>
      </w:r>
      <w:r>
        <w:rPr>
          <w:rFonts w:hint="eastAsia"/>
        </w:rPr>
        <w:t>公众意见表的网络连接和提交</w:t>
      </w:r>
      <w:r>
        <w:t>公众</w:t>
      </w:r>
      <w:r>
        <w:rPr>
          <w:rFonts w:hint="eastAsia"/>
        </w:rPr>
        <w:t>见表</w:t>
      </w:r>
      <w:r>
        <w:t>的方式和途径</w:t>
      </w:r>
      <w:r>
        <w:rPr>
          <w:rFonts w:hint="eastAsia"/>
        </w:rPr>
        <w:t>。公示时间</w:t>
      </w:r>
      <w:r>
        <w:t>为</w:t>
      </w:r>
      <w:r>
        <w:rPr>
          <w:rFonts w:hint="eastAsia"/>
        </w:rPr>
        <w:t>2025年8月10日</w:t>
      </w:r>
      <w:r>
        <w:t>，</w:t>
      </w:r>
      <w:r>
        <w:rPr>
          <w:rFonts w:hint="eastAsia"/>
        </w:rPr>
        <w:t>公示</w:t>
      </w:r>
      <w:r>
        <w:t>日期在委托后的</w:t>
      </w:r>
      <w:r>
        <w:rPr>
          <w:rFonts w:hint="eastAsia"/>
        </w:rPr>
        <w:t>7个</w:t>
      </w:r>
      <w:r>
        <w:t>工作日内，符合《</w:t>
      </w:r>
      <w:r>
        <w:rPr>
          <w:rFonts w:hint="eastAsia"/>
        </w:rPr>
        <w:t>环境</w:t>
      </w:r>
      <w:r>
        <w:t>影响评价公众参与办法》</w:t>
      </w:r>
      <w:r>
        <w:rPr>
          <w:rFonts w:hint="eastAsia"/>
        </w:rPr>
        <w:t>（部</w:t>
      </w:r>
      <w:r>
        <w:t>令</w:t>
      </w:r>
      <w:r>
        <w:rPr>
          <w:rFonts w:hint="eastAsia"/>
        </w:rPr>
        <w:t>第4号）要求。</w:t>
      </w:r>
    </w:p>
    <w:p w14:paraId="7E0EF100">
      <w:pPr>
        <w:pStyle w:val="4"/>
        <w:adjustRightInd w:val="0"/>
        <w:snapToGrid w:val="0"/>
        <w:spacing w:before="156" w:beforeLines="50" w:after="0"/>
        <w:ind w:left="0" w:firstLine="0"/>
        <w:rPr>
          <w:rFonts w:hint="eastAsia"/>
        </w:rPr>
      </w:pPr>
      <w:r>
        <w:rPr>
          <w:rFonts w:hint="eastAsia"/>
        </w:rPr>
        <w:t>公开方式</w:t>
      </w:r>
    </w:p>
    <w:p w14:paraId="1E4080B1">
      <w:pPr>
        <w:pStyle w:val="5"/>
        <w:adjustRightInd w:val="0"/>
        <w:snapToGrid w:val="0"/>
        <w:spacing w:before="0" w:after="0"/>
        <w:ind w:left="0" w:firstLine="0"/>
      </w:pPr>
      <w:r>
        <w:rPr>
          <w:rFonts w:hint="eastAsia"/>
        </w:rPr>
        <w:t>网络</w:t>
      </w:r>
    </w:p>
    <w:p w14:paraId="2B95CB29">
      <w:pPr>
        <w:spacing w:line="360" w:lineRule="auto"/>
        <w:ind w:firstLine="480" w:firstLineChars="200"/>
        <w:rPr>
          <w:rFonts w:ascii="Times New Roman" w:hAnsi="Times New Roman" w:eastAsia="宋体"/>
          <w:sz w:val="24"/>
          <w:szCs w:val="24"/>
        </w:rPr>
      </w:pPr>
      <w:r>
        <w:rPr>
          <w:rFonts w:hint="eastAsia" w:ascii="宋体" w:hAnsi="宋体" w:eastAsia="宋体"/>
          <w:sz w:val="24"/>
          <w:szCs w:val="24"/>
        </w:rPr>
        <w:t>2025年8月</w:t>
      </w:r>
      <w:r>
        <w:rPr>
          <w:rFonts w:hint="eastAsia"/>
        </w:rPr>
        <w:t>10</w:t>
      </w:r>
      <w:r>
        <w:rPr>
          <w:rFonts w:hint="eastAsia" w:ascii="宋体" w:hAnsi="宋体" w:eastAsia="宋体"/>
          <w:sz w:val="24"/>
          <w:szCs w:val="24"/>
        </w:rPr>
        <w:t>日</w:t>
      </w:r>
      <w:r>
        <w:rPr>
          <w:rFonts w:hint="eastAsia" w:ascii="Times New Roman" w:hAnsi="Times New Roman" w:eastAsia="宋体"/>
          <w:sz w:val="24"/>
          <w:szCs w:val="24"/>
        </w:rPr>
        <w:t>，</w:t>
      </w:r>
      <w:r>
        <w:rPr>
          <w:rFonts w:ascii="Times New Roman" w:hAnsi="Times New Roman" w:eastAsia="宋体"/>
          <w:sz w:val="24"/>
          <w:szCs w:val="24"/>
        </w:rPr>
        <w:t>建设单位</w:t>
      </w:r>
      <w:r>
        <w:rPr>
          <w:rFonts w:hint="eastAsia" w:ascii="Times New Roman" w:hAnsi="Times New Roman" w:eastAsia="宋体"/>
          <w:sz w:val="24"/>
          <w:szCs w:val="24"/>
        </w:rPr>
        <w:t>在</w:t>
      </w:r>
      <w:r>
        <w:rPr>
          <w:rFonts w:hint="eastAsia"/>
        </w:rPr>
        <w:t>乌鲁木齐市生态环境协会网站</w:t>
      </w:r>
      <w:r>
        <w:rPr>
          <w:rFonts w:hint="eastAsia" w:ascii="Times New Roman" w:hAnsi="Times New Roman" w:eastAsia="宋体"/>
          <w:sz w:val="24"/>
          <w:szCs w:val="24"/>
        </w:rPr>
        <w:t>（</w:t>
      </w:r>
      <w:r>
        <w:rPr>
          <w:rFonts w:ascii="Times New Roman" w:hAnsi="Times New Roman" w:eastAsia="宋体"/>
          <w:sz w:val="24"/>
          <w:szCs w:val="24"/>
        </w:rPr>
        <w:t>http://wlmqshjkxxh.cn/products/show/117</w:t>
      </w:r>
      <w:r>
        <w:rPr>
          <w:rFonts w:hint="eastAsia" w:ascii="Times New Roman" w:hAnsi="Times New Roman" w:eastAsia="宋体"/>
          <w:sz w:val="24"/>
          <w:szCs w:val="24"/>
        </w:rPr>
        <w:t>） 上发布了本项目的公示材料。公示的具体内容和网上公示的抓屏图片见下图。</w:t>
      </w:r>
    </w:p>
    <w:p w14:paraId="2C9FBAF6">
      <w:pPr>
        <w:jc w:val="center"/>
        <w:rPr>
          <w:rFonts w:hint="eastAsia" w:ascii="宋体" w:hAnsi="宋体" w:eastAsia="宋体" w:cs="宋体"/>
          <w:kern w:val="0"/>
          <w:sz w:val="24"/>
          <w:szCs w:val="24"/>
        </w:rPr>
      </w:pPr>
      <w:r>
        <w:rPr>
          <w:color w:val="EE0000"/>
        </w:rPr>
        <w:t xml:space="preserve"> </w:t>
      </w:r>
      <w:r>
        <w:drawing>
          <wp:inline distT="0" distB="0" distL="0" distR="0">
            <wp:extent cx="5759450" cy="2753360"/>
            <wp:effectExtent l="0" t="0" r="0" b="8890"/>
            <wp:docPr id="7328173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17384" name="图片 1"/>
                    <pic:cNvPicPr>
                      <a:picLocks noChangeAspect="1"/>
                    </pic:cNvPicPr>
                  </pic:nvPicPr>
                  <pic:blipFill>
                    <a:blip r:embed="rId6"/>
                    <a:stretch>
                      <a:fillRect/>
                    </a:stretch>
                  </pic:blipFill>
                  <pic:spPr>
                    <a:xfrm>
                      <a:off x="0" y="0"/>
                      <a:ext cx="5759450" cy="2753360"/>
                    </a:xfrm>
                    <a:prstGeom prst="rect">
                      <a:avLst/>
                    </a:prstGeom>
                  </pic:spPr>
                </pic:pic>
              </a:graphicData>
            </a:graphic>
          </wp:inline>
        </w:drawing>
      </w:r>
      <w:r>
        <w:drawing>
          <wp:inline distT="0" distB="0" distL="0" distR="0">
            <wp:extent cx="5759450" cy="2486025"/>
            <wp:effectExtent l="0" t="0" r="0" b="9525"/>
            <wp:docPr id="20698232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23289" name="图片 1"/>
                    <pic:cNvPicPr>
                      <a:picLocks noChangeAspect="1"/>
                    </pic:cNvPicPr>
                  </pic:nvPicPr>
                  <pic:blipFill>
                    <a:blip r:embed="rId7"/>
                    <a:stretch>
                      <a:fillRect/>
                    </a:stretch>
                  </pic:blipFill>
                  <pic:spPr>
                    <a:xfrm>
                      <a:off x="0" y="0"/>
                      <a:ext cx="5759450" cy="2486025"/>
                    </a:xfrm>
                    <a:prstGeom prst="rect">
                      <a:avLst/>
                    </a:prstGeom>
                  </pic:spPr>
                </pic:pic>
              </a:graphicData>
            </a:graphic>
          </wp:inline>
        </w:drawing>
      </w:r>
    </w:p>
    <w:p w14:paraId="06D44BC2">
      <w:pPr>
        <w:pStyle w:val="37"/>
        <w:rPr>
          <w:rFonts w:hint="eastAsia" w:asciiTheme="minorEastAsia" w:hAnsiTheme="minorEastAsia" w:eastAsiaTheme="minorEastAsia"/>
          <w:b w:val="0"/>
          <w:sz w:val="21"/>
        </w:rPr>
      </w:pPr>
      <w:r>
        <w:rPr>
          <w:rFonts w:hint="eastAsia" w:asciiTheme="minorEastAsia" w:hAnsiTheme="minorEastAsia" w:eastAsiaTheme="minorEastAsia"/>
          <w:b w:val="0"/>
          <w:sz w:val="21"/>
        </w:rPr>
        <w:t>（</w:t>
      </w:r>
      <w:r>
        <w:rPr>
          <w:rFonts w:hint="eastAsia" w:asciiTheme="minorEastAsia" w:hAnsiTheme="minorEastAsia" w:eastAsiaTheme="minorEastAsia"/>
          <w:b w:val="0"/>
          <w:sz w:val="18"/>
          <w:szCs w:val="18"/>
        </w:rPr>
        <w:t>公示页</w:t>
      </w:r>
      <w:r>
        <w:rPr>
          <w:rFonts w:asciiTheme="minorEastAsia" w:hAnsiTheme="minorEastAsia" w:eastAsiaTheme="minorEastAsia"/>
          <w:b w:val="0"/>
          <w:sz w:val="18"/>
          <w:szCs w:val="18"/>
        </w:rPr>
        <w:t>网址：</w:t>
      </w:r>
      <w:r>
        <w:rPr>
          <w:rStyle w:val="24"/>
          <w:rFonts w:asciiTheme="minorEastAsia" w:hAnsiTheme="minorEastAsia" w:eastAsiaTheme="minorEastAsia"/>
          <w:b w:val="0"/>
          <w:color w:val="auto"/>
          <w:sz w:val="21"/>
        </w:rPr>
        <w:t>http://wlmqshjkxxh.cn/products/show/117</w:t>
      </w:r>
      <w:r>
        <w:rPr>
          <w:rFonts w:hint="eastAsia" w:asciiTheme="minorEastAsia" w:hAnsiTheme="minorEastAsia" w:eastAsiaTheme="minorEastAsia"/>
          <w:b w:val="0"/>
          <w:sz w:val="21"/>
        </w:rPr>
        <w:t>）</w:t>
      </w:r>
    </w:p>
    <w:p w14:paraId="196B0388">
      <w:pPr>
        <w:pStyle w:val="37"/>
        <w:rPr>
          <w:rFonts w:hint="eastAsia"/>
        </w:rPr>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 xml:space="preserve">  第一次信息公开</w:t>
      </w:r>
      <w:r>
        <w:t>网络</w:t>
      </w:r>
      <w:r>
        <w:rPr>
          <w:rFonts w:hint="eastAsia"/>
        </w:rPr>
        <w:t>截图</w:t>
      </w:r>
    </w:p>
    <w:p w14:paraId="397338C5">
      <w:pPr>
        <w:pStyle w:val="4"/>
        <w:adjustRightInd w:val="0"/>
        <w:snapToGrid w:val="0"/>
        <w:spacing w:before="156" w:beforeLines="50" w:after="0"/>
        <w:ind w:left="0" w:firstLine="0"/>
        <w:rPr>
          <w:rFonts w:hint="eastAsia"/>
        </w:rPr>
      </w:pPr>
      <w:r>
        <w:rPr>
          <w:rFonts w:hint="eastAsia"/>
        </w:rPr>
        <w:t>公众意见情况</w:t>
      </w:r>
    </w:p>
    <w:p w14:paraId="1455B888">
      <w:pPr>
        <w:pStyle w:val="36"/>
        <w:rPr>
          <w:rFonts w:hint="eastAsia"/>
        </w:rPr>
      </w:pPr>
      <w:r>
        <w:rPr>
          <w:rFonts w:hint="eastAsia"/>
        </w:rPr>
        <w:t>在进行首次环境影响评价信息公示期间未收到公众意见反馈。</w:t>
      </w:r>
    </w:p>
    <w:p w14:paraId="37950084">
      <w:pPr>
        <w:pStyle w:val="3"/>
      </w:pPr>
      <w:r>
        <w:rPr>
          <w:rFonts w:hint="eastAsia"/>
        </w:rPr>
        <w:t>征求</w:t>
      </w:r>
      <w:r>
        <w:t>意见稿公示情况</w:t>
      </w:r>
    </w:p>
    <w:p w14:paraId="6A4189E3">
      <w:pPr>
        <w:pStyle w:val="4"/>
        <w:adjustRightInd w:val="0"/>
        <w:snapToGrid w:val="0"/>
        <w:spacing w:before="156" w:beforeLines="50" w:after="0"/>
        <w:ind w:left="0" w:firstLine="0"/>
        <w:rPr>
          <w:rFonts w:hint="eastAsia"/>
        </w:rPr>
      </w:pPr>
      <w:r>
        <w:rPr>
          <w:rFonts w:hint="eastAsia"/>
        </w:rPr>
        <w:t>公示</w:t>
      </w:r>
      <w:r>
        <w:t>内容及日期</w:t>
      </w:r>
    </w:p>
    <w:p w14:paraId="6F53C3AC">
      <w:pPr>
        <w:pStyle w:val="36"/>
        <w:rPr>
          <w:rFonts w:hint="eastAsia"/>
        </w:rPr>
      </w:pPr>
      <w:r>
        <w:rPr>
          <w:rFonts w:hint="eastAsia"/>
        </w:rPr>
        <w:t>建设</w:t>
      </w:r>
      <w:r>
        <w:t>单位</w:t>
      </w:r>
      <w:r>
        <w:rPr>
          <w:rFonts w:hint="eastAsia"/>
        </w:rPr>
        <w:t>在建设项目环境</w:t>
      </w:r>
      <w:r>
        <w:t>影响评价工作基本完成，评价单位完成全部环境要素评价和所有章节的编制工作后，</w:t>
      </w:r>
      <w:r>
        <w:rPr>
          <w:rFonts w:hint="eastAsia"/>
        </w:rPr>
        <w:t>对项目</w:t>
      </w:r>
      <w:r>
        <w:t>环境影响评价征求意见稿全文</w:t>
      </w:r>
      <w:r>
        <w:rPr>
          <w:rFonts w:hint="eastAsia"/>
        </w:rPr>
        <w:t>进行</w:t>
      </w:r>
      <w:r>
        <w:t>了公示</w:t>
      </w:r>
      <w:r>
        <w:rPr>
          <w:rFonts w:hint="eastAsia"/>
        </w:rPr>
        <w:t>。公示</w:t>
      </w:r>
      <w:r>
        <w:t>内</w:t>
      </w:r>
      <w:r>
        <w:rPr>
          <w:rFonts w:hint="eastAsia"/>
        </w:rPr>
        <w:t>容</w:t>
      </w:r>
      <w:r>
        <w:t>包括了环境影响报告书征求意见稿全文的网络链接及查阅纸质报告书的方式和途径、征求意见的公众范围、公众意见表的网络链接、公众提出意见的方式和途径、公众提出意见的起止时间等内容。</w:t>
      </w:r>
      <w:r>
        <w:rPr>
          <w:rFonts w:hint="eastAsia"/>
        </w:rPr>
        <w:t>公示时间</w:t>
      </w:r>
      <w:r>
        <w:t>为</w:t>
      </w:r>
      <w:r>
        <w:rPr>
          <w:rFonts w:hint="eastAsia"/>
        </w:rPr>
        <w:t>2</w:t>
      </w:r>
      <w:r>
        <w:t>02</w:t>
      </w:r>
      <w:r>
        <w:rPr>
          <w:rFonts w:hint="eastAsia"/>
        </w:rPr>
        <w:t>6年4月1日-4月14日</w:t>
      </w:r>
      <w:r>
        <w:t>的</w:t>
      </w:r>
      <w:r>
        <w:rPr>
          <w:rFonts w:hint="eastAsia"/>
        </w:rPr>
        <w:t>10个</w:t>
      </w:r>
      <w:r>
        <w:t>工作日</w:t>
      </w:r>
      <w:r>
        <w:rPr>
          <w:rFonts w:hint="eastAsia"/>
        </w:rPr>
        <w:t>。</w:t>
      </w:r>
    </w:p>
    <w:p w14:paraId="7B868123">
      <w:pPr>
        <w:pStyle w:val="4"/>
        <w:adjustRightInd w:val="0"/>
        <w:snapToGrid w:val="0"/>
        <w:spacing w:before="156" w:beforeLines="50" w:after="0"/>
        <w:ind w:left="0" w:firstLine="0"/>
        <w:rPr>
          <w:rFonts w:hint="eastAsia"/>
        </w:rPr>
      </w:pPr>
      <w:r>
        <w:rPr>
          <w:rFonts w:hint="eastAsia"/>
        </w:rPr>
        <w:t>公示方式</w:t>
      </w:r>
    </w:p>
    <w:p w14:paraId="72150C08">
      <w:pPr>
        <w:pStyle w:val="5"/>
        <w:adjustRightInd w:val="0"/>
        <w:snapToGrid w:val="0"/>
        <w:spacing w:before="0" w:after="0"/>
        <w:ind w:left="0" w:firstLine="0"/>
      </w:pPr>
      <w:r>
        <w:rPr>
          <w:rFonts w:hint="eastAsia"/>
        </w:rPr>
        <w:t>网络</w:t>
      </w:r>
    </w:p>
    <w:p w14:paraId="4C693FDB">
      <w:pPr>
        <w:pStyle w:val="36"/>
      </w:pPr>
      <w:r>
        <w:rPr>
          <w:rFonts w:ascii="Times New Roman" w:hAnsi="Times New Roman"/>
          <w:color w:val="000000" w:themeColor="text1"/>
          <w14:textFill>
            <w14:solidFill>
              <w14:schemeClr w14:val="tx1"/>
            </w14:solidFill>
          </w14:textFill>
        </w:rPr>
        <w:t>拟建项目位于</w:t>
      </w:r>
      <w:r>
        <w:rPr>
          <w:rFonts w:hint="eastAsia" w:ascii="Times New Roman" w:hAnsi="Times New Roman"/>
          <w:color w:val="000000" w:themeColor="text1"/>
          <w14:textFill>
            <w14:solidFill>
              <w14:schemeClr w14:val="tx1"/>
            </w14:solidFill>
          </w14:textFill>
        </w:rPr>
        <w:t>甘泉堡经济技术开发区(工业区)化工园区</w:t>
      </w:r>
      <w:r>
        <w:rPr>
          <w:rFonts w:ascii="Times New Roman" w:hAnsi="Times New Roman"/>
          <w:color w:val="000000" w:themeColor="text1"/>
          <w14:textFill>
            <w14:solidFill>
              <w14:schemeClr w14:val="tx1"/>
            </w14:solidFill>
          </w14:textFill>
        </w:rPr>
        <w:t>，属于依法批准设立的开发区，并已依法开展了规划环境影响评价公众参与且该项目性质、规模等符合开发区环境影响报告书和审查意见中的相关要求。根据《环境影响评价公众参与办法》</w:t>
      </w:r>
      <w:r>
        <w:rPr>
          <w:rFonts w:hint="eastAsia" w:ascii="Times New Roman" w:hAnsi="Times New Roman"/>
          <w:color w:val="000000" w:themeColor="text1"/>
          <w14:textFill>
            <w14:solidFill>
              <w14:schemeClr w14:val="tx1"/>
            </w14:solidFill>
          </w14:textFill>
        </w:rPr>
        <w:t>，免予采用本办法第十一条第一款第三项规定的张贴公告的方式。</w:t>
      </w:r>
    </w:p>
    <w:p w14:paraId="170C2683">
      <w:pPr>
        <w:pStyle w:val="36"/>
        <w:rPr>
          <w:rFonts w:hint="eastAsia"/>
        </w:rPr>
      </w:pPr>
      <w:r>
        <w:rPr>
          <w:rFonts w:hint="eastAsia"/>
        </w:rPr>
        <w:t>2</w:t>
      </w:r>
      <w:r>
        <w:t>02</w:t>
      </w:r>
      <w:r>
        <w:rPr>
          <w:rFonts w:hint="eastAsia"/>
        </w:rPr>
        <w:t>6年4月1日-4月14日，</w:t>
      </w:r>
      <w:r>
        <w:t>建设单位</w:t>
      </w:r>
      <w:r>
        <w:rPr>
          <w:rFonts w:hint="eastAsia"/>
        </w:rPr>
        <w:t>在</w:t>
      </w:r>
      <w:r>
        <w:rPr>
          <w:rFonts w:hint="eastAsia" w:ascii="Times New Roman" w:hAnsi="Times New Roman"/>
        </w:rPr>
        <w:t>新疆维吾尔自治区生态环境保护产业协会网站（</w:t>
      </w:r>
      <w:r>
        <w:rPr>
          <w:rFonts w:ascii="Times New Roman" w:hAnsi="Times New Roman"/>
        </w:rPr>
        <w:t>http://www.xjhbcy.cn/articles/show/17256</w:t>
      </w:r>
      <w:r>
        <w:rPr>
          <w:rFonts w:hint="eastAsia" w:ascii="Times New Roman" w:hAnsi="Times New Roman"/>
        </w:rPr>
        <w:t>）</w:t>
      </w:r>
      <w:r>
        <w:rPr>
          <w:rFonts w:hint="eastAsia"/>
        </w:rPr>
        <w:t>上发布了本项目的公示材料。公示的具体内容和网上公示的抓屏图片见下图。</w:t>
      </w:r>
    </w:p>
    <w:p w14:paraId="482E3DF7">
      <w:pPr>
        <w:pStyle w:val="36"/>
        <w:ind w:firstLine="0"/>
        <w:jc w:val="center"/>
        <w:rPr>
          <w:rFonts w:hint="eastAsia"/>
          <w:color w:val="EE0000"/>
          <w:highlight w:val="yellow"/>
        </w:rPr>
      </w:pPr>
      <w:r>
        <w:drawing>
          <wp:inline distT="0" distB="0" distL="0" distR="0">
            <wp:extent cx="5562600" cy="2610485"/>
            <wp:effectExtent l="0" t="0" r="0" b="0"/>
            <wp:docPr id="4704675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67561"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64974" cy="2611918"/>
                    </a:xfrm>
                    <a:prstGeom prst="rect">
                      <a:avLst/>
                    </a:prstGeom>
                    <a:noFill/>
                    <a:ln>
                      <a:noFill/>
                    </a:ln>
                  </pic:spPr>
                </pic:pic>
              </a:graphicData>
            </a:graphic>
          </wp:inline>
        </w:drawing>
      </w:r>
    </w:p>
    <w:p w14:paraId="0E88BC0F">
      <w:pPr>
        <w:pStyle w:val="36"/>
        <w:ind w:firstLine="0"/>
        <w:jc w:val="center"/>
        <w:rPr>
          <w:rFonts w:hint="eastAsia"/>
          <w:color w:val="EE0000"/>
          <w:highlight w:val="yellow"/>
        </w:rPr>
      </w:pPr>
      <w:r>
        <w:drawing>
          <wp:inline distT="0" distB="0" distL="0" distR="0">
            <wp:extent cx="5511800" cy="2588895"/>
            <wp:effectExtent l="0" t="0" r="0" b="1905"/>
            <wp:docPr id="11391939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93918"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13697" cy="2590282"/>
                    </a:xfrm>
                    <a:prstGeom prst="rect">
                      <a:avLst/>
                    </a:prstGeom>
                    <a:noFill/>
                    <a:ln>
                      <a:noFill/>
                    </a:ln>
                  </pic:spPr>
                </pic:pic>
              </a:graphicData>
            </a:graphic>
          </wp:inline>
        </w:drawing>
      </w:r>
    </w:p>
    <w:p w14:paraId="0A143B20">
      <w:pPr>
        <w:pStyle w:val="36"/>
        <w:ind w:firstLine="0"/>
        <w:jc w:val="center"/>
        <w:rPr>
          <w:rFonts w:hint="eastAsia"/>
          <w:color w:val="EE0000"/>
          <w:highlight w:val="yellow"/>
        </w:rPr>
      </w:pPr>
      <w:r>
        <w:drawing>
          <wp:inline distT="0" distB="0" distL="0" distR="0">
            <wp:extent cx="5596255" cy="2661285"/>
            <wp:effectExtent l="0" t="0" r="4445" b="5715"/>
            <wp:docPr id="7134832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83227"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599215" cy="2663176"/>
                    </a:xfrm>
                    <a:prstGeom prst="rect">
                      <a:avLst/>
                    </a:prstGeom>
                    <a:noFill/>
                    <a:ln>
                      <a:noFill/>
                    </a:ln>
                  </pic:spPr>
                </pic:pic>
              </a:graphicData>
            </a:graphic>
          </wp:inline>
        </w:drawing>
      </w:r>
    </w:p>
    <w:p w14:paraId="310C066C">
      <w:pPr>
        <w:pStyle w:val="37"/>
        <w:rPr>
          <w:rFonts w:hint="eastAsia" w:asciiTheme="minorEastAsia" w:hAnsiTheme="minorEastAsia" w:eastAsiaTheme="minorEastAsia"/>
          <w:b w:val="0"/>
          <w:sz w:val="18"/>
        </w:rPr>
      </w:pPr>
      <w:r>
        <w:rPr>
          <w:rFonts w:hint="eastAsia" w:asciiTheme="minorEastAsia" w:hAnsiTheme="minorEastAsia" w:eastAsiaTheme="minorEastAsia"/>
          <w:b w:val="0"/>
          <w:sz w:val="18"/>
        </w:rPr>
        <w:t>（公示页网址</w:t>
      </w:r>
      <w:r>
        <w:rPr>
          <w:rFonts w:asciiTheme="minorEastAsia" w:hAnsiTheme="minorEastAsia" w:eastAsiaTheme="minorEastAsia"/>
          <w:b w:val="0"/>
          <w:sz w:val="18"/>
        </w:rPr>
        <w:t>：</w:t>
      </w:r>
      <w:r>
        <w:rPr>
          <w:rFonts w:ascii="Times New Roman" w:hAnsi="Times New Roman"/>
          <w:b w:val="0"/>
        </w:rPr>
        <w:t>http://www.xjhbcy.cn/articles/show/17256</w:t>
      </w:r>
      <w:r>
        <w:rPr>
          <w:rFonts w:hint="eastAsia" w:asciiTheme="minorEastAsia" w:hAnsiTheme="minorEastAsia" w:eastAsiaTheme="minorEastAsia"/>
          <w:b w:val="0"/>
          <w:sz w:val="18"/>
        </w:rPr>
        <w:t>）</w:t>
      </w:r>
    </w:p>
    <w:p w14:paraId="355F20F8">
      <w:pPr>
        <w:pStyle w:val="37"/>
        <w:rPr>
          <w:rFonts w:hint="eastAsia"/>
          <w:shd w:val="clear" w:color="auto" w:fill="00B0F0"/>
        </w:rPr>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 xml:space="preserve">  征求意见稿公示</w:t>
      </w:r>
      <w:r>
        <w:t>网络</w:t>
      </w:r>
      <w:r>
        <w:rPr>
          <w:rFonts w:hint="eastAsia"/>
        </w:rPr>
        <w:t>截图</w:t>
      </w:r>
    </w:p>
    <w:p w14:paraId="1D80ABBA">
      <w:pPr>
        <w:pStyle w:val="5"/>
        <w:adjustRightInd w:val="0"/>
        <w:snapToGrid w:val="0"/>
        <w:spacing w:before="0" w:after="0"/>
        <w:ind w:left="0" w:firstLine="0"/>
      </w:pPr>
      <w:r>
        <w:rPr>
          <w:rFonts w:hint="eastAsia"/>
        </w:rPr>
        <w:t>报纸</w:t>
      </w:r>
    </w:p>
    <w:p w14:paraId="6C48CC0B">
      <w:pPr>
        <w:pStyle w:val="36"/>
        <w:rPr>
          <w:rFonts w:hint="eastAsia"/>
        </w:rPr>
      </w:pPr>
      <w:r>
        <w:rPr>
          <w:rFonts w:hint="eastAsia"/>
        </w:rPr>
        <w:t>在</w:t>
      </w:r>
      <w:r>
        <w:t>网站公示期间，</w:t>
      </w:r>
      <w:r>
        <w:rPr>
          <w:rFonts w:hint="eastAsia"/>
        </w:rPr>
        <w:t>建设单位分别于</w:t>
      </w:r>
      <w:r>
        <w:t>202</w:t>
      </w:r>
      <w:r>
        <w:rPr>
          <w:rFonts w:hint="eastAsia"/>
        </w:rPr>
        <w:t>6</w:t>
      </w:r>
      <w:r>
        <w:t>年</w:t>
      </w:r>
      <w:r>
        <w:rPr>
          <w:rFonts w:hint="eastAsia"/>
        </w:rPr>
        <w:t>4</w:t>
      </w:r>
      <w:r>
        <w:t>月</w:t>
      </w:r>
      <w:r>
        <w:rPr>
          <w:rFonts w:hint="eastAsia"/>
        </w:rPr>
        <w:t>9</w:t>
      </w:r>
      <w:r>
        <w:t>日和</w:t>
      </w:r>
      <w:r>
        <w:rPr>
          <w:rFonts w:hint="eastAsia"/>
        </w:rPr>
        <w:t>4</w:t>
      </w:r>
      <w:r>
        <w:t>月</w:t>
      </w:r>
      <w:r>
        <w:rPr>
          <w:rFonts w:hint="eastAsia"/>
        </w:rPr>
        <w:t>10</w:t>
      </w:r>
      <w:r>
        <w:t>日</w:t>
      </w:r>
      <w:r>
        <w:rPr>
          <w:rFonts w:hint="eastAsia"/>
        </w:rPr>
        <w:t>在《</w:t>
      </w:r>
      <w:r>
        <w:rPr>
          <w:rFonts w:hint="eastAsia"/>
          <w:lang w:eastAsia="zh-CN"/>
        </w:rPr>
        <w:t>新疆法治报</w:t>
      </w:r>
      <w:r>
        <w:rPr>
          <w:rFonts w:hint="eastAsia"/>
        </w:rPr>
        <w:t>》上刊登了本项目的公示材料</w:t>
      </w:r>
      <w:r>
        <w:t>，</w:t>
      </w:r>
      <w:r>
        <w:rPr>
          <w:rFonts w:hint="eastAsia"/>
          <w:lang w:eastAsia="zh-CN"/>
        </w:rPr>
        <w:t>新疆法治报</w:t>
      </w:r>
      <w:r>
        <w:rPr>
          <w:rFonts w:hint="eastAsia"/>
        </w:rPr>
        <w:t>是当地的主力媒体，拥有较大影响力。</w:t>
      </w:r>
      <w:r>
        <w:t>公示</w:t>
      </w:r>
      <w:r>
        <w:rPr>
          <w:rFonts w:hint="eastAsia"/>
        </w:rPr>
        <w:t>的</w:t>
      </w:r>
      <w:r>
        <w:t>具体情况见下</w:t>
      </w:r>
      <w:r>
        <w:rPr>
          <w:rFonts w:hint="eastAsia"/>
        </w:rPr>
        <w:t>图</w:t>
      </w:r>
      <w:r>
        <w:t>。</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9"/>
      </w:tblGrid>
      <w:tr w14:paraId="12C0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9" w:type="dxa"/>
          </w:tcPr>
          <w:p w14:paraId="3FC8BB28">
            <w:pPr>
              <w:pStyle w:val="36"/>
              <w:spacing w:line="100" w:lineRule="atLeast"/>
              <w:ind w:firstLine="0"/>
              <w:jc w:val="center"/>
              <w:rPr>
                <w:rFonts w:hint="eastAsia"/>
                <w:color w:val="EE0000"/>
                <w:sz w:val="20"/>
                <w:highlight w:val="yellow"/>
              </w:rPr>
            </w:pPr>
            <w:r>
              <w:drawing>
                <wp:inline distT="0" distB="0" distL="0" distR="0">
                  <wp:extent cx="3623310" cy="4105910"/>
                  <wp:effectExtent l="0" t="0" r="0" b="8890"/>
                  <wp:docPr id="269456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56924" name="图片 1"/>
                          <pic:cNvPicPr>
                            <a:picLocks noChangeAspect="1"/>
                          </pic:cNvPicPr>
                        </pic:nvPicPr>
                        <pic:blipFill>
                          <a:blip r:embed="rId11"/>
                          <a:srcRect b="21926"/>
                          <a:stretch>
                            <a:fillRect/>
                          </a:stretch>
                        </pic:blipFill>
                        <pic:spPr>
                          <a:xfrm>
                            <a:off x="0" y="0"/>
                            <a:ext cx="3628026" cy="4111678"/>
                          </a:xfrm>
                          <a:prstGeom prst="rect">
                            <a:avLst/>
                          </a:prstGeom>
                          <a:ln>
                            <a:noFill/>
                          </a:ln>
                        </pic:spPr>
                      </pic:pic>
                    </a:graphicData>
                  </a:graphic>
                </wp:inline>
              </w:drawing>
            </w:r>
          </w:p>
        </w:tc>
      </w:tr>
      <w:tr w14:paraId="191A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9" w:type="dxa"/>
          </w:tcPr>
          <w:p w14:paraId="0709AC12">
            <w:pPr>
              <w:pStyle w:val="36"/>
              <w:spacing w:line="100" w:lineRule="atLeast"/>
              <w:ind w:firstLine="0"/>
              <w:jc w:val="center"/>
              <w:rPr>
                <w:rFonts w:hint="eastAsia"/>
                <w:color w:val="EE0000"/>
                <w:sz w:val="20"/>
                <w:highlight w:val="yellow"/>
              </w:rPr>
            </w:pPr>
            <w:r>
              <w:drawing>
                <wp:inline distT="0" distB="0" distL="0" distR="0">
                  <wp:extent cx="3343910" cy="4359910"/>
                  <wp:effectExtent l="0" t="0" r="8890" b="2540"/>
                  <wp:docPr id="1565702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02806" name="图片 1"/>
                          <pic:cNvPicPr>
                            <a:picLocks noChangeAspect="1"/>
                          </pic:cNvPicPr>
                        </pic:nvPicPr>
                        <pic:blipFill>
                          <a:blip r:embed="rId12"/>
                          <a:stretch>
                            <a:fillRect/>
                          </a:stretch>
                        </pic:blipFill>
                        <pic:spPr>
                          <a:xfrm>
                            <a:off x="0" y="0"/>
                            <a:ext cx="3353014" cy="4371857"/>
                          </a:xfrm>
                          <a:prstGeom prst="rect">
                            <a:avLst/>
                          </a:prstGeom>
                        </pic:spPr>
                      </pic:pic>
                    </a:graphicData>
                  </a:graphic>
                </wp:inline>
              </w:drawing>
            </w:r>
          </w:p>
        </w:tc>
      </w:tr>
    </w:tbl>
    <w:p w14:paraId="357A9ADA">
      <w:pPr>
        <w:pStyle w:val="37"/>
        <w:rPr>
          <w:rFonts w:hint="eastAsia"/>
        </w:rPr>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 xml:space="preserve">  征求</w:t>
      </w:r>
      <w:r>
        <w:t>意见稿</w:t>
      </w:r>
      <w:r>
        <w:rPr>
          <w:rFonts w:hint="eastAsia"/>
        </w:rPr>
        <w:t>全文第</w:t>
      </w:r>
      <w:r>
        <w:t>一次</w:t>
      </w:r>
      <w:r>
        <w:rPr>
          <w:rFonts w:hint="eastAsia"/>
        </w:rPr>
        <w:t>报纸公示图片</w:t>
      </w:r>
      <w:r>
        <w:t>（</w:t>
      </w:r>
      <w:r>
        <w:rPr>
          <w:rFonts w:hint="eastAsia"/>
        </w:rPr>
        <w:t>节选</w:t>
      </w:r>
      <w:r>
        <w:t>）</w:t>
      </w:r>
    </w:p>
    <w:p w14:paraId="4B7B71DF">
      <w:pPr>
        <w:pStyle w:val="36"/>
        <w:rPr>
          <w:rFonts w:hint="eastAsia"/>
          <w:color w:val="EE0000"/>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9"/>
      </w:tblGrid>
      <w:tr w14:paraId="237E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9" w:type="dxa"/>
            <w:vAlign w:val="center"/>
          </w:tcPr>
          <w:p w14:paraId="3B937862">
            <w:pPr>
              <w:pStyle w:val="36"/>
              <w:spacing w:line="100" w:lineRule="atLeast"/>
              <w:ind w:firstLine="0"/>
              <w:jc w:val="center"/>
              <w:rPr>
                <w:rFonts w:hint="eastAsia"/>
                <w:color w:val="EE0000"/>
                <w:sz w:val="20"/>
                <w:highlight w:val="yellow"/>
              </w:rPr>
            </w:pPr>
            <w:r>
              <w:rPr>
                <w:rFonts w:ascii="Times New Roman" w:hAnsi="Times New Roman" w:eastAsia="Times New Roman"/>
                <w:snapToGrid w:val="0"/>
                <w:color w:val="EE0000"/>
                <w:w w:val="0"/>
                <w:kern w:val="0"/>
                <w:sz w:val="0"/>
                <w:szCs w:val="0"/>
                <w:u w:color="000000"/>
                <w:shd w:val="clear" w:color="000000" w:fill="000000"/>
                <w:lang w:val="zh-CN" w:eastAsia="zh-CN" w:bidi="zh-CN"/>
              </w:rPr>
              <w:t xml:space="preserve"> </w:t>
            </w:r>
            <w:r>
              <w:drawing>
                <wp:inline distT="0" distB="0" distL="0" distR="0">
                  <wp:extent cx="3809365" cy="3564255"/>
                  <wp:effectExtent l="0" t="0" r="635" b="0"/>
                  <wp:docPr id="799824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24372" name="图片 1"/>
                          <pic:cNvPicPr>
                            <a:picLocks noChangeAspect="1"/>
                          </pic:cNvPicPr>
                        </pic:nvPicPr>
                        <pic:blipFill>
                          <a:blip r:embed="rId13"/>
                          <a:srcRect b="32676"/>
                          <a:stretch>
                            <a:fillRect/>
                          </a:stretch>
                        </pic:blipFill>
                        <pic:spPr>
                          <a:xfrm>
                            <a:off x="0" y="0"/>
                            <a:ext cx="3814704" cy="3569463"/>
                          </a:xfrm>
                          <a:prstGeom prst="rect">
                            <a:avLst/>
                          </a:prstGeom>
                          <a:ln>
                            <a:noFill/>
                          </a:ln>
                        </pic:spPr>
                      </pic:pic>
                    </a:graphicData>
                  </a:graphic>
                </wp:inline>
              </w:drawing>
            </w:r>
          </w:p>
        </w:tc>
      </w:tr>
      <w:tr w14:paraId="78D6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9" w:type="dxa"/>
            <w:vAlign w:val="center"/>
          </w:tcPr>
          <w:p w14:paraId="392919F9">
            <w:pPr>
              <w:pStyle w:val="36"/>
              <w:spacing w:line="100" w:lineRule="atLeast"/>
              <w:ind w:firstLine="0"/>
              <w:jc w:val="center"/>
              <w:rPr>
                <w:rFonts w:hint="eastAsia"/>
                <w:color w:val="EE0000"/>
                <w:sz w:val="20"/>
                <w:highlight w:val="yellow"/>
              </w:rPr>
            </w:pPr>
            <w:r>
              <w:rPr>
                <w:rFonts w:ascii="Times New Roman" w:hAnsi="Times New Roman" w:eastAsia="Times New Roman"/>
                <w:snapToGrid w:val="0"/>
                <w:color w:val="EE0000"/>
                <w:w w:val="0"/>
                <w:kern w:val="0"/>
                <w:sz w:val="0"/>
                <w:szCs w:val="0"/>
                <w:u w:color="000000"/>
                <w:shd w:val="clear" w:color="000000" w:fill="000000"/>
                <w:lang w:val="zh-CN" w:eastAsia="zh-CN" w:bidi="zh-CN"/>
              </w:rPr>
              <w:t xml:space="preserve"> </w:t>
            </w:r>
            <w:r>
              <w:drawing>
                <wp:inline distT="0" distB="0" distL="0" distR="0">
                  <wp:extent cx="3860800" cy="4895215"/>
                  <wp:effectExtent l="0" t="0" r="6350" b="635"/>
                  <wp:docPr id="1181082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82219" name="图片 1"/>
                          <pic:cNvPicPr>
                            <a:picLocks noChangeAspect="1"/>
                          </pic:cNvPicPr>
                        </pic:nvPicPr>
                        <pic:blipFill>
                          <a:blip r:embed="rId14"/>
                          <a:stretch>
                            <a:fillRect/>
                          </a:stretch>
                        </pic:blipFill>
                        <pic:spPr>
                          <a:xfrm>
                            <a:off x="0" y="0"/>
                            <a:ext cx="3863085" cy="4898494"/>
                          </a:xfrm>
                          <a:prstGeom prst="rect">
                            <a:avLst/>
                          </a:prstGeom>
                        </pic:spPr>
                      </pic:pic>
                    </a:graphicData>
                  </a:graphic>
                </wp:inline>
              </w:drawing>
            </w:r>
          </w:p>
        </w:tc>
      </w:tr>
    </w:tbl>
    <w:p w14:paraId="4D8C40B0">
      <w:pPr>
        <w:pStyle w:val="37"/>
        <w:rPr>
          <w:rFonts w:hint="eastAsia"/>
        </w:rPr>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 xml:space="preserve">  征求</w:t>
      </w:r>
      <w:r>
        <w:t>意见稿</w:t>
      </w:r>
      <w:r>
        <w:rPr>
          <w:rFonts w:hint="eastAsia"/>
        </w:rPr>
        <w:t>全文第二</w:t>
      </w:r>
      <w:r>
        <w:t>次</w:t>
      </w:r>
      <w:r>
        <w:rPr>
          <w:rFonts w:hint="eastAsia"/>
        </w:rPr>
        <w:t>报纸公示图片</w:t>
      </w:r>
      <w:r>
        <w:t>（</w:t>
      </w:r>
      <w:r>
        <w:rPr>
          <w:rFonts w:hint="eastAsia"/>
        </w:rPr>
        <w:t>节选</w:t>
      </w:r>
      <w:r>
        <w:t>）</w:t>
      </w:r>
    </w:p>
    <w:p w14:paraId="4EB68458">
      <w:pPr>
        <w:pStyle w:val="4"/>
        <w:adjustRightInd w:val="0"/>
        <w:snapToGrid w:val="0"/>
        <w:spacing w:before="156" w:beforeLines="50" w:after="0"/>
        <w:ind w:left="0" w:firstLine="0"/>
        <w:rPr>
          <w:rFonts w:hint="eastAsia"/>
        </w:rPr>
      </w:pPr>
      <w:r>
        <w:rPr>
          <w:rFonts w:hint="eastAsia"/>
        </w:rPr>
        <w:t>查阅</w:t>
      </w:r>
      <w:r>
        <w:t>情况</w:t>
      </w:r>
    </w:p>
    <w:p w14:paraId="4AFFF14B">
      <w:pPr>
        <w:pStyle w:val="36"/>
        <w:rPr>
          <w:rFonts w:hint="eastAsia"/>
        </w:rPr>
      </w:pPr>
      <w:r>
        <w:rPr>
          <w:rFonts w:hint="eastAsia"/>
        </w:rPr>
        <w:t>征求意见稿公示期间，公众可发邮件或者通过电话、信件等方式与我公司联系，也可到我公司查阅纸质报告书。征求意见稿公示期间，未收到公众要求查阅纸质版征求意见稿的要求。</w:t>
      </w:r>
    </w:p>
    <w:p w14:paraId="57D8B578">
      <w:pPr>
        <w:pStyle w:val="4"/>
        <w:adjustRightInd w:val="0"/>
        <w:snapToGrid w:val="0"/>
        <w:spacing w:before="156" w:beforeLines="50" w:after="0"/>
        <w:ind w:left="0" w:firstLine="0"/>
        <w:rPr>
          <w:rFonts w:hint="eastAsia"/>
        </w:rPr>
      </w:pPr>
      <w:r>
        <w:rPr>
          <w:rFonts w:hint="eastAsia"/>
        </w:rPr>
        <w:t>公众</w:t>
      </w:r>
      <w:r>
        <w:t>提出意见情况</w:t>
      </w:r>
    </w:p>
    <w:p w14:paraId="2FB693A9">
      <w:pPr>
        <w:pStyle w:val="36"/>
        <w:rPr>
          <w:rFonts w:hint="eastAsia"/>
        </w:rPr>
      </w:pPr>
      <w:r>
        <w:rPr>
          <w:rFonts w:hint="eastAsia"/>
        </w:rPr>
        <w:t>公示</w:t>
      </w:r>
      <w:r>
        <w:t>期间，</w:t>
      </w:r>
      <w:r>
        <w:rPr>
          <w:rFonts w:hint="eastAsia"/>
        </w:rPr>
        <w:t>公众未提出与本项目环境影响和环境保护措施有关的建议和意见。</w:t>
      </w:r>
    </w:p>
    <w:p w14:paraId="0A4B96C9">
      <w:pPr>
        <w:pStyle w:val="3"/>
      </w:pPr>
      <w:r>
        <w:rPr>
          <w:rFonts w:hint="eastAsia"/>
        </w:rPr>
        <w:t>其他公众</w:t>
      </w:r>
      <w:r>
        <w:t>参与情况</w:t>
      </w:r>
    </w:p>
    <w:p w14:paraId="10E44F13">
      <w:pPr>
        <w:pStyle w:val="36"/>
        <w:rPr>
          <w:rFonts w:hint="eastAsia"/>
        </w:rPr>
      </w:pPr>
      <w:r>
        <w:rPr>
          <w:rFonts w:hint="eastAsia"/>
        </w:rPr>
        <w:t>本项目</w:t>
      </w:r>
      <w:r>
        <w:t>公示期间，</w:t>
      </w:r>
      <w:r>
        <w:rPr>
          <w:rFonts w:hint="eastAsia"/>
        </w:rPr>
        <w:t>公众</w:t>
      </w:r>
      <w:r>
        <w:t>未</w:t>
      </w:r>
      <w:r>
        <w:rPr>
          <w:rFonts w:hint="eastAsia"/>
        </w:rPr>
        <w:t>就</w:t>
      </w:r>
      <w:r>
        <w:t>项目环境影响方面提出质疑，</w:t>
      </w:r>
      <w:r>
        <w:rPr>
          <w:rFonts w:hint="eastAsia"/>
        </w:rPr>
        <w:t>因此</w:t>
      </w:r>
      <w:r>
        <w:t>未开展深度公众参与。</w:t>
      </w:r>
    </w:p>
    <w:p w14:paraId="546CF2F3">
      <w:pPr>
        <w:pStyle w:val="3"/>
      </w:pPr>
      <w:r>
        <w:rPr>
          <w:rFonts w:hint="eastAsia"/>
        </w:rPr>
        <w:t>全文及公参说明公示情况</w:t>
      </w:r>
    </w:p>
    <w:p w14:paraId="1C0448E0">
      <w:pPr>
        <w:pStyle w:val="3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建设单位在向生态环境主管部门报批环境影响报告书前，于2026年4月13日在全国建设项目环境信息公示平台上发布了本项目拟报批的环境影响报告书全文和公众参与说明（</w:t>
      </w:r>
      <w:r>
        <w:rPr>
          <w:color w:val="000000" w:themeColor="text1"/>
          <w14:textFill>
            <w14:solidFill>
              <w14:schemeClr w14:val="tx1"/>
            </w14:solidFill>
          </w14:textFill>
        </w:rPr>
        <w:t>https://www.eiacloud.com/gs/detail/1?id=60413U5KiA</w:t>
      </w:r>
      <w:r>
        <w:rPr>
          <w:rFonts w:hint="eastAsia"/>
          <w:color w:val="000000" w:themeColor="text1"/>
          <w14:textFill>
            <w14:solidFill>
              <w14:schemeClr w14:val="tx1"/>
            </w14:solidFill>
          </w14:textFill>
        </w:rPr>
        <w:t>）。公示的具体内容和网络公示截图详见下图。</w:t>
      </w:r>
    </w:p>
    <w:p w14:paraId="57698770">
      <w:pPr>
        <w:pStyle w:val="36"/>
        <w:ind w:firstLine="0"/>
        <w:jc w:val="center"/>
        <w:rPr>
          <w:rFonts w:hint="eastAsia"/>
          <w:color w:val="EE0000"/>
        </w:rPr>
      </w:pPr>
      <w:r>
        <w:drawing>
          <wp:inline distT="0" distB="0" distL="0" distR="0">
            <wp:extent cx="5759450" cy="3451860"/>
            <wp:effectExtent l="0" t="0" r="0" b="0"/>
            <wp:docPr id="1612590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90977" name="图片 1"/>
                    <pic:cNvPicPr>
                      <a:picLocks noChangeAspect="1"/>
                    </pic:cNvPicPr>
                  </pic:nvPicPr>
                  <pic:blipFill>
                    <a:blip r:embed="rId15"/>
                    <a:stretch>
                      <a:fillRect/>
                    </a:stretch>
                  </pic:blipFill>
                  <pic:spPr>
                    <a:xfrm>
                      <a:off x="0" y="0"/>
                      <a:ext cx="5759450" cy="3451860"/>
                    </a:xfrm>
                    <a:prstGeom prst="rect">
                      <a:avLst/>
                    </a:prstGeom>
                  </pic:spPr>
                </pic:pic>
              </a:graphicData>
            </a:graphic>
          </wp:inline>
        </w:drawing>
      </w:r>
    </w:p>
    <w:p w14:paraId="0D39E6E4">
      <w:pPr>
        <w:pStyle w:val="37"/>
        <w:rPr>
          <w:rFonts w:hint="eastAsia"/>
          <w:shd w:val="clear" w:color="auto" w:fill="00B0F0"/>
        </w:rPr>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 xml:space="preserve">  拟报批版报告书全文和公众参与说明公开网络截图</w:t>
      </w:r>
    </w:p>
    <w:p w14:paraId="4AC16D35">
      <w:pPr>
        <w:pStyle w:val="3"/>
      </w:pPr>
      <w:r>
        <w:t>存档备查情况</w:t>
      </w:r>
    </w:p>
    <w:p w14:paraId="79876C1B">
      <w:pPr>
        <w:pStyle w:val="36"/>
        <w:rPr>
          <w:rFonts w:hint="eastAsia"/>
        </w:rPr>
      </w:pPr>
      <w:r>
        <w:t>建设单位已将本项目环境影响报告书编制过程中的公众参与有关原始资料纳入项目管理中，统一存档备查。</w:t>
      </w:r>
    </w:p>
    <w:p w14:paraId="2C00F930">
      <w:pPr>
        <w:pStyle w:val="36"/>
        <w:rPr>
          <w:rFonts w:hint="eastAsia"/>
          <w:color w:val="EE0000"/>
          <w:highlight w:val="yellow"/>
        </w:rPr>
        <w:sectPr>
          <w:headerReference r:id="rId3" w:type="default"/>
          <w:footerReference r:id="rId4" w:type="default"/>
          <w:pgSz w:w="11906" w:h="16838"/>
          <w:pgMar w:top="1418" w:right="1418" w:bottom="1418" w:left="1418" w:header="936" w:footer="822" w:gutter="0"/>
          <w:pgNumType w:start="1"/>
          <w:cols w:space="425" w:num="1"/>
          <w:docGrid w:type="lines" w:linePitch="312" w:charSpace="0"/>
        </w:sectPr>
      </w:pPr>
    </w:p>
    <w:p w14:paraId="252DC9B5">
      <w:pPr>
        <w:pStyle w:val="36"/>
        <w:jc w:val="center"/>
        <w:rPr>
          <w:rFonts w:hint="eastAsia"/>
          <w:b/>
          <w:bCs/>
          <w:color w:val="EE0000"/>
          <w:sz w:val="36"/>
          <w:szCs w:val="36"/>
        </w:rPr>
      </w:pPr>
    </w:p>
    <w:p w14:paraId="59424991">
      <w:pPr>
        <w:pStyle w:val="36"/>
        <w:jc w:val="center"/>
        <w:rPr>
          <w:rFonts w:hint="eastAsia"/>
          <w:b/>
          <w:bCs/>
          <w:color w:val="EE0000"/>
          <w:sz w:val="36"/>
          <w:szCs w:val="36"/>
        </w:rPr>
      </w:pPr>
    </w:p>
    <w:p w14:paraId="7A1BB360">
      <w:pPr>
        <w:pStyle w:val="36"/>
        <w:ind w:firstLine="0"/>
        <w:jc w:val="center"/>
        <w:rPr>
          <w:rFonts w:hint="eastAsia"/>
          <w:b/>
          <w:bCs/>
          <w:color w:val="000000" w:themeColor="text1"/>
          <w:sz w:val="36"/>
          <w:szCs w:val="36"/>
          <w14:textFill>
            <w14:solidFill>
              <w14:schemeClr w14:val="tx1"/>
            </w14:solidFill>
          </w14:textFill>
        </w:rPr>
      </w:pPr>
      <w:r>
        <w:rPr>
          <w:rFonts w:hint="eastAsia"/>
          <w:b/>
          <w:bCs/>
          <w:color w:val="000000" w:themeColor="text1"/>
          <w:sz w:val="36"/>
          <w:szCs w:val="36"/>
          <w14:textFill>
            <w14:solidFill>
              <w14:schemeClr w14:val="tx1"/>
            </w14:solidFill>
          </w14:textFill>
        </w:rPr>
        <w:t>诚信承诺</w:t>
      </w:r>
    </w:p>
    <w:p w14:paraId="171C91A9">
      <w:pPr>
        <w:pStyle w:val="36"/>
        <w:jc w:val="left"/>
        <w:rPr>
          <w:rFonts w:hint="eastAsia"/>
          <w:color w:val="000000" w:themeColor="text1"/>
          <w14:textFill>
            <w14:solidFill>
              <w14:schemeClr w14:val="tx1"/>
            </w14:solidFill>
          </w14:textFill>
        </w:rPr>
      </w:pPr>
    </w:p>
    <w:p w14:paraId="13BD52ED">
      <w:pPr>
        <w:pStyle w:val="36"/>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我单位已按照《环境影响评价公众参与办法》(部令第4号)要求，在《新疆华瑞化工技术有限公司甘泉堡经开区华瑞化工年产5万吨工业废盐回收项目环境影响报告书》编制阶段开展了公众参与工作，在环境影响报告书中充分采纳了公众提出的与环境影响相关的合理意见，对未采纳的意见按要求进行了说明，并按照要求编制了公众参与说明。 </w:t>
      </w:r>
    </w:p>
    <w:p w14:paraId="598BC478">
      <w:pPr>
        <w:pStyle w:val="36"/>
        <w:ind w:firstLine="480" w:firstLineChars="20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我单位承诺，本次提交的《新疆华瑞化工技术有限公司甘泉堡经开区华瑞化工年产5万吨工业废盐回收项目环境影响评价公众参与说明》内容客观、真实，未包含依法不得公开的国家秘密、商业秘密、个人隐私。如存在弄虚作假、隐瞒欺骗等情况及由此导致的一切后果由新疆华瑞化工技术有限公司承担全部责任。</w:t>
      </w:r>
    </w:p>
    <w:p w14:paraId="7FA1F317">
      <w:pPr>
        <w:pStyle w:val="36"/>
        <w:ind w:firstLine="0"/>
        <w:jc w:val="center"/>
        <w:rPr>
          <w:rFonts w:hint="eastAsia"/>
          <w:color w:val="000000" w:themeColor="text1"/>
          <w14:textFill>
            <w14:solidFill>
              <w14:schemeClr w14:val="tx1"/>
            </w14:solidFill>
          </w14:textFill>
        </w:rPr>
      </w:pPr>
    </w:p>
    <w:p w14:paraId="555B4F2A">
      <w:pPr>
        <w:pStyle w:val="36"/>
        <w:ind w:firstLine="0"/>
        <w:jc w:val="center"/>
        <w:rPr>
          <w:rFonts w:hint="eastAsia"/>
          <w:color w:val="000000" w:themeColor="text1"/>
          <w14:textFill>
            <w14:solidFill>
              <w14:schemeClr w14:val="tx1"/>
            </w14:solidFill>
          </w14:textFill>
        </w:rPr>
      </w:pPr>
    </w:p>
    <w:p w14:paraId="26143970">
      <w:pPr>
        <w:pStyle w:val="36"/>
        <w:ind w:firstLine="0"/>
        <w:jc w:val="center"/>
        <w:rPr>
          <w:rFonts w:hint="eastAsia"/>
          <w:color w:val="000000" w:themeColor="text1"/>
          <w14:textFill>
            <w14:solidFill>
              <w14:schemeClr w14:val="tx1"/>
            </w14:solidFill>
          </w14:textFill>
        </w:rPr>
      </w:pPr>
    </w:p>
    <w:p w14:paraId="7309C68A">
      <w:pPr>
        <w:pStyle w:val="36"/>
        <w:ind w:firstLine="0"/>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承诺单位：新疆华瑞化工技术有限公司</w:t>
      </w:r>
    </w:p>
    <w:p w14:paraId="462F7E01">
      <w:pPr>
        <w:pStyle w:val="36"/>
        <w:ind w:firstLine="0"/>
        <w:jc w:val="right"/>
        <w:rPr>
          <w:rFonts w:hint="eastAsia"/>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承诺时间：2026年4月14日</w:t>
      </w:r>
    </w:p>
    <w:p w14:paraId="572FF11E">
      <w:pPr>
        <w:pStyle w:val="36"/>
        <w:ind w:firstLine="0"/>
        <w:rPr>
          <w:rFonts w:hint="eastAsia"/>
          <w:color w:val="EE0000"/>
        </w:rPr>
      </w:pPr>
    </w:p>
    <w:sectPr>
      <w:pgSz w:w="11906" w:h="16838"/>
      <w:pgMar w:top="1418" w:right="1418" w:bottom="1418" w:left="1418" w:header="936" w:footer="82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6120114"/>
      <w:docPartObj>
        <w:docPartGallery w:val="AutoText"/>
      </w:docPartObj>
    </w:sdtPr>
    <w:sdtContent>
      <w:p w14:paraId="0D18F8A7">
        <w:pPr>
          <w:pStyle w:val="16"/>
          <w:jc w:val="center"/>
        </w:pPr>
        <w:r>
          <w:fldChar w:fldCharType="begin"/>
        </w:r>
        <w:r>
          <w:instrText xml:space="preserve">PAGE   \* MERGEFORMAT</w:instrText>
        </w:r>
        <w:r>
          <w:fldChar w:fldCharType="separate"/>
        </w:r>
        <w:r>
          <w:rPr>
            <w:lang w:val="zh-CN"/>
          </w:rPr>
          <w:t>3</w:t>
        </w:r>
        <w:r>
          <w:fldChar w:fldCharType="end"/>
        </w:r>
      </w:p>
    </w:sdtContent>
  </w:sdt>
  <w:p w14:paraId="1207C8EE">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5366E">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ED5514"/>
    <w:multiLevelType w:val="multilevel"/>
    <w:tmpl w:val="1DED5514"/>
    <w:lvl w:ilvl="0" w:tentative="0">
      <w:start w:val="1"/>
      <w:numFmt w:val="decimal"/>
      <w:suff w:val="space"/>
      <w:lvlText w:val="%1"/>
      <w:lvlJc w:val="left"/>
      <w:pPr>
        <w:ind w:left="432" w:hanging="432"/>
      </w:pPr>
      <w:rPr>
        <w:rFonts w:hint="eastAsia"/>
      </w:rPr>
    </w:lvl>
    <w:lvl w:ilvl="1" w:tentative="0">
      <w:start w:val="1"/>
      <w:numFmt w:val="decimal"/>
      <w:pStyle w:val="3"/>
      <w:suff w:val="space"/>
      <w:lvlText w:val="%1.%2"/>
      <w:lvlJc w:val="left"/>
      <w:pPr>
        <w:ind w:left="576" w:hanging="576"/>
      </w:pPr>
      <w:rPr>
        <w:rFonts w:hint="eastAsia"/>
      </w:rPr>
    </w:lvl>
    <w:lvl w:ilvl="2" w:tentative="0">
      <w:start w:val="1"/>
      <w:numFmt w:val="decimal"/>
      <w:pStyle w:val="4"/>
      <w:suff w:val="space"/>
      <w:lvlText w:val="%1.%2.%3"/>
      <w:lvlJc w:val="left"/>
      <w:pPr>
        <w:ind w:left="900" w:hanging="720"/>
      </w:pPr>
      <w:rPr>
        <w:rFonts w:hint="eastAsia"/>
      </w:rPr>
    </w:lvl>
    <w:lvl w:ilvl="3" w:tentative="0">
      <w:start w:val="1"/>
      <w:numFmt w:val="decimal"/>
      <w:pStyle w:val="5"/>
      <w:suff w:val="space"/>
      <w:lvlText w:val="%1.%2.%3.%4"/>
      <w:lvlJc w:val="left"/>
      <w:pPr>
        <w:ind w:left="1404" w:hanging="864"/>
      </w:pPr>
      <w:rPr>
        <w:rFonts w:hint="eastAsia"/>
      </w:rPr>
    </w:lvl>
    <w:lvl w:ilvl="4" w:tentative="0">
      <w:start w:val="1"/>
      <w:numFmt w:val="decimal"/>
      <w:pStyle w:val="6"/>
      <w:lvlText w:val="%1.%2.%3.%4.%5"/>
      <w:lvlJc w:val="left"/>
      <w:pPr>
        <w:tabs>
          <w:tab w:val="left" w:pos="1008"/>
        </w:tabs>
        <w:ind w:left="1008" w:hanging="1008"/>
      </w:pPr>
      <w:rPr>
        <w:rFonts w:hint="eastAsia"/>
      </w:rPr>
    </w:lvl>
    <w:lvl w:ilvl="5" w:tentative="0">
      <w:start w:val="1"/>
      <w:numFmt w:val="decimal"/>
      <w:pStyle w:val="7"/>
      <w:lvlText w:val="%1.%2.%3.%4.%5.%6"/>
      <w:lvlJc w:val="left"/>
      <w:pPr>
        <w:tabs>
          <w:tab w:val="left" w:pos="1152"/>
        </w:tabs>
        <w:ind w:left="1152" w:hanging="1152"/>
      </w:pPr>
      <w:rPr>
        <w:rFonts w:hint="eastAsia"/>
      </w:rPr>
    </w:lvl>
    <w:lvl w:ilvl="6" w:tentative="0">
      <w:start w:val="1"/>
      <w:numFmt w:val="decimal"/>
      <w:pStyle w:val="8"/>
      <w:lvlText w:val="%1.%2.%3.%4.%5.%6.%7"/>
      <w:lvlJc w:val="left"/>
      <w:pPr>
        <w:tabs>
          <w:tab w:val="left" w:pos="1296"/>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FB3"/>
    <w:rsid w:val="00001BCF"/>
    <w:rsid w:val="0000586A"/>
    <w:rsid w:val="00012761"/>
    <w:rsid w:val="00012FB9"/>
    <w:rsid w:val="000158E2"/>
    <w:rsid w:val="0001764F"/>
    <w:rsid w:val="00023C07"/>
    <w:rsid w:val="000248A5"/>
    <w:rsid w:val="00047235"/>
    <w:rsid w:val="00050BEF"/>
    <w:rsid w:val="00086EE2"/>
    <w:rsid w:val="0008760E"/>
    <w:rsid w:val="0009586D"/>
    <w:rsid w:val="00097266"/>
    <w:rsid w:val="000C3E9E"/>
    <w:rsid w:val="000E6F9A"/>
    <w:rsid w:val="000F0EA8"/>
    <w:rsid w:val="001111D2"/>
    <w:rsid w:val="00127EAB"/>
    <w:rsid w:val="00131B43"/>
    <w:rsid w:val="00134F69"/>
    <w:rsid w:val="00146007"/>
    <w:rsid w:val="001463EE"/>
    <w:rsid w:val="00151060"/>
    <w:rsid w:val="00151647"/>
    <w:rsid w:val="00162E78"/>
    <w:rsid w:val="00164B6B"/>
    <w:rsid w:val="00170091"/>
    <w:rsid w:val="0017056A"/>
    <w:rsid w:val="00171CE3"/>
    <w:rsid w:val="00181C7E"/>
    <w:rsid w:val="001A39FD"/>
    <w:rsid w:val="001A74FB"/>
    <w:rsid w:val="001A7B09"/>
    <w:rsid w:val="001B4CF7"/>
    <w:rsid w:val="001B6CBE"/>
    <w:rsid w:val="001C70E0"/>
    <w:rsid w:val="001D5C78"/>
    <w:rsid w:val="001F39DB"/>
    <w:rsid w:val="002108D9"/>
    <w:rsid w:val="0022037A"/>
    <w:rsid w:val="00225147"/>
    <w:rsid w:val="002264C2"/>
    <w:rsid w:val="002274C4"/>
    <w:rsid w:val="002329A6"/>
    <w:rsid w:val="0023444F"/>
    <w:rsid w:val="002369D9"/>
    <w:rsid w:val="00241F12"/>
    <w:rsid w:val="00243536"/>
    <w:rsid w:val="00250F3C"/>
    <w:rsid w:val="0025195B"/>
    <w:rsid w:val="0025527A"/>
    <w:rsid w:val="0025635B"/>
    <w:rsid w:val="00260C26"/>
    <w:rsid w:val="00265DFD"/>
    <w:rsid w:val="00266885"/>
    <w:rsid w:val="00267071"/>
    <w:rsid w:val="002801E4"/>
    <w:rsid w:val="002802A7"/>
    <w:rsid w:val="0028570E"/>
    <w:rsid w:val="00287D2F"/>
    <w:rsid w:val="00294C1F"/>
    <w:rsid w:val="002A08DD"/>
    <w:rsid w:val="002A0E6D"/>
    <w:rsid w:val="002B1812"/>
    <w:rsid w:val="002B55B9"/>
    <w:rsid w:val="002C78E8"/>
    <w:rsid w:val="002E27AB"/>
    <w:rsid w:val="00303ED4"/>
    <w:rsid w:val="00323046"/>
    <w:rsid w:val="003339D6"/>
    <w:rsid w:val="00342600"/>
    <w:rsid w:val="0034633E"/>
    <w:rsid w:val="00354FF1"/>
    <w:rsid w:val="00362C93"/>
    <w:rsid w:val="00365308"/>
    <w:rsid w:val="0037743E"/>
    <w:rsid w:val="00384B4C"/>
    <w:rsid w:val="00385A2D"/>
    <w:rsid w:val="003A15BC"/>
    <w:rsid w:val="003A1E55"/>
    <w:rsid w:val="003B4B45"/>
    <w:rsid w:val="003D2BB8"/>
    <w:rsid w:val="003E13AE"/>
    <w:rsid w:val="003E5F12"/>
    <w:rsid w:val="003E7D2E"/>
    <w:rsid w:val="003F23BD"/>
    <w:rsid w:val="003F2B04"/>
    <w:rsid w:val="003F4743"/>
    <w:rsid w:val="00406050"/>
    <w:rsid w:val="00417ADA"/>
    <w:rsid w:val="004228DC"/>
    <w:rsid w:val="00426098"/>
    <w:rsid w:val="00427F71"/>
    <w:rsid w:val="00433F9C"/>
    <w:rsid w:val="004475CC"/>
    <w:rsid w:val="00455377"/>
    <w:rsid w:val="00462414"/>
    <w:rsid w:val="00467C83"/>
    <w:rsid w:val="00470E1D"/>
    <w:rsid w:val="00485817"/>
    <w:rsid w:val="00497133"/>
    <w:rsid w:val="004A33B2"/>
    <w:rsid w:val="004B09DC"/>
    <w:rsid w:val="004B7654"/>
    <w:rsid w:val="004C59D0"/>
    <w:rsid w:val="004D1FFE"/>
    <w:rsid w:val="004D252C"/>
    <w:rsid w:val="004E53B0"/>
    <w:rsid w:val="00505313"/>
    <w:rsid w:val="005205A0"/>
    <w:rsid w:val="00521DEB"/>
    <w:rsid w:val="0052268A"/>
    <w:rsid w:val="00545823"/>
    <w:rsid w:val="00545B89"/>
    <w:rsid w:val="005466AB"/>
    <w:rsid w:val="005502EC"/>
    <w:rsid w:val="00551EC5"/>
    <w:rsid w:val="005526C5"/>
    <w:rsid w:val="0055692F"/>
    <w:rsid w:val="0056004D"/>
    <w:rsid w:val="005774E1"/>
    <w:rsid w:val="00595E3E"/>
    <w:rsid w:val="005A7FB3"/>
    <w:rsid w:val="005B036C"/>
    <w:rsid w:val="005B189E"/>
    <w:rsid w:val="005B43BC"/>
    <w:rsid w:val="005D0BD4"/>
    <w:rsid w:val="005D141C"/>
    <w:rsid w:val="005D3DF3"/>
    <w:rsid w:val="005D46EB"/>
    <w:rsid w:val="005F127E"/>
    <w:rsid w:val="00606D00"/>
    <w:rsid w:val="00607E8F"/>
    <w:rsid w:val="006129EE"/>
    <w:rsid w:val="006241B9"/>
    <w:rsid w:val="00626E3C"/>
    <w:rsid w:val="00630F6B"/>
    <w:rsid w:val="006448E9"/>
    <w:rsid w:val="00650687"/>
    <w:rsid w:val="006542EB"/>
    <w:rsid w:val="00654602"/>
    <w:rsid w:val="00667BE7"/>
    <w:rsid w:val="00671337"/>
    <w:rsid w:val="006719DE"/>
    <w:rsid w:val="00671E3B"/>
    <w:rsid w:val="00693EFB"/>
    <w:rsid w:val="0069638C"/>
    <w:rsid w:val="006976AB"/>
    <w:rsid w:val="006A447A"/>
    <w:rsid w:val="006A56B7"/>
    <w:rsid w:val="006B6109"/>
    <w:rsid w:val="006C72E3"/>
    <w:rsid w:val="006D3D04"/>
    <w:rsid w:val="006D4936"/>
    <w:rsid w:val="006E22DA"/>
    <w:rsid w:val="006E2371"/>
    <w:rsid w:val="006F0590"/>
    <w:rsid w:val="006F57FA"/>
    <w:rsid w:val="00703206"/>
    <w:rsid w:val="00713013"/>
    <w:rsid w:val="007611F8"/>
    <w:rsid w:val="007625B8"/>
    <w:rsid w:val="00771FD2"/>
    <w:rsid w:val="0077588C"/>
    <w:rsid w:val="00781282"/>
    <w:rsid w:val="007A3C78"/>
    <w:rsid w:val="007A57F8"/>
    <w:rsid w:val="007B29A8"/>
    <w:rsid w:val="007B568C"/>
    <w:rsid w:val="007B74DD"/>
    <w:rsid w:val="007D53F4"/>
    <w:rsid w:val="007E0FC2"/>
    <w:rsid w:val="007F36D9"/>
    <w:rsid w:val="007F4B96"/>
    <w:rsid w:val="007F6EB7"/>
    <w:rsid w:val="00804193"/>
    <w:rsid w:val="00813370"/>
    <w:rsid w:val="00824987"/>
    <w:rsid w:val="00827F4E"/>
    <w:rsid w:val="00836703"/>
    <w:rsid w:val="008537FB"/>
    <w:rsid w:val="00864BA8"/>
    <w:rsid w:val="00877C03"/>
    <w:rsid w:val="008830C9"/>
    <w:rsid w:val="00890BAF"/>
    <w:rsid w:val="00890F01"/>
    <w:rsid w:val="008941FD"/>
    <w:rsid w:val="00894F5E"/>
    <w:rsid w:val="008A0749"/>
    <w:rsid w:val="008A17F0"/>
    <w:rsid w:val="008A4304"/>
    <w:rsid w:val="008B1BDA"/>
    <w:rsid w:val="008B1E90"/>
    <w:rsid w:val="008B2569"/>
    <w:rsid w:val="008C4A8B"/>
    <w:rsid w:val="008D63B0"/>
    <w:rsid w:val="008F1546"/>
    <w:rsid w:val="008F48DC"/>
    <w:rsid w:val="008F4C16"/>
    <w:rsid w:val="009013CB"/>
    <w:rsid w:val="00902BC0"/>
    <w:rsid w:val="00904003"/>
    <w:rsid w:val="009053E8"/>
    <w:rsid w:val="00910F11"/>
    <w:rsid w:val="00917506"/>
    <w:rsid w:val="009433C8"/>
    <w:rsid w:val="009561F9"/>
    <w:rsid w:val="009612E5"/>
    <w:rsid w:val="0096161C"/>
    <w:rsid w:val="009625C5"/>
    <w:rsid w:val="009703FA"/>
    <w:rsid w:val="009902B9"/>
    <w:rsid w:val="009952C4"/>
    <w:rsid w:val="009B1264"/>
    <w:rsid w:val="009B1C1E"/>
    <w:rsid w:val="009B4F76"/>
    <w:rsid w:val="009C50AA"/>
    <w:rsid w:val="009D6F18"/>
    <w:rsid w:val="009E3B61"/>
    <w:rsid w:val="009F7997"/>
    <w:rsid w:val="00A04EAA"/>
    <w:rsid w:val="00A12E40"/>
    <w:rsid w:val="00A346A4"/>
    <w:rsid w:val="00A34E9C"/>
    <w:rsid w:val="00A34ED4"/>
    <w:rsid w:val="00A3717D"/>
    <w:rsid w:val="00A41F08"/>
    <w:rsid w:val="00A474C6"/>
    <w:rsid w:val="00A63100"/>
    <w:rsid w:val="00A668C3"/>
    <w:rsid w:val="00A70091"/>
    <w:rsid w:val="00A7292A"/>
    <w:rsid w:val="00AA0805"/>
    <w:rsid w:val="00AB182F"/>
    <w:rsid w:val="00AD1E52"/>
    <w:rsid w:val="00AF37DB"/>
    <w:rsid w:val="00AF7466"/>
    <w:rsid w:val="00B0525D"/>
    <w:rsid w:val="00B123A2"/>
    <w:rsid w:val="00B150D6"/>
    <w:rsid w:val="00B16AA7"/>
    <w:rsid w:val="00B24B79"/>
    <w:rsid w:val="00B25061"/>
    <w:rsid w:val="00B31C7D"/>
    <w:rsid w:val="00B32BE9"/>
    <w:rsid w:val="00B37B0F"/>
    <w:rsid w:val="00B72647"/>
    <w:rsid w:val="00B76969"/>
    <w:rsid w:val="00B80098"/>
    <w:rsid w:val="00BF3BF4"/>
    <w:rsid w:val="00BF7DBF"/>
    <w:rsid w:val="00C22089"/>
    <w:rsid w:val="00C41A82"/>
    <w:rsid w:val="00C42E67"/>
    <w:rsid w:val="00C47C8D"/>
    <w:rsid w:val="00C5316F"/>
    <w:rsid w:val="00C5522F"/>
    <w:rsid w:val="00C661DD"/>
    <w:rsid w:val="00C66A6D"/>
    <w:rsid w:val="00C72181"/>
    <w:rsid w:val="00C95170"/>
    <w:rsid w:val="00CC62E0"/>
    <w:rsid w:val="00CD6B02"/>
    <w:rsid w:val="00CD73B6"/>
    <w:rsid w:val="00CE4626"/>
    <w:rsid w:val="00CF242F"/>
    <w:rsid w:val="00CF6201"/>
    <w:rsid w:val="00D02B61"/>
    <w:rsid w:val="00D1070E"/>
    <w:rsid w:val="00D21E56"/>
    <w:rsid w:val="00D237E1"/>
    <w:rsid w:val="00D23E66"/>
    <w:rsid w:val="00D3066D"/>
    <w:rsid w:val="00D36EAF"/>
    <w:rsid w:val="00D402EF"/>
    <w:rsid w:val="00D47AF4"/>
    <w:rsid w:val="00D53336"/>
    <w:rsid w:val="00D54D9B"/>
    <w:rsid w:val="00D563A7"/>
    <w:rsid w:val="00D77013"/>
    <w:rsid w:val="00D917A0"/>
    <w:rsid w:val="00D92149"/>
    <w:rsid w:val="00D96413"/>
    <w:rsid w:val="00DA1535"/>
    <w:rsid w:val="00DB054E"/>
    <w:rsid w:val="00DB25B6"/>
    <w:rsid w:val="00DB6DF4"/>
    <w:rsid w:val="00DC3C97"/>
    <w:rsid w:val="00DC3C9B"/>
    <w:rsid w:val="00DD6E99"/>
    <w:rsid w:val="00DE4097"/>
    <w:rsid w:val="00DF71BD"/>
    <w:rsid w:val="00E05F3E"/>
    <w:rsid w:val="00E1621E"/>
    <w:rsid w:val="00E21D77"/>
    <w:rsid w:val="00E2266B"/>
    <w:rsid w:val="00E226F4"/>
    <w:rsid w:val="00E51D31"/>
    <w:rsid w:val="00E52B66"/>
    <w:rsid w:val="00E60347"/>
    <w:rsid w:val="00E65A2F"/>
    <w:rsid w:val="00E7565D"/>
    <w:rsid w:val="00E958D8"/>
    <w:rsid w:val="00EA33BA"/>
    <w:rsid w:val="00EA5061"/>
    <w:rsid w:val="00EB189C"/>
    <w:rsid w:val="00ED7E9B"/>
    <w:rsid w:val="00EF185F"/>
    <w:rsid w:val="00EF4EDA"/>
    <w:rsid w:val="00EF5AD6"/>
    <w:rsid w:val="00EF7D69"/>
    <w:rsid w:val="00F04A61"/>
    <w:rsid w:val="00F2110F"/>
    <w:rsid w:val="00F227A6"/>
    <w:rsid w:val="00F2444A"/>
    <w:rsid w:val="00F359FC"/>
    <w:rsid w:val="00F41980"/>
    <w:rsid w:val="00F448C3"/>
    <w:rsid w:val="00F44B32"/>
    <w:rsid w:val="00F507AF"/>
    <w:rsid w:val="00F5580E"/>
    <w:rsid w:val="00F72689"/>
    <w:rsid w:val="00F85731"/>
    <w:rsid w:val="00F93C80"/>
    <w:rsid w:val="00F94F34"/>
    <w:rsid w:val="00F967AC"/>
    <w:rsid w:val="00FA7371"/>
    <w:rsid w:val="00FB07A4"/>
    <w:rsid w:val="00FB2D43"/>
    <w:rsid w:val="00FC58A1"/>
    <w:rsid w:val="00FC7AAD"/>
    <w:rsid w:val="00FD0B91"/>
    <w:rsid w:val="00FD497A"/>
    <w:rsid w:val="00FE11AD"/>
    <w:rsid w:val="00FE2B5A"/>
    <w:rsid w:val="00FE493B"/>
    <w:rsid w:val="00FE7D24"/>
    <w:rsid w:val="00FF0792"/>
    <w:rsid w:val="00FF707A"/>
    <w:rsid w:val="00FF7741"/>
    <w:rsid w:val="4B875B13"/>
    <w:rsid w:val="4C7D19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autoRedefine/>
    <w:qFormat/>
    <w:uiPriority w:val="0"/>
    <w:pPr>
      <w:keepNext/>
      <w:keepLines/>
      <w:adjustRightInd w:val="0"/>
      <w:snapToGrid w:val="0"/>
      <w:spacing w:before="312" w:beforeLines="100" w:line="360" w:lineRule="auto"/>
      <w:ind w:left="432" w:hanging="432"/>
      <w:jc w:val="center"/>
      <w:outlineLvl w:val="0"/>
    </w:pPr>
    <w:rPr>
      <w:rFonts w:ascii="黑体" w:hAnsi="宋体" w:eastAsia="黑体" w:cs="Times New Roman"/>
      <w:bCs/>
      <w:kern w:val="44"/>
      <w:sz w:val="32"/>
      <w:szCs w:val="32"/>
    </w:rPr>
  </w:style>
  <w:style w:type="paragraph" w:styleId="3">
    <w:name w:val="heading 2"/>
    <w:basedOn w:val="1"/>
    <w:next w:val="1"/>
    <w:link w:val="27"/>
    <w:autoRedefine/>
    <w:qFormat/>
    <w:uiPriority w:val="0"/>
    <w:pPr>
      <w:keepNext/>
      <w:keepLines/>
      <w:numPr>
        <w:ilvl w:val="1"/>
        <w:numId w:val="1"/>
      </w:numPr>
      <w:adjustRightInd w:val="0"/>
      <w:snapToGrid w:val="0"/>
      <w:spacing w:before="156" w:beforeLines="50" w:line="360" w:lineRule="auto"/>
      <w:outlineLvl w:val="1"/>
    </w:pPr>
    <w:rPr>
      <w:rFonts w:ascii="黑体" w:hAnsi="Arial" w:eastAsia="黑体" w:cs="Times New Roman"/>
      <w:b/>
      <w:bCs/>
      <w:sz w:val="30"/>
      <w:szCs w:val="30"/>
    </w:rPr>
  </w:style>
  <w:style w:type="paragraph" w:styleId="4">
    <w:name w:val="heading 3"/>
    <w:basedOn w:val="1"/>
    <w:next w:val="1"/>
    <w:link w:val="28"/>
    <w:qFormat/>
    <w:uiPriority w:val="0"/>
    <w:pPr>
      <w:keepNext/>
      <w:keepLines/>
      <w:numPr>
        <w:ilvl w:val="2"/>
        <w:numId w:val="1"/>
      </w:numPr>
      <w:spacing w:before="20" w:after="20" w:line="360" w:lineRule="auto"/>
      <w:jc w:val="left"/>
      <w:outlineLvl w:val="2"/>
    </w:pPr>
    <w:rPr>
      <w:rFonts w:ascii="黑体" w:hAnsi="宋体" w:eastAsia="黑体" w:cs="Times New Roman"/>
      <w:b/>
      <w:bCs/>
      <w:sz w:val="28"/>
      <w:szCs w:val="28"/>
    </w:rPr>
  </w:style>
  <w:style w:type="paragraph" w:styleId="5">
    <w:name w:val="heading 4"/>
    <w:basedOn w:val="1"/>
    <w:next w:val="1"/>
    <w:link w:val="29"/>
    <w:qFormat/>
    <w:uiPriority w:val="0"/>
    <w:pPr>
      <w:keepNext/>
      <w:keepLines/>
      <w:numPr>
        <w:ilvl w:val="3"/>
        <w:numId w:val="1"/>
      </w:numPr>
      <w:spacing w:before="160" w:after="170" w:line="360" w:lineRule="auto"/>
      <w:jc w:val="left"/>
      <w:outlineLvl w:val="3"/>
    </w:pPr>
    <w:rPr>
      <w:rFonts w:ascii="黑体" w:hAnsi="Arial" w:eastAsia="黑体" w:cs="Times New Roman"/>
      <w:b/>
      <w:bCs/>
      <w:sz w:val="24"/>
      <w:szCs w:val="24"/>
    </w:rPr>
  </w:style>
  <w:style w:type="paragraph" w:styleId="6">
    <w:name w:val="heading 5"/>
    <w:basedOn w:val="1"/>
    <w:next w:val="1"/>
    <w:link w:val="30"/>
    <w:qFormat/>
    <w:uiPriority w:val="0"/>
    <w:pPr>
      <w:keepNext/>
      <w:keepLines/>
      <w:numPr>
        <w:ilvl w:val="4"/>
        <w:numId w:val="1"/>
      </w:numPr>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31"/>
    <w:qFormat/>
    <w:uiPriority w:val="0"/>
    <w:pPr>
      <w:keepNext/>
      <w:keepLines/>
      <w:numPr>
        <w:ilvl w:val="5"/>
        <w:numId w:val="1"/>
      </w:numPr>
      <w:spacing w:before="240" w:after="64" w:line="320" w:lineRule="auto"/>
      <w:outlineLvl w:val="5"/>
    </w:pPr>
    <w:rPr>
      <w:rFonts w:ascii="Arial" w:hAnsi="Arial" w:eastAsia="黑体" w:cs="Times New Roman"/>
      <w:b/>
      <w:bCs/>
      <w:sz w:val="24"/>
      <w:szCs w:val="24"/>
    </w:rPr>
  </w:style>
  <w:style w:type="paragraph" w:styleId="8">
    <w:name w:val="heading 7"/>
    <w:basedOn w:val="1"/>
    <w:next w:val="1"/>
    <w:link w:val="32"/>
    <w:qFormat/>
    <w:uiPriority w:val="0"/>
    <w:pPr>
      <w:keepNext/>
      <w:keepLines/>
      <w:numPr>
        <w:ilvl w:val="6"/>
        <w:numId w:val="1"/>
      </w:numPr>
      <w:spacing w:before="240" w:after="64" w:line="320" w:lineRule="auto"/>
      <w:outlineLvl w:val="6"/>
    </w:pPr>
    <w:rPr>
      <w:rFonts w:ascii="Times New Roman" w:hAnsi="Times New Roman" w:eastAsia="宋体" w:cs="Times New Roman"/>
      <w:b/>
      <w:bCs/>
      <w:sz w:val="24"/>
      <w:szCs w:val="24"/>
    </w:rPr>
  </w:style>
  <w:style w:type="paragraph" w:styleId="9">
    <w:name w:val="heading 8"/>
    <w:basedOn w:val="1"/>
    <w:next w:val="1"/>
    <w:link w:val="33"/>
    <w:qFormat/>
    <w:uiPriority w:val="0"/>
    <w:pPr>
      <w:keepNext/>
      <w:keepLines/>
      <w:numPr>
        <w:ilvl w:val="7"/>
        <w:numId w:val="1"/>
      </w:numPr>
      <w:spacing w:before="240" w:after="64" w:line="320" w:lineRule="auto"/>
      <w:outlineLvl w:val="7"/>
    </w:pPr>
    <w:rPr>
      <w:rFonts w:ascii="Arial" w:hAnsi="Arial" w:eastAsia="黑体" w:cs="Times New Roman"/>
      <w:sz w:val="24"/>
      <w:szCs w:val="24"/>
    </w:rPr>
  </w:style>
  <w:style w:type="paragraph" w:styleId="10">
    <w:name w:val="heading 9"/>
    <w:basedOn w:val="1"/>
    <w:next w:val="1"/>
    <w:link w:val="34"/>
    <w:qFormat/>
    <w:uiPriority w:val="0"/>
    <w:pPr>
      <w:keepNext/>
      <w:keepLines/>
      <w:numPr>
        <w:ilvl w:val="8"/>
        <w:numId w:val="1"/>
      </w:numPr>
      <w:spacing w:before="240" w:after="64" w:line="320" w:lineRule="auto"/>
      <w:outlineLvl w:val="8"/>
    </w:pPr>
    <w:rPr>
      <w:rFonts w:ascii="Arial" w:hAnsi="Arial" w:eastAsia="黑体" w:cs="Times New Roman"/>
      <w:szCs w:val="21"/>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semiHidden/>
    <w:unhideWhenUsed/>
    <w:qFormat/>
    <w:uiPriority w:val="99"/>
    <w:pPr>
      <w:ind w:firstLine="420" w:firstLineChars="200"/>
    </w:pPr>
  </w:style>
  <w:style w:type="paragraph" w:styleId="12">
    <w:name w:val="Document Map"/>
    <w:basedOn w:val="1"/>
    <w:link w:val="43"/>
    <w:semiHidden/>
    <w:unhideWhenUsed/>
    <w:qFormat/>
    <w:uiPriority w:val="99"/>
    <w:rPr>
      <w:rFonts w:ascii="宋体" w:eastAsia="宋体"/>
      <w:sz w:val="18"/>
      <w:szCs w:val="18"/>
    </w:rPr>
  </w:style>
  <w:style w:type="paragraph" w:styleId="13">
    <w:name w:val="annotation text"/>
    <w:basedOn w:val="1"/>
    <w:link w:val="46"/>
    <w:semiHidden/>
    <w:unhideWhenUsed/>
    <w:qFormat/>
    <w:uiPriority w:val="99"/>
    <w:pPr>
      <w:jc w:val="left"/>
    </w:pPr>
  </w:style>
  <w:style w:type="paragraph" w:styleId="14">
    <w:name w:val="Body Text"/>
    <w:basedOn w:val="1"/>
    <w:link w:val="48"/>
    <w:semiHidden/>
    <w:unhideWhenUsed/>
    <w:qFormat/>
    <w:uiPriority w:val="99"/>
    <w:pPr>
      <w:spacing w:after="120"/>
    </w:pPr>
  </w:style>
  <w:style w:type="paragraph" w:styleId="15">
    <w:name w:val="Balloon Text"/>
    <w:basedOn w:val="1"/>
    <w:link w:val="45"/>
    <w:semiHidden/>
    <w:unhideWhenUsed/>
    <w:qFormat/>
    <w:uiPriority w:val="99"/>
    <w:rPr>
      <w:sz w:val="18"/>
      <w:szCs w:val="18"/>
    </w:rPr>
  </w:style>
  <w:style w:type="paragraph" w:styleId="16">
    <w:name w:val="footer"/>
    <w:basedOn w:val="1"/>
    <w:link w:val="44"/>
    <w:unhideWhenUsed/>
    <w:qFormat/>
    <w:uiPriority w:val="99"/>
    <w:pPr>
      <w:tabs>
        <w:tab w:val="center" w:pos="4153"/>
        <w:tab w:val="right" w:pos="8306"/>
      </w:tabs>
      <w:snapToGrid w:val="0"/>
      <w:jc w:val="left"/>
    </w:pPr>
    <w:rPr>
      <w:sz w:val="18"/>
      <w:szCs w:val="18"/>
    </w:rPr>
  </w:style>
  <w:style w:type="paragraph" w:styleId="17">
    <w:name w:val="header"/>
    <w:basedOn w:val="1"/>
    <w:link w:val="35"/>
    <w:qFormat/>
    <w:uiPriority w:val="0"/>
    <w:pPr>
      <w:pBdr>
        <w:bottom w:val="thickThinSmallGap" w:color="auto" w:sz="18" w:space="1"/>
      </w:pBdr>
      <w:tabs>
        <w:tab w:val="center" w:pos="4153"/>
        <w:tab w:val="right" w:pos="8306"/>
      </w:tabs>
      <w:snapToGrid w:val="0"/>
      <w:jc w:val="center"/>
    </w:pPr>
    <w:rPr>
      <w:rFonts w:ascii="Times New Roman" w:hAnsi="Times New Roman" w:eastAsia="宋体" w:cs="Times New Roman"/>
      <w:sz w:val="18"/>
      <w:szCs w:val="18"/>
    </w:rPr>
  </w:style>
  <w:style w:type="paragraph" w:styleId="18">
    <w:name w:val="annotation subject"/>
    <w:basedOn w:val="13"/>
    <w:next w:val="13"/>
    <w:link w:val="47"/>
    <w:semiHidden/>
    <w:unhideWhenUsed/>
    <w:qFormat/>
    <w:uiPriority w:val="99"/>
    <w:rPr>
      <w:b/>
      <w:bCs/>
    </w:rPr>
  </w:style>
  <w:style w:type="paragraph" w:styleId="19">
    <w:name w:val="Body Text First Indent"/>
    <w:basedOn w:val="1"/>
    <w:link w:val="50"/>
    <w:autoRedefine/>
    <w:qFormat/>
    <w:uiPriority w:val="0"/>
    <w:pPr>
      <w:adjustRightInd w:val="0"/>
      <w:snapToGrid w:val="0"/>
      <w:spacing w:line="360" w:lineRule="auto"/>
      <w:ind w:firstLine="480" w:firstLineChars="200"/>
    </w:pPr>
    <w:rPr>
      <w:rFonts w:ascii="宋体" w:hAnsi="宋体" w:eastAsia="宋体" w:cs="宋体"/>
      <w:color w:val="000000"/>
      <w:kern w:val="0"/>
      <w:sz w:val="24"/>
      <w:szCs w:val="21"/>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2"/>
    <w:unhideWhenUsed/>
    <w:qFormat/>
    <w:uiPriority w:val="99"/>
    <w:rPr>
      <w:color w:val="0000FF" w:themeColor="hyperlink"/>
      <w:u w:val="single"/>
      <w14:textFill>
        <w14:solidFill>
          <w14:schemeClr w14:val="hlink"/>
        </w14:solidFill>
      </w14:textFill>
    </w:rPr>
  </w:style>
  <w:style w:type="character" w:styleId="25">
    <w:name w:val="annotation reference"/>
    <w:basedOn w:val="22"/>
    <w:semiHidden/>
    <w:unhideWhenUsed/>
    <w:qFormat/>
    <w:uiPriority w:val="99"/>
    <w:rPr>
      <w:sz w:val="21"/>
      <w:szCs w:val="21"/>
    </w:rPr>
  </w:style>
  <w:style w:type="character" w:customStyle="1" w:styleId="26">
    <w:name w:val="标题 1 字符"/>
    <w:basedOn w:val="22"/>
    <w:link w:val="2"/>
    <w:qFormat/>
    <w:uiPriority w:val="0"/>
    <w:rPr>
      <w:rFonts w:ascii="黑体" w:hAnsi="宋体" w:eastAsia="黑体" w:cs="Times New Roman"/>
      <w:bCs/>
      <w:kern w:val="44"/>
      <w:sz w:val="32"/>
      <w:szCs w:val="32"/>
    </w:rPr>
  </w:style>
  <w:style w:type="character" w:customStyle="1" w:styleId="27">
    <w:name w:val="标题 2 字符"/>
    <w:basedOn w:val="22"/>
    <w:link w:val="3"/>
    <w:uiPriority w:val="0"/>
    <w:rPr>
      <w:rFonts w:ascii="黑体" w:hAnsi="Arial" w:eastAsia="黑体" w:cs="Times New Roman"/>
      <w:b/>
      <w:bCs/>
      <w:sz w:val="30"/>
      <w:szCs w:val="30"/>
    </w:rPr>
  </w:style>
  <w:style w:type="character" w:customStyle="1" w:styleId="28">
    <w:name w:val="标题 3 字符"/>
    <w:basedOn w:val="22"/>
    <w:link w:val="4"/>
    <w:qFormat/>
    <w:uiPriority w:val="0"/>
    <w:rPr>
      <w:rFonts w:ascii="黑体" w:hAnsi="宋体" w:eastAsia="黑体" w:cs="Times New Roman"/>
      <w:b/>
      <w:bCs/>
      <w:sz w:val="28"/>
      <w:szCs w:val="28"/>
    </w:rPr>
  </w:style>
  <w:style w:type="character" w:customStyle="1" w:styleId="29">
    <w:name w:val="标题 4 字符"/>
    <w:basedOn w:val="22"/>
    <w:link w:val="5"/>
    <w:qFormat/>
    <w:uiPriority w:val="0"/>
    <w:rPr>
      <w:rFonts w:ascii="黑体" w:hAnsi="Arial" w:eastAsia="黑体" w:cs="Times New Roman"/>
      <w:b/>
      <w:bCs/>
      <w:sz w:val="24"/>
      <w:szCs w:val="24"/>
    </w:rPr>
  </w:style>
  <w:style w:type="character" w:customStyle="1" w:styleId="30">
    <w:name w:val="标题 5 字符"/>
    <w:basedOn w:val="22"/>
    <w:link w:val="6"/>
    <w:qFormat/>
    <w:uiPriority w:val="0"/>
    <w:rPr>
      <w:rFonts w:ascii="Times New Roman" w:hAnsi="Times New Roman" w:eastAsia="宋体" w:cs="Times New Roman"/>
      <w:b/>
      <w:bCs/>
      <w:sz w:val="28"/>
      <w:szCs w:val="28"/>
    </w:rPr>
  </w:style>
  <w:style w:type="character" w:customStyle="1" w:styleId="31">
    <w:name w:val="标题 6 字符"/>
    <w:basedOn w:val="22"/>
    <w:link w:val="7"/>
    <w:qFormat/>
    <w:uiPriority w:val="0"/>
    <w:rPr>
      <w:rFonts w:ascii="Arial" w:hAnsi="Arial" w:eastAsia="黑体" w:cs="Times New Roman"/>
      <w:b/>
      <w:bCs/>
      <w:sz w:val="24"/>
      <w:szCs w:val="24"/>
    </w:rPr>
  </w:style>
  <w:style w:type="character" w:customStyle="1" w:styleId="32">
    <w:name w:val="标题 7 字符"/>
    <w:basedOn w:val="22"/>
    <w:link w:val="8"/>
    <w:qFormat/>
    <w:uiPriority w:val="0"/>
    <w:rPr>
      <w:rFonts w:ascii="Times New Roman" w:hAnsi="Times New Roman" w:eastAsia="宋体" w:cs="Times New Roman"/>
      <w:b/>
      <w:bCs/>
      <w:sz w:val="24"/>
      <w:szCs w:val="24"/>
    </w:rPr>
  </w:style>
  <w:style w:type="character" w:customStyle="1" w:styleId="33">
    <w:name w:val="标题 8 字符"/>
    <w:basedOn w:val="22"/>
    <w:link w:val="9"/>
    <w:qFormat/>
    <w:uiPriority w:val="0"/>
    <w:rPr>
      <w:rFonts w:ascii="Arial" w:hAnsi="Arial" w:eastAsia="黑体" w:cs="Times New Roman"/>
      <w:sz w:val="24"/>
      <w:szCs w:val="24"/>
    </w:rPr>
  </w:style>
  <w:style w:type="character" w:customStyle="1" w:styleId="34">
    <w:name w:val="标题 9 字符"/>
    <w:basedOn w:val="22"/>
    <w:link w:val="10"/>
    <w:qFormat/>
    <w:uiPriority w:val="0"/>
    <w:rPr>
      <w:rFonts w:ascii="Arial" w:hAnsi="Arial" w:eastAsia="黑体" w:cs="Times New Roman"/>
      <w:szCs w:val="21"/>
    </w:rPr>
  </w:style>
  <w:style w:type="character" w:customStyle="1" w:styleId="35">
    <w:name w:val="页眉 字符"/>
    <w:basedOn w:val="22"/>
    <w:link w:val="17"/>
    <w:qFormat/>
    <w:uiPriority w:val="0"/>
    <w:rPr>
      <w:rFonts w:ascii="Times New Roman" w:hAnsi="Times New Roman" w:eastAsia="宋体" w:cs="Times New Roman"/>
      <w:sz w:val="18"/>
      <w:szCs w:val="18"/>
    </w:rPr>
  </w:style>
  <w:style w:type="paragraph" w:customStyle="1" w:styleId="36">
    <w:name w:val="正文格式"/>
    <w:basedOn w:val="1"/>
    <w:link w:val="40"/>
    <w:qFormat/>
    <w:uiPriority w:val="0"/>
    <w:pPr>
      <w:spacing w:line="360" w:lineRule="auto"/>
      <w:ind w:firstLine="482"/>
    </w:pPr>
    <w:rPr>
      <w:rFonts w:ascii="宋体" w:hAnsi="宋体" w:eastAsia="宋体" w:cs="Times New Roman"/>
      <w:sz w:val="24"/>
      <w:szCs w:val="24"/>
    </w:rPr>
  </w:style>
  <w:style w:type="paragraph" w:customStyle="1" w:styleId="37">
    <w:name w:val="图题"/>
    <w:basedOn w:val="36"/>
    <w:next w:val="36"/>
    <w:qFormat/>
    <w:uiPriority w:val="0"/>
    <w:pPr>
      <w:ind w:firstLine="0"/>
      <w:jc w:val="center"/>
    </w:pPr>
    <w:rPr>
      <w:rFonts w:ascii="黑体" w:eastAsia="黑体" w:cs="宋体"/>
      <w:b/>
      <w:bCs/>
    </w:rPr>
  </w:style>
  <w:style w:type="paragraph" w:customStyle="1" w:styleId="38">
    <w:name w:val="表格内字体"/>
    <w:basedOn w:val="36"/>
    <w:next w:val="36"/>
    <w:link w:val="39"/>
    <w:autoRedefine/>
    <w:qFormat/>
    <w:uiPriority w:val="0"/>
    <w:pPr>
      <w:spacing w:line="240" w:lineRule="auto"/>
      <w:ind w:firstLine="0"/>
      <w:jc w:val="center"/>
    </w:pPr>
    <w:rPr>
      <w:sz w:val="21"/>
    </w:rPr>
  </w:style>
  <w:style w:type="character" w:customStyle="1" w:styleId="39">
    <w:name w:val="表格内字体 Char"/>
    <w:basedOn w:val="22"/>
    <w:link w:val="38"/>
    <w:qFormat/>
    <w:uiPriority w:val="0"/>
    <w:rPr>
      <w:rFonts w:ascii="宋体" w:hAnsi="宋体" w:eastAsia="宋体" w:cs="Times New Roman"/>
      <w:szCs w:val="24"/>
    </w:rPr>
  </w:style>
  <w:style w:type="character" w:customStyle="1" w:styleId="40">
    <w:name w:val="正文格式 Char"/>
    <w:basedOn w:val="22"/>
    <w:link w:val="36"/>
    <w:qFormat/>
    <w:uiPriority w:val="0"/>
    <w:rPr>
      <w:rFonts w:ascii="宋体" w:hAnsi="宋体" w:eastAsia="宋体" w:cs="Times New Roman"/>
      <w:sz w:val="24"/>
      <w:szCs w:val="24"/>
    </w:rPr>
  </w:style>
  <w:style w:type="paragraph" w:customStyle="1" w:styleId="41">
    <w:name w:val="图表题"/>
    <w:basedOn w:val="36"/>
    <w:next w:val="36"/>
    <w:link w:val="42"/>
    <w:qFormat/>
    <w:uiPriority w:val="0"/>
    <w:pPr>
      <w:ind w:firstLine="0"/>
      <w:jc w:val="center"/>
    </w:pPr>
    <w:rPr>
      <w:rFonts w:ascii="黑体" w:eastAsia="黑体" w:cs="宋体"/>
      <w:b/>
      <w:bCs/>
    </w:rPr>
  </w:style>
  <w:style w:type="character" w:customStyle="1" w:styleId="42">
    <w:name w:val="图表题 Char"/>
    <w:basedOn w:val="40"/>
    <w:link w:val="41"/>
    <w:qFormat/>
    <w:uiPriority w:val="0"/>
    <w:rPr>
      <w:rFonts w:ascii="黑体" w:hAnsi="宋体" w:eastAsia="黑体" w:cs="宋体"/>
      <w:b/>
      <w:bCs/>
      <w:sz w:val="24"/>
      <w:szCs w:val="24"/>
    </w:rPr>
  </w:style>
  <w:style w:type="character" w:customStyle="1" w:styleId="43">
    <w:name w:val="文档结构图 字符"/>
    <w:basedOn w:val="22"/>
    <w:link w:val="12"/>
    <w:semiHidden/>
    <w:qFormat/>
    <w:uiPriority w:val="99"/>
    <w:rPr>
      <w:rFonts w:ascii="宋体" w:eastAsia="宋体"/>
      <w:sz w:val="18"/>
      <w:szCs w:val="18"/>
    </w:rPr>
  </w:style>
  <w:style w:type="character" w:customStyle="1" w:styleId="44">
    <w:name w:val="页脚 字符"/>
    <w:basedOn w:val="22"/>
    <w:link w:val="16"/>
    <w:qFormat/>
    <w:uiPriority w:val="99"/>
    <w:rPr>
      <w:sz w:val="18"/>
      <w:szCs w:val="18"/>
    </w:rPr>
  </w:style>
  <w:style w:type="character" w:customStyle="1" w:styleId="45">
    <w:name w:val="批注框文本 字符"/>
    <w:basedOn w:val="22"/>
    <w:link w:val="15"/>
    <w:semiHidden/>
    <w:qFormat/>
    <w:uiPriority w:val="99"/>
    <w:rPr>
      <w:sz w:val="18"/>
      <w:szCs w:val="18"/>
    </w:rPr>
  </w:style>
  <w:style w:type="character" w:customStyle="1" w:styleId="46">
    <w:name w:val="批注文字 字符"/>
    <w:basedOn w:val="22"/>
    <w:link w:val="13"/>
    <w:semiHidden/>
    <w:qFormat/>
    <w:uiPriority w:val="99"/>
  </w:style>
  <w:style w:type="character" w:customStyle="1" w:styleId="47">
    <w:name w:val="批注主题 字符"/>
    <w:basedOn w:val="46"/>
    <w:link w:val="18"/>
    <w:semiHidden/>
    <w:qFormat/>
    <w:uiPriority w:val="99"/>
    <w:rPr>
      <w:b/>
      <w:bCs/>
    </w:rPr>
  </w:style>
  <w:style w:type="character" w:customStyle="1" w:styleId="48">
    <w:name w:val="正文文本 字符"/>
    <w:basedOn w:val="22"/>
    <w:link w:val="14"/>
    <w:semiHidden/>
    <w:qFormat/>
    <w:uiPriority w:val="99"/>
  </w:style>
  <w:style w:type="character" w:customStyle="1" w:styleId="49">
    <w:name w:val="正文首行缩进 Char"/>
    <w:basedOn w:val="48"/>
    <w:semiHidden/>
    <w:qFormat/>
    <w:uiPriority w:val="99"/>
  </w:style>
  <w:style w:type="character" w:customStyle="1" w:styleId="50">
    <w:name w:val="正文文本首行缩进 字符"/>
    <w:basedOn w:val="22"/>
    <w:link w:val="19"/>
    <w:qFormat/>
    <w:uiPriority w:val="0"/>
    <w:rPr>
      <w:rFonts w:ascii="宋体" w:hAnsi="宋体" w:eastAsia="宋体" w:cs="宋体"/>
      <w:color w:val="000000"/>
      <w:kern w:val="0"/>
      <w:sz w:val="24"/>
      <w:szCs w:val="21"/>
    </w:rPr>
  </w:style>
  <w:style w:type="paragraph" w:customStyle="1" w:styleId="51">
    <w:name w:val="【图题】"/>
    <w:next w:val="19"/>
    <w:qFormat/>
    <w:uiPriority w:val="0"/>
    <w:pPr>
      <w:jc w:val="center"/>
    </w:pPr>
    <w:rPr>
      <w:rFonts w:ascii="Times New Roman" w:hAnsi="Times New Roman" w:eastAsia="黑体" w:cs="宋体"/>
      <w:kern w:val="0"/>
      <w:sz w:val="24"/>
      <w:szCs w:val="24"/>
      <w:lang w:val="en-US" w:eastAsia="zh-CN" w:bidi="ar-SA"/>
    </w:rPr>
  </w:style>
  <w:style w:type="paragraph" w:customStyle="1" w:styleId="52">
    <w:name w:val="【表头】"/>
    <w:basedOn w:val="1"/>
    <w:qFormat/>
    <w:uiPriority w:val="0"/>
    <w:pPr>
      <w:jc w:val="center"/>
    </w:pPr>
    <w:rPr>
      <w:rFonts w:ascii="Times New Roman" w:hAnsi="Times New Roman" w:eastAsia="黑体" w:cs="Arial"/>
      <w:sz w:val="24"/>
      <w:szCs w:val="24"/>
    </w:rPr>
  </w:style>
  <w:style w:type="paragraph" w:customStyle="1" w:styleId="53">
    <w:name w:val="样式 正文缩进 + 宋体 黑色1"/>
    <w:basedOn w:val="11"/>
    <w:link w:val="54"/>
    <w:qFormat/>
    <w:uiPriority w:val="0"/>
    <w:pPr>
      <w:spacing w:line="360" w:lineRule="auto"/>
      <w:ind w:firstLine="200"/>
      <w:jc w:val="left"/>
    </w:pPr>
    <w:rPr>
      <w:rFonts w:ascii="宋体" w:hAnsi="宋体" w:eastAsia="宋体" w:cs="Times New Roman"/>
      <w:color w:val="000000"/>
      <w:sz w:val="24"/>
      <w:szCs w:val="24"/>
    </w:rPr>
  </w:style>
  <w:style w:type="character" w:customStyle="1" w:styleId="54">
    <w:name w:val="样式 正文缩进 + 宋体 黑色1 Char"/>
    <w:basedOn w:val="22"/>
    <w:link w:val="53"/>
    <w:qFormat/>
    <w:uiPriority w:val="0"/>
    <w:rPr>
      <w:rFonts w:ascii="宋体" w:hAnsi="宋体" w:eastAsia="宋体" w:cs="Times New Roman"/>
      <w:color w:val="000000"/>
      <w:sz w:val="24"/>
      <w:szCs w:val="24"/>
    </w:rPr>
  </w:style>
  <w:style w:type="character" w:customStyle="1" w:styleId="55">
    <w:name w:val="批注主题 Char"/>
    <w:semiHidden/>
    <w:qFormat/>
    <w:uiPriority w:val="99"/>
    <w:rPr>
      <w:b/>
      <w:bCs/>
      <w:kern w:val="2"/>
      <w:sz w:val="21"/>
    </w:rPr>
  </w:style>
  <w:style w:type="character" w:customStyle="1" w:styleId="56">
    <w:name w:val="未处理的提及1"/>
    <w:basedOn w:val="22"/>
    <w:semiHidden/>
    <w:unhideWhenUsed/>
    <w:qFormat/>
    <w:uiPriority w:val="99"/>
    <w:rPr>
      <w:color w:val="605E5C"/>
      <w:shd w:val="clear" w:color="auto" w:fill="E1DFDD"/>
    </w:rPr>
  </w:style>
  <w:style w:type="character" w:customStyle="1" w:styleId="57">
    <w:name w:val="Unresolved Mention"/>
    <w:basedOn w:val="2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238A9-5791-4AF7-A0AD-F7A7FEF49B74}">
  <ds:schemaRefs/>
</ds:datastoreItem>
</file>

<file path=docProps/app.xml><?xml version="1.0" encoding="utf-8"?>
<Properties xmlns="http://schemas.openxmlformats.org/officeDocument/2006/extended-properties" xmlns:vt="http://schemas.openxmlformats.org/officeDocument/2006/docPropsVTypes">
  <Template>Normal</Template>
  <Pages>9</Pages>
  <Words>2064</Words>
  <Characters>2335</Characters>
  <Lines>18</Lines>
  <Paragraphs>5</Paragraphs>
  <TotalTime>347</TotalTime>
  <ScaleCrop>false</ScaleCrop>
  <LinksUpToDate>false</LinksUpToDate>
  <CharactersWithSpaces>2351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2022-01-12T01:14:00Z</dcterms:created>
  <dc:creator>wjp</dc:creator>
  <cp:lastModifiedBy>杜强</cp:lastModifiedBy>
  <cp:lastPrinted>2025-04-16T11:33:00Z</cp:lastPrinted>
  <dcterms:modified xsi:type="dcterms:W3CDTF">2026-05-19T11:42:48Z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eyJoZGlkIjoiODcxMWUyOWM0ZmZmMmQyZTMyY2UxM2U1M2U5ODFhN2QiLCJ1c2VySWQiOiI2OTIzMzQ1MDMifQ==</vt:lpwstr>
  </property>
  <property fmtid="{D5CDD505-2E9C-101B-9397-08002B2CF9AE}" pid="3" name="KSOProductBuildVer">
    <vt:lpwstr>2052-12.1.0.25865</vt:lpwstr>
  </property>
  <property fmtid="{D5CDD505-2E9C-101B-9397-08002B2CF9AE}" pid="4" name="ICV">
    <vt:lpwstr>941745CE72F64F0EAE15B0C0F79047CD_12</vt:lpwstr>
  </property>
</Properties>
</file>